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line="240" w:lineRule="auto" w:before="22"/>
        <w:ind w:left="113"/>
      </w:pPr>
      <w:bookmarkStart w:name="《結核病防治工作手冊》(第四版) -本文-172頁(合併用1)" w:id="1"/>
      <w:bookmarkEnd w:id="1"/>
      <w:r>
        <w:rPr>
          <w:b w:val="0"/>
        </w:rPr>
      </w:r>
      <w:r>
        <w:rPr>
          <w:color w:val="231F20"/>
        </w:rPr>
        <w:t>防疫學苑系列 000</w:t>
      </w:r>
    </w:p>
    <w:p>
      <w:pPr>
        <w:spacing w:before="143"/>
        <w:ind w:left="113" w:right="0" w:firstLine="0"/>
        <w:jc w:val="left"/>
        <w:rPr>
          <w:rFonts w:ascii="Calibri"/>
          <w:b/>
          <w:sz w:val="18"/>
        </w:rPr>
      </w:pPr>
      <w:r>
        <w:rPr/>
        <w:br w:type="column"/>
      </w:r>
      <w:r>
        <w:rPr>
          <w:rFonts w:ascii="Calibri"/>
          <w:b/>
          <w:color w:val="FFFFFF"/>
          <w:w w:val="110"/>
          <w:sz w:val="18"/>
        </w:rPr>
        <w:t>Fourth Edition</w:t>
      </w:r>
    </w:p>
    <w:p>
      <w:pPr>
        <w:spacing w:before="79"/>
        <w:ind w:left="178" w:right="0" w:firstLine="0"/>
        <w:jc w:val="left"/>
        <w:rPr>
          <w:rFonts w:ascii="Calibri"/>
          <w:b/>
          <w:sz w:val="44"/>
        </w:rPr>
      </w:pPr>
      <w:r>
        <w:rPr>
          <w:rFonts w:ascii="Calibri"/>
          <w:b/>
          <w:color w:val="FFFFFF"/>
          <w:w w:val="115"/>
          <w:sz w:val="44"/>
        </w:rPr>
        <w:t>2023</w:t>
      </w:r>
    </w:p>
    <w:p>
      <w:pPr>
        <w:spacing w:after="0"/>
        <w:jc w:val="left"/>
        <w:rPr>
          <w:rFonts w:ascii="Calibri"/>
          <w:sz w:val="44"/>
        </w:rPr>
        <w:sectPr>
          <w:type w:val="continuous"/>
          <w:pgSz w:w="11910" w:h="16840"/>
          <w:pgMar w:top="720" w:bottom="280" w:left="520" w:right="600"/>
          <w:cols w:num="2" w:equalWidth="0">
            <w:col w:w="2142" w:space="6968"/>
            <w:col w:w="1680"/>
          </w:cols>
        </w:sectPr>
      </w:pPr>
    </w:p>
    <w:p>
      <w:pPr>
        <w:pStyle w:val="BodyText"/>
        <w:rPr>
          <w:rFonts w:ascii="Calibri"/>
          <w:b/>
          <w:sz w:val="20"/>
        </w:rPr>
      </w:pPr>
      <w:r>
        <w:rPr/>
        <w:drawing>
          <wp:anchor distT="0" distB="0" distL="0" distR="0" allowOverlap="1" layoutInCell="1" locked="0" behindDoc="1" simplePos="0" relativeHeight="236916736">
            <wp:simplePos x="0" y="0"/>
            <wp:positionH relativeFrom="page">
              <wp:posOffset>-4762</wp:posOffset>
            </wp:positionH>
            <wp:positionV relativeFrom="page">
              <wp:posOffset>2095</wp:posOffset>
            </wp:positionV>
            <wp:extent cx="7566291" cy="10687434"/>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566291" cy="10687434"/>
                    </a:xfrm>
                    <a:prstGeom prst="rect">
                      <a:avLst/>
                    </a:prstGeom>
                  </pic:spPr>
                </pic:pic>
              </a:graphicData>
            </a:graphic>
          </wp:anchor>
        </w:drawing>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sz w:val="22"/>
        </w:rPr>
      </w:pPr>
    </w:p>
    <w:p>
      <w:pPr>
        <w:spacing w:line="1299" w:lineRule="exact" w:before="0"/>
        <w:ind w:left="923" w:right="0" w:firstLine="0"/>
        <w:jc w:val="left"/>
        <w:rPr>
          <w:rFonts w:ascii="新細明體" w:eastAsia="新細明體" w:hint="eastAsia"/>
          <w:sz w:val="100"/>
        </w:rPr>
      </w:pPr>
      <w:r>
        <w:rPr>
          <w:rFonts w:ascii="新細明體" w:eastAsia="新細明體" w:hint="eastAsia"/>
          <w:color w:val="231F20"/>
          <w:w w:val="110"/>
          <w:sz w:val="100"/>
        </w:rPr>
        <w:t>結核病防治I作手柵</w:t>
      </w: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pStyle w:val="BodyText"/>
        <w:rPr>
          <w:rFonts w:ascii="新細明體"/>
          <w:sz w:val="20"/>
        </w:rPr>
      </w:pPr>
    </w:p>
    <w:p>
      <w:pPr>
        <w:spacing w:before="193"/>
        <w:ind w:left="7016" w:right="0" w:firstLine="0"/>
        <w:jc w:val="left"/>
        <w:rPr>
          <w:rFonts w:ascii="微軟正黑體" w:eastAsia="微軟正黑體" w:hint="eastAsia"/>
          <w:b/>
          <w:sz w:val="35"/>
        </w:rPr>
      </w:pPr>
      <w:r>
        <w:rPr>
          <w:rFonts w:ascii="微軟正黑體" w:eastAsia="微軟正黑體" w:hint="eastAsia"/>
          <w:b/>
          <w:color w:val="231F20"/>
          <w:sz w:val="35"/>
        </w:rPr>
        <w:t>衛生福利部疾病管制署</w:t>
      </w:r>
    </w:p>
    <w:p>
      <w:pPr>
        <w:spacing w:after="0"/>
        <w:jc w:val="left"/>
        <w:rPr>
          <w:rFonts w:ascii="微軟正黑體" w:eastAsia="微軟正黑體" w:hint="eastAsia"/>
          <w:sz w:val="35"/>
        </w:rPr>
        <w:sectPr>
          <w:type w:val="continuous"/>
          <w:pgSz w:w="11910" w:h="16840"/>
          <w:pgMar w:top="720" w:bottom="280" w:left="520" w:right="600"/>
        </w:sectPr>
      </w:pPr>
    </w:p>
    <w:p>
      <w:pPr>
        <w:spacing w:before="52"/>
        <w:ind w:left="613" w:right="0" w:firstLine="0"/>
        <w:jc w:val="left"/>
        <w:rPr>
          <w:sz w:val="22"/>
        </w:rPr>
      </w:pPr>
      <w:r>
        <w:rPr>
          <w:color w:val="231F20"/>
          <w:sz w:val="22"/>
        </w:rPr>
        <w:t>防疫學苑系列 037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1"/>
        </w:rPr>
      </w:pPr>
      <w:r>
        <w:rPr/>
        <w:drawing>
          <wp:anchor distT="0" distB="0" distL="0" distR="0" allowOverlap="1" layoutInCell="1" locked="0" behindDoc="0" simplePos="0" relativeHeight="1">
            <wp:simplePos x="0" y="0"/>
            <wp:positionH relativeFrom="page">
              <wp:posOffset>1673749</wp:posOffset>
            </wp:positionH>
            <wp:positionV relativeFrom="paragraph">
              <wp:posOffset>149060</wp:posOffset>
            </wp:positionV>
            <wp:extent cx="4191357" cy="433387"/>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4191357" cy="433387"/>
                    </a:xfrm>
                    <a:prstGeom prst="rect">
                      <a:avLst/>
                    </a:prstGeom>
                  </pic:spPr>
                </pic:pic>
              </a:graphicData>
            </a:graphic>
          </wp:anchor>
        </w:drawing>
      </w:r>
    </w:p>
    <w:p>
      <w:pPr>
        <w:pStyle w:val="BodyText"/>
        <w:rPr>
          <w:sz w:val="20"/>
        </w:rPr>
      </w:pPr>
    </w:p>
    <w:p>
      <w:pPr>
        <w:pStyle w:val="BodyText"/>
        <w:spacing w:before="15"/>
        <w:rPr>
          <w:sz w:val="28"/>
        </w:rPr>
      </w:pPr>
      <w:r>
        <w:rPr/>
        <w:drawing>
          <wp:anchor distT="0" distB="0" distL="0" distR="0" allowOverlap="1" layoutInCell="1" locked="0" behindDoc="0" simplePos="0" relativeHeight="2">
            <wp:simplePos x="0" y="0"/>
            <wp:positionH relativeFrom="page">
              <wp:posOffset>1651533</wp:posOffset>
            </wp:positionH>
            <wp:positionV relativeFrom="paragraph">
              <wp:posOffset>344238</wp:posOffset>
            </wp:positionV>
            <wp:extent cx="4270362" cy="242887"/>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4270362" cy="24288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3"/>
        <w:rPr>
          <w:sz w:val="25"/>
        </w:rPr>
      </w:pPr>
    </w:p>
    <w:p>
      <w:pPr>
        <w:pStyle w:val="Heading1"/>
        <w:spacing w:line="240" w:lineRule="auto" w:before="19"/>
        <w:ind w:right="1460"/>
        <w:jc w:val="center"/>
      </w:pPr>
      <w:r>
        <w:rPr>
          <w:color w:val="231F20"/>
        </w:rPr>
        <w:t>衛生福利部疾病管制署 編</w:t>
      </w:r>
    </w:p>
    <w:p>
      <w:pPr>
        <w:pStyle w:val="BodyText"/>
        <w:rPr>
          <w:rFonts w:ascii="微軟正黑體"/>
          <w:b/>
          <w:sz w:val="42"/>
        </w:rPr>
      </w:pPr>
    </w:p>
    <w:p>
      <w:pPr>
        <w:pStyle w:val="BodyText"/>
        <w:rPr>
          <w:rFonts w:ascii="微軟正黑體"/>
          <w:b/>
          <w:sz w:val="42"/>
        </w:rPr>
      </w:pPr>
    </w:p>
    <w:p>
      <w:pPr>
        <w:pStyle w:val="BodyText"/>
        <w:rPr>
          <w:rFonts w:ascii="微軟正黑體"/>
          <w:b/>
          <w:sz w:val="42"/>
        </w:rPr>
      </w:pPr>
    </w:p>
    <w:p>
      <w:pPr>
        <w:pStyle w:val="BodyText"/>
        <w:rPr>
          <w:rFonts w:ascii="微軟正黑體"/>
          <w:b/>
          <w:sz w:val="42"/>
        </w:rPr>
      </w:pPr>
    </w:p>
    <w:p>
      <w:pPr>
        <w:pStyle w:val="BodyText"/>
        <w:rPr>
          <w:rFonts w:ascii="微軟正黑體"/>
          <w:b/>
          <w:sz w:val="42"/>
        </w:rPr>
      </w:pPr>
    </w:p>
    <w:p>
      <w:pPr>
        <w:pStyle w:val="BodyText"/>
        <w:rPr>
          <w:rFonts w:ascii="微軟正黑體"/>
          <w:b/>
          <w:sz w:val="42"/>
        </w:rPr>
      </w:pPr>
    </w:p>
    <w:p>
      <w:pPr>
        <w:pStyle w:val="BodyText"/>
        <w:rPr>
          <w:rFonts w:ascii="微軟正黑體"/>
          <w:b/>
          <w:sz w:val="42"/>
        </w:rPr>
      </w:pPr>
    </w:p>
    <w:p>
      <w:pPr>
        <w:pStyle w:val="BodyText"/>
        <w:spacing w:before="1"/>
        <w:rPr>
          <w:rFonts w:ascii="微軟正黑體"/>
          <w:b/>
        </w:rPr>
      </w:pPr>
    </w:p>
    <w:p>
      <w:pPr>
        <w:spacing w:before="0"/>
        <w:ind w:left="1535" w:right="1461" w:firstLine="0"/>
        <w:jc w:val="center"/>
        <w:rPr>
          <w:rFonts w:ascii="微軟正黑體" w:eastAsia="微軟正黑體" w:hint="eastAsia"/>
          <w:b/>
          <w:sz w:val="32"/>
        </w:rPr>
      </w:pPr>
      <w:r>
        <w:rPr>
          <w:rFonts w:ascii="微軟正黑體" w:eastAsia="微軟正黑體" w:hint="eastAsia"/>
          <w:b/>
          <w:color w:val="231F20"/>
          <w:sz w:val="32"/>
        </w:rPr>
        <w:t>衛生福利部疾病管制署 出版</w:t>
      </w:r>
    </w:p>
    <w:p>
      <w:pPr>
        <w:spacing w:before="331"/>
        <w:ind w:left="1535" w:right="1460" w:firstLine="0"/>
        <w:jc w:val="center"/>
        <w:rPr>
          <w:rFonts w:ascii="微軟正黑體" w:eastAsia="微軟正黑體" w:hint="eastAsia"/>
          <w:b/>
          <w:sz w:val="32"/>
        </w:rPr>
      </w:pPr>
      <w:r>
        <w:rPr>
          <w:rFonts w:ascii="微軟正黑體" w:eastAsia="微軟正黑體" w:hint="eastAsia"/>
          <w:b/>
          <w:color w:val="231F20"/>
          <w:sz w:val="32"/>
        </w:rPr>
        <w:t>2023 年 5 月</w:t>
      </w:r>
    </w:p>
    <w:p>
      <w:pPr>
        <w:spacing w:after="0"/>
        <w:jc w:val="center"/>
        <w:rPr>
          <w:rFonts w:ascii="微軟正黑體" w:eastAsia="微軟正黑體" w:hint="eastAsia"/>
          <w:sz w:val="32"/>
        </w:rPr>
        <w:sectPr>
          <w:pgSz w:w="11910" w:h="16840"/>
          <w:pgMar w:top="1260" w:bottom="280" w:left="520" w:right="600"/>
        </w:sect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rPr>
          <w:rFonts w:ascii="微軟正黑體"/>
          <w:b/>
          <w:sz w:val="20"/>
        </w:rPr>
      </w:pPr>
    </w:p>
    <w:p>
      <w:pPr>
        <w:pStyle w:val="BodyText"/>
        <w:spacing w:before="12"/>
        <w:rPr>
          <w:rFonts w:ascii="微軟正黑體"/>
          <w:b/>
          <w:sz w:val="22"/>
        </w:rPr>
      </w:pPr>
    </w:p>
    <w:p>
      <w:pPr>
        <w:pStyle w:val="BodyText"/>
        <w:ind w:left="1815"/>
        <w:rPr>
          <w:rFonts w:ascii="微軟正黑體"/>
          <w:sz w:val="20"/>
        </w:rPr>
      </w:pPr>
      <w:r>
        <w:rPr>
          <w:rFonts w:ascii="微軟正黑體"/>
          <w:sz w:val="20"/>
        </w:rPr>
        <w:pict>
          <v:group style="width:69.05pt;height:22.5pt;mso-position-horizontal-relative:char;mso-position-vertical-relative:line" coordorigin="0,0" coordsize="1381,450">
            <v:shape style="position:absolute;left:408;top:0;width:479;height:450" coordorigin="409,0" coordsize="479,450" path="m674,172l570,172,575,183,579,193,584,204,590,215,624,272,729,448,732,450,837,449,840,449,844,449,844,281,732,281,731,279,729,276,723,261,720,249,674,172xm837,449l786,449,837,449,837,449xm570,0l491,0,415,0,412,1,409,1,409,83,458,83,458,368,409,368,409,449,607,449,607,367,570,367,570,172,674,172,621,83,574,2,571,0,491,0,571,0,570,0xm887,1l694,1,694,83,732,83,732,281,844,281,844,82,887,82,887,1xe" filled="true" fillcolor="#231f20" stroked="false">
              <v:path arrowok="t"/>
              <v:fill type="solid"/>
            </v:shape>
            <v:shape style="position:absolute;left:939;top:0;width:441;height:450" coordorigin="939,0" coordsize="441,450" path="m1057,0l944,0,942,1,940,1,940,82,988,82,988,368,939,368,939,448,941,449,942,449,1127,448,1188,447,1227,441,1264,428,1297,407,1326,380,1340,361,1136,361,1103,361,1103,89,1124,89,1341,89,1307,50,1266,23,1219,7,1167,1,1057,0xm1341,89l1145,89,1166,90,1186,95,1211,107,1231,124,1246,145,1256,170,1262,198,1264,226,1262,254,1256,282,1240,315,1217,340,1185,355,1146,361,1136,361,1340,361,1350,347,1367,311,1376,273,1380,233,1379,195,1373,158,1361,123,1343,90,1341,89xe" filled="true" fillcolor="#231f20" stroked="false">
              <v:path arrowok="t"/>
              <v:fill type="solid"/>
            </v:shape>
            <v:line style="position:absolute" from="0,408" to="353,408" stroked="true" strokeweight="4.1pt" strokecolor="#231f20">
              <v:stroke dashstyle="solid"/>
            </v:line>
            <v:line style="position:absolute" from="50,366" to="353,366" stroked="true" strokeweight=".1pt" strokecolor="#231f20">
              <v:stroke dashstyle="solid"/>
            </v:line>
            <v:rect style="position:absolute;left:49;top:266;width:114;height:98" filled="true" fillcolor="#231f20" stroked="false">
              <v:fill type="solid"/>
            </v:rect>
            <v:line style="position:absolute" from="50,223" to="288,223" stroked="true" strokeweight="4.4pt" strokecolor="#231f20">
              <v:stroke dashstyle="solid"/>
            </v:line>
            <v:rect style="position:absolute;left:49;top:84;width:114;height:94" filled="true" fillcolor="#231f20" stroked="false">
              <v:fill type="solid"/>
            </v:rect>
            <v:line style="position:absolute" from="50,84" to="346,84" stroked="true" strokeweight=".1pt" strokecolor="#231f20">
              <v:stroke dashstyle="solid"/>
            </v:line>
            <v:line style="position:absolute" from="0,42" to="346,42" stroked="true" strokeweight="4.1pt" strokecolor="#231f20">
              <v:stroke dashstyle="solid"/>
            </v:line>
            <v:rect style="position:absolute;left:258;top:333;width:95;height:33" filled="true" fillcolor="#231f20" stroked="false">
              <v:fill type="solid"/>
            </v:rect>
            <v:rect style="position:absolute;left:252;top:84;width:94;height:33" filled="true" fillcolor="#231f20" stroked="false">
              <v:fill type="solid"/>
            </v:rect>
          </v:group>
        </w:pict>
      </w:r>
      <w:r>
        <w:rPr>
          <w:rFonts w:ascii="微軟正黑體"/>
          <w:sz w:val="20"/>
        </w:rPr>
      </w:r>
    </w:p>
    <w:p>
      <w:pPr>
        <w:pStyle w:val="BodyText"/>
        <w:spacing w:before="9"/>
        <w:rPr>
          <w:rFonts w:ascii="微軟正黑體"/>
          <w:b/>
          <w:sz w:val="9"/>
        </w:rPr>
      </w:pPr>
    </w:p>
    <w:p>
      <w:pPr>
        <w:tabs>
          <w:tab w:pos="8279" w:val="left" w:leader="none"/>
        </w:tabs>
        <w:spacing w:before="75"/>
        <w:ind w:left="2952" w:right="0" w:firstLine="0"/>
        <w:jc w:val="left"/>
        <w:rPr>
          <w:sz w:val="20"/>
        </w:rPr>
      </w:pPr>
      <w:r>
        <w:rPr/>
        <w:pict>
          <v:shape style="position:absolute;margin-left:60.959pt;margin-top:-31.961035pt;width:50.7pt;height:50.8pt;mso-position-horizontal-relative:page;mso-position-vertical-relative:paragraph;z-index:251662336" coordorigin="1219,-639" coordsize="1014,1016" path="m2233,-132l2022,-132,2021,283,2021,374,2024,376,2233,376,2233,-132xm2233,376l2128,376,2233,376,2233,376xm1660,-344l1660,-238,1219,-238,1219,-26,1661,-26,1661,79,2022,-132,2233,-132,2233,-132,2021,-132,1660,-344xm2233,-639l2021,-639,2021,-132,2233,-132,2233,-639xe" filled="true" fillcolor="#ed1c24" stroked="false">
            <v:path arrowok="t"/>
            <v:fill type="solid"/>
            <w10:wrap type="none"/>
          </v:shape>
        </w:pict>
      </w:r>
      <w:r>
        <w:rPr/>
        <w:pict>
          <v:group style="position:absolute;margin-left:118.056pt;margin-top:-3.643911pt;width:41.8pt;height:22.5pt;mso-position-horizontal-relative:page;mso-position-vertical-relative:paragraph;z-index:251663360" coordorigin="2361,-73" coordsize="836,450">
            <v:shape style="position:absolute;left:2818;top:-73;width:378;height:450" coordorigin="2819,-73" coordsize="378,450" path="m2937,-73l2823,-73,2821,-72,2819,-72,2819,10,2857,10,2857,294,2819,294,2819,376,2822,376,2824,376,2930,377,3033,376,3046,376,3058,375,3071,374,3083,372,3130,357,3166,328,3189,288,3031,288,3025,288,2961,288,2961,190,3184,189,3180,181,3160,159,3132,143,3130,142,3128,141,3126,140,3128,139,3129,138,3130,137,3162,103,3163,100,2997,100,2960,100,2960,17,3175,17,3175,16,3155,-25,3133,-47,3108,-61,3079,-69,3049,-72,2937,-73xm3184,189l3003,189,3024,189,3045,190,3061,194,3073,204,3080,218,3082,236,3079,255,3070,272,3055,284,3031,288,3189,288,3189,287,3196,239,3192,207,3184,189xm2996,287l2961,288,3025,288,3013,287,2996,287xm3175,17l2999,17,3018,17,3036,17,3048,18,3055,25,3060,35,3064,46,3065,57,3064,68,3061,79,3056,91,3046,99,3033,100,3015,100,2997,100,3163,100,3177,61,3175,17xe" filled="true" fillcolor="#231f20" stroked="false">
              <v:path arrowok="t"/>
              <v:fill type="solid"/>
            </v:shape>
            <v:line style="position:absolute" from="2458,335" to="2670,335" stroked="true" strokeweight="4.1pt" strokecolor="#231f20">
              <v:stroke dashstyle="solid"/>
            </v:line>
            <v:line style="position:absolute" from="2564,16" to="2564,294" stroked="true" strokeweight="5.735pt" strokecolor="#231f20">
              <v:stroke dashstyle="solid"/>
            </v:line>
            <v:shape style="position:absolute;left:2361;top:15;width:407;height:47" coordorigin="2361,16" coordsize="407,47" path="m2455,16l2361,16,2361,62,2455,62,2455,16m2767,16l2674,16,2674,62,2767,62,2767,16e" filled="true" fillcolor="#231f20" stroked="false">
              <v:path arrowok="t"/>
              <v:fill type="solid"/>
            </v:shape>
            <v:line style="position:absolute" from="2361,-28" to="2767,-28" stroked="true" strokeweight="4.4pt" strokecolor="#231f20">
              <v:stroke dashstyle="solid"/>
            </v:line>
            <w10:wrap type="none"/>
          </v:group>
        </w:pict>
      </w:r>
      <w:r>
        <w:rPr>
          <w:color w:val="231F20"/>
          <w:sz w:val="20"/>
        </w:rPr>
        <w:t>本形象取自於</w:t>
      </w:r>
      <w:r>
        <w:rPr>
          <w:color w:val="231F20"/>
          <w:spacing w:val="-6"/>
          <w:sz w:val="20"/>
        </w:rPr>
        <w:t> </w:t>
      </w:r>
      <w:r>
        <w:rPr>
          <w:rFonts w:ascii="Trebuchet MS" w:hAnsi="Trebuchet MS" w:eastAsia="Trebuchet MS"/>
          <w:color w:val="231F20"/>
          <w:sz w:val="20"/>
        </w:rPr>
        <w:t>Stop</w:t>
      </w:r>
      <w:r>
        <w:rPr>
          <w:rFonts w:ascii="Trebuchet MS" w:hAnsi="Trebuchet MS" w:eastAsia="Trebuchet MS"/>
          <w:color w:val="231F20"/>
          <w:spacing w:val="-1"/>
          <w:sz w:val="20"/>
        </w:rPr>
        <w:t> </w:t>
      </w:r>
      <w:r>
        <w:rPr>
          <w:rFonts w:ascii="Trebuchet MS" w:hAnsi="Trebuchet MS" w:eastAsia="Trebuchet MS"/>
          <w:color w:val="231F20"/>
          <w:sz w:val="20"/>
        </w:rPr>
        <w:t>TB</w:t>
      </w:r>
      <w:r>
        <w:rPr>
          <w:rFonts w:ascii="Trebuchet MS" w:hAnsi="Trebuchet MS" w:eastAsia="Trebuchet MS"/>
          <w:color w:val="231F20"/>
          <w:spacing w:val="-1"/>
          <w:sz w:val="20"/>
        </w:rPr>
        <w:t> </w:t>
      </w:r>
      <w:r>
        <w:rPr>
          <w:rFonts w:ascii="Trebuchet MS" w:hAnsi="Trebuchet MS" w:eastAsia="Trebuchet MS"/>
          <w:color w:val="231F20"/>
          <w:sz w:val="20"/>
        </w:rPr>
        <w:t>Partnership</w:t>
      </w:r>
      <w:r>
        <w:rPr>
          <w:rFonts w:ascii="Trebuchet MS" w:hAnsi="Trebuchet MS" w:eastAsia="Trebuchet MS"/>
          <w:color w:val="231F20"/>
          <w:spacing w:val="-2"/>
          <w:sz w:val="20"/>
        </w:rPr>
        <w:t> </w:t>
      </w:r>
      <w:r>
        <w:rPr>
          <w:color w:val="231F20"/>
          <w:sz w:val="20"/>
        </w:rPr>
        <w:t>•</w:t>
      </w:r>
      <w:r>
        <w:rPr>
          <w:color w:val="231F20"/>
          <w:spacing w:val="-7"/>
          <w:sz w:val="20"/>
        </w:rPr>
        <w:t> </w:t>
      </w:r>
      <w:r>
        <w:rPr>
          <w:color w:val="231F20"/>
          <w:sz w:val="20"/>
        </w:rPr>
        <w:t>響應全球</w:t>
      </w:r>
      <w:r>
        <w:rPr>
          <w:color w:val="231F20"/>
          <w:spacing w:val="-18"/>
          <w:sz w:val="20"/>
        </w:rPr>
        <w:t> </w:t>
      </w:r>
      <w:r>
        <w:rPr>
          <w:rFonts w:ascii="Trebuchet MS" w:hAnsi="Trebuchet MS" w:eastAsia="Trebuchet MS"/>
          <w:color w:val="231F20"/>
          <w:sz w:val="20"/>
        </w:rPr>
        <w:t>2035</w:t>
      </w:r>
      <w:r>
        <w:rPr>
          <w:rFonts w:ascii="Trebuchet MS" w:hAnsi="Trebuchet MS" w:eastAsia="Trebuchet MS"/>
          <w:color w:val="231F20"/>
          <w:spacing w:val="-10"/>
          <w:sz w:val="20"/>
        </w:rPr>
        <w:t> </w:t>
      </w:r>
      <w:r>
        <w:rPr>
          <w:color w:val="231F20"/>
          <w:sz w:val="20"/>
        </w:rPr>
        <w:t>消除結</w:t>
        <w:tab/>
        <w:t>之目標</w:t>
      </w:r>
    </w:p>
    <w:p>
      <w:pPr>
        <w:spacing w:after="0"/>
        <w:jc w:val="left"/>
        <w:rPr>
          <w:sz w:val="20"/>
        </w:rPr>
        <w:sectPr>
          <w:pgSz w:w="11910" w:h="16840"/>
          <w:pgMar w:top="1600" w:bottom="280" w:left="520" w:right="600"/>
        </w:sectPr>
      </w:pPr>
    </w:p>
    <w:p>
      <w:pPr>
        <w:pStyle w:val="BodyText"/>
        <w:spacing w:before="11"/>
        <w:rPr>
          <w:sz w:val="28"/>
        </w:rPr>
      </w:pPr>
    </w:p>
    <w:p>
      <w:pPr>
        <w:tabs>
          <w:tab w:pos="10244" w:val="left" w:leader="none"/>
        </w:tabs>
        <w:spacing w:before="13"/>
        <w:ind w:left="616" w:right="0" w:firstLine="0"/>
        <w:jc w:val="left"/>
        <w:rPr>
          <w:rFonts w:ascii="微軟正黑體" w:eastAsia="微軟正黑體" w:hint="eastAsia"/>
          <w:b/>
          <w:sz w:val="34"/>
        </w:rPr>
      </w:pPr>
      <w:r>
        <w:rPr>
          <w:rFonts w:ascii="Times New Roman" w:eastAsia="Times New Roman"/>
          <w:color w:val="FFFFFF"/>
          <w:sz w:val="34"/>
          <w:shd w:fill="4DB4A5" w:color="auto" w:val="clear"/>
        </w:rPr>
        <w:t>  </w:t>
      </w:r>
      <w:r>
        <w:rPr>
          <w:rFonts w:ascii="微軟正黑體" w:eastAsia="微軟正黑體" w:hint="eastAsia"/>
          <w:b/>
          <w:color w:val="FFFFFF"/>
          <w:sz w:val="34"/>
          <w:shd w:fill="4DB4A5" w:color="auto" w:val="clear"/>
        </w:rPr>
        <w:t>目</w:t>
      </w:r>
      <w:r>
        <w:rPr>
          <w:rFonts w:ascii="微軟正黑體" w:eastAsia="微軟正黑體" w:hint="eastAsia"/>
          <w:b/>
          <w:color w:val="FFFFFF"/>
          <w:spacing w:val="84"/>
          <w:sz w:val="34"/>
          <w:shd w:fill="4DB4A5" w:color="auto" w:val="clear"/>
        </w:rPr>
        <w:t> </w:t>
      </w:r>
      <w:r>
        <w:rPr>
          <w:rFonts w:ascii="微軟正黑體" w:eastAsia="微軟正黑體" w:hint="eastAsia"/>
          <w:b/>
          <w:color w:val="FFFFFF"/>
          <w:sz w:val="34"/>
          <w:shd w:fill="4DB4A5" w:color="auto" w:val="clear"/>
        </w:rPr>
        <w:t>錄</w:t>
        <w:tab/>
      </w:r>
    </w:p>
    <w:sdt>
      <w:sdtPr>
        <w:docPartObj>
          <w:docPartGallery w:val="Table of Contents"/>
          <w:docPartUnique/>
        </w:docPartObj>
      </w:sdtPr>
      <w:sdtEndPr/>
      <w:sdtContent>
        <w:p>
          <w:pPr>
            <w:pStyle w:val="TOC1"/>
            <w:tabs>
              <w:tab w:pos="1812" w:val="left" w:leader="none"/>
              <w:tab w:pos="10192" w:val="right" w:leader="dot"/>
            </w:tabs>
            <w:spacing w:before="404"/>
            <w:rPr>
              <w:rFonts w:ascii="Arial" w:eastAsia="Arial"/>
            </w:rPr>
          </w:pPr>
          <w:r>
            <w:rPr>
              <w:color w:val="231F20"/>
            </w:rPr>
            <w:t>第＿章</w:t>
            <w:tab/>
            <w:t>結核病預防宣導及主動發現</w:t>
            <w:tab/>
          </w:r>
          <w:r>
            <w:rPr>
              <w:rFonts w:ascii="Arial" w:eastAsia="Arial"/>
              <w:color w:val="231F20"/>
              <w:position w:val="1"/>
            </w:rPr>
            <w:t>1</w:t>
          </w:r>
        </w:p>
        <w:p>
          <w:pPr>
            <w:pStyle w:val="TOC1"/>
            <w:tabs>
              <w:tab w:pos="1812" w:val="left" w:leader="none"/>
              <w:tab w:pos="10192" w:val="right" w:leader="dot"/>
            </w:tabs>
            <w:rPr>
              <w:rFonts w:ascii="Arial" w:hAnsi="Arial" w:eastAsia="Arial"/>
            </w:rPr>
          </w:pPr>
          <w:r>
            <w:rPr>
              <w:color w:val="231F20"/>
            </w:rPr>
            <w:t>第—章</w:t>
            <w:tab/>
            <w:t>結核菌及潛伏結核感染檢驗</w:t>
            <w:tab/>
          </w:r>
          <w:r>
            <w:rPr>
              <w:rFonts w:ascii="Arial" w:hAnsi="Arial" w:eastAsia="Arial"/>
              <w:color w:val="231F20"/>
              <w:position w:val="1"/>
            </w:rPr>
            <w:t>7</w:t>
          </w:r>
        </w:p>
        <w:p>
          <w:pPr>
            <w:pStyle w:val="TOC1"/>
            <w:tabs>
              <w:tab w:pos="1812" w:val="left" w:leader="none"/>
              <w:tab w:pos="10192" w:val="right" w:leader="dot"/>
            </w:tabs>
            <w:rPr>
              <w:rFonts w:ascii="Arial" w:eastAsia="Arial"/>
            </w:rPr>
          </w:pPr>
          <w:r>
            <w:rPr>
              <w:color w:val="231F20"/>
            </w:rPr>
            <w:t>第二章</w:t>
            <w:tab/>
            <w:t>潛伏結核感染之診斷及治療</w:t>
            <w:tab/>
          </w:r>
          <w:r>
            <w:rPr>
              <w:rFonts w:ascii="Arial" w:eastAsia="Arial"/>
              <w:color w:val="231F20"/>
              <w:position w:val="1"/>
            </w:rPr>
            <w:t>15</w:t>
          </w:r>
        </w:p>
        <w:p>
          <w:pPr>
            <w:pStyle w:val="TOC1"/>
            <w:tabs>
              <w:tab w:pos="1812" w:val="left" w:leader="none"/>
              <w:tab w:pos="10193" w:val="right" w:leader="dot"/>
            </w:tabs>
            <w:rPr>
              <w:rFonts w:ascii="Arial" w:eastAsia="Arial"/>
            </w:rPr>
          </w:pPr>
          <w:r>
            <w:rPr>
              <w:color w:val="231F20"/>
            </w:rPr>
            <w:t>第匹章</w:t>
            <w:tab/>
            <w:t>卡介苗預防接種</w:t>
            <w:tab/>
          </w:r>
          <w:r>
            <w:rPr>
              <w:rFonts w:ascii="Arial" w:eastAsia="Arial"/>
              <w:color w:val="231F20"/>
              <w:position w:val="1"/>
            </w:rPr>
            <w:t>27</w:t>
          </w:r>
        </w:p>
        <w:p>
          <w:pPr>
            <w:pStyle w:val="TOC1"/>
            <w:tabs>
              <w:tab w:pos="1812" w:val="left" w:leader="none"/>
              <w:tab w:pos="10193" w:val="right" w:leader="dot"/>
            </w:tabs>
            <w:rPr>
              <w:rFonts w:ascii="Arial" w:eastAsia="Arial"/>
            </w:rPr>
          </w:pPr>
          <w:hyperlink w:history="true" w:anchor="_TOC_250003">
            <w:r>
              <w:rPr>
                <w:color w:val="231F20"/>
              </w:rPr>
              <w:t>第五章</w:t>
              <w:tab/>
              <w:t>結核病個案通報登記</w:t>
              <w:tab/>
            </w:r>
            <w:r>
              <w:rPr>
                <w:rFonts w:ascii="Arial" w:eastAsia="Arial"/>
                <w:color w:val="231F20"/>
                <w:position w:val="1"/>
              </w:rPr>
              <w:t>35</w:t>
            </w:r>
          </w:hyperlink>
        </w:p>
        <w:p>
          <w:pPr>
            <w:pStyle w:val="TOC1"/>
            <w:tabs>
              <w:tab w:pos="1812" w:val="left" w:leader="none"/>
              <w:tab w:pos="10193" w:val="right" w:leader="dot"/>
            </w:tabs>
            <w:rPr>
              <w:rFonts w:ascii="Arial" w:eastAsia="Arial"/>
            </w:rPr>
          </w:pPr>
          <w:r>
            <w:rPr>
              <w:color w:val="231F20"/>
            </w:rPr>
            <w:t>第、章</w:t>
            <w:tab/>
            <w:t>結核病個案管理</w:t>
            <w:tab/>
          </w:r>
          <w:r>
            <w:rPr>
              <w:rFonts w:ascii="Arial" w:eastAsia="Arial"/>
              <w:color w:val="231F20"/>
              <w:position w:val="1"/>
            </w:rPr>
            <w:t>41</w:t>
          </w:r>
        </w:p>
        <w:p>
          <w:pPr>
            <w:pStyle w:val="TOC1"/>
            <w:tabs>
              <w:tab w:pos="1812" w:val="left" w:leader="none"/>
              <w:tab w:pos="10192" w:val="right" w:leader="dot"/>
            </w:tabs>
            <w:rPr>
              <w:rFonts w:ascii="Arial" w:eastAsia="Arial"/>
            </w:rPr>
          </w:pPr>
          <w:hyperlink w:history="true" w:anchor="_TOC_250002">
            <w:r>
              <w:rPr>
                <w:color w:val="231F20"/>
              </w:rPr>
              <w:t>第七章</w:t>
              <w:tab/>
              <w:t>特定場域、身分個案防治重點</w:t>
              <w:tab/>
            </w:r>
            <w:r>
              <w:rPr>
                <w:rFonts w:ascii="Arial" w:eastAsia="Arial"/>
                <w:color w:val="231F20"/>
                <w:position w:val="1"/>
              </w:rPr>
              <w:t>65</w:t>
            </w:r>
          </w:hyperlink>
        </w:p>
        <w:p>
          <w:pPr>
            <w:pStyle w:val="TOC1"/>
            <w:tabs>
              <w:tab w:pos="1812" w:val="left" w:leader="none"/>
              <w:tab w:pos="10194" w:val="right" w:leader="dot"/>
            </w:tabs>
            <w:spacing w:before="201"/>
            <w:rPr>
              <w:rFonts w:ascii="Arial" w:eastAsia="Arial"/>
            </w:rPr>
          </w:pPr>
          <w:hyperlink w:history="true" w:anchor="_TOC_250001">
            <w:r>
              <w:rPr>
                <w:color w:val="231F20"/>
              </w:rPr>
              <w:t>第八章</w:t>
              <w:tab/>
              <w:t>都治策略</w:t>
              <w:tab/>
            </w:r>
            <w:r>
              <w:rPr>
                <w:rFonts w:ascii="Arial" w:eastAsia="Arial"/>
                <w:color w:val="231F20"/>
                <w:position w:val="1"/>
              </w:rPr>
              <w:t>83</w:t>
            </w:r>
          </w:hyperlink>
        </w:p>
        <w:p>
          <w:pPr>
            <w:pStyle w:val="TOC1"/>
            <w:tabs>
              <w:tab w:pos="1812" w:val="left" w:leader="none"/>
              <w:tab w:pos="10194" w:val="right" w:leader="dot"/>
            </w:tabs>
            <w:rPr>
              <w:rFonts w:ascii="Arial" w:eastAsia="Arial"/>
            </w:rPr>
          </w:pPr>
          <w:r>
            <w:rPr>
              <w:color w:val="231F20"/>
            </w:rPr>
            <w:t>第九章</w:t>
            <w:tab/>
            <w:t>隔腐治療</w:t>
            <w:tab/>
          </w:r>
          <w:r>
            <w:rPr>
              <w:rFonts w:ascii="Arial" w:eastAsia="Arial"/>
              <w:color w:val="231F20"/>
              <w:position w:val="1"/>
            </w:rPr>
            <w:t>91</w:t>
          </w:r>
        </w:p>
        <w:p>
          <w:pPr>
            <w:pStyle w:val="TOC1"/>
            <w:tabs>
              <w:tab w:pos="1812" w:val="left" w:leader="none"/>
              <w:tab w:pos="10193" w:val="right" w:leader="dot"/>
            </w:tabs>
            <w:rPr>
              <w:rFonts w:ascii="Arial" w:eastAsia="Arial"/>
            </w:rPr>
          </w:pPr>
          <w:hyperlink w:history="true" w:anchor="_TOC_250000">
            <w:r>
              <w:rPr>
                <w:color w:val="231F20"/>
              </w:rPr>
              <w:t>第十章</w:t>
              <w:tab/>
              <w:t>抗藥性結核病照護與管理</w:t>
              <w:tab/>
            </w:r>
            <w:r>
              <w:rPr>
                <w:rFonts w:ascii="Arial" w:eastAsia="Arial"/>
                <w:color w:val="231F20"/>
                <w:position w:val="1"/>
              </w:rPr>
              <w:t>99</w:t>
            </w:r>
          </w:hyperlink>
        </w:p>
        <w:p>
          <w:pPr>
            <w:pStyle w:val="TOC1"/>
            <w:tabs>
              <w:tab w:pos="1812" w:val="left" w:leader="none"/>
              <w:tab w:pos="10193" w:val="right" w:leader="dot"/>
            </w:tabs>
            <w:rPr>
              <w:rFonts w:ascii="Arial" w:eastAsia="Arial"/>
            </w:rPr>
          </w:pPr>
          <w:r>
            <w:rPr>
              <w:color w:val="231F20"/>
            </w:rPr>
            <w:t>第十＿章</w:t>
            <w:tab/>
            <w:t>結核病接觸者追蹤管理</w:t>
            <w:tab/>
          </w:r>
          <w:r>
            <w:rPr>
              <w:rFonts w:ascii="Arial" w:eastAsia="Arial"/>
              <w:color w:val="231F20"/>
              <w:position w:val="1"/>
            </w:rPr>
            <w:t>121</w:t>
          </w:r>
        </w:p>
        <w:p>
          <w:pPr>
            <w:pStyle w:val="TOC1"/>
            <w:tabs>
              <w:tab w:pos="1812" w:val="left" w:leader="none"/>
              <w:tab w:pos="10193" w:val="right" w:leader="dot"/>
            </w:tabs>
            <w:rPr>
              <w:rFonts w:ascii="Arial" w:hAnsi="Arial" w:eastAsia="Arial"/>
            </w:rPr>
          </w:pPr>
          <w:r>
            <w:rPr>
              <w:color w:val="231F20"/>
            </w:rPr>
            <w:t>第十—章</w:t>
            <w:tab/>
            <w:t>疑似結核病聚集事件處理</w:t>
            <w:tab/>
          </w:r>
          <w:r>
            <w:rPr>
              <w:rFonts w:ascii="Arial" w:hAnsi="Arial" w:eastAsia="Arial"/>
              <w:color w:val="231F20"/>
              <w:position w:val="1"/>
            </w:rPr>
            <w:t>139</w:t>
          </w:r>
        </w:p>
        <w:p>
          <w:pPr>
            <w:pStyle w:val="TOC1"/>
            <w:tabs>
              <w:tab w:pos="1812" w:val="left" w:leader="none"/>
              <w:tab w:pos="10191" w:val="right" w:leader="dot"/>
            </w:tabs>
            <w:rPr>
              <w:rFonts w:ascii="Arial" w:eastAsia="Arial"/>
            </w:rPr>
          </w:pPr>
          <w:r>
            <w:rPr>
              <w:color w:val="231F20"/>
            </w:rPr>
            <w:t>第十二章</w:t>
            <w:tab/>
            <w:t>結核病病人飛航限制及航空器接觸者追蹤</w:t>
            <w:tab/>
          </w:r>
          <w:r>
            <w:rPr>
              <w:rFonts w:ascii="Arial" w:eastAsia="Arial"/>
              <w:color w:val="231F20"/>
              <w:position w:val="1"/>
            </w:rPr>
            <w:t>147</w:t>
          </w:r>
        </w:p>
        <w:p>
          <w:pPr>
            <w:pStyle w:val="TOC1"/>
            <w:tabs>
              <w:tab w:pos="1812" w:val="left" w:leader="none"/>
              <w:tab w:pos="10193" w:val="right" w:leader="dot"/>
            </w:tabs>
            <w:rPr>
              <w:rFonts w:ascii="Arial" w:eastAsia="Arial"/>
            </w:rPr>
          </w:pPr>
          <w:r>
            <w:rPr>
              <w:color w:val="231F20"/>
              <w:w w:val="105"/>
            </w:rPr>
            <w:t>第十匹章</w:t>
            <w:tab/>
            <w:t>防治資源及診療諮詢\組</w:t>
            <w:tab/>
          </w:r>
          <w:r>
            <w:rPr>
              <w:rFonts w:ascii="Arial" w:eastAsia="Arial"/>
              <w:color w:val="231F20"/>
              <w:w w:val="105"/>
              <w:position w:val="1"/>
            </w:rPr>
            <w:t>153</w:t>
          </w:r>
        </w:p>
      </w:sdtContent>
    </w:sdt>
    <w:p>
      <w:pPr>
        <w:spacing w:after="0"/>
        <w:rPr>
          <w:rFonts w:ascii="Arial" w:eastAsia="Arial"/>
        </w:rPr>
        <w:sectPr>
          <w:pgSz w:w="11910" w:h="16840"/>
          <w:pgMar w:top="1600" w:bottom="280" w:left="520" w:right="600"/>
        </w:sectPr>
      </w:pPr>
    </w:p>
    <w:p>
      <w:pPr>
        <w:pStyle w:val="BodyText"/>
        <w:spacing w:before="4"/>
        <w:rPr>
          <w:rFonts w:ascii="Arial"/>
          <w:sz w:val="17"/>
        </w:rPr>
      </w:pPr>
    </w:p>
    <w:p>
      <w:pPr>
        <w:spacing w:after="0"/>
        <w:rPr>
          <w:rFonts w:ascii="Arial"/>
          <w:sz w:val="17"/>
        </w:rPr>
        <w:sectPr>
          <w:pgSz w:w="11910" w:h="16840"/>
          <w:pgMar w:top="1600" w:bottom="280" w:left="520" w:right="600"/>
        </w:sectPr>
      </w:pPr>
    </w:p>
    <w:p>
      <w:pPr>
        <w:pStyle w:val="Heading1"/>
        <w:spacing w:line="240" w:lineRule="auto" w:before="192"/>
        <w:ind w:right="1460"/>
        <w:jc w:val="center"/>
      </w:pPr>
      <w:r>
        <w:rPr/>
        <w:pict>
          <v:group style="position:absolute;margin-left:557.684509pt;margin-top:43.141998pt;width:37.35pt;height:798.6pt;mso-position-horizontal-relative:page;mso-position-vertical-relative:page;z-index:251665408" coordorigin="11154,863" coordsize="747,15972">
            <v:shape style="position:absolute;left:11283;top:1374;width:438;height:15460" type="#_x0000_t75" stroked="false">
              <v:imagedata r:id="rId8" o:title=""/>
            </v:shape>
            <v:shape style="position:absolute;left:11153;top:862;width:747;height:812" coordorigin="11154,863" coordsize="747,812" path="m11900,863l11536,863,11514,865,11454,899,11188,1181,11154,1268,11162,1315,11454,1638,11514,1672,11536,1674,11900,1674,11900,863xe" filled="true" fillcolor="#49b7cf" stroked="false">
              <v:path arrowok="t"/>
              <v:fill type="solid"/>
            </v:shape>
            <v:shape style="position:absolute;left:11307;top:1129;width:345;height:278" type="#_x0000_t75" stroked="false">
              <v:imagedata r:id="rId9" o:title=""/>
            </v:shape>
            <v:shape style="position:absolute;left:11378;top:1809;width:251;height:3944" type="#_x0000_t75" stroked="false">
              <v:imagedata r:id="rId10" o:title=""/>
            </v:shape>
            <v:shapetype id="_x0000_t202" o:spt="202" coordsize="21600,21600" path="m,l,21600r21600,l21600,xe">
              <v:stroke joinstyle="miter"/>
              <v:path gradientshapeok="t" o:connecttype="rect"/>
            </v:shapetype>
            <v:shape style="position:absolute;left:11457;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w:t>
                    </w:r>
                  </w:p>
                </w:txbxContent>
              </v:textbox>
              <w10:wrap type="none"/>
            </v:shape>
            <w10:wrap type="none"/>
          </v:group>
        </w:pict>
      </w:r>
      <w:r>
        <w:rPr>
          <w:color w:val="231F20"/>
        </w:rPr>
        <w:t>第一章 結核病預防宣導及主動發現</w:t>
      </w:r>
    </w:p>
    <w:p>
      <w:pPr>
        <w:pStyle w:val="Heading2"/>
        <w:spacing w:before="284"/>
        <w:ind w:left="613"/>
      </w:pPr>
      <w:r>
        <w:rPr>
          <w:color w:val="231F20"/>
        </w:rPr>
        <w:t>壹、前言</w:t>
      </w:r>
    </w:p>
    <w:p>
      <w:pPr>
        <w:pStyle w:val="BodyText"/>
        <w:spacing w:line="413" w:lineRule="exact"/>
        <w:ind w:left="1576"/>
      </w:pPr>
      <w:r>
        <w:rPr>
          <w:color w:val="231F20"/>
        </w:rPr>
        <w:t>結核病迄今仍是嚴重影響我國人民健康的法定傳染病之＿，由於結核病的病原體結</w:t>
      </w:r>
    </w:p>
    <w:p>
      <w:pPr>
        <w:pStyle w:val="BodyText"/>
        <w:spacing w:line="230" w:lineRule="auto"/>
        <w:ind w:left="1095" w:right="475"/>
        <w:jc w:val="both"/>
      </w:pPr>
      <w:r>
        <w:rPr>
          <w:color w:val="231F20"/>
        </w:rPr>
        <w:t>核分枝桿菌可藉由飛沫及空氣傳播，故不特定對象長期處於具有結核分枝桿菌的空間為預防及控制傳播的重點，加強預防宣導有助於民眾了解結核病之防治觀念，如：保持環境通風可降氐結核菌傳播風險、接觸者檢查可及早發現是否被感染或有聚集事件發生、潛伏結核感染者接受治療可減少日後發病成為結核病個案，而結核病經由適當的藥物治</w:t>
      </w:r>
      <w:r>
        <w:rPr>
          <w:color w:val="231F20"/>
          <w:spacing w:val="-11"/>
        </w:rPr>
        <w:t>療是可治癒的，因此讓民眾了解如有疑似症狀，應儘速就醫接受治療、服藥、按時追蹤， </w:t>
      </w:r>
      <w:r>
        <w:rPr>
          <w:color w:val="231F20"/>
        </w:rPr>
        <w:t>除提高治療成功機率之外，也能避免病程惡化、傳染他人，及抗藥性結核病的產生。</w:t>
      </w:r>
    </w:p>
    <w:p>
      <w:pPr>
        <w:pStyle w:val="BodyText"/>
        <w:spacing w:line="230" w:lineRule="auto"/>
        <w:ind w:left="1095" w:right="532" w:firstLine="481"/>
        <w:jc w:val="both"/>
      </w:pPr>
      <w:r>
        <w:rPr>
          <w:color w:val="231F20"/>
        </w:rPr>
        <w:t>結核病個案的發現可為被動發現及主動發現，前者多係因個案出現咳嗽 ( 尤以咳嗽超過 2 週 )、胸痛、體重減輕、倦怠等結核病相關症狀就醫，經醫學檢驗或醫師評估診斷而發現，因此建立民眾對於結核病症狀之疾病意識，及儘速就醫接受治療觀念，或醫事人員對於結核病病徵的警覺性，可減少延遲診斷；後者則是針對發生率較高的優先族群進行系統性篩檢，針對篩檢結果異常者進行追蹤，除補足醫療資源分布不均使民眾因就醫可近性不足而延遲就診，亦可及早發現感染源，阻斷社區傳染鏈，使個案及早接受治療，提升治療成功率、避免後遺症發生。</w:t>
      </w:r>
    </w:p>
    <w:p>
      <w:pPr>
        <w:pStyle w:val="BodyText"/>
        <w:rPr>
          <w:sz w:val="19"/>
        </w:rPr>
      </w:pPr>
    </w:p>
    <w:p>
      <w:pPr>
        <w:pStyle w:val="Heading2"/>
        <w:ind w:left="613"/>
      </w:pPr>
      <w:r>
        <w:rPr>
          <w:color w:val="231F20"/>
        </w:rPr>
        <w:t>貳、結核病預防宣導</w:t>
      </w:r>
    </w:p>
    <w:p>
      <w:pPr>
        <w:pStyle w:val="BodyText"/>
        <w:spacing w:line="230" w:lineRule="auto" w:before="7"/>
        <w:ind w:left="1338" w:right="475" w:hanging="488"/>
        <w:jc w:val="both"/>
      </w:pPr>
      <w:r>
        <w:rPr>
          <w:color w:val="231F20"/>
        </w:rPr>
        <w:t>＿、衛教宣導方向與原則：讓民眾認識結核病及潛伏結核感染為何，結核病的症狀、傳播</w:t>
      </w:r>
      <w:r>
        <w:rPr>
          <w:color w:val="231F20"/>
          <w:spacing w:val="-12"/>
        </w:rPr>
        <w:t>途徑及預防措施，並了解結核病是可治癒的疾病，與醫師及衛生單位配合，規則服藥、</w:t>
      </w:r>
      <w:r>
        <w:rPr>
          <w:color w:val="231F20"/>
        </w:rPr>
        <w:t>定期回診的重要性。以及潛伏結核感染者積極治療可預防結核病發病的觀念。</w:t>
      </w:r>
    </w:p>
    <w:p>
      <w:pPr>
        <w:pStyle w:val="BodyText"/>
        <w:spacing w:line="230" w:lineRule="auto"/>
        <w:ind w:left="1089" w:right="5852" w:hanging="238"/>
        <w:jc w:val="both"/>
      </w:pPr>
      <w:r>
        <w:rPr>
          <w:color w:val="231F20"/>
        </w:rPr>
        <w:t>—、宣導重點對象、內容及推廣策略： ( ＿ ) 65 歲以上長者：</w:t>
      </w:r>
    </w:p>
    <w:p>
      <w:pPr>
        <w:pStyle w:val="ListParagraph"/>
        <w:numPr>
          <w:ilvl w:val="0"/>
          <w:numId w:val="1"/>
        </w:numPr>
        <w:tabs>
          <w:tab w:pos="1810" w:val="left" w:leader="none"/>
        </w:tabs>
        <w:spacing w:line="230" w:lineRule="auto" w:before="0" w:after="0"/>
        <w:ind w:left="1809" w:right="530" w:hanging="255"/>
        <w:jc w:val="both"/>
        <w:rPr>
          <w:sz w:val="24"/>
        </w:rPr>
      </w:pPr>
      <w:r>
        <w:rPr>
          <w:color w:val="231F20"/>
          <w:spacing w:val="-1"/>
          <w:sz w:val="24"/>
        </w:rPr>
        <w:t>目的：我國結核病人 </w:t>
      </w:r>
      <w:r>
        <w:rPr>
          <w:color w:val="231F20"/>
          <w:sz w:val="24"/>
        </w:rPr>
        <w:t>60</w:t>
      </w:r>
      <w:r>
        <w:rPr>
          <w:color w:val="231F20"/>
          <w:spacing w:val="-1"/>
          <w:sz w:val="24"/>
        </w:rPr>
        <w:t>% 以上為 </w:t>
      </w:r>
      <w:r>
        <w:rPr>
          <w:color w:val="231F20"/>
          <w:sz w:val="24"/>
        </w:rPr>
        <w:t>65</w:t>
      </w:r>
      <w:r>
        <w:rPr>
          <w:color w:val="231F20"/>
          <w:spacing w:val="-1"/>
          <w:sz w:val="24"/>
        </w:rPr>
        <w:t> 歲以上長者，讓 </w:t>
      </w:r>
      <w:r>
        <w:rPr>
          <w:color w:val="231F20"/>
          <w:sz w:val="24"/>
        </w:rPr>
        <w:t>65</w:t>
      </w:r>
      <w:r>
        <w:rPr>
          <w:color w:val="231F20"/>
          <w:spacing w:val="-1"/>
          <w:sz w:val="24"/>
        </w:rPr>
        <w:t> 歲以上長者及相關照顧</w:t>
      </w:r>
      <w:r>
        <w:rPr>
          <w:color w:val="231F20"/>
          <w:sz w:val="24"/>
        </w:rPr>
        <w:t>長者之場域工作人員都能知悉結核病防治觀念，並保持環境通風可降氐結核菌傳播風險，加以潛伏結核感染檢驗等措施加以防治。</w:t>
      </w:r>
    </w:p>
    <w:p>
      <w:pPr>
        <w:pStyle w:val="ListParagraph"/>
        <w:numPr>
          <w:ilvl w:val="0"/>
          <w:numId w:val="1"/>
        </w:numPr>
        <w:tabs>
          <w:tab w:pos="1810" w:val="left" w:leader="none"/>
        </w:tabs>
        <w:spacing w:line="394" w:lineRule="exact" w:before="0" w:after="0"/>
        <w:ind w:left="1809" w:right="0" w:hanging="256"/>
        <w:jc w:val="both"/>
        <w:rPr>
          <w:sz w:val="24"/>
        </w:rPr>
      </w:pPr>
      <w:r>
        <w:rPr>
          <w:color w:val="231F20"/>
          <w:sz w:val="24"/>
        </w:rPr>
        <w:t>推廣策略：</w:t>
      </w:r>
    </w:p>
    <w:p>
      <w:pPr>
        <w:pStyle w:val="ListParagraph"/>
        <w:numPr>
          <w:ilvl w:val="1"/>
          <w:numId w:val="1"/>
        </w:numPr>
        <w:tabs>
          <w:tab w:pos="2055" w:val="left" w:leader="none"/>
        </w:tabs>
        <w:spacing w:line="230" w:lineRule="auto" w:before="0" w:after="0"/>
        <w:ind w:left="2051" w:right="535" w:hanging="355"/>
        <w:jc w:val="both"/>
        <w:rPr>
          <w:sz w:val="24"/>
        </w:rPr>
      </w:pPr>
      <w:r>
        <w:rPr>
          <w:color w:val="231F20"/>
          <w:spacing w:val="-1"/>
          <w:sz w:val="24"/>
        </w:rPr>
        <w:t>結合長期照顧相關資源：與長期照顧相關機關合作宣導結核病防治觀念，包括環境通風及落實定期胸部 </w:t>
      </w:r>
      <w:r>
        <w:rPr>
          <w:color w:val="231F20"/>
          <w:sz w:val="24"/>
        </w:rPr>
        <w:t>X</w:t>
      </w:r>
      <w:r>
        <w:rPr>
          <w:color w:val="231F20"/>
          <w:spacing w:val="-4"/>
          <w:sz w:val="24"/>
        </w:rPr>
        <w:t> 光檢查及症狀監測，並協助推動長照單位加入長照</w:t>
      </w:r>
      <w:r>
        <w:rPr>
          <w:color w:val="231F20"/>
          <w:spacing w:val="-3"/>
          <w:sz w:val="24"/>
        </w:rPr>
        <w:t>機構潛伏結核感染 (LTBI)</w:t>
      </w:r>
      <w:r>
        <w:rPr>
          <w:color w:val="231F20"/>
          <w:spacing w:val="-6"/>
          <w:sz w:val="24"/>
        </w:rPr>
        <w:t> 檢驗及治療計畫 ( 下稱長照機構 </w:t>
      </w:r>
      <w:r>
        <w:rPr>
          <w:color w:val="231F20"/>
          <w:spacing w:val="-4"/>
          <w:sz w:val="24"/>
        </w:rPr>
        <w:t>LTBI</w:t>
      </w:r>
      <w:r>
        <w:rPr>
          <w:color w:val="231F20"/>
          <w:spacing w:val="-5"/>
          <w:sz w:val="24"/>
        </w:rPr>
        <w:t> 計畫 )。</w:t>
      </w:r>
    </w:p>
    <w:p>
      <w:pPr>
        <w:pStyle w:val="ListParagraph"/>
        <w:numPr>
          <w:ilvl w:val="1"/>
          <w:numId w:val="1"/>
        </w:numPr>
        <w:tabs>
          <w:tab w:pos="2052" w:val="left" w:leader="none"/>
        </w:tabs>
        <w:spacing w:line="230" w:lineRule="auto" w:before="0" w:after="0"/>
        <w:ind w:left="2051" w:right="531" w:hanging="355"/>
        <w:jc w:val="both"/>
        <w:rPr>
          <w:sz w:val="24"/>
        </w:rPr>
      </w:pPr>
      <w:r>
        <w:rPr>
          <w:color w:val="231F20"/>
          <w:sz w:val="24"/>
        </w:rPr>
        <w:t>設計宣導教材：透過單張、海報、摺頁及多媒體等方式設計宣導教材，並透過各縣市衛生局於各項長者參與的活動加以宣導結核病防治。</w:t>
      </w:r>
    </w:p>
    <w:p>
      <w:pPr>
        <w:pStyle w:val="BodyText"/>
        <w:spacing w:line="395" w:lineRule="exact"/>
        <w:ind w:left="1089"/>
        <w:jc w:val="both"/>
      </w:pPr>
      <w:r>
        <w:rPr>
          <w:color w:val="231F20"/>
        </w:rPr>
        <w:t>( — ) ＿般民眾：</w:t>
      </w:r>
    </w:p>
    <w:p>
      <w:pPr>
        <w:pStyle w:val="ListParagraph"/>
        <w:numPr>
          <w:ilvl w:val="0"/>
          <w:numId w:val="2"/>
        </w:numPr>
        <w:tabs>
          <w:tab w:pos="1809" w:val="left" w:leader="none"/>
        </w:tabs>
        <w:spacing w:line="230" w:lineRule="auto" w:before="0" w:after="0"/>
        <w:ind w:left="1809" w:right="474" w:hanging="255"/>
        <w:jc w:val="both"/>
        <w:rPr>
          <w:sz w:val="24"/>
        </w:rPr>
      </w:pPr>
      <w:r>
        <w:rPr>
          <w:color w:val="231F20"/>
          <w:spacing w:val="-20"/>
          <w:sz w:val="24"/>
        </w:rPr>
        <w:t>目的：加強</w:t>
      </w:r>
      <w:r>
        <w:rPr>
          <w:color w:val="231F20"/>
          <w:sz w:val="24"/>
        </w:rPr>
        <w:t>＿</w:t>
      </w:r>
      <w:r>
        <w:rPr>
          <w:color w:val="231F20"/>
          <w:spacing w:val="-5"/>
          <w:sz w:val="24"/>
        </w:rPr>
        <w:t>般民眾對於結核病防治概念，並宣導潛伏結核感染檢驗及治療概念， </w:t>
      </w:r>
      <w:r>
        <w:rPr>
          <w:color w:val="231F20"/>
          <w:spacing w:val="-3"/>
          <w:sz w:val="24"/>
        </w:rPr>
        <w:t>以達 </w:t>
      </w:r>
      <w:r>
        <w:rPr>
          <w:color w:val="231F20"/>
          <w:sz w:val="24"/>
        </w:rPr>
        <w:t>2035</w:t>
      </w:r>
      <w:r>
        <w:rPr>
          <w:color w:val="231F20"/>
          <w:spacing w:val="-3"/>
          <w:sz w:val="24"/>
        </w:rPr>
        <w:t> 終結結核目標。</w:t>
      </w:r>
    </w:p>
    <w:p>
      <w:pPr>
        <w:spacing w:after="0" w:line="230" w:lineRule="auto"/>
        <w:jc w:val="both"/>
        <w:rPr>
          <w:sz w:val="24"/>
        </w:rPr>
        <w:sectPr>
          <w:pgSz w:w="11910" w:h="16840"/>
          <w:pgMar w:top="860" w:bottom="0" w:left="520" w:right="600"/>
        </w:sectPr>
      </w:pPr>
    </w:p>
    <w:p>
      <w:pPr>
        <w:pStyle w:val="BodyText"/>
        <w:spacing w:before="16"/>
        <w:rPr>
          <w:sz w:val="9"/>
        </w:rPr>
      </w:pPr>
      <w:r>
        <w:rPr/>
        <w:pict>
          <v:group style="position:absolute;margin-left:-.000001pt;margin-top:43.141998pt;width:37.35pt;height:798.6pt;mso-position-horizontal-relative:page;mso-position-vertical-relative:page;z-index:-266390528" coordorigin="0,863" coordsize="747,15972">
            <v:shape style="position:absolute;left:178;top:1374;width:439;height:15460" type="#_x0000_t75" stroked="false">
              <v:imagedata r:id="rId11" o:title=""/>
            </v:shape>
            <v:shape style="position:absolute;left:0;top:862;width:747;height:812" coordorigin="0,863" coordsize="747,812" path="m365,863l0,863,0,1674,365,1674,387,1672,447,1638,713,1356,747,1268,738,1222,447,899,387,865,365,863xe" filled="true" fillcolor="#49b7cf" stroked="false">
              <v:path arrowok="t"/>
              <v:fill type="solid"/>
            </v:shape>
            <v:shape style="position:absolute;left:202;top:1129;width:345;height:278" type="#_x0000_t75" stroked="false">
              <v:imagedata r:id="rId12" o:title=""/>
            </v:shape>
            <v:shape style="position:absolute;left:273;top:1809;width:251;height:3944" type="#_x0000_t75" stroked="false">
              <v:imagedata r:id="rId13" o:title=""/>
            </v:shape>
            <v:shape style="position:absolute;left:355;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2</w:t>
                    </w:r>
                  </w:p>
                </w:txbxContent>
              </v:textbox>
              <w10:wrap type="none"/>
            </v:shape>
            <w10:wrap type="none"/>
          </v:group>
        </w:pict>
      </w:r>
    </w:p>
    <w:p>
      <w:pPr>
        <w:pStyle w:val="ListParagraph"/>
        <w:numPr>
          <w:ilvl w:val="0"/>
          <w:numId w:val="2"/>
        </w:numPr>
        <w:tabs>
          <w:tab w:pos="1810" w:val="left" w:leader="none"/>
        </w:tabs>
        <w:spacing w:line="409" w:lineRule="exact" w:before="70" w:after="0"/>
        <w:ind w:left="1809" w:right="0" w:hanging="256"/>
        <w:jc w:val="both"/>
        <w:rPr>
          <w:sz w:val="24"/>
        </w:rPr>
      </w:pPr>
      <w:r>
        <w:rPr>
          <w:color w:val="231F20"/>
          <w:sz w:val="24"/>
        </w:rPr>
        <w:t>推廣策略：</w:t>
      </w:r>
    </w:p>
    <w:p>
      <w:pPr>
        <w:pStyle w:val="ListParagraph"/>
        <w:numPr>
          <w:ilvl w:val="1"/>
          <w:numId w:val="2"/>
        </w:numPr>
        <w:tabs>
          <w:tab w:pos="2055" w:val="left" w:leader="none"/>
        </w:tabs>
        <w:spacing w:line="230" w:lineRule="auto" w:before="3" w:after="0"/>
        <w:ind w:left="2051" w:right="524" w:hanging="355"/>
        <w:jc w:val="both"/>
        <w:rPr>
          <w:sz w:val="24"/>
        </w:rPr>
      </w:pPr>
      <w:r>
        <w:rPr>
          <w:color w:val="231F20"/>
          <w:sz w:val="24"/>
        </w:rPr>
        <w:t>辦理教育訓練：針對醫師及結核病個案管理師辦理結核病防治教育訓練，以提</w:t>
      </w:r>
      <w:r>
        <w:rPr>
          <w:color w:val="231F20"/>
          <w:spacing w:val="7"/>
          <w:sz w:val="24"/>
        </w:rPr>
        <w:t>升其結核病防治專業知識、態度及技能，進而提供民眾正確的結核病防治觀</w:t>
      </w:r>
      <w:r>
        <w:rPr>
          <w:color w:val="231F20"/>
          <w:sz w:val="24"/>
        </w:rPr>
        <w:t>念。此外，為加強校園防疫人員正確結核病防治觀念，亦規劃校園結核病防治教育訓練，針對校園行政主管及相關人員宣導結核病防治觀念，以降氐校園結核病聚集事件發生機率。</w:t>
      </w:r>
    </w:p>
    <w:p>
      <w:pPr>
        <w:pStyle w:val="ListParagraph"/>
        <w:numPr>
          <w:ilvl w:val="1"/>
          <w:numId w:val="2"/>
        </w:numPr>
        <w:tabs>
          <w:tab w:pos="2052" w:val="left" w:leader="none"/>
        </w:tabs>
        <w:spacing w:line="230" w:lineRule="auto" w:before="0" w:after="0"/>
        <w:ind w:left="2051" w:right="532" w:hanging="355"/>
        <w:jc w:val="both"/>
        <w:rPr>
          <w:sz w:val="24"/>
        </w:rPr>
      </w:pPr>
      <w:r>
        <w:rPr>
          <w:color w:val="231F20"/>
          <w:sz w:val="24"/>
        </w:rPr>
        <w:t>設計多媒體宣導教材：透過單張、海報、摺頁及多媒體等方式，設計簡易、有趣且容易瞭解的宣導教材，並結合社群媒體平台資源進行宣導。</w:t>
      </w:r>
    </w:p>
    <w:p>
      <w:pPr>
        <w:pStyle w:val="ListParagraph"/>
        <w:numPr>
          <w:ilvl w:val="1"/>
          <w:numId w:val="2"/>
        </w:numPr>
        <w:tabs>
          <w:tab w:pos="2052" w:val="left" w:leader="none"/>
        </w:tabs>
        <w:spacing w:line="230" w:lineRule="auto" w:before="0" w:after="0"/>
        <w:ind w:left="2051" w:right="538" w:hanging="355"/>
        <w:jc w:val="both"/>
        <w:rPr>
          <w:sz w:val="24"/>
        </w:rPr>
      </w:pPr>
      <w:r>
        <w:rPr>
          <w:color w:val="231F20"/>
          <w:sz w:val="24"/>
        </w:rPr>
        <w:t>多國語言教材設計：將宣導素材翻譯成多國語言版本 ( 如：越南語、泰國語、</w:t>
      </w:r>
      <w:r>
        <w:rPr>
          <w:color w:val="231F20"/>
          <w:spacing w:val="-1"/>
          <w:sz w:val="24"/>
        </w:rPr>
        <w:t>印尼語、英語等 )，使得宣導觸及人群更廣。</w:t>
      </w:r>
    </w:p>
    <w:p>
      <w:pPr>
        <w:pStyle w:val="ListParagraph"/>
        <w:numPr>
          <w:ilvl w:val="1"/>
          <w:numId w:val="2"/>
        </w:numPr>
        <w:tabs>
          <w:tab w:pos="2052" w:val="left" w:leader="none"/>
        </w:tabs>
        <w:spacing w:line="230" w:lineRule="auto" w:before="0" w:after="0"/>
        <w:ind w:left="2051" w:right="533" w:hanging="355"/>
        <w:jc w:val="both"/>
        <w:rPr>
          <w:sz w:val="24"/>
        </w:rPr>
      </w:pPr>
      <w:r>
        <w:rPr>
          <w:color w:val="231F20"/>
          <w:sz w:val="24"/>
        </w:rPr>
        <w:t>辦理世界結核病日宣導活動：每年 3</w:t>
      </w:r>
      <w:r>
        <w:rPr>
          <w:color w:val="231F20"/>
          <w:spacing w:val="-2"/>
          <w:sz w:val="24"/>
        </w:rPr>
        <w:t> 月 </w:t>
      </w:r>
      <w:r>
        <w:rPr>
          <w:color w:val="231F20"/>
          <w:sz w:val="24"/>
        </w:rPr>
        <w:t>24 日辦理世界結核病日宣導活動，提升能見度，喚起民眾對結核病防治的重視。</w:t>
      </w:r>
    </w:p>
    <w:p>
      <w:pPr>
        <w:pStyle w:val="BodyText"/>
        <w:spacing w:line="395" w:lineRule="exact"/>
        <w:ind w:left="1089"/>
        <w:jc w:val="both"/>
      </w:pPr>
      <w:r>
        <w:rPr>
          <w:color w:val="231F20"/>
        </w:rPr>
        <w:t>( 二 ) 結核病高負擔國家的外籍人土：</w:t>
      </w:r>
    </w:p>
    <w:p>
      <w:pPr>
        <w:pStyle w:val="ListParagraph"/>
        <w:numPr>
          <w:ilvl w:val="0"/>
          <w:numId w:val="3"/>
        </w:numPr>
        <w:tabs>
          <w:tab w:pos="1809" w:val="left" w:leader="none"/>
        </w:tabs>
        <w:spacing w:line="230" w:lineRule="auto" w:before="0" w:after="0"/>
        <w:ind w:left="1809" w:right="474" w:hanging="255"/>
        <w:jc w:val="both"/>
        <w:rPr>
          <w:sz w:val="24"/>
        </w:rPr>
      </w:pPr>
      <w:r>
        <w:rPr>
          <w:color w:val="231F20"/>
          <w:spacing w:val="-14"/>
          <w:sz w:val="24"/>
        </w:rPr>
        <w:t>目的：依據國際研究文獻，來自結核病高負擔國家的移民有較高的結核病發生率、</w:t>
      </w:r>
      <w:r>
        <w:rPr>
          <w:color w:val="231F20"/>
          <w:sz w:val="24"/>
        </w:rPr>
        <w:t>死亡率及潛伏結核感染率。加強結核病高負擔國家的外籍人土對於結核病防治概念，並宣導潛伏結核感染檢驗及治療概念，以強化我國結核病防治成效。</w:t>
      </w:r>
    </w:p>
    <w:p>
      <w:pPr>
        <w:pStyle w:val="ListParagraph"/>
        <w:numPr>
          <w:ilvl w:val="0"/>
          <w:numId w:val="3"/>
        </w:numPr>
        <w:tabs>
          <w:tab w:pos="1810" w:val="left" w:leader="none"/>
        </w:tabs>
        <w:spacing w:line="394" w:lineRule="exact" w:before="0" w:after="0"/>
        <w:ind w:left="1809" w:right="0" w:hanging="256"/>
        <w:jc w:val="both"/>
        <w:rPr>
          <w:sz w:val="24"/>
        </w:rPr>
      </w:pPr>
      <w:r>
        <w:rPr>
          <w:color w:val="231F20"/>
          <w:sz w:val="24"/>
        </w:rPr>
        <w:t>推廣策略：</w:t>
      </w:r>
    </w:p>
    <w:p>
      <w:pPr>
        <w:pStyle w:val="ListParagraph"/>
        <w:numPr>
          <w:ilvl w:val="1"/>
          <w:numId w:val="3"/>
        </w:numPr>
        <w:tabs>
          <w:tab w:pos="2055" w:val="left" w:leader="none"/>
        </w:tabs>
        <w:spacing w:line="230" w:lineRule="auto" w:before="0" w:after="0"/>
        <w:ind w:left="2051" w:right="535" w:hanging="355"/>
        <w:jc w:val="both"/>
        <w:rPr>
          <w:sz w:val="24"/>
        </w:rPr>
      </w:pPr>
      <w:r>
        <w:rPr>
          <w:color w:val="231F20"/>
          <w:spacing w:val="-1"/>
          <w:sz w:val="24"/>
        </w:rPr>
        <w:t>結合外籍人土相關資源：與各縣市民政局、社會局、新住民家庭服務中心及居留健檢醫事機構合作宣導結核病防治觀念，包括環境通風及落實定期胸部 </w:t>
      </w:r>
      <w:r>
        <w:rPr>
          <w:color w:val="231F20"/>
          <w:sz w:val="24"/>
        </w:rPr>
        <w:t>X</w:t>
      </w:r>
      <w:r>
        <w:rPr>
          <w:color w:val="231F20"/>
          <w:spacing w:val="-12"/>
          <w:sz w:val="24"/>
        </w:rPr>
        <w:t> 光</w:t>
      </w:r>
      <w:r>
        <w:rPr>
          <w:color w:val="231F20"/>
          <w:sz w:val="24"/>
        </w:rPr>
        <w:t>檢查及症狀監測。</w:t>
      </w:r>
    </w:p>
    <w:p>
      <w:pPr>
        <w:pStyle w:val="ListParagraph"/>
        <w:numPr>
          <w:ilvl w:val="1"/>
          <w:numId w:val="3"/>
        </w:numPr>
        <w:tabs>
          <w:tab w:pos="2055" w:val="left" w:leader="none"/>
        </w:tabs>
        <w:spacing w:line="230" w:lineRule="auto" w:before="0" w:after="0"/>
        <w:ind w:left="2051" w:right="536" w:hanging="355"/>
        <w:jc w:val="both"/>
        <w:rPr>
          <w:sz w:val="24"/>
        </w:rPr>
      </w:pPr>
      <w:r>
        <w:rPr>
          <w:color w:val="231F20"/>
          <w:spacing w:val="-1"/>
          <w:sz w:val="24"/>
        </w:rPr>
        <w:t>設計宣導教材：透過單張、海報、摺頁及多媒體等方式設計多國語言之宣導教</w:t>
      </w:r>
      <w:r>
        <w:rPr>
          <w:color w:val="231F20"/>
          <w:sz w:val="24"/>
        </w:rPr>
        <w:t>材，並透過各縣市衛生局於外籍人土可能參與的活動加以宣導結核病防治。</w:t>
      </w:r>
    </w:p>
    <w:p>
      <w:pPr>
        <w:pStyle w:val="BodyText"/>
        <w:spacing w:before="10"/>
        <w:rPr>
          <w:sz w:val="19"/>
        </w:rPr>
      </w:pPr>
    </w:p>
    <w:p>
      <w:pPr>
        <w:pStyle w:val="Heading2"/>
        <w:ind w:left="613"/>
      </w:pPr>
      <w:r>
        <w:rPr>
          <w:color w:val="231F20"/>
        </w:rPr>
        <w:t>參、結核病主動發現</w:t>
      </w:r>
    </w:p>
    <w:p>
      <w:pPr>
        <w:pStyle w:val="BodyText"/>
        <w:spacing w:line="404" w:lineRule="exact"/>
        <w:ind w:left="851"/>
      </w:pPr>
      <w:r>
        <w:rPr>
          <w:color w:val="231F20"/>
        </w:rPr>
        <w:t>＿、主動發現對象及頻率</w:t>
      </w:r>
    </w:p>
    <w:p>
      <w:pPr>
        <w:pStyle w:val="BodyText"/>
        <w:spacing w:line="230" w:lineRule="auto" w:before="3"/>
        <w:ind w:left="1809" w:right="534" w:hanging="720"/>
        <w:jc w:val="both"/>
      </w:pPr>
      <w:r>
        <w:rPr>
          <w:color w:val="231F20"/>
          <w:spacing w:val="-3"/>
        </w:rPr>
        <w:t>( </w:t>
      </w:r>
      <w:r>
        <w:rPr>
          <w:color w:val="231F20"/>
        </w:rPr>
        <w:t>＿</w:t>
      </w:r>
      <w:r>
        <w:rPr>
          <w:color w:val="231F20"/>
          <w:spacing w:val="-1"/>
        </w:rPr>
        <w:t> )  原住民族或設籍原鄉居民：年齡 </w:t>
      </w:r>
      <w:r>
        <w:rPr>
          <w:color w:val="231F20"/>
        </w:rPr>
        <w:t>12</w:t>
      </w:r>
      <w:r>
        <w:rPr>
          <w:color w:val="231F20"/>
          <w:spacing w:val="-2"/>
        </w:rPr>
        <w:t> 歲以上均可接受篩檢。</w:t>
      </w:r>
      <w:r>
        <w:rPr>
          <w:color w:val="231F20"/>
        </w:rPr>
        <w:t>64</w:t>
      </w:r>
      <w:r>
        <w:rPr>
          <w:color w:val="231F20"/>
          <w:spacing w:val="-3"/>
        </w:rPr>
        <w:t> 歲以下以 </w:t>
      </w:r>
      <w:r>
        <w:rPr>
          <w:color w:val="231F20"/>
        </w:rPr>
        <w:t>3</w:t>
      </w:r>
      <w:r>
        <w:rPr>
          <w:color w:val="231F20"/>
          <w:spacing w:val="-5"/>
        </w:rPr>
        <w:t> 年篩檢</w:t>
      </w:r>
      <w:r>
        <w:rPr>
          <w:color w:val="231F20"/>
        </w:rPr>
        <w:t>1</w:t>
      </w:r>
      <w:r>
        <w:rPr>
          <w:color w:val="231F20"/>
          <w:spacing w:val="-4"/>
        </w:rPr>
        <w:t> 次</w:t>
      </w:r>
      <w:r>
        <w:rPr>
          <w:color w:val="231F20"/>
        </w:rPr>
        <w:t>，65</w:t>
      </w:r>
      <w:r>
        <w:rPr>
          <w:color w:val="231F20"/>
          <w:spacing w:val="-4"/>
        </w:rPr>
        <w:t> 歲以上每年篩檢 </w:t>
      </w:r>
      <w:r>
        <w:rPr>
          <w:color w:val="231F20"/>
        </w:rPr>
        <w:t>1</w:t>
      </w:r>
      <w:r>
        <w:rPr>
          <w:color w:val="231F20"/>
          <w:spacing w:val="-2"/>
        </w:rPr>
        <w:t> 次為原則。</w:t>
      </w:r>
    </w:p>
    <w:p>
      <w:pPr>
        <w:pStyle w:val="BodyText"/>
        <w:spacing w:line="230" w:lineRule="auto"/>
        <w:ind w:left="1809" w:right="474" w:hanging="720"/>
        <w:jc w:val="both"/>
      </w:pPr>
      <w:r>
        <w:rPr>
          <w:color w:val="231F20"/>
          <w:spacing w:val="-9"/>
        </w:rPr>
        <w:t>( — ) 縣市依轄區流病現況選定之優先族群( 如：經濟弱勢、遊民、臨時工、具共病者、</w:t>
      </w:r>
      <w:r>
        <w:rPr>
          <w:color w:val="231F20"/>
        </w:rPr>
        <w:t>藥癮者、HIV</w:t>
      </w:r>
      <w:r>
        <w:rPr>
          <w:color w:val="231F20"/>
          <w:spacing w:val="-5"/>
        </w:rPr>
        <w:t> 感染者、新住民、高發生率地區等 )：以每年 </w:t>
      </w:r>
      <w:r>
        <w:rPr>
          <w:color w:val="231F20"/>
        </w:rPr>
        <w:t>1</w:t>
      </w:r>
      <w:r>
        <w:rPr>
          <w:color w:val="231F20"/>
          <w:spacing w:val="-3"/>
        </w:rPr>
        <w:t> 次為原則。</w:t>
      </w:r>
    </w:p>
    <w:p>
      <w:pPr>
        <w:pStyle w:val="BodyText"/>
        <w:spacing w:line="230" w:lineRule="auto"/>
        <w:ind w:left="1809" w:right="527" w:hanging="720"/>
        <w:jc w:val="both"/>
      </w:pPr>
      <w:r>
        <w:rPr>
          <w:color w:val="231F20"/>
        </w:rPr>
        <w:t>( 二 ) 結核病個案接觸者：依接觸者檢查時程辦理。( 請參見工作手冊第十＿章「結核病接觸者檢查及追蹤」)</w:t>
      </w:r>
    </w:p>
    <w:p>
      <w:pPr>
        <w:pStyle w:val="BodyText"/>
        <w:spacing w:line="230" w:lineRule="auto"/>
        <w:ind w:left="1809" w:right="532" w:hanging="720"/>
        <w:jc w:val="both"/>
      </w:pPr>
      <w:r>
        <w:rPr>
          <w:color w:val="231F20"/>
          <w:spacing w:val="-1"/>
        </w:rPr>
        <w:t>( 匹 ) 潛伏結核感染主動發現專案計畫之優先族群 ( 都治計畫第—部分，下稱 </w:t>
      </w:r>
      <w:r>
        <w:rPr>
          <w:color w:val="231F20"/>
          <w:spacing w:val="-4"/>
        </w:rPr>
        <w:t>LTBI</w:t>
      </w:r>
      <w:r>
        <w:rPr>
          <w:color w:val="231F20"/>
          <w:spacing w:val="-10"/>
        </w:rPr>
        <w:t> 專</w:t>
      </w:r>
      <w:r>
        <w:rPr>
          <w:color w:val="231F20"/>
          <w:spacing w:val="-1"/>
        </w:rPr>
        <w:t>案 )：可於執行潛伏結核感染檢驗或評估時，併同執行主動發現相關檢查及落實</w:t>
      </w:r>
      <w:r>
        <w:rPr>
          <w:color w:val="231F20"/>
        </w:rPr>
        <w:t>後續異常追蹤。</w:t>
      </w:r>
    </w:p>
    <w:p>
      <w:pPr>
        <w:spacing w:after="0" w:line="230" w:lineRule="auto"/>
        <w:jc w:val="both"/>
        <w:sectPr>
          <w:pgSz w:w="11910" w:h="16840"/>
          <w:pgMar w:top="860" w:bottom="0" w:left="520" w:right="600"/>
        </w:sectPr>
      </w:pPr>
    </w:p>
    <w:p>
      <w:pPr>
        <w:pStyle w:val="BodyText"/>
        <w:spacing w:before="14"/>
        <w:rPr>
          <w:sz w:val="10"/>
        </w:rPr>
      </w:pPr>
      <w:r>
        <w:rPr/>
        <w:pict>
          <v:group style="position:absolute;margin-left:557.684509pt;margin-top:43.141998pt;width:37.35pt;height:798.6pt;mso-position-horizontal-relative:page;mso-position-vertical-relative:page;z-index:251669504" coordorigin="11154,863" coordsize="747,15972">
            <v:shape style="position:absolute;left:11283;top:1374;width:438;height:15460" type="#_x0000_t75" stroked="false">
              <v:imagedata r:id="rId8" o:title=""/>
            </v:shape>
            <v:shape style="position:absolute;left:11153;top:862;width:747;height:812" coordorigin="11154,863" coordsize="747,812" path="m11900,863l11536,863,11514,865,11454,899,11188,1181,11154,1268,11162,1315,11454,1638,11514,1672,11536,1674,11900,1674,11900,863xe" filled="true" fillcolor="#49b7cf" stroked="false">
              <v:path arrowok="t"/>
              <v:fill type="solid"/>
            </v:shape>
            <v:shape style="position:absolute;left:11307;top:1129;width:345;height:278" type="#_x0000_t75" stroked="false">
              <v:imagedata r:id="rId14" o:title=""/>
            </v:shape>
            <v:shape style="position:absolute;left:11378;top:1809;width:251;height:3944" type="#_x0000_t75" stroked="false">
              <v:imagedata r:id="rId10" o:title=""/>
            </v:shape>
            <v:shape style="position:absolute;left:11457;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w:t>
                    </w:r>
                  </w:p>
                </w:txbxContent>
              </v:textbox>
              <w10:wrap type="none"/>
            </v:shape>
            <w10:wrap type="none"/>
          </v:group>
        </w:pict>
      </w:r>
    </w:p>
    <w:p>
      <w:pPr>
        <w:pStyle w:val="BodyText"/>
        <w:spacing w:line="230" w:lineRule="auto" w:before="82"/>
        <w:ind w:left="1089" w:right="6325" w:hanging="238"/>
        <w:jc w:val="both"/>
      </w:pPr>
      <w:r>
        <w:rPr>
          <w:color w:val="231F20"/>
          <w:spacing w:val="-2"/>
        </w:rPr>
        <w:t>—、主動發現篩檢執行及注意事項</w:t>
      </w:r>
      <w:r>
        <w:rPr>
          <w:color w:val="231F20"/>
          <w:spacing w:val="-4"/>
        </w:rPr>
        <w:t>( </w:t>
      </w:r>
      <w:r>
        <w:rPr>
          <w:color w:val="231F20"/>
        </w:rPr>
        <w:t>＿</w:t>
      </w:r>
      <w:r>
        <w:rPr>
          <w:color w:val="231F20"/>
          <w:spacing w:val="-2"/>
        </w:rPr>
        <w:t> ) 執行方式：</w:t>
      </w:r>
    </w:p>
    <w:p>
      <w:pPr>
        <w:pStyle w:val="ListParagraph"/>
        <w:numPr>
          <w:ilvl w:val="0"/>
          <w:numId w:val="4"/>
        </w:numPr>
        <w:tabs>
          <w:tab w:pos="1809" w:val="left" w:leader="none"/>
        </w:tabs>
        <w:spacing w:line="395" w:lineRule="exact" w:before="0" w:after="0"/>
        <w:ind w:left="1808" w:right="0" w:hanging="255"/>
        <w:jc w:val="both"/>
        <w:rPr>
          <w:sz w:val="24"/>
        </w:rPr>
      </w:pPr>
      <w:r>
        <w:rPr>
          <w:color w:val="231F20"/>
          <w:spacing w:val="-7"/>
          <w:sz w:val="24"/>
        </w:rPr>
        <w:t>地方衛生局 </w:t>
      </w:r>
      <w:r>
        <w:rPr>
          <w:color w:val="231F20"/>
          <w:spacing w:val="-11"/>
          <w:w w:val="70"/>
          <w:sz w:val="24"/>
        </w:rPr>
        <w:t>／ </w:t>
      </w:r>
      <w:r>
        <w:rPr>
          <w:color w:val="231F20"/>
          <w:sz w:val="24"/>
        </w:rPr>
        <w:t>所自行或委託合約醫療院所以巡迴篩檢或定點篩檢之方式辦理。</w:t>
      </w:r>
    </w:p>
    <w:p>
      <w:pPr>
        <w:pStyle w:val="ListParagraph"/>
        <w:numPr>
          <w:ilvl w:val="0"/>
          <w:numId w:val="4"/>
        </w:numPr>
        <w:tabs>
          <w:tab w:pos="1810" w:val="left" w:leader="none"/>
        </w:tabs>
        <w:spacing w:line="230" w:lineRule="auto" w:before="3" w:after="0"/>
        <w:ind w:left="1809" w:right="531" w:hanging="255"/>
        <w:jc w:val="both"/>
        <w:rPr>
          <w:sz w:val="24"/>
        </w:rPr>
      </w:pPr>
      <w:r>
        <w:rPr>
          <w:color w:val="231F20"/>
          <w:spacing w:val="-4"/>
          <w:sz w:val="24"/>
        </w:rPr>
        <w:t>地方衛生局 </w:t>
      </w:r>
      <w:r>
        <w:rPr>
          <w:color w:val="231F20"/>
          <w:spacing w:val="-4"/>
          <w:w w:val="80"/>
          <w:sz w:val="24"/>
        </w:rPr>
        <w:t>／ </w:t>
      </w:r>
      <w:r>
        <w:rPr>
          <w:color w:val="231F20"/>
          <w:spacing w:val="-1"/>
          <w:sz w:val="24"/>
        </w:rPr>
        <w:t>所結合其他醫療保健資源，如：民眾至衛生所就醫、領藥或預防接</w:t>
      </w:r>
      <w:r>
        <w:rPr>
          <w:color w:val="231F20"/>
          <w:sz w:val="24"/>
        </w:rPr>
        <w:t>種時主動提供篩檢服務、山地原鄉部分結合全民健康保險山地腐島地區醫療給付</w:t>
      </w:r>
      <w:r>
        <w:rPr>
          <w:color w:val="231F20"/>
          <w:spacing w:val="-1"/>
          <w:sz w:val="24"/>
        </w:rPr>
        <w:t>效益提昇計畫 (</w:t>
      </w:r>
      <w:r>
        <w:rPr>
          <w:color w:val="231F20"/>
          <w:sz w:val="24"/>
        </w:rPr>
        <w:t>IDS</w:t>
      </w:r>
      <w:r>
        <w:rPr>
          <w:color w:val="231F20"/>
          <w:spacing w:val="-3"/>
          <w:sz w:val="24"/>
        </w:rPr>
        <w:t> 計畫 )，藉由巡迴篩檢及結合巡迴駐診定點篩檢之方式提供服務。</w:t>
      </w:r>
    </w:p>
    <w:p>
      <w:pPr>
        <w:pStyle w:val="ListParagraph"/>
        <w:numPr>
          <w:ilvl w:val="0"/>
          <w:numId w:val="4"/>
        </w:numPr>
        <w:tabs>
          <w:tab w:pos="1811" w:val="left" w:leader="none"/>
        </w:tabs>
        <w:spacing w:line="230" w:lineRule="auto" w:before="0" w:after="0"/>
        <w:ind w:left="1809" w:right="538" w:hanging="255"/>
        <w:jc w:val="both"/>
        <w:rPr>
          <w:sz w:val="24"/>
        </w:rPr>
      </w:pPr>
      <w:r>
        <w:rPr>
          <w:color w:val="231F20"/>
          <w:spacing w:val="-1"/>
          <w:sz w:val="24"/>
        </w:rPr>
        <w:t>地方衛生局與民眾習慣就醫之醫療院所合作，當民眾至合作院所就醫時，由合作院所主動提供胸部 </w:t>
      </w:r>
      <w:r>
        <w:rPr>
          <w:color w:val="231F20"/>
          <w:sz w:val="24"/>
        </w:rPr>
        <w:t>X</w:t>
      </w:r>
      <w:r>
        <w:rPr>
          <w:color w:val="231F20"/>
          <w:spacing w:val="-3"/>
          <w:sz w:val="24"/>
        </w:rPr>
        <w:t> 光篩檢服務，或由合作診所進行症狀評估後轉介。</w:t>
      </w:r>
    </w:p>
    <w:p>
      <w:pPr>
        <w:pStyle w:val="BodyText"/>
        <w:spacing w:line="395" w:lineRule="exact"/>
        <w:ind w:left="1089"/>
        <w:jc w:val="both"/>
      </w:pPr>
      <w:r>
        <w:rPr>
          <w:color w:val="231F20"/>
        </w:rPr>
        <w:t>( — ) 篩檢方法及注意事項：</w:t>
      </w:r>
    </w:p>
    <w:p>
      <w:pPr>
        <w:pStyle w:val="ListParagraph"/>
        <w:numPr>
          <w:ilvl w:val="0"/>
          <w:numId w:val="5"/>
        </w:numPr>
        <w:tabs>
          <w:tab w:pos="1809" w:val="left" w:leader="none"/>
        </w:tabs>
        <w:spacing w:line="400" w:lineRule="exact" w:before="0" w:after="0"/>
        <w:ind w:left="1808" w:right="0" w:hanging="255"/>
        <w:jc w:val="both"/>
        <w:rPr>
          <w:sz w:val="24"/>
        </w:rPr>
      </w:pPr>
      <w:r>
        <w:rPr>
          <w:color w:val="231F20"/>
          <w:spacing w:val="-2"/>
          <w:sz w:val="24"/>
        </w:rPr>
        <w:t>「胸部 </w:t>
      </w:r>
      <w:r>
        <w:rPr>
          <w:color w:val="231F20"/>
          <w:sz w:val="24"/>
        </w:rPr>
        <w:t>X</w:t>
      </w:r>
      <w:r>
        <w:rPr>
          <w:color w:val="231F20"/>
          <w:spacing w:val="-3"/>
          <w:sz w:val="24"/>
        </w:rPr>
        <w:t> 光檢查」</w:t>
      </w:r>
    </w:p>
    <w:p>
      <w:pPr>
        <w:pStyle w:val="ListParagraph"/>
        <w:numPr>
          <w:ilvl w:val="1"/>
          <w:numId w:val="5"/>
        </w:numPr>
        <w:tabs>
          <w:tab w:pos="2052" w:val="left" w:leader="none"/>
        </w:tabs>
        <w:spacing w:line="230" w:lineRule="auto" w:before="0" w:after="0"/>
        <w:ind w:left="2051" w:right="475" w:hanging="355"/>
        <w:jc w:val="both"/>
        <w:rPr>
          <w:sz w:val="24"/>
        </w:rPr>
      </w:pPr>
      <w:r>
        <w:rPr>
          <w:color w:val="231F20"/>
          <w:spacing w:val="-1"/>
          <w:sz w:val="24"/>
        </w:rPr>
        <w:t>執行單位應具備相關數位 </w:t>
      </w:r>
      <w:r>
        <w:rPr>
          <w:color w:val="231F20"/>
          <w:sz w:val="24"/>
        </w:rPr>
        <w:t>X</w:t>
      </w:r>
      <w:r>
        <w:rPr>
          <w:color w:val="231F20"/>
          <w:spacing w:val="-3"/>
          <w:sz w:val="24"/>
        </w:rPr>
        <w:t> 光照射、影像判讀設備及專門技術之證明，如：判</w:t>
      </w:r>
      <w:r>
        <w:rPr>
          <w:color w:val="231F20"/>
          <w:spacing w:val="-8"/>
          <w:w w:val="95"/>
          <w:sz w:val="24"/>
        </w:rPr>
        <w:t>讀醫師證照、放射師證照、</w:t>
      </w:r>
      <w:r>
        <w:rPr>
          <w:color w:val="231F20"/>
          <w:w w:val="95"/>
          <w:sz w:val="24"/>
        </w:rPr>
        <w:t>X</w:t>
      </w:r>
      <w:r>
        <w:rPr>
          <w:color w:val="231F20"/>
          <w:spacing w:val="-1"/>
          <w:w w:val="95"/>
          <w:sz w:val="24"/>
        </w:rPr>
        <w:t>   光車證照…等政府機關或其授權機構核發之專業、</w:t>
      </w:r>
      <w:r>
        <w:rPr>
          <w:color w:val="231F20"/>
          <w:sz w:val="24"/>
        </w:rPr>
        <w:t>專技或特許證書、執照、考試及格證書、合格證書、檢定證明或其他類似之文件，或與其他廠商以合作、租賃等方式取得所需設備及人力。</w:t>
      </w:r>
    </w:p>
    <w:p>
      <w:pPr>
        <w:pStyle w:val="ListParagraph"/>
        <w:numPr>
          <w:ilvl w:val="1"/>
          <w:numId w:val="5"/>
        </w:numPr>
        <w:tabs>
          <w:tab w:pos="2055" w:val="left" w:leader="none"/>
        </w:tabs>
        <w:spacing w:line="230" w:lineRule="auto" w:before="0" w:after="0"/>
        <w:ind w:left="2051" w:right="535" w:hanging="355"/>
        <w:jc w:val="both"/>
        <w:rPr>
          <w:sz w:val="24"/>
        </w:rPr>
      </w:pPr>
      <w:r>
        <w:rPr>
          <w:color w:val="231F20"/>
          <w:spacing w:val="-1"/>
          <w:sz w:val="24"/>
        </w:rPr>
        <w:t>山地原鄉巡迴篩檢者，應備有發電機以備山區電力不足或無電力供應狀況，另為能即時發現個案，可透過線上或現場即時判讀 </w:t>
      </w:r>
      <w:r>
        <w:rPr>
          <w:color w:val="231F20"/>
          <w:sz w:val="24"/>
        </w:rPr>
        <w:t>X</w:t>
      </w:r>
      <w:r>
        <w:rPr>
          <w:color w:val="231F20"/>
          <w:spacing w:val="-3"/>
          <w:sz w:val="24"/>
        </w:rPr>
        <w:t> 光為佳。</w:t>
      </w:r>
    </w:p>
    <w:p>
      <w:pPr>
        <w:pStyle w:val="ListParagraph"/>
        <w:numPr>
          <w:ilvl w:val="0"/>
          <w:numId w:val="5"/>
        </w:numPr>
        <w:tabs>
          <w:tab w:pos="1809" w:val="left" w:leader="none"/>
        </w:tabs>
        <w:spacing w:line="395" w:lineRule="exact" w:before="0" w:after="0"/>
        <w:ind w:left="1808" w:right="0" w:hanging="255"/>
        <w:jc w:val="both"/>
        <w:rPr>
          <w:sz w:val="24"/>
        </w:rPr>
      </w:pPr>
      <w:r>
        <w:rPr>
          <w:color w:val="231F20"/>
          <w:sz w:val="24"/>
        </w:rPr>
        <w:t>「結核菌快速分子檢測」</w:t>
      </w:r>
    </w:p>
    <w:p>
      <w:pPr>
        <w:pStyle w:val="ListParagraph"/>
        <w:numPr>
          <w:ilvl w:val="1"/>
          <w:numId w:val="5"/>
        </w:numPr>
        <w:tabs>
          <w:tab w:pos="2052" w:val="left" w:leader="none"/>
        </w:tabs>
        <w:spacing w:line="230" w:lineRule="auto" w:before="0" w:after="0"/>
        <w:ind w:left="2051" w:right="529" w:hanging="355"/>
        <w:jc w:val="both"/>
        <w:rPr>
          <w:sz w:val="24"/>
        </w:rPr>
      </w:pPr>
      <w:r>
        <w:rPr>
          <w:color w:val="231F20"/>
          <w:spacing w:val="3"/>
          <w:sz w:val="24"/>
        </w:rPr>
        <w:t>採行本項檢測，應先進行胸部 </w:t>
      </w:r>
      <w:r>
        <w:rPr>
          <w:color w:val="231F20"/>
          <w:sz w:val="24"/>
        </w:rPr>
        <w:t>X 光檢查或症狀評估，當胸部 X</w:t>
      </w:r>
      <w:r>
        <w:rPr>
          <w:color w:val="231F20"/>
          <w:spacing w:val="3"/>
          <w:sz w:val="24"/>
        </w:rPr>
        <w:t> 光有結核相關</w:t>
      </w:r>
      <w:r>
        <w:rPr>
          <w:color w:val="231F20"/>
          <w:sz w:val="24"/>
        </w:rPr>
        <w:t>異常或症狀評估達結核菌快速分子檢測送驗標準 ( 如：山地原鄉「結核病風險</w:t>
      </w:r>
      <w:r>
        <w:rPr>
          <w:color w:val="231F20"/>
          <w:spacing w:val="-5"/>
          <w:sz w:val="24"/>
        </w:rPr>
        <w:t>及症狀評估問卷」( 附件 </w:t>
      </w:r>
      <w:r>
        <w:rPr>
          <w:color w:val="231F20"/>
          <w:sz w:val="24"/>
        </w:rPr>
        <w:t>1-1)</w:t>
      </w:r>
      <w:r>
        <w:rPr>
          <w:color w:val="231F20"/>
          <w:spacing w:val="-3"/>
          <w:sz w:val="24"/>
        </w:rPr>
        <w:t> 有任</w:t>
      </w:r>
      <w:r>
        <w:rPr>
          <w:color w:val="231F20"/>
          <w:sz w:val="24"/>
        </w:rPr>
        <w:t>＿</w:t>
      </w:r>
      <w:r>
        <w:rPr>
          <w:color w:val="231F20"/>
          <w:spacing w:val="-8"/>
          <w:sz w:val="24"/>
        </w:rPr>
        <w:t>症狀者、長照機構「症狀篩檢」( 附件 </w:t>
      </w:r>
      <w:r>
        <w:rPr>
          <w:color w:val="231F20"/>
          <w:spacing w:val="-3"/>
          <w:sz w:val="24"/>
        </w:rPr>
        <w:t>1-2) </w:t>
      </w:r>
      <w:r>
        <w:rPr>
          <w:color w:val="231F20"/>
          <w:spacing w:val="-2"/>
          <w:sz w:val="24"/>
        </w:rPr>
        <w:t>異常超過 </w:t>
      </w:r>
      <w:r>
        <w:rPr>
          <w:color w:val="231F20"/>
          <w:sz w:val="24"/>
        </w:rPr>
        <w:t>5</w:t>
      </w:r>
      <w:r>
        <w:rPr>
          <w:color w:val="231F20"/>
          <w:spacing w:val="-4"/>
          <w:sz w:val="24"/>
        </w:rPr>
        <w:t> 分者 )，得儘速送驗。</w:t>
      </w:r>
    </w:p>
    <w:p>
      <w:pPr>
        <w:pStyle w:val="ListParagraph"/>
        <w:numPr>
          <w:ilvl w:val="1"/>
          <w:numId w:val="5"/>
        </w:numPr>
        <w:tabs>
          <w:tab w:pos="2052" w:val="left" w:leader="none"/>
        </w:tabs>
        <w:spacing w:line="230" w:lineRule="auto" w:before="0" w:after="0"/>
        <w:ind w:left="2051" w:right="529" w:hanging="355"/>
        <w:jc w:val="both"/>
        <w:rPr>
          <w:sz w:val="24"/>
        </w:rPr>
      </w:pPr>
      <w:r>
        <w:rPr>
          <w:color w:val="231F20"/>
          <w:spacing w:val="8"/>
          <w:sz w:val="24"/>
        </w:rPr>
        <w:t>執行本項檢驗之痰液檢體應同時進行塗片抗酸菌染色檢查及抗酸菌培養檢查</w:t>
      </w:r>
      <w:r>
        <w:rPr>
          <w:color w:val="231F20"/>
          <w:spacing w:val="-3"/>
          <w:sz w:val="24"/>
        </w:rPr>
        <w:t>( 限同時使用固態培養基及具自動化偵測功能之液態培養系統 ) 等常規結核菌</w:t>
      </w:r>
      <w:r>
        <w:rPr>
          <w:color w:val="231F20"/>
          <w:sz w:val="24"/>
        </w:rPr>
        <w:t>檢驗，以做為後續確診之依據。</w:t>
      </w:r>
    </w:p>
    <w:p>
      <w:pPr>
        <w:pStyle w:val="ListParagraph"/>
        <w:numPr>
          <w:ilvl w:val="1"/>
          <w:numId w:val="5"/>
        </w:numPr>
        <w:tabs>
          <w:tab w:pos="2055" w:val="left" w:leader="none"/>
        </w:tabs>
        <w:spacing w:line="230" w:lineRule="auto" w:before="0" w:after="0"/>
        <w:ind w:left="2051" w:right="533" w:hanging="355"/>
        <w:jc w:val="both"/>
        <w:rPr>
          <w:sz w:val="24"/>
        </w:rPr>
      </w:pPr>
      <w:r>
        <w:rPr>
          <w:color w:val="231F20"/>
          <w:spacing w:val="-1"/>
          <w:sz w:val="24"/>
        </w:rPr>
        <w:t>檢驗單位應具備相關檢驗設備且符合醫事檢驗相關作業規定並通過檢驗項目能</w:t>
      </w:r>
      <w:r>
        <w:rPr>
          <w:color w:val="231F20"/>
          <w:sz w:val="24"/>
        </w:rPr>
        <w:t>力試驗，或委由具有檢驗能力之單位執行。</w:t>
      </w:r>
    </w:p>
    <w:p>
      <w:pPr>
        <w:pStyle w:val="BodyText"/>
        <w:spacing w:line="395" w:lineRule="exact"/>
        <w:ind w:left="1089"/>
        <w:jc w:val="both"/>
      </w:pPr>
      <w:r>
        <w:rPr>
          <w:color w:val="231F20"/>
        </w:rPr>
        <w:t>( 二 ) 上傳篩檢結果至結核病追蹤管理系統：</w:t>
      </w:r>
    </w:p>
    <w:p>
      <w:pPr>
        <w:pStyle w:val="ListParagraph"/>
        <w:numPr>
          <w:ilvl w:val="0"/>
          <w:numId w:val="6"/>
        </w:numPr>
        <w:tabs>
          <w:tab w:pos="1810" w:val="left" w:leader="none"/>
        </w:tabs>
        <w:spacing w:line="230" w:lineRule="auto" w:before="0" w:after="0"/>
        <w:ind w:left="1809" w:right="537" w:hanging="255"/>
        <w:jc w:val="both"/>
        <w:rPr>
          <w:sz w:val="24"/>
        </w:rPr>
      </w:pPr>
      <w:r>
        <w:rPr>
          <w:color w:val="231F20"/>
          <w:spacing w:val="-1"/>
          <w:sz w:val="24"/>
        </w:rPr>
        <w:t>山地原鄉、縣市選定之優先族群胸部 </w:t>
      </w:r>
      <w:r>
        <w:rPr>
          <w:color w:val="231F20"/>
          <w:sz w:val="24"/>
        </w:rPr>
        <w:t>X</w:t>
      </w:r>
      <w:r>
        <w:rPr>
          <w:color w:val="231F20"/>
          <w:spacing w:val="-4"/>
          <w:sz w:val="24"/>
        </w:rPr>
        <w:t> 光篩檢結果應依「診斷結果編碼分類表」</w:t>
      </w:r>
      <w:r>
        <w:rPr>
          <w:color w:val="231F20"/>
          <w:sz w:val="24"/>
        </w:rPr>
        <w:t>分類後上傳。</w:t>
      </w:r>
    </w:p>
    <w:p>
      <w:pPr>
        <w:spacing w:after="0" w:line="230" w:lineRule="auto"/>
        <w:jc w:val="both"/>
        <w:rPr>
          <w:sz w:val="24"/>
        </w:rPr>
        <w:sectPr>
          <w:pgSz w:w="11910" w:h="16840"/>
          <w:pgMar w:top="860" w:bottom="0" w:left="520" w:right="600"/>
        </w:sectPr>
      </w:pPr>
    </w:p>
    <w:p>
      <w:pPr>
        <w:pStyle w:val="BodyText"/>
        <w:spacing w:before="14"/>
        <w:rPr>
          <w:sz w:val="10"/>
        </w:rPr>
      </w:pPr>
      <w:r>
        <w:rPr/>
        <w:pict>
          <v:group style="position:absolute;margin-left:-.000001pt;margin-top:43.141998pt;width:37.35pt;height:798.6pt;mso-position-horizontal-relative:page;mso-position-vertical-relative:page;z-index:-266386432" coordorigin="0,863" coordsize="747,15972">
            <v:shape style="position:absolute;left:178;top:1374;width:439;height:15460" type="#_x0000_t75" stroked="false">
              <v:imagedata r:id="rId11" o:title=""/>
            </v:shape>
            <v:shape style="position:absolute;left:0;top:862;width:747;height:812" coordorigin="0,863" coordsize="747,812" path="m365,863l0,863,0,1674,365,1674,387,1672,447,1638,713,1356,747,1268,738,1222,447,899,387,865,365,863xe" filled="true" fillcolor="#49b7cf" stroked="false">
              <v:path arrowok="t"/>
              <v:fill type="solid"/>
            </v:shape>
            <v:shape style="position:absolute;left:202;top:1129;width:345;height:278" type="#_x0000_t75" stroked="false">
              <v:imagedata r:id="rId15" o:title=""/>
            </v:shape>
            <v:shape style="position:absolute;left:273;top:1809;width:251;height:3944" type="#_x0000_t75" stroked="false">
              <v:imagedata r:id="rId13" o:title=""/>
            </v:shape>
            <v:shape style="position:absolute;left:355;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w:t>
                    </w:r>
                  </w:p>
                </w:txbxContent>
              </v:textbox>
              <w10:wrap type="none"/>
            </v:shape>
            <w10:wrap type="none"/>
          </v:group>
        </w:pict>
      </w:r>
    </w:p>
    <w:p>
      <w:pPr>
        <w:pStyle w:val="BodyText"/>
        <w:spacing w:before="71"/>
        <w:ind w:left="1809"/>
      </w:pPr>
      <w:r>
        <w:rPr/>
        <w:pict>
          <v:shape style="position:absolute;margin-left:116.4515pt;margin-top:22.084881pt;width:422.3pt;height:547.2pt;mso-position-horizontal-relative:page;mso-position-vertical-relative:paragraph;z-index:251672576"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752"/>
                    <w:gridCol w:w="3904"/>
                    <w:gridCol w:w="3767"/>
                  </w:tblGrid>
                  <w:tr>
                    <w:trPr>
                      <w:trHeight w:val="451" w:hRule="atLeast"/>
                    </w:trPr>
                    <w:tc>
                      <w:tcPr>
                        <w:tcW w:w="752" w:type="dxa"/>
                        <w:tcBorders>
                          <w:right w:val="nil"/>
                        </w:tcBorders>
                        <w:shd w:val="clear" w:color="auto" w:fill="E6E7E8"/>
                      </w:tcPr>
                      <w:p>
                        <w:pPr>
                          <w:pStyle w:val="TableParagraph"/>
                          <w:spacing w:line="431" w:lineRule="exact"/>
                          <w:ind w:left="115" w:right="108"/>
                          <w:jc w:val="center"/>
                          <w:rPr>
                            <w:rFonts w:ascii="微軟正黑體" w:eastAsia="微軟正黑體" w:hint="eastAsia"/>
                            <w:b/>
                            <w:sz w:val="24"/>
                          </w:rPr>
                        </w:pPr>
                        <w:r>
                          <w:rPr>
                            <w:rFonts w:ascii="微軟正黑體" w:eastAsia="微軟正黑體" w:hint="eastAsia"/>
                            <w:b/>
                            <w:color w:val="231F20"/>
                            <w:sz w:val="24"/>
                          </w:rPr>
                          <w:t>代碼</w:t>
                        </w:r>
                      </w:p>
                    </w:tc>
                    <w:tc>
                      <w:tcPr>
                        <w:tcW w:w="3904" w:type="dxa"/>
                        <w:tcBorders>
                          <w:left w:val="nil"/>
                          <w:right w:val="nil"/>
                        </w:tcBorders>
                        <w:shd w:val="clear" w:color="auto" w:fill="E6E7E8"/>
                      </w:tcPr>
                      <w:p>
                        <w:pPr>
                          <w:pStyle w:val="TableParagraph"/>
                          <w:spacing w:line="431" w:lineRule="exact"/>
                          <w:ind w:left="1459" w:right="1444"/>
                          <w:jc w:val="center"/>
                          <w:rPr>
                            <w:rFonts w:ascii="微軟正黑體" w:eastAsia="微軟正黑體" w:hint="eastAsia"/>
                            <w:b/>
                            <w:sz w:val="24"/>
                          </w:rPr>
                        </w:pPr>
                        <w:r>
                          <w:rPr>
                            <w:rFonts w:ascii="微軟正黑體" w:eastAsia="微軟正黑體" w:hint="eastAsia"/>
                            <w:b/>
                            <w:color w:val="231F20"/>
                            <w:sz w:val="24"/>
                          </w:rPr>
                          <w:t>代碼說明</w:t>
                        </w:r>
                      </w:p>
                    </w:tc>
                    <w:tc>
                      <w:tcPr>
                        <w:tcW w:w="3767" w:type="dxa"/>
                        <w:tcBorders>
                          <w:left w:val="nil"/>
                        </w:tcBorders>
                        <w:shd w:val="clear" w:color="auto" w:fill="E6E7E8"/>
                      </w:tcPr>
                      <w:p>
                        <w:pPr>
                          <w:pStyle w:val="TableParagraph"/>
                          <w:spacing w:line="431" w:lineRule="exact"/>
                          <w:ind w:left="1051"/>
                          <w:rPr>
                            <w:rFonts w:ascii="微軟正黑體" w:eastAsia="微軟正黑體" w:hint="eastAsia"/>
                            <w:b/>
                            <w:sz w:val="24"/>
                          </w:rPr>
                        </w:pPr>
                        <w:r>
                          <w:rPr>
                            <w:rFonts w:ascii="微軟正黑體" w:eastAsia="微軟正黑體" w:hint="eastAsia"/>
                            <w:b/>
                            <w:color w:val="231F20"/>
                            <w:sz w:val="24"/>
                          </w:rPr>
                          <w:t>分類參考關鍵字</w:t>
                        </w:r>
                      </w:p>
                    </w:tc>
                  </w:tr>
                  <w:tr>
                    <w:trPr>
                      <w:trHeight w:val="451" w:hRule="atLeast"/>
                    </w:trPr>
                    <w:tc>
                      <w:tcPr>
                        <w:tcW w:w="752" w:type="dxa"/>
                      </w:tcPr>
                      <w:p>
                        <w:pPr>
                          <w:pStyle w:val="TableParagraph"/>
                          <w:spacing w:line="400" w:lineRule="exact" w:before="31"/>
                          <w:ind w:left="14"/>
                          <w:jc w:val="center"/>
                          <w:rPr>
                            <w:sz w:val="24"/>
                          </w:rPr>
                        </w:pPr>
                        <w:r>
                          <w:rPr>
                            <w:color w:val="231F20"/>
                            <w:w w:val="104"/>
                            <w:sz w:val="24"/>
                          </w:rPr>
                          <w:t>0</w:t>
                        </w:r>
                      </w:p>
                    </w:tc>
                    <w:tc>
                      <w:tcPr>
                        <w:tcW w:w="3904" w:type="dxa"/>
                      </w:tcPr>
                      <w:p>
                        <w:pPr>
                          <w:pStyle w:val="TableParagraph"/>
                          <w:spacing w:line="400" w:lineRule="exact" w:before="31"/>
                          <w:ind w:left="113"/>
                          <w:rPr>
                            <w:sz w:val="24"/>
                          </w:rPr>
                        </w:pPr>
                        <w:r>
                          <w:rPr>
                            <w:color w:val="231F20"/>
                            <w:sz w:val="24"/>
                          </w:rPr>
                          <w:t>正常</w:t>
                        </w:r>
                      </w:p>
                    </w:tc>
                    <w:tc>
                      <w:tcPr>
                        <w:tcW w:w="3767" w:type="dxa"/>
                      </w:tcPr>
                      <w:p>
                        <w:pPr>
                          <w:pStyle w:val="TableParagraph"/>
                          <w:rPr>
                            <w:rFonts w:ascii="Times New Roman"/>
                            <w:sz w:val="22"/>
                          </w:rPr>
                        </w:pPr>
                      </w:p>
                    </w:tc>
                  </w:tr>
                  <w:tr>
                    <w:trPr>
                      <w:trHeight w:val="451" w:hRule="atLeast"/>
                    </w:trPr>
                    <w:tc>
                      <w:tcPr>
                        <w:tcW w:w="752" w:type="dxa"/>
                      </w:tcPr>
                      <w:p>
                        <w:pPr>
                          <w:pStyle w:val="TableParagraph"/>
                          <w:spacing w:line="400" w:lineRule="exact" w:before="31"/>
                          <w:ind w:left="14"/>
                          <w:jc w:val="center"/>
                          <w:rPr>
                            <w:sz w:val="24"/>
                          </w:rPr>
                        </w:pPr>
                        <w:r>
                          <w:rPr>
                            <w:color w:val="231F20"/>
                            <w:w w:val="104"/>
                            <w:sz w:val="24"/>
                          </w:rPr>
                          <w:t>1</w:t>
                        </w:r>
                      </w:p>
                    </w:tc>
                    <w:tc>
                      <w:tcPr>
                        <w:tcW w:w="3904" w:type="dxa"/>
                      </w:tcPr>
                      <w:p>
                        <w:pPr>
                          <w:pStyle w:val="TableParagraph"/>
                          <w:spacing w:line="400" w:lineRule="exact" w:before="31"/>
                          <w:ind w:left="113"/>
                          <w:rPr>
                            <w:sz w:val="24"/>
                          </w:rPr>
                        </w:pPr>
                        <w:r>
                          <w:rPr>
                            <w:color w:val="231F20"/>
                            <w:sz w:val="24"/>
                          </w:rPr>
                          <w:t>異常，但無空洞</w:t>
                        </w:r>
                      </w:p>
                    </w:tc>
                    <w:tc>
                      <w:tcPr>
                        <w:tcW w:w="3767" w:type="dxa"/>
                      </w:tcPr>
                      <w:p>
                        <w:pPr>
                          <w:pStyle w:val="TableParagraph"/>
                          <w:rPr>
                            <w:rFonts w:ascii="Times New Roman"/>
                            <w:sz w:val="22"/>
                          </w:rPr>
                        </w:pPr>
                      </w:p>
                    </w:tc>
                  </w:tr>
                  <w:tr>
                    <w:trPr>
                      <w:trHeight w:val="451" w:hRule="atLeast"/>
                    </w:trPr>
                    <w:tc>
                      <w:tcPr>
                        <w:tcW w:w="752" w:type="dxa"/>
                      </w:tcPr>
                      <w:p>
                        <w:pPr>
                          <w:pStyle w:val="TableParagraph"/>
                          <w:spacing w:line="400" w:lineRule="exact" w:before="31"/>
                          <w:ind w:left="14"/>
                          <w:jc w:val="center"/>
                          <w:rPr>
                            <w:sz w:val="24"/>
                          </w:rPr>
                        </w:pPr>
                        <w:r>
                          <w:rPr>
                            <w:color w:val="231F20"/>
                            <w:w w:val="104"/>
                            <w:sz w:val="24"/>
                          </w:rPr>
                          <w:t>2</w:t>
                        </w:r>
                      </w:p>
                    </w:tc>
                    <w:tc>
                      <w:tcPr>
                        <w:tcW w:w="3904" w:type="dxa"/>
                      </w:tcPr>
                      <w:p>
                        <w:pPr>
                          <w:pStyle w:val="TableParagraph"/>
                          <w:spacing w:line="400" w:lineRule="exact" w:before="31"/>
                          <w:ind w:left="113"/>
                          <w:rPr>
                            <w:sz w:val="24"/>
                          </w:rPr>
                        </w:pPr>
                        <w:r>
                          <w:rPr>
                            <w:color w:val="231F20"/>
                            <w:sz w:val="24"/>
                          </w:rPr>
                          <w:t>異常，且有空洞</w:t>
                        </w:r>
                      </w:p>
                    </w:tc>
                    <w:tc>
                      <w:tcPr>
                        <w:tcW w:w="3767" w:type="dxa"/>
                      </w:tcPr>
                      <w:p>
                        <w:pPr>
                          <w:pStyle w:val="TableParagraph"/>
                          <w:rPr>
                            <w:rFonts w:ascii="Times New Roman"/>
                            <w:sz w:val="22"/>
                          </w:rPr>
                        </w:pPr>
                      </w:p>
                    </w:tc>
                  </w:tr>
                  <w:tr>
                    <w:trPr>
                      <w:trHeight w:val="851" w:hRule="atLeast"/>
                    </w:trPr>
                    <w:tc>
                      <w:tcPr>
                        <w:tcW w:w="752" w:type="dxa"/>
                      </w:tcPr>
                      <w:p>
                        <w:pPr>
                          <w:pStyle w:val="TableParagraph"/>
                          <w:spacing w:before="231"/>
                          <w:ind w:left="14"/>
                          <w:jc w:val="center"/>
                          <w:rPr>
                            <w:sz w:val="24"/>
                          </w:rPr>
                        </w:pPr>
                        <w:r>
                          <w:rPr>
                            <w:color w:val="231F20"/>
                            <w:w w:val="104"/>
                            <w:sz w:val="24"/>
                          </w:rPr>
                          <w:t>3</w:t>
                        </w:r>
                      </w:p>
                    </w:tc>
                    <w:tc>
                      <w:tcPr>
                        <w:tcW w:w="3904" w:type="dxa"/>
                      </w:tcPr>
                      <w:p>
                        <w:pPr>
                          <w:pStyle w:val="TableParagraph"/>
                          <w:spacing w:before="231"/>
                          <w:ind w:left="113"/>
                          <w:rPr>
                            <w:sz w:val="24"/>
                          </w:rPr>
                        </w:pPr>
                        <w:r>
                          <w:rPr>
                            <w:color w:val="231F20"/>
                            <w:sz w:val="24"/>
                          </w:rPr>
                          <w:t>肋膜積水</w:t>
                        </w:r>
                      </w:p>
                    </w:tc>
                    <w:tc>
                      <w:tcPr>
                        <w:tcW w:w="3767" w:type="dxa"/>
                      </w:tcPr>
                      <w:p>
                        <w:pPr>
                          <w:pStyle w:val="TableParagraph"/>
                          <w:spacing w:line="409" w:lineRule="exact" w:before="31"/>
                          <w:ind w:left="113"/>
                          <w:rPr>
                            <w:sz w:val="24"/>
                          </w:rPr>
                        </w:pPr>
                        <w:r>
                          <w:rPr>
                            <w:color w:val="231F20"/>
                            <w:w w:val="105"/>
                            <w:sz w:val="24"/>
                          </w:rPr>
                          <w:t>肋膜積水( 肺(肋) 膈角變鈍</w:t>
                        </w:r>
                        <w:r>
                          <w:rPr>
                            <w:color w:val="231F20"/>
                            <w:w w:val="70"/>
                            <w:sz w:val="24"/>
                          </w:rPr>
                          <w:t>／ </w:t>
                        </w:r>
                        <w:r>
                          <w:rPr>
                            <w:color w:val="231F20"/>
                            <w:w w:val="105"/>
                            <w:sz w:val="24"/>
                          </w:rPr>
                          <w:t>肺\</w:t>
                        </w:r>
                      </w:p>
                      <w:p>
                        <w:pPr>
                          <w:pStyle w:val="TableParagraph"/>
                          <w:spacing w:line="391" w:lineRule="exact"/>
                          <w:ind w:left="113"/>
                          <w:rPr>
                            <w:sz w:val="24"/>
                          </w:rPr>
                        </w:pPr>
                        <w:r>
                          <w:rPr>
                            <w:color w:val="231F20"/>
                            <w:sz w:val="24"/>
                          </w:rPr>
                          <w:t>裂隙處變厚 )</w:t>
                        </w:r>
                      </w:p>
                    </w:tc>
                  </w:tr>
                  <w:tr>
                    <w:trPr>
                      <w:trHeight w:val="3250" w:hRule="atLeast"/>
                    </w:trPr>
                    <w:tc>
                      <w:tcPr>
                        <w:tcW w:w="752" w:type="dxa"/>
                      </w:tcPr>
                      <w:p>
                        <w:pPr>
                          <w:pStyle w:val="TableParagraph"/>
                          <w:rPr>
                            <w:sz w:val="32"/>
                          </w:rPr>
                        </w:pPr>
                      </w:p>
                      <w:p>
                        <w:pPr>
                          <w:pStyle w:val="TableParagraph"/>
                          <w:rPr>
                            <w:sz w:val="32"/>
                          </w:rPr>
                        </w:pPr>
                      </w:p>
                      <w:p>
                        <w:pPr>
                          <w:pStyle w:val="TableParagraph"/>
                          <w:spacing w:before="3"/>
                          <w:rPr>
                            <w:sz w:val="18"/>
                          </w:rPr>
                        </w:pPr>
                      </w:p>
                      <w:p>
                        <w:pPr>
                          <w:pStyle w:val="TableParagraph"/>
                          <w:ind w:left="14"/>
                          <w:jc w:val="center"/>
                          <w:rPr>
                            <w:sz w:val="24"/>
                          </w:rPr>
                        </w:pPr>
                        <w:r>
                          <w:rPr>
                            <w:color w:val="231F20"/>
                            <w:w w:val="104"/>
                            <w:sz w:val="24"/>
                          </w:rPr>
                          <w:t>4</w:t>
                        </w:r>
                      </w:p>
                    </w:tc>
                    <w:tc>
                      <w:tcPr>
                        <w:tcW w:w="3904" w:type="dxa"/>
                      </w:tcPr>
                      <w:p>
                        <w:pPr>
                          <w:pStyle w:val="TableParagraph"/>
                          <w:rPr>
                            <w:sz w:val="32"/>
                          </w:rPr>
                        </w:pPr>
                      </w:p>
                      <w:p>
                        <w:pPr>
                          <w:pStyle w:val="TableParagraph"/>
                          <w:rPr>
                            <w:sz w:val="32"/>
                          </w:rPr>
                        </w:pPr>
                      </w:p>
                      <w:p>
                        <w:pPr>
                          <w:pStyle w:val="TableParagraph"/>
                          <w:spacing w:before="3"/>
                          <w:rPr>
                            <w:sz w:val="18"/>
                          </w:rPr>
                        </w:pPr>
                      </w:p>
                      <w:p>
                        <w:pPr>
                          <w:pStyle w:val="TableParagraph"/>
                          <w:ind w:left="113"/>
                          <w:rPr>
                            <w:sz w:val="24"/>
                          </w:rPr>
                        </w:pPr>
                        <w:r>
                          <w:rPr>
                            <w:color w:val="231F20"/>
                            <w:sz w:val="24"/>
                          </w:rPr>
                          <w:t>異常，無法排除活動性結核病</w:t>
                        </w:r>
                      </w:p>
                    </w:tc>
                    <w:tc>
                      <w:tcPr>
                        <w:tcW w:w="3767" w:type="dxa"/>
                      </w:tcPr>
                      <w:p>
                        <w:pPr>
                          <w:pStyle w:val="TableParagraph"/>
                          <w:spacing w:line="409" w:lineRule="exact" w:before="31"/>
                          <w:ind w:left="113"/>
                          <w:rPr>
                            <w:sz w:val="24"/>
                          </w:rPr>
                        </w:pPr>
                        <w:r>
                          <w:rPr>
                            <w:color w:val="231F20"/>
                            <w:spacing w:val="7"/>
                            <w:w w:val="90"/>
                            <w:sz w:val="24"/>
                          </w:rPr>
                          <w:t>肺浸潤／ 陰影</w:t>
                        </w:r>
                      </w:p>
                      <w:p>
                        <w:pPr>
                          <w:pStyle w:val="TableParagraph"/>
                          <w:spacing w:line="230" w:lineRule="auto" w:before="3"/>
                          <w:ind w:left="113" w:right="763"/>
                          <w:rPr>
                            <w:sz w:val="24"/>
                          </w:rPr>
                        </w:pPr>
                        <w:r>
                          <w:rPr>
                            <w:color w:val="231F20"/>
                            <w:spacing w:val="-9"/>
                            <w:sz w:val="24"/>
                          </w:rPr>
                          <w:t>( 支氣管發炎 </w:t>
                        </w:r>
                        <w:r>
                          <w:rPr>
                            <w:color w:val="231F20"/>
                            <w:spacing w:val="-5"/>
                            <w:w w:val="70"/>
                            <w:sz w:val="24"/>
                          </w:rPr>
                          <w:t>／ </w:t>
                        </w:r>
                        <w:r>
                          <w:rPr>
                            <w:color w:val="231F20"/>
                            <w:spacing w:val="-10"/>
                            <w:sz w:val="24"/>
                          </w:rPr>
                          <w:t>擴張 </w:t>
                        </w:r>
                        <w:r>
                          <w:rPr>
                            <w:color w:val="231F20"/>
                            <w:spacing w:val="-5"/>
                            <w:w w:val="70"/>
                            <w:sz w:val="24"/>
                          </w:rPr>
                          <w:t>／ </w:t>
                        </w:r>
                        <w:r>
                          <w:rPr>
                            <w:color w:val="231F20"/>
                            <w:spacing w:val="-12"/>
                            <w:sz w:val="24"/>
                          </w:rPr>
                          <w:t>浸潤 ) </w:t>
                        </w:r>
                        <w:r>
                          <w:rPr>
                            <w:color w:val="231F20"/>
                            <w:sz w:val="24"/>
                          </w:rPr>
                          <w:t>肉芽</w:t>
                        </w:r>
                        <w:r>
                          <w:rPr>
                            <w:color w:val="231F20"/>
                            <w:spacing w:val="23"/>
                            <w:w w:val="70"/>
                            <w:sz w:val="24"/>
                          </w:rPr>
                          <w:t>腫／ </w:t>
                        </w:r>
                        <w:r>
                          <w:rPr>
                            <w:color w:val="231F20"/>
                            <w:sz w:val="24"/>
                          </w:rPr>
                          <w:t>結節</w:t>
                        </w:r>
                      </w:p>
                      <w:p>
                        <w:pPr>
                          <w:pStyle w:val="TableParagraph"/>
                          <w:spacing w:line="230" w:lineRule="auto"/>
                          <w:ind w:left="113" w:right="2196"/>
                          <w:rPr>
                            <w:sz w:val="24"/>
                          </w:rPr>
                        </w:pPr>
                        <w:r>
                          <w:rPr>
                            <w:color w:val="231F20"/>
                            <w:sz w:val="24"/>
                          </w:rPr>
                          <w:t>粟粒狀病灶 </w:t>
                        </w:r>
                        <w:r>
                          <w:rPr>
                            <w:color w:val="231F20"/>
                            <w:spacing w:val="-3"/>
                            <w:sz w:val="24"/>
                          </w:rPr>
                          <w:t>陳舊性肺結核</w:t>
                        </w:r>
                      </w:p>
                      <w:p>
                        <w:pPr>
                          <w:pStyle w:val="TableParagraph"/>
                          <w:spacing w:line="230" w:lineRule="auto"/>
                          <w:ind w:left="113" w:right="1756"/>
                          <w:rPr>
                            <w:sz w:val="24"/>
                          </w:rPr>
                        </w:pPr>
                        <w:r>
                          <w:rPr>
                            <w:color w:val="231F20"/>
                            <w:spacing w:val="1"/>
                            <w:w w:val="90"/>
                            <w:sz w:val="24"/>
                          </w:rPr>
                          <w:t>肺炎／ 發炎／ 感染</w:t>
                        </w:r>
                        <w:r>
                          <w:rPr>
                            <w:color w:val="231F20"/>
                            <w:sz w:val="24"/>
                          </w:rPr>
                          <w:t>肺坍塌</w:t>
                        </w:r>
                      </w:p>
                      <w:p>
                        <w:pPr>
                          <w:pStyle w:val="TableParagraph"/>
                          <w:spacing w:line="386" w:lineRule="exact"/>
                          <w:ind w:left="113"/>
                          <w:rPr>
                            <w:sz w:val="24"/>
                          </w:rPr>
                        </w:pPr>
                        <w:r>
                          <w:rPr>
                            <w:color w:val="231F20"/>
                            <w:sz w:val="24"/>
                          </w:rPr>
                          <w:t>矽肺病</w:t>
                        </w:r>
                      </w:p>
                    </w:tc>
                  </w:tr>
                  <w:tr>
                    <w:trPr>
                      <w:trHeight w:val="2450" w:hRule="atLeast"/>
                    </w:trPr>
                    <w:tc>
                      <w:tcPr>
                        <w:tcW w:w="752" w:type="dxa"/>
                      </w:tcPr>
                      <w:p>
                        <w:pPr>
                          <w:pStyle w:val="TableParagraph"/>
                          <w:rPr>
                            <w:sz w:val="32"/>
                          </w:rPr>
                        </w:pPr>
                      </w:p>
                      <w:p>
                        <w:pPr>
                          <w:pStyle w:val="TableParagraph"/>
                          <w:spacing w:before="4"/>
                          <w:rPr>
                            <w:sz w:val="27"/>
                          </w:rPr>
                        </w:pPr>
                      </w:p>
                      <w:p>
                        <w:pPr>
                          <w:pStyle w:val="TableParagraph"/>
                          <w:ind w:left="14"/>
                          <w:jc w:val="center"/>
                          <w:rPr>
                            <w:sz w:val="24"/>
                          </w:rPr>
                        </w:pPr>
                        <w:r>
                          <w:rPr>
                            <w:color w:val="231F20"/>
                            <w:w w:val="104"/>
                            <w:sz w:val="24"/>
                          </w:rPr>
                          <w:t>5</w:t>
                        </w:r>
                      </w:p>
                    </w:tc>
                    <w:tc>
                      <w:tcPr>
                        <w:tcW w:w="3904" w:type="dxa"/>
                      </w:tcPr>
                      <w:p>
                        <w:pPr>
                          <w:pStyle w:val="TableParagraph"/>
                          <w:rPr>
                            <w:sz w:val="32"/>
                          </w:rPr>
                        </w:pPr>
                      </w:p>
                      <w:p>
                        <w:pPr>
                          <w:pStyle w:val="TableParagraph"/>
                          <w:spacing w:before="4"/>
                          <w:rPr>
                            <w:sz w:val="27"/>
                          </w:rPr>
                        </w:pPr>
                      </w:p>
                      <w:p>
                        <w:pPr>
                          <w:pStyle w:val="TableParagraph"/>
                          <w:ind w:left="113"/>
                          <w:rPr>
                            <w:sz w:val="24"/>
                          </w:rPr>
                        </w:pPr>
                        <w:r>
                          <w:rPr>
                            <w:color w:val="231F20"/>
                            <w:sz w:val="24"/>
                          </w:rPr>
                          <w:t>異常，尚需醫師評估結核病可能性</w:t>
                        </w:r>
                      </w:p>
                    </w:tc>
                    <w:tc>
                      <w:tcPr>
                        <w:tcW w:w="3767" w:type="dxa"/>
                      </w:tcPr>
                      <w:p>
                        <w:pPr>
                          <w:pStyle w:val="TableParagraph"/>
                          <w:spacing w:line="230" w:lineRule="auto" w:before="43"/>
                          <w:ind w:left="113" w:right="1976"/>
                          <w:rPr>
                            <w:sz w:val="24"/>
                          </w:rPr>
                        </w:pPr>
                        <w:r>
                          <w:rPr>
                            <w:color w:val="231F20"/>
                            <w:spacing w:val="-8"/>
                            <w:sz w:val="24"/>
                          </w:rPr>
                          <w:t>肺紋增加 </w:t>
                        </w:r>
                        <w:r>
                          <w:rPr>
                            <w:color w:val="231F20"/>
                            <w:spacing w:val="-8"/>
                            <w:w w:val="70"/>
                            <w:sz w:val="24"/>
                          </w:rPr>
                          <w:t>／ </w:t>
                        </w:r>
                        <w:r>
                          <w:rPr>
                            <w:color w:val="231F20"/>
                            <w:spacing w:val="-9"/>
                            <w:sz w:val="24"/>
                          </w:rPr>
                          <w:t>粗糙</w:t>
                        </w:r>
                        <w:r>
                          <w:rPr>
                            <w:color w:val="231F20"/>
                            <w:sz w:val="24"/>
                          </w:rPr>
                          <w:t>肺門擴張</w:t>
                        </w:r>
                      </w:p>
                      <w:p>
                        <w:pPr>
                          <w:pStyle w:val="TableParagraph"/>
                          <w:spacing w:line="395" w:lineRule="exact"/>
                          <w:ind w:left="113"/>
                          <w:rPr>
                            <w:sz w:val="24"/>
                          </w:rPr>
                        </w:pPr>
                        <w:r>
                          <w:rPr>
                            <w:color w:val="231F20"/>
                            <w:sz w:val="24"/>
                          </w:rPr>
                          <w:t>間質增加</w:t>
                        </w:r>
                      </w:p>
                      <w:p>
                        <w:pPr>
                          <w:pStyle w:val="TableParagraph"/>
                          <w:spacing w:line="230" w:lineRule="auto" w:before="2"/>
                          <w:ind w:left="113" w:right="231"/>
                          <w:rPr>
                            <w:sz w:val="24"/>
                          </w:rPr>
                        </w:pPr>
                        <w:r>
                          <w:rPr>
                            <w:color w:val="231F20"/>
                            <w:w w:val="95"/>
                            <w:sz w:val="24"/>
                          </w:rPr>
                          <w:t>纖維化／ 鈣化／胸( 肋膜 ) 增厚</w:t>
                        </w:r>
                        <w:r>
                          <w:rPr>
                            <w:color w:val="231F20"/>
                            <w:sz w:val="24"/>
                          </w:rPr>
                          <w:t>陳舊性發炎 </w:t>
                        </w:r>
                        <w:r>
                          <w:rPr>
                            <w:color w:val="231F20"/>
                            <w:w w:val="70"/>
                            <w:sz w:val="24"/>
                          </w:rPr>
                          <w:t>／ </w:t>
                        </w:r>
                        <w:r>
                          <w:rPr>
                            <w:color w:val="231F20"/>
                            <w:sz w:val="24"/>
                          </w:rPr>
                          <w:t>過去發炎反應造成</w:t>
                        </w:r>
                      </w:p>
                      <w:p>
                        <w:pPr>
                          <w:pStyle w:val="TableParagraph"/>
                          <w:spacing w:line="386" w:lineRule="exact"/>
                          <w:ind w:left="113"/>
                          <w:rPr>
                            <w:sz w:val="24"/>
                          </w:rPr>
                        </w:pPr>
                        <w:r>
                          <w:rPr>
                            <w:color w:val="231F20"/>
                            <w:sz w:val="24"/>
                          </w:rPr>
                          <w:t>上縱膈腔變 </w:t>
                        </w:r>
                        <w:r>
                          <w:rPr>
                            <w:color w:val="231F20"/>
                            <w:w w:val="70"/>
                            <w:sz w:val="24"/>
                          </w:rPr>
                          <w:t>／ </w:t>
                        </w:r>
                        <w:r>
                          <w:rPr>
                            <w:color w:val="231F20"/>
                            <w:sz w:val="24"/>
                          </w:rPr>
                          <w:t>較寬</w:t>
                        </w:r>
                      </w:p>
                    </w:tc>
                  </w:tr>
                  <w:tr>
                    <w:trPr>
                      <w:trHeight w:val="2450" w:hRule="atLeast"/>
                    </w:trPr>
                    <w:tc>
                      <w:tcPr>
                        <w:tcW w:w="752" w:type="dxa"/>
                      </w:tcPr>
                      <w:p>
                        <w:pPr>
                          <w:pStyle w:val="TableParagraph"/>
                          <w:rPr>
                            <w:sz w:val="32"/>
                          </w:rPr>
                        </w:pPr>
                      </w:p>
                      <w:p>
                        <w:pPr>
                          <w:pStyle w:val="TableParagraph"/>
                          <w:spacing w:before="4"/>
                          <w:rPr>
                            <w:sz w:val="27"/>
                          </w:rPr>
                        </w:pPr>
                      </w:p>
                      <w:p>
                        <w:pPr>
                          <w:pStyle w:val="TableParagraph"/>
                          <w:ind w:left="14"/>
                          <w:jc w:val="center"/>
                          <w:rPr>
                            <w:sz w:val="24"/>
                          </w:rPr>
                        </w:pPr>
                        <w:r>
                          <w:rPr>
                            <w:color w:val="231F20"/>
                            <w:w w:val="104"/>
                            <w:sz w:val="24"/>
                          </w:rPr>
                          <w:t>6</w:t>
                        </w:r>
                      </w:p>
                    </w:tc>
                    <w:tc>
                      <w:tcPr>
                        <w:tcW w:w="3904" w:type="dxa"/>
                      </w:tcPr>
                      <w:p>
                        <w:pPr>
                          <w:pStyle w:val="TableParagraph"/>
                          <w:rPr>
                            <w:sz w:val="32"/>
                          </w:rPr>
                        </w:pPr>
                      </w:p>
                      <w:p>
                        <w:pPr>
                          <w:pStyle w:val="TableParagraph"/>
                          <w:spacing w:before="4"/>
                          <w:rPr>
                            <w:sz w:val="27"/>
                          </w:rPr>
                        </w:pPr>
                      </w:p>
                      <w:p>
                        <w:pPr>
                          <w:pStyle w:val="TableParagraph"/>
                          <w:ind w:left="113"/>
                          <w:rPr>
                            <w:sz w:val="24"/>
                          </w:rPr>
                        </w:pPr>
                        <w:r>
                          <w:rPr>
                            <w:color w:val="231F20"/>
                            <w:sz w:val="24"/>
                          </w:rPr>
                          <w:t>異常，無關結核病</w:t>
                        </w:r>
                      </w:p>
                    </w:tc>
                    <w:tc>
                      <w:tcPr>
                        <w:tcW w:w="3767" w:type="dxa"/>
                      </w:tcPr>
                      <w:p>
                        <w:pPr>
                          <w:pStyle w:val="TableParagraph"/>
                          <w:spacing w:line="230" w:lineRule="auto" w:before="43"/>
                          <w:ind w:left="113" w:right="1497"/>
                          <w:rPr>
                            <w:sz w:val="24"/>
                          </w:rPr>
                        </w:pPr>
                        <w:r>
                          <w:rPr>
                            <w:color w:val="231F20"/>
                            <w:spacing w:val="-5"/>
                            <w:sz w:val="24"/>
                          </w:rPr>
                          <w:t>肺氣腫 </w:t>
                        </w:r>
                        <w:r>
                          <w:rPr>
                            <w:color w:val="231F20"/>
                            <w:spacing w:val="1"/>
                            <w:w w:val="70"/>
                            <w:sz w:val="24"/>
                          </w:rPr>
                          <w:t>／ </w:t>
                        </w:r>
                        <w:r>
                          <w:rPr>
                            <w:color w:val="231F20"/>
                            <w:sz w:val="24"/>
                          </w:rPr>
                          <w:t>肺泡擴大</w:t>
                        </w:r>
                        <w:r>
                          <w:rPr>
                            <w:color w:val="231F20"/>
                            <w:spacing w:val="-4"/>
                            <w:sz w:val="24"/>
                          </w:rPr>
                          <w:t>橫膈不平整 </w:t>
                        </w:r>
                        <w:r>
                          <w:rPr>
                            <w:color w:val="231F20"/>
                            <w:spacing w:val="1"/>
                            <w:w w:val="70"/>
                            <w:sz w:val="24"/>
                          </w:rPr>
                          <w:t>／ </w:t>
                        </w:r>
                        <w:r>
                          <w:rPr>
                            <w:color w:val="231F20"/>
                            <w:sz w:val="24"/>
                          </w:rPr>
                          <w:t>上升</w:t>
                        </w:r>
                        <w:r>
                          <w:rPr>
                            <w:color w:val="231F20"/>
                            <w:spacing w:val="-9"/>
                            <w:sz w:val="24"/>
                          </w:rPr>
                          <w:t>原發性 </w:t>
                        </w:r>
                        <w:r>
                          <w:rPr>
                            <w:color w:val="231F20"/>
                            <w:spacing w:val="-8"/>
                            <w:w w:val="70"/>
                            <w:sz w:val="24"/>
                          </w:rPr>
                          <w:t>／ </w:t>
                        </w:r>
                        <w:r>
                          <w:rPr>
                            <w:color w:val="231F20"/>
                            <w:spacing w:val="-4"/>
                            <w:sz w:val="24"/>
                          </w:rPr>
                          <w:t>轉移性肺癌</w:t>
                        </w:r>
                        <w:r>
                          <w:rPr>
                            <w:color w:val="231F20"/>
                            <w:sz w:val="24"/>
                          </w:rPr>
                          <w:t>心血管病變</w:t>
                        </w:r>
                      </w:p>
                      <w:p>
                        <w:pPr>
                          <w:pStyle w:val="TableParagraph"/>
                          <w:spacing w:line="392" w:lineRule="exact"/>
                          <w:ind w:left="113"/>
                          <w:rPr>
                            <w:sz w:val="24"/>
                          </w:rPr>
                        </w:pPr>
                        <w:r>
                          <w:rPr>
                            <w:color w:val="231F20"/>
                            <w:sz w:val="24"/>
                          </w:rPr>
                          <w:t>非結核引起之雙側肋膜積水</w:t>
                        </w:r>
                      </w:p>
                      <w:p>
                        <w:pPr>
                          <w:pStyle w:val="TableParagraph"/>
                          <w:spacing w:line="391" w:lineRule="exact"/>
                          <w:ind w:left="113"/>
                          <w:rPr>
                            <w:sz w:val="24"/>
                          </w:rPr>
                        </w:pPr>
                        <w:r>
                          <w:rPr>
                            <w:color w:val="231F20"/>
                            <w:sz w:val="24"/>
                          </w:rPr>
                          <w:t>其他</w:t>
                        </w:r>
                      </w:p>
                    </w:tc>
                  </w:tr>
                </w:tbl>
                <w:p>
                  <w:pPr>
                    <w:pStyle w:val="BodyText"/>
                  </w:pPr>
                </w:p>
              </w:txbxContent>
            </v:textbox>
            <w10:wrap type="none"/>
          </v:shape>
        </w:pict>
      </w:r>
      <w:r>
        <w:rPr>
          <w:color w:val="231F20"/>
        </w:rPr>
        <w:t>表 1、診斷結果編碼分類表</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6"/>
        <w:rPr>
          <w:sz w:val="46"/>
        </w:rPr>
      </w:pPr>
    </w:p>
    <w:p>
      <w:pPr>
        <w:pStyle w:val="ListParagraph"/>
        <w:numPr>
          <w:ilvl w:val="0"/>
          <w:numId w:val="6"/>
        </w:numPr>
        <w:tabs>
          <w:tab w:pos="1811" w:val="left" w:leader="none"/>
        </w:tabs>
        <w:spacing w:line="230" w:lineRule="auto" w:before="0" w:after="0"/>
        <w:ind w:left="1809" w:right="534" w:hanging="255"/>
        <w:jc w:val="left"/>
        <w:rPr>
          <w:sz w:val="24"/>
        </w:rPr>
      </w:pPr>
      <w:r>
        <w:rPr>
          <w:color w:val="231F20"/>
          <w:spacing w:val="-1"/>
          <w:sz w:val="24"/>
        </w:rPr>
        <w:t>送驗結核菌快速分子檢測者，檢驗單位原則上於 </w:t>
      </w:r>
      <w:r>
        <w:rPr>
          <w:color w:val="231F20"/>
          <w:sz w:val="24"/>
        </w:rPr>
        <w:t>3</w:t>
      </w:r>
      <w:r>
        <w:rPr>
          <w:color w:val="231F20"/>
          <w:spacing w:val="-2"/>
          <w:sz w:val="24"/>
        </w:rPr>
        <w:t> 日內交付報告，衛生局應儘速將結果上傳至結核病追蹤管理系統。</w:t>
      </w:r>
    </w:p>
    <w:p>
      <w:pPr>
        <w:pStyle w:val="BodyText"/>
        <w:tabs>
          <w:tab w:pos="1809" w:val="left" w:leader="none"/>
        </w:tabs>
        <w:spacing w:line="230" w:lineRule="auto"/>
        <w:ind w:left="851" w:right="2975" w:firstLine="238"/>
      </w:pPr>
      <w:r>
        <w:rPr>
          <w:color w:val="231F20"/>
        </w:rPr>
        <w:t>(</w:t>
      </w:r>
      <w:r>
        <w:rPr>
          <w:color w:val="231F20"/>
          <w:spacing w:val="-9"/>
        </w:rPr>
        <w:t> </w:t>
      </w:r>
      <w:r>
        <w:rPr>
          <w:color w:val="231F20"/>
        </w:rPr>
        <w:t>匹</w:t>
      </w:r>
      <w:r>
        <w:rPr>
          <w:color w:val="231F20"/>
          <w:spacing w:val="-8"/>
        </w:rPr>
        <w:t> </w:t>
      </w:r>
      <w:r>
        <w:rPr>
          <w:color w:val="231F20"/>
        </w:rPr>
        <w:t>)</w:t>
        <w:tab/>
        <w:t>篩檢結果視同病歷資料，應依醫療法規範妥善保存備查</w:t>
      </w:r>
      <w:r>
        <w:rPr>
          <w:color w:val="231F20"/>
          <w:spacing w:val="-20"/>
        </w:rPr>
        <w:t>。</w:t>
      </w:r>
      <w:r>
        <w:rPr>
          <w:color w:val="231F20"/>
        </w:rPr>
        <w:t>二</w:t>
      </w:r>
      <w:r>
        <w:rPr>
          <w:color w:val="231F20"/>
          <w:spacing w:val="7"/>
        </w:rPr>
        <w:t>、</w:t>
      </w:r>
      <w:r>
        <w:rPr>
          <w:color w:val="231F20"/>
        </w:rPr>
        <w:t>主動發現篩檢結果異常追蹤及處理</w:t>
      </w:r>
    </w:p>
    <w:p>
      <w:pPr>
        <w:pStyle w:val="BodyText"/>
        <w:tabs>
          <w:tab w:pos="1809" w:val="left" w:leader="none"/>
        </w:tabs>
        <w:spacing w:line="230" w:lineRule="auto"/>
        <w:ind w:left="1809" w:right="534" w:hanging="720"/>
      </w:pPr>
      <w:r>
        <w:rPr>
          <w:color w:val="231F20"/>
          <w:spacing w:val="-5"/>
        </w:rPr>
        <w:t>( </w:t>
      </w:r>
      <w:r>
        <w:rPr>
          <w:color w:val="231F20"/>
        </w:rPr>
        <w:t>＿</w:t>
      </w:r>
      <w:r>
        <w:rPr>
          <w:color w:val="231F20"/>
          <w:spacing w:val="-4"/>
        </w:rPr>
        <w:t> )</w:t>
      </w:r>
      <w:r>
        <w:rPr>
          <w:color w:val="231F20"/>
        </w:rPr>
        <w:tab/>
      </w:r>
      <w:r>
        <w:rPr>
          <w:color w:val="231F20"/>
          <w:spacing w:val="-5"/>
        </w:rPr>
        <w:t>衛生局 </w:t>
      </w:r>
      <w:r>
        <w:rPr>
          <w:color w:val="231F20"/>
          <w:spacing w:val="-1"/>
          <w:w w:val="70"/>
        </w:rPr>
        <w:t>／ </w:t>
      </w:r>
      <w:r>
        <w:rPr>
          <w:color w:val="231F20"/>
        </w:rPr>
        <w:t>所應追蹤轉介篩檢結果異常者接受進＿步診斷與臨床評估，提供完善之照護與管理。</w:t>
      </w:r>
    </w:p>
    <w:p>
      <w:pPr>
        <w:spacing w:after="0" w:line="230" w:lineRule="auto"/>
        <w:sectPr>
          <w:pgSz w:w="11910" w:h="16840"/>
          <w:pgMar w:top="860" w:bottom="0" w:left="520" w:right="600"/>
        </w:sectPr>
      </w:pPr>
    </w:p>
    <w:p>
      <w:pPr>
        <w:pStyle w:val="BodyText"/>
        <w:spacing w:before="14"/>
        <w:rPr>
          <w:sz w:val="10"/>
        </w:rPr>
      </w:pPr>
      <w:r>
        <w:rPr/>
        <w:pict>
          <v:group style="position:absolute;margin-left:557.684509pt;margin-top:43.141998pt;width:37.35pt;height:798.6pt;mso-position-horizontal-relative:page;mso-position-vertical-relative:page;z-index:251674624" coordorigin="11154,863" coordsize="747,15972">
            <v:shape style="position:absolute;left:11283;top:1374;width:438;height:15460" type="#_x0000_t75" stroked="false">
              <v:imagedata r:id="rId8" o:title=""/>
            </v:shape>
            <v:shape style="position:absolute;left:11153;top:862;width:747;height:812" coordorigin="11154,863" coordsize="747,812" path="m11900,863l11536,863,11514,865,11454,899,11188,1181,11154,1268,11162,1315,11454,1638,11514,1672,11536,1674,11900,1674,11900,863xe" filled="true" fillcolor="#49b7cf" stroked="false">
              <v:path arrowok="t"/>
              <v:fill type="solid"/>
            </v:shape>
            <v:shape style="position:absolute;left:11307;top:1129;width:345;height:278" type="#_x0000_t75" stroked="false">
              <v:imagedata r:id="rId16" o:title=""/>
            </v:shape>
            <v:shape style="position:absolute;left:11378;top:1809;width:251;height:3944" type="#_x0000_t75" stroked="false">
              <v:imagedata r:id="rId10" o:title=""/>
            </v:shape>
            <v:shape style="position:absolute;left:11457;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w:t>
                    </w:r>
                  </w:p>
                </w:txbxContent>
              </v:textbox>
              <w10:wrap type="none"/>
            </v:shape>
            <w10:wrap type="none"/>
          </v:group>
        </w:pict>
      </w:r>
    </w:p>
    <w:p>
      <w:pPr>
        <w:pStyle w:val="BodyText"/>
        <w:spacing w:line="409" w:lineRule="exact" w:before="71"/>
        <w:ind w:left="1089"/>
        <w:jc w:val="both"/>
      </w:pPr>
      <w:r>
        <w:rPr>
          <w:color w:val="231F20"/>
        </w:rPr>
        <w:t>( — ) 篩檢結果符合下列異常者應進行通報：</w:t>
      </w:r>
    </w:p>
    <w:p>
      <w:pPr>
        <w:pStyle w:val="ListParagraph"/>
        <w:numPr>
          <w:ilvl w:val="0"/>
          <w:numId w:val="7"/>
        </w:numPr>
        <w:tabs>
          <w:tab w:pos="1810" w:val="left" w:leader="none"/>
        </w:tabs>
        <w:spacing w:line="230" w:lineRule="auto" w:before="2" w:after="0"/>
        <w:ind w:left="1809" w:right="533" w:hanging="255"/>
        <w:jc w:val="both"/>
        <w:rPr>
          <w:sz w:val="24"/>
        </w:rPr>
      </w:pPr>
      <w:r>
        <w:rPr>
          <w:color w:val="231F20"/>
          <w:spacing w:val="-4"/>
          <w:sz w:val="24"/>
        </w:rPr>
        <w:t>胸部 </w:t>
      </w:r>
      <w:r>
        <w:rPr>
          <w:color w:val="231F20"/>
          <w:sz w:val="24"/>
        </w:rPr>
        <w:t>X</w:t>
      </w:r>
      <w:r>
        <w:rPr>
          <w:color w:val="231F20"/>
          <w:spacing w:val="-3"/>
          <w:sz w:val="24"/>
        </w:rPr>
        <w:t> 光結果：「異常，但無空洞」、「異常，且有空洞」、「肋膜積水」，或醫師臨床判斷疑似肺結核者。</w:t>
      </w:r>
    </w:p>
    <w:p>
      <w:pPr>
        <w:pStyle w:val="ListParagraph"/>
        <w:numPr>
          <w:ilvl w:val="0"/>
          <w:numId w:val="7"/>
        </w:numPr>
        <w:tabs>
          <w:tab w:pos="1809" w:val="left" w:leader="none"/>
        </w:tabs>
        <w:spacing w:line="395" w:lineRule="exact" w:before="0" w:after="0"/>
        <w:ind w:left="1808" w:right="0" w:hanging="255"/>
        <w:jc w:val="both"/>
        <w:rPr>
          <w:sz w:val="24"/>
        </w:rPr>
      </w:pPr>
      <w:r>
        <w:rPr>
          <w:color w:val="231F20"/>
          <w:spacing w:val="-1"/>
          <w:sz w:val="24"/>
        </w:rPr>
        <w:t>結核菌快速分子檢測 </w:t>
      </w:r>
      <w:r>
        <w:rPr>
          <w:color w:val="231F20"/>
          <w:sz w:val="24"/>
        </w:rPr>
        <w:t>MTBC</w:t>
      </w:r>
      <w:r>
        <w:rPr>
          <w:color w:val="231F20"/>
          <w:spacing w:val="-3"/>
          <w:sz w:val="24"/>
        </w:rPr>
        <w:t> 檢驗結果：陽性。</w:t>
      </w:r>
    </w:p>
    <w:p>
      <w:pPr>
        <w:pStyle w:val="BodyText"/>
        <w:spacing w:line="230" w:lineRule="auto" w:before="3"/>
        <w:ind w:left="1809" w:right="533" w:hanging="720"/>
        <w:jc w:val="both"/>
      </w:pPr>
      <w:r>
        <w:rPr>
          <w:color w:val="231F20"/>
        </w:rPr>
        <w:t>( 二 ) 篩檢結果為「異常，無法排除活動性結核病」、「異常，尚需醫師評估結核病可能性」，或診斷結果說明為「肺浸潤」者，應於 2 週內通知受檢者，進行轉介並追蹤後續就診結果。</w:t>
      </w:r>
    </w:p>
    <w:p>
      <w:pPr>
        <w:pStyle w:val="BodyText"/>
        <w:spacing w:line="230" w:lineRule="auto"/>
        <w:ind w:left="1809" w:right="535" w:hanging="720"/>
        <w:jc w:val="both"/>
      </w:pPr>
      <w:r>
        <w:rPr>
          <w:color w:val="231F20"/>
          <w:spacing w:val="-1"/>
        </w:rPr>
        <w:t>( 匹 ) 主動發現篩檢若符合主動發現績效定義，系統將自動勾稽納入結核病主動發現績</w:t>
      </w:r>
      <w:r>
        <w:rPr>
          <w:color w:val="231F20"/>
          <w:spacing w:val="-4"/>
        </w:rPr>
        <w:t>效計算，主動發現績效定義請至結核病追蹤管理系統查詢 ( 路徑：通報登記 ＞ 公</w:t>
      </w:r>
      <w:r>
        <w:rPr>
          <w:color w:val="231F20"/>
          <w:spacing w:val="-7"/>
        </w:rPr>
        <w:t>文與手冊調閱 ＞ 法規命令及公告事項 )。</w:t>
      </w:r>
    </w:p>
    <w:p>
      <w:pPr>
        <w:pStyle w:val="BodyText"/>
        <w:spacing w:line="403" w:lineRule="exact"/>
        <w:ind w:left="851"/>
      </w:pPr>
      <w:r>
        <w:rPr/>
        <w:pict>
          <v:shape style="position:absolute;margin-left:93.500504pt;margin-top:17.778652pt;width:445.6pt;height:293.95pt;mso-position-horizontal-relative:page;mso-position-vertical-relative:paragraph;z-index:25167564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56"/>
                    <w:gridCol w:w="3967"/>
                    <w:gridCol w:w="3967"/>
                  </w:tblGrid>
                  <w:tr>
                    <w:trPr>
                      <w:trHeight w:val="451" w:hRule="atLeast"/>
                    </w:trPr>
                    <w:tc>
                      <w:tcPr>
                        <w:tcW w:w="956" w:type="dxa"/>
                        <w:shd w:val="clear" w:color="auto" w:fill="E6E7E8"/>
                      </w:tcPr>
                      <w:p>
                        <w:pPr>
                          <w:pStyle w:val="TableParagraph"/>
                          <w:spacing w:line="431" w:lineRule="exact"/>
                          <w:ind w:left="97" w:right="83"/>
                          <w:jc w:val="center"/>
                          <w:rPr>
                            <w:rFonts w:ascii="微軟正黑體" w:eastAsia="微軟正黑體" w:hint="eastAsia"/>
                            <w:b/>
                            <w:sz w:val="24"/>
                          </w:rPr>
                        </w:pPr>
                        <w:r>
                          <w:rPr>
                            <w:rFonts w:ascii="微軟正黑體" w:eastAsia="微軟正黑體" w:hint="eastAsia"/>
                            <w:b/>
                            <w:color w:val="231F20"/>
                            <w:sz w:val="24"/>
                          </w:rPr>
                          <w:t>時程</w:t>
                        </w:r>
                      </w:p>
                    </w:tc>
                    <w:tc>
                      <w:tcPr>
                        <w:tcW w:w="3967" w:type="dxa"/>
                        <w:shd w:val="clear" w:color="auto" w:fill="E6E7E8"/>
                      </w:tcPr>
                      <w:p>
                        <w:pPr>
                          <w:pStyle w:val="TableParagraph"/>
                          <w:spacing w:line="431" w:lineRule="exact"/>
                          <w:ind w:left="1603" w:right="1589"/>
                          <w:jc w:val="center"/>
                          <w:rPr>
                            <w:rFonts w:ascii="微軟正黑體" w:eastAsia="微軟正黑體" w:hint="eastAsia"/>
                            <w:b/>
                            <w:sz w:val="24"/>
                          </w:rPr>
                        </w:pPr>
                        <w:r>
                          <w:rPr>
                            <w:rFonts w:ascii="微軟正黑體" w:eastAsia="微軟正黑體" w:hint="eastAsia"/>
                            <w:b/>
                            <w:color w:val="231F20"/>
                            <w:sz w:val="24"/>
                          </w:rPr>
                          <w:t>衛生局</w:t>
                        </w:r>
                      </w:p>
                    </w:tc>
                    <w:tc>
                      <w:tcPr>
                        <w:tcW w:w="3967" w:type="dxa"/>
                        <w:shd w:val="clear" w:color="auto" w:fill="E6E7E8"/>
                      </w:tcPr>
                      <w:p>
                        <w:pPr>
                          <w:pStyle w:val="TableParagraph"/>
                          <w:spacing w:line="431" w:lineRule="exact"/>
                          <w:ind w:left="1603" w:right="1589"/>
                          <w:jc w:val="center"/>
                          <w:rPr>
                            <w:rFonts w:ascii="微軟正黑體" w:eastAsia="微軟正黑體" w:hint="eastAsia"/>
                            <w:b/>
                            <w:sz w:val="24"/>
                          </w:rPr>
                        </w:pPr>
                        <w:r>
                          <w:rPr>
                            <w:rFonts w:ascii="微軟正黑體" w:eastAsia="微軟正黑體" w:hint="eastAsia"/>
                            <w:b/>
                            <w:color w:val="231F20"/>
                            <w:sz w:val="24"/>
                          </w:rPr>
                          <w:t>衛生所</w:t>
                        </w:r>
                      </w:p>
                    </w:tc>
                  </w:tr>
                  <w:tr>
                    <w:trPr>
                      <w:trHeight w:val="2050" w:hRule="atLeast"/>
                    </w:trPr>
                    <w:tc>
                      <w:tcPr>
                        <w:tcW w:w="956" w:type="dxa"/>
                      </w:tcPr>
                      <w:p>
                        <w:pPr>
                          <w:pStyle w:val="TableParagraph"/>
                          <w:spacing w:before="31"/>
                          <w:ind w:left="97" w:right="83"/>
                          <w:jc w:val="center"/>
                          <w:rPr>
                            <w:sz w:val="24"/>
                          </w:rPr>
                        </w:pPr>
                        <w:r>
                          <w:rPr>
                            <w:color w:val="231F20"/>
                            <w:sz w:val="24"/>
                          </w:rPr>
                          <w:t>篩檢前</w:t>
                        </w:r>
                      </w:p>
                    </w:tc>
                    <w:tc>
                      <w:tcPr>
                        <w:tcW w:w="3967" w:type="dxa"/>
                      </w:tcPr>
                      <w:p>
                        <w:pPr>
                          <w:pStyle w:val="TableParagraph"/>
                          <w:numPr>
                            <w:ilvl w:val="0"/>
                            <w:numId w:val="8"/>
                          </w:numPr>
                          <w:tabs>
                            <w:tab w:pos="369" w:val="left" w:leader="none"/>
                          </w:tabs>
                          <w:spacing w:line="230" w:lineRule="auto" w:before="43" w:after="0"/>
                          <w:ind w:left="368" w:right="96" w:hanging="256"/>
                          <w:jc w:val="left"/>
                          <w:rPr>
                            <w:sz w:val="24"/>
                          </w:rPr>
                        </w:pPr>
                        <w:r>
                          <w:rPr>
                            <w:color w:val="231F20"/>
                            <w:spacing w:val="7"/>
                            <w:sz w:val="24"/>
                          </w:rPr>
                          <w:t>界定目標對象並規劃執行方式， </w:t>
                        </w:r>
                        <w:r>
                          <w:rPr>
                            <w:color w:val="231F20"/>
                            <w:sz w:val="24"/>
                          </w:rPr>
                          <w:t>結合相關資源合作或簽訂合約。</w:t>
                        </w:r>
                      </w:p>
                      <w:p>
                        <w:pPr>
                          <w:pStyle w:val="TableParagraph"/>
                          <w:numPr>
                            <w:ilvl w:val="0"/>
                            <w:numId w:val="8"/>
                          </w:numPr>
                          <w:tabs>
                            <w:tab w:pos="369" w:val="left" w:leader="none"/>
                          </w:tabs>
                          <w:spacing w:line="230" w:lineRule="auto" w:before="0" w:after="0"/>
                          <w:ind w:left="368" w:right="87" w:hanging="255"/>
                          <w:jc w:val="left"/>
                          <w:rPr>
                            <w:sz w:val="24"/>
                          </w:rPr>
                        </w:pPr>
                        <w:r>
                          <w:rPr>
                            <w:color w:val="231F20"/>
                            <w:spacing w:val="8"/>
                            <w:sz w:val="24"/>
                          </w:rPr>
                          <w:t>彙整及協調轄區篩檢行程，並依</w:t>
                        </w:r>
                        <w:r>
                          <w:rPr>
                            <w:color w:val="231F20"/>
                            <w:sz w:val="24"/>
                          </w:rPr>
                          <w:t>排定日程表聯繫合約醫院。</w:t>
                        </w:r>
                      </w:p>
                    </w:tc>
                    <w:tc>
                      <w:tcPr>
                        <w:tcW w:w="3967" w:type="dxa"/>
                      </w:tcPr>
                      <w:p>
                        <w:pPr>
                          <w:pStyle w:val="TableParagraph"/>
                          <w:numPr>
                            <w:ilvl w:val="0"/>
                            <w:numId w:val="9"/>
                          </w:numPr>
                          <w:tabs>
                            <w:tab w:pos="369" w:val="left" w:leader="none"/>
                          </w:tabs>
                          <w:spacing w:line="230" w:lineRule="auto" w:before="43" w:after="0"/>
                          <w:ind w:left="368" w:right="86" w:hanging="255"/>
                          <w:jc w:val="left"/>
                          <w:rPr>
                            <w:sz w:val="24"/>
                          </w:rPr>
                        </w:pPr>
                        <w:r>
                          <w:rPr>
                            <w:color w:val="231F20"/>
                            <w:spacing w:val="9"/>
                            <w:sz w:val="24"/>
                          </w:rPr>
                          <w:t>安排篩檢相關事宜並與受檢單位</w:t>
                        </w:r>
                        <w:r>
                          <w:rPr>
                            <w:color w:val="231F20"/>
                            <w:sz w:val="24"/>
                          </w:rPr>
                          <w:t>聯繫溝通。</w:t>
                        </w:r>
                      </w:p>
                      <w:p>
                        <w:pPr>
                          <w:pStyle w:val="TableParagraph"/>
                          <w:numPr>
                            <w:ilvl w:val="0"/>
                            <w:numId w:val="9"/>
                          </w:numPr>
                          <w:tabs>
                            <w:tab w:pos="368" w:val="left" w:leader="none"/>
                          </w:tabs>
                          <w:spacing w:line="395" w:lineRule="exact" w:before="0" w:after="0"/>
                          <w:ind w:left="367" w:right="0" w:hanging="255"/>
                          <w:jc w:val="left"/>
                          <w:rPr>
                            <w:sz w:val="24"/>
                          </w:rPr>
                        </w:pPr>
                        <w:r>
                          <w:rPr>
                            <w:color w:val="231F20"/>
                            <w:sz w:val="24"/>
                          </w:rPr>
                          <w:t>建立篩檢清冊避免重複篩檢。</w:t>
                        </w:r>
                      </w:p>
                      <w:p>
                        <w:pPr>
                          <w:pStyle w:val="TableParagraph"/>
                          <w:numPr>
                            <w:ilvl w:val="0"/>
                            <w:numId w:val="9"/>
                          </w:numPr>
                          <w:tabs>
                            <w:tab w:pos="369" w:val="left" w:leader="none"/>
                          </w:tabs>
                          <w:spacing w:line="400" w:lineRule="exact" w:before="0" w:after="0"/>
                          <w:ind w:left="368" w:right="0" w:hanging="256"/>
                          <w:jc w:val="left"/>
                          <w:rPr>
                            <w:sz w:val="24"/>
                          </w:rPr>
                        </w:pPr>
                        <w:r>
                          <w:rPr>
                            <w:color w:val="231F20"/>
                            <w:spacing w:val="30"/>
                            <w:sz w:val="24"/>
                          </w:rPr>
                          <w:t>利用各種傳播媒體方式進行宣</w:t>
                        </w:r>
                      </w:p>
                      <w:p>
                        <w:pPr>
                          <w:pStyle w:val="TableParagraph"/>
                          <w:spacing w:line="391" w:lineRule="exact"/>
                          <w:ind w:left="368"/>
                          <w:rPr>
                            <w:sz w:val="24"/>
                          </w:rPr>
                        </w:pPr>
                        <w:r>
                          <w:rPr>
                            <w:color w:val="231F20"/>
                            <w:sz w:val="24"/>
                          </w:rPr>
                          <w:t>導。</w:t>
                        </w:r>
                      </w:p>
                    </w:tc>
                  </w:tr>
                  <w:tr>
                    <w:trPr>
                      <w:trHeight w:val="851" w:hRule="atLeast"/>
                    </w:trPr>
                    <w:tc>
                      <w:tcPr>
                        <w:tcW w:w="956" w:type="dxa"/>
                      </w:tcPr>
                      <w:p>
                        <w:pPr>
                          <w:pStyle w:val="TableParagraph"/>
                          <w:spacing w:before="31"/>
                          <w:ind w:left="97" w:right="83"/>
                          <w:jc w:val="center"/>
                          <w:rPr>
                            <w:sz w:val="24"/>
                          </w:rPr>
                        </w:pPr>
                        <w:r>
                          <w:rPr>
                            <w:color w:val="231F20"/>
                            <w:sz w:val="24"/>
                          </w:rPr>
                          <w:t>篩檢中</w:t>
                        </w:r>
                      </w:p>
                    </w:tc>
                    <w:tc>
                      <w:tcPr>
                        <w:tcW w:w="3967" w:type="dxa"/>
                      </w:tcPr>
                      <w:p>
                        <w:pPr>
                          <w:pStyle w:val="TableParagraph"/>
                          <w:spacing w:before="31"/>
                          <w:ind w:left="113"/>
                          <w:rPr>
                            <w:sz w:val="24"/>
                          </w:rPr>
                        </w:pPr>
                        <w:r>
                          <w:rPr>
                            <w:color w:val="231F20"/>
                            <w:sz w:val="24"/>
                          </w:rPr>
                          <w:t>督導篩檢活動及衛教宣導之辦理。</w:t>
                        </w:r>
                      </w:p>
                    </w:tc>
                    <w:tc>
                      <w:tcPr>
                        <w:tcW w:w="3967" w:type="dxa"/>
                      </w:tcPr>
                      <w:p>
                        <w:pPr>
                          <w:pStyle w:val="TableParagraph"/>
                          <w:spacing w:line="409" w:lineRule="exact" w:before="31"/>
                          <w:ind w:left="113"/>
                          <w:rPr>
                            <w:sz w:val="24"/>
                          </w:rPr>
                        </w:pPr>
                        <w:r>
                          <w:rPr>
                            <w:color w:val="231F20"/>
                            <w:sz w:val="24"/>
                          </w:rPr>
                          <w:t>篩檢當日派員至現場協助及辦理衛</w:t>
                        </w:r>
                      </w:p>
                      <w:p>
                        <w:pPr>
                          <w:pStyle w:val="TableParagraph"/>
                          <w:spacing w:line="391" w:lineRule="exact"/>
                          <w:ind w:left="113"/>
                          <w:rPr>
                            <w:sz w:val="24"/>
                          </w:rPr>
                        </w:pPr>
                        <w:r>
                          <w:rPr>
                            <w:color w:val="231F20"/>
                            <w:sz w:val="24"/>
                          </w:rPr>
                          <w:t>教宣導。</w:t>
                        </w:r>
                      </w:p>
                    </w:tc>
                  </w:tr>
                  <w:tr>
                    <w:trPr>
                      <w:trHeight w:val="2450" w:hRule="atLeast"/>
                    </w:trPr>
                    <w:tc>
                      <w:tcPr>
                        <w:tcW w:w="956" w:type="dxa"/>
                      </w:tcPr>
                      <w:p>
                        <w:pPr>
                          <w:pStyle w:val="TableParagraph"/>
                          <w:spacing w:before="31"/>
                          <w:ind w:left="97" w:right="83"/>
                          <w:jc w:val="center"/>
                          <w:rPr>
                            <w:sz w:val="24"/>
                          </w:rPr>
                        </w:pPr>
                        <w:r>
                          <w:rPr>
                            <w:color w:val="231F20"/>
                            <w:sz w:val="24"/>
                          </w:rPr>
                          <w:t>篩檢後</w:t>
                        </w:r>
                      </w:p>
                    </w:tc>
                    <w:tc>
                      <w:tcPr>
                        <w:tcW w:w="3967" w:type="dxa"/>
                      </w:tcPr>
                      <w:p>
                        <w:pPr>
                          <w:pStyle w:val="TableParagraph"/>
                          <w:numPr>
                            <w:ilvl w:val="0"/>
                            <w:numId w:val="10"/>
                          </w:numPr>
                          <w:tabs>
                            <w:tab w:pos="369" w:val="left" w:leader="none"/>
                          </w:tabs>
                          <w:spacing w:line="230" w:lineRule="auto" w:before="43" w:after="0"/>
                          <w:ind w:left="368" w:right="86" w:hanging="256"/>
                          <w:jc w:val="both"/>
                          <w:rPr>
                            <w:sz w:val="24"/>
                          </w:rPr>
                        </w:pPr>
                        <w:r>
                          <w:rPr>
                            <w:color w:val="231F20"/>
                            <w:spacing w:val="9"/>
                            <w:sz w:val="24"/>
                          </w:rPr>
                          <w:t>將受檢者相關資料及篩檢結果上</w:t>
                        </w:r>
                        <w:r>
                          <w:rPr>
                            <w:color w:val="231F20"/>
                            <w:sz w:val="24"/>
                          </w:rPr>
                          <w:t>傳至結核病追蹤管理系統。</w:t>
                        </w:r>
                      </w:p>
                      <w:p>
                        <w:pPr>
                          <w:pStyle w:val="TableParagraph"/>
                          <w:numPr>
                            <w:ilvl w:val="0"/>
                            <w:numId w:val="10"/>
                          </w:numPr>
                          <w:tabs>
                            <w:tab w:pos="369" w:val="left" w:leader="none"/>
                          </w:tabs>
                          <w:spacing w:line="230" w:lineRule="auto" w:before="0" w:after="0"/>
                          <w:ind w:left="368" w:right="62" w:hanging="255"/>
                          <w:jc w:val="both"/>
                          <w:rPr>
                            <w:sz w:val="24"/>
                          </w:rPr>
                        </w:pPr>
                        <w:r>
                          <w:rPr>
                            <w:color w:val="231F20"/>
                            <w:spacing w:val="9"/>
                            <w:sz w:val="24"/>
                          </w:rPr>
                          <w:t>針對符合通報條件之篩檢異常者</w:t>
                        </w:r>
                        <w:r>
                          <w:rPr>
                            <w:color w:val="231F20"/>
                            <w:spacing w:val="28"/>
                            <w:sz w:val="24"/>
                          </w:rPr>
                          <w:t>辦理個案通報登記作業，並督</w:t>
                        </w:r>
                        <w:r>
                          <w:rPr>
                            <w:color w:val="231F20"/>
                            <w:spacing w:val="9"/>
                            <w:sz w:val="24"/>
                          </w:rPr>
                          <w:t>導受檢者所屬衛生所追蹤複查結</w:t>
                        </w:r>
                      </w:p>
                      <w:p>
                        <w:pPr>
                          <w:pStyle w:val="TableParagraph"/>
                          <w:spacing w:line="385" w:lineRule="exact"/>
                          <w:ind w:left="368"/>
                          <w:rPr>
                            <w:sz w:val="24"/>
                          </w:rPr>
                        </w:pPr>
                        <w:r>
                          <w:rPr>
                            <w:color w:val="231F20"/>
                            <w:sz w:val="24"/>
                          </w:rPr>
                          <w:t>果。</w:t>
                        </w:r>
                      </w:p>
                    </w:tc>
                    <w:tc>
                      <w:tcPr>
                        <w:tcW w:w="3967" w:type="dxa"/>
                      </w:tcPr>
                      <w:p>
                        <w:pPr>
                          <w:pStyle w:val="TableParagraph"/>
                          <w:spacing w:line="230" w:lineRule="auto" w:before="43"/>
                          <w:ind w:left="113" w:right="87"/>
                          <w:rPr>
                            <w:sz w:val="24"/>
                          </w:rPr>
                        </w:pPr>
                        <w:r>
                          <w:rPr>
                            <w:color w:val="231F20"/>
                            <w:sz w:val="24"/>
                          </w:rPr>
                          <w:t>訪視篩檢結果異常之受檢者並追蹤管理。</w:t>
                        </w:r>
                      </w:p>
                    </w:tc>
                  </w:tr>
                </w:tbl>
                <w:p>
                  <w:pPr>
                    <w:pStyle w:val="BodyText"/>
                  </w:pPr>
                </w:p>
              </w:txbxContent>
            </v:textbox>
            <w10:wrap type="none"/>
          </v:shape>
        </w:pict>
      </w:r>
      <w:r>
        <w:rPr>
          <w:color w:val="231F20"/>
        </w:rPr>
        <w:t>匹、作業分工</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
        <w:rPr>
          <w:sz w:val="43"/>
        </w:rPr>
      </w:pPr>
    </w:p>
    <w:p>
      <w:pPr>
        <w:pStyle w:val="BodyText"/>
        <w:spacing w:line="409" w:lineRule="exact" w:before="1"/>
        <w:ind w:left="851"/>
      </w:pPr>
      <w:r>
        <w:rPr>
          <w:color w:val="231F20"/>
        </w:rPr>
        <w:t>五、結核病追蹤管理系統功能概述 ( 頁籤：「主動發現」)</w:t>
      </w:r>
    </w:p>
    <w:p>
      <w:pPr>
        <w:pStyle w:val="BodyText"/>
        <w:tabs>
          <w:tab w:pos="1809" w:val="left" w:leader="none"/>
        </w:tabs>
        <w:spacing w:line="230" w:lineRule="auto" w:before="2"/>
        <w:ind w:left="1809" w:right="533" w:hanging="720"/>
      </w:pPr>
      <w:r>
        <w:rPr>
          <w:color w:val="231F20"/>
          <w:spacing w:val="-5"/>
        </w:rPr>
        <w:t>( </w:t>
      </w:r>
      <w:r>
        <w:rPr>
          <w:color w:val="231F20"/>
        </w:rPr>
        <w:t>＿</w:t>
      </w:r>
      <w:r>
        <w:rPr>
          <w:color w:val="231F20"/>
          <w:spacing w:val="-4"/>
        </w:rPr>
        <w:t> )</w:t>
      </w:r>
      <w:r>
        <w:rPr>
          <w:color w:val="231F20"/>
        </w:rPr>
        <w:tab/>
      </w:r>
      <w:r>
        <w:rPr>
          <w:color w:val="231F20"/>
          <w:spacing w:val="-1"/>
        </w:rPr>
        <w:t>「資料上載」：將各類優先族群受檢者 ( 不含接觸者、</w:t>
      </w:r>
      <w:r>
        <w:rPr>
          <w:color w:val="231F20"/>
          <w:spacing w:val="-4"/>
        </w:rPr>
        <w:t>LTBI</w:t>
      </w:r>
      <w:r>
        <w:rPr>
          <w:color w:val="231F20"/>
          <w:spacing w:val="-5"/>
        </w:rPr>
        <w:t> 計畫 ) 相關資料及篩</w:t>
      </w:r>
      <w:r>
        <w:rPr>
          <w:color w:val="231F20"/>
        </w:rPr>
        <w:t>檢結果進行批次上傳或更新。</w:t>
      </w:r>
    </w:p>
    <w:p>
      <w:pPr>
        <w:pStyle w:val="BodyText"/>
        <w:tabs>
          <w:tab w:pos="1810" w:val="left" w:leader="none"/>
        </w:tabs>
        <w:spacing w:line="230" w:lineRule="auto"/>
        <w:ind w:left="1809" w:right="537" w:hanging="720"/>
      </w:pPr>
      <w:r>
        <w:rPr>
          <w:color w:val="231F20"/>
          <w:spacing w:val="-4"/>
        </w:rPr>
        <w:t>( — )</w:t>
      </w:r>
      <w:r>
        <w:rPr>
          <w:color w:val="231F20"/>
        </w:rPr>
        <w:tab/>
        <w:tab/>
      </w:r>
      <w:r>
        <w:rPr>
          <w:color w:val="231F20"/>
          <w:spacing w:val="-1"/>
        </w:rPr>
        <w:t>「主動發現個案篩檢清冊」：查詢山地原鄉及縣市選定之優先族群主動發現篩檢</w:t>
      </w:r>
      <w:r>
        <w:rPr>
          <w:color w:val="231F20"/>
        </w:rPr>
        <w:t>統計或列表清冊。</w:t>
      </w:r>
    </w:p>
    <w:p>
      <w:pPr>
        <w:pStyle w:val="BodyText"/>
        <w:tabs>
          <w:tab w:pos="1809" w:val="left" w:leader="none"/>
        </w:tabs>
        <w:spacing w:line="395" w:lineRule="exact"/>
        <w:ind w:left="1089"/>
      </w:pPr>
      <w:r>
        <w:rPr>
          <w:color w:val="231F20"/>
        </w:rPr>
        <w:t>(</w:t>
      </w:r>
      <w:r>
        <w:rPr>
          <w:color w:val="231F20"/>
          <w:spacing w:val="-9"/>
        </w:rPr>
        <w:t> </w:t>
      </w:r>
      <w:r>
        <w:rPr>
          <w:color w:val="231F20"/>
        </w:rPr>
        <w:t>二</w:t>
      </w:r>
      <w:r>
        <w:rPr>
          <w:color w:val="231F20"/>
          <w:spacing w:val="-8"/>
        </w:rPr>
        <w:t> </w:t>
      </w:r>
      <w:r>
        <w:rPr>
          <w:color w:val="231F20"/>
        </w:rPr>
        <w:t>)</w:t>
        <w:tab/>
        <w:t>「主動發現績效」：系統自動勾稽符合主動發現績效定義之結果。</w:t>
      </w:r>
    </w:p>
    <w:p>
      <w:pPr>
        <w:pStyle w:val="BodyText"/>
        <w:tabs>
          <w:tab w:pos="1809" w:val="left" w:leader="none"/>
        </w:tabs>
        <w:spacing w:line="230" w:lineRule="auto"/>
        <w:ind w:left="1809" w:right="528" w:hanging="720"/>
      </w:pPr>
      <w:r>
        <w:rPr>
          <w:color w:val="231F20"/>
        </w:rPr>
        <w:t>(</w:t>
      </w:r>
      <w:r>
        <w:rPr>
          <w:color w:val="231F20"/>
          <w:spacing w:val="-9"/>
        </w:rPr>
        <w:t> </w:t>
      </w:r>
      <w:r>
        <w:rPr>
          <w:color w:val="231F20"/>
        </w:rPr>
        <w:t>匹</w:t>
      </w:r>
      <w:r>
        <w:rPr>
          <w:color w:val="231F20"/>
          <w:spacing w:val="-8"/>
        </w:rPr>
        <w:t> </w:t>
      </w:r>
      <w:r>
        <w:rPr>
          <w:color w:val="231F20"/>
        </w:rPr>
        <w:t>)</w:t>
        <w:tab/>
        <w:t>「</w:t>
      </w:r>
      <w:r>
        <w:rPr>
          <w:color w:val="231F20"/>
          <w:spacing w:val="-4"/>
        </w:rPr>
        <w:t>LTBI</w:t>
      </w:r>
      <w:r>
        <w:rPr>
          <w:color w:val="231F20"/>
          <w:spacing w:val="-26"/>
        </w:rPr>
        <w:t> </w:t>
      </w:r>
      <w:r>
        <w:rPr>
          <w:color w:val="231F20"/>
          <w:spacing w:val="5"/>
        </w:rPr>
        <w:t>主動發現專案計畫</w:t>
      </w:r>
      <w:r>
        <w:rPr>
          <w:color w:val="231F20"/>
        </w:rPr>
        <w:t>」</w:t>
      </w:r>
      <w:r>
        <w:rPr>
          <w:color w:val="231F20"/>
          <w:spacing w:val="5"/>
        </w:rPr>
        <w:t>：查</w:t>
      </w:r>
      <w:r>
        <w:rPr>
          <w:color w:val="231F20"/>
        </w:rPr>
        <w:t>詢</w:t>
      </w:r>
      <w:r>
        <w:rPr>
          <w:color w:val="231F20"/>
          <w:spacing w:val="-26"/>
        </w:rPr>
        <w:t> </w:t>
      </w:r>
      <w:r>
        <w:rPr>
          <w:color w:val="231F20"/>
          <w:spacing w:val="-4"/>
        </w:rPr>
        <w:t>LTBI</w:t>
      </w:r>
      <w:r>
        <w:rPr>
          <w:color w:val="231F20"/>
          <w:spacing w:val="-26"/>
        </w:rPr>
        <w:t> </w:t>
      </w:r>
      <w:r>
        <w:rPr>
          <w:color w:val="231F20"/>
          <w:spacing w:val="5"/>
        </w:rPr>
        <w:t>專案主動發現篩檢列表清</w:t>
      </w:r>
      <w:r>
        <w:rPr>
          <w:color w:val="231F20"/>
        </w:rPr>
        <w:t>冊</w:t>
      </w:r>
      <w:r>
        <w:rPr>
          <w:color w:val="231F20"/>
          <w:spacing w:val="5"/>
        </w:rPr>
        <w:t>，相關功能</w:t>
      </w:r>
      <w:r>
        <w:rPr>
          <w:color w:val="231F20"/>
        </w:rPr>
        <w:t>包括：</w:t>
      </w:r>
    </w:p>
    <w:p>
      <w:pPr>
        <w:pStyle w:val="ListParagraph"/>
        <w:numPr>
          <w:ilvl w:val="0"/>
          <w:numId w:val="11"/>
        </w:numPr>
        <w:tabs>
          <w:tab w:pos="1810" w:val="left" w:leader="none"/>
        </w:tabs>
        <w:spacing w:line="404" w:lineRule="exact" w:before="0" w:after="0"/>
        <w:ind w:left="1809" w:right="0" w:hanging="256"/>
        <w:jc w:val="left"/>
        <w:rPr>
          <w:sz w:val="24"/>
        </w:rPr>
      </w:pPr>
      <w:r>
        <w:rPr>
          <w:color w:val="231F20"/>
          <w:spacing w:val="-4"/>
          <w:sz w:val="24"/>
        </w:rPr>
        <w:t>就醫轉介單 ( 優先族群 )：針對長照機構、山地原鄉、矯正機關 LTBI</w:t>
      </w:r>
      <w:r>
        <w:rPr>
          <w:color w:val="231F20"/>
          <w:sz w:val="24"/>
        </w:rPr>
        <w:t> 專案須就醫</w:t>
      </w:r>
    </w:p>
    <w:p>
      <w:pPr>
        <w:spacing w:after="0" w:line="404" w:lineRule="exact"/>
        <w:jc w:val="left"/>
        <w:rPr>
          <w:sz w:val="24"/>
        </w:rPr>
        <w:sectPr>
          <w:pgSz w:w="11910" w:h="16840"/>
          <w:pgMar w:top="860" w:bottom="0" w:left="520" w:right="600"/>
        </w:sectPr>
      </w:pPr>
    </w:p>
    <w:p>
      <w:pPr>
        <w:pStyle w:val="BodyText"/>
        <w:spacing w:before="16"/>
        <w:rPr>
          <w:sz w:val="9"/>
        </w:rPr>
      </w:pPr>
      <w:r>
        <w:rPr/>
        <w:pict>
          <v:group style="position:absolute;margin-left:-.000001pt;margin-top:43.141998pt;width:37.35pt;height:798.6pt;mso-position-horizontal-relative:page;mso-position-vertical-relative:page;z-index:-266380288" coordorigin="0,863" coordsize="747,15972">
            <v:shape style="position:absolute;left:178;top:1374;width:439;height:15460" type="#_x0000_t75" stroked="false">
              <v:imagedata r:id="rId11" o:title=""/>
            </v:shape>
            <v:shape style="position:absolute;left:0;top:862;width:747;height:812" coordorigin="0,863" coordsize="747,812" path="m365,863l0,863,0,1674,365,1674,387,1672,447,1638,713,1356,747,1268,738,1222,447,899,387,865,365,863xe" filled="true" fillcolor="#49b7cf" stroked="false">
              <v:path arrowok="t"/>
              <v:fill type="solid"/>
            </v:shape>
            <v:shape style="position:absolute;left:202;top:1129;width:345;height:278" type="#_x0000_t75" stroked="false">
              <v:imagedata r:id="rId17" o:title=""/>
            </v:shape>
            <v:shape style="position:absolute;left:273;top:1809;width:251;height:3944" type="#_x0000_t75" stroked="false">
              <v:imagedata r:id="rId18" o:title=""/>
            </v:shape>
            <v:shape style="position:absolute;left:355;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6</w:t>
                    </w:r>
                  </w:p>
                </w:txbxContent>
              </v:textbox>
              <w10:wrap type="none"/>
            </v:shape>
            <w10:wrap type="none"/>
          </v:group>
        </w:pict>
      </w:r>
    </w:p>
    <w:p>
      <w:pPr>
        <w:pStyle w:val="BodyText"/>
        <w:spacing w:line="409" w:lineRule="exact" w:before="71"/>
        <w:ind w:left="1812"/>
      </w:pPr>
      <w:r>
        <w:rPr>
          <w:color w:val="231F20"/>
        </w:rPr>
        <w:t>轉介評估者，輸入證號及勾選檢查及評估項目，自動產出就醫轉介表單。</w:t>
      </w:r>
    </w:p>
    <w:p>
      <w:pPr>
        <w:pStyle w:val="BodyText"/>
        <w:tabs>
          <w:tab w:pos="1812" w:val="left" w:leader="none"/>
        </w:tabs>
        <w:spacing w:line="230" w:lineRule="auto" w:before="2"/>
        <w:ind w:left="1812" w:right="528" w:hanging="720"/>
      </w:pPr>
      <w:r>
        <w:rPr>
          <w:color w:val="231F20"/>
        </w:rPr>
        <w:t>(</w:t>
      </w:r>
      <w:r>
        <w:rPr>
          <w:color w:val="231F20"/>
          <w:spacing w:val="-9"/>
        </w:rPr>
        <w:t> </w:t>
      </w:r>
      <w:r>
        <w:rPr>
          <w:color w:val="231F20"/>
        </w:rPr>
        <w:t>五</w:t>
      </w:r>
      <w:r>
        <w:rPr>
          <w:color w:val="231F20"/>
          <w:spacing w:val="-8"/>
        </w:rPr>
        <w:t> </w:t>
      </w:r>
      <w:r>
        <w:rPr>
          <w:color w:val="231F20"/>
        </w:rPr>
        <w:t>)</w:t>
        <w:tab/>
        <w:t>「</w:t>
      </w:r>
      <w:r>
        <w:rPr>
          <w:color w:val="231F20"/>
          <w:spacing w:val="-4"/>
        </w:rPr>
        <w:t>LTBI</w:t>
      </w:r>
      <w:r>
        <w:rPr>
          <w:color w:val="231F20"/>
          <w:spacing w:val="-8"/>
        </w:rPr>
        <w:t> </w:t>
      </w:r>
      <w:r>
        <w:rPr>
          <w:color w:val="231F20"/>
          <w:spacing w:val="4"/>
        </w:rPr>
        <w:t>主動發現專案上載及更新</w:t>
      </w:r>
      <w:r>
        <w:rPr>
          <w:color w:val="231F20"/>
        </w:rPr>
        <w:t>」</w:t>
      </w:r>
      <w:r>
        <w:rPr>
          <w:color w:val="231F20"/>
          <w:spacing w:val="4"/>
        </w:rPr>
        <w:t>：將各</w:t>
      </w:r>
      <w:r>
        <w:rPr>
          <w:color w:val="231F20"/>
        </w:rPr>
        <w:t>類</w:t>
      </w:r>
      <w:r>
        <w:rPr>
          <w:color w:val="231F20"/>
          <w:spacing w:val="-25"/>
        </w:rPr>
        <w:t> </w:t>
      </w:r>
      <w:r>
        <w:rPr>
          <w:color w:val="231F20"/>
          <w:spacing w:val="-4"/>
        </w:rPr>
        <w:t>LTBI</w:t>
      </w:r>
      <w:r>
        <w:rPr>
          <w:color w:val="231F20"/>
          <w:spacing w:val="-24"/>
        </w:rPr>
        <w:t> </w:t>
      </w:r>
      <w:r>
        <w:rPr>
          <w:color w:val="231F20"/>
          <w:spacing w:val="4"/>
        </w:rPr>
        <w:t>計畫對象相關資料及篩檢結果</w:t>
      </w:r>
      <w:r>
        <w:rPr>
          <w:color w:val="231F20"/>
        </w:rPr>
        <w:t>進行批次上傳或更新結果，其他相關功能包括：</w:t>
      </w:r>
    </w:p>
    <w:p>
      <w:pPr>
        <w:pStyle w:val="ListParagraph"/>
        <w:numPr>
          <w:ilvl w:val="0"/>
          <w:numId w:val="11"/>
        </w:numPr>
        <w:tabs>
          <w:tab w:pos="1813" w:val="left" w:leader="none"/>
        </w:tabs>
        <w:spacing w:line="230" w:lineRule="auto" w:before="0" w:after="0"/>
        <w:ind w:left="1812" w:right="535" w:hanging="256"/>
        <w:jc w:val="left"/>
        <w:rPr>
          <w:sz w:val="24"/>
        </w:rPr>
      </w:pPr>
      <w:r>
        <w:rPr>
          <w:color w:val="231F20"/>
          <w:sz w:val="24"/>
        </w:rPr>
        <w:t>專案證號勾稽上載：批次上載證號進行結核病個案、接觸者、</w:t>
      </w:r>
      <w:r>
        <w:rPr>
          <w:color w:val="231F20"/>
          <w:spacing w:val="-4"/>
          <w:sz w:val="24"/>
        </w:rPr>
        <w:t>LTBI</w:t>
      </w:r>
      <w:r>
        <w:rPr>
          <w:color w:val="231F20"/>
          <w:spacing w:val="-9"/>
          <w:sz w:val="24"/>
        </w:rPr>
        <w:t> 檢驗勾稽，上</w:t>
      </w:r>
      <w:r>
        <w:rPr>
          <w:color w:val="231F20"/>
          <w:sz w:val="24"/>
        </w:rPr>
        <w:t>傳隔日可於「專案證號勾稽上載記錄及資料下載」下載結果。</w:t>
      </w:r>
    </w:p>
    <w:p>
      <w:pPr>
        <w:pStyle w:val="BodyText"/>
        <w:spacing w:before="1"/>
        <w:rPr>
          <w:sz w:val="20"/>
        </w:rPr>
      </w:pPr>
    </w:p>
    <w:p>
      <w:pPr>
        <w:pStyle w:val="Heading2"/>
        <w:spacing w:line="240" w:lineRule="auto"/>
        <w:ind w:left="617"/>
      </w:pPr>
      <w:r>
        <w:rPr/>
        <w:pict>
          <v:shape style="position:absolute;margin-left:56.848499pt;margin-top:20.112860pt;width:481.9pt;height:395.6pt;mso-position-horizontal-relative:page;mso-position-vertical-relative:paragraph;z-index:25167872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92"/>
                    <w:gridCol w:w="1194"/>
                    <w:gridCol w:w="992"/>
                    <w:gridCol w:w="992"/>
                    <w:gridCol w:w="5448"/>
                  </w:tblGrid>
                  <w:tr>
                    <w:trPr>
                      <w:trHeight w:val="451" w:hRule="atLeast"/>
                    </w:trPr>
                    <w:tc>
                      <w:tcPr>
                        <w:tcW w:w="4170" w:type="dxa"/>
                        <w:gridSpan w:val="4"/>
                        <w:shd w:val="clear" w:color="auto" w:fill="E6E7E8"/>
                      </w:tcPr>
                      <w:p>
                        <w:pPr>
                          <w:pStyle w:val="TableParagraph"/>
                          <w:spacing w:line="400" w:lineRule="exact" w:before="31"/>
                          <w:ind w:left="1583" w:right="1571"/>
                          <w:jc w:val="center"/>
                          <w:rPr>
                            <w:sz w:val="24"/>
                          </w:rPr>
                        </w:pPr>
                        <w:r>
                          <w:rPr>
                            <w:color w:val="231F20"/>
                            <w:sz w:val="24"/>
                          </w:rPr>
                          <w:t>主責單位</w:t>
                        </w:r>
                      </w:p>
                    </w:tc>
                    <w:tc>
                      <w:tcPr>
                        <w:tcW w:w="5448" w:type="dxa"/>
                        <w:vMerge w:val="restart"/>
                        <w:shd w:val="clear" w:color="auto" w:fill="E6E7E8"/>
                      </w:tcPr>
                      <w:p>
                        <w:pPr>
                          <w:pStyle w:val="TableParagraph"/>
                          <w:spacing w:before="5"/>
                          <w:rPr>
                            <w:rFonts w:ascii="微軟正黑體"/>
                            <w:b/>
                            <w:sz w:val="25"/>
                          </w:rPr>
                        </w:pPr>
                      </w:p>
                      <w:p>
                        <w:pPr>
                          <w:pStyle w:val="TableParagraph"/>
                          <w:ind w:left="2221" w:right="2211"/>
                          <w:jc w:val="center"/>
                          <w:rPr>
                            <w:sz w:val="24"/>
                          </w:rPr>
                        </w:pPr>
                        <w:r>
                          <w:rPr>
                            <w:color w:val="231F20"/>
                            <w:sz w:val="24"/>
                          </w:rPr>
                          <w:t>工作項目</w:t>
                        </w:r>
                      </w:p>
                    </w:tc>
                  </w:tr>
                  <w:tr>
                    <w:trPr>
                      <w:trHeight w:val="851" w:hRule="atLeast"/>
                    </w:trPr>
                    <w:tc>
                      <w:tcPr>
                        <w:tcW w:w="992" w:type="dxa"/>
                        <w:shd w:val="clear" w:color="auto" w:fill="E6E7E8"/>
                      </w:tcPr>
                      <w:p>
                        <w:pPr>
                          <w:pStyle w:val="TableParagraph"/>
                          <w:spacing w:line="409" w:lineRule="exact" w:before="31"/>
                          <w:ind w:left="135"/>
                          <w:rPr>
                            <w:sz w:val="24"/>
                          </w:rPr>
                        </w:pPr>
                        <w:r>
                          <w:rPr>
                            <w:color w:val="231F20"/>
                            <w:sz w:val="24"/>
                          </w:rPr>
                          <w:t>疾管署</w:t>
                        </w:r>
                      </w:p>
                      <w:p>
                        <w:pPr>
                          <w:pStyle w:val="TableParagraph"/>
                          <w:spacing w:line="391" w:lineRule="exact"/>
                          <w:ind w:left="135"/>
                          <w:rPr>
                            <w:sz w:val="24"/>
                          </w:rPr>
                        </w:pPr>
                        <w:r>
                          <w:rPr>
                            <w:color w:val="231F20"/>
                            <w:sz w:val="24"/>
                          </w:rPr>
                          <w:t>慢性組</w:t>
                        </w:r>
                      </w:p>
                    </w:tc>
                    <w:tc>
                      <w:tcPr>
                        <w:tcW w:w="1194" w:type="dxa"/>
                        <w:shd w:val="clear" w:color="auto" w:fill="E6E7E8"/>
                      </w:tcPr>
                      <w:p>
                        <w:pPr>
                          <w:pStyle w:val="TableParagraph"/>
                          <w:spacing w:line="409" w:lineRule="exact" w:before="31"/>
                          <w:ind w:left="236"/>
                          <w:rPr>
                            <w:sz w:val="24"/>
                          </w:rPr>
                        </w:pPr>
                        <w:r>
                          <w:rPr>
                            <w:color w:val="231F20"/>
                            <w:sz w:val="24"/>
                          </w:rPr>
                          <w:t>疾管署</w:t>
                        </w:r>
                      </w:p>
                      <w:p>
                        <w:pPr>
                          <w:pStyle w:val="TableParagraph"/>
                          <w:spacing w:line="391" w:lineRule="exact"/>
                          <w:ind w:left="116"/>
                          <w:rPr>
                            <w:sz w:val="24"/>
                          </w:rPr>
                        </w:pPr>
                        <w:r>
                          <w:rPr>
                            <w:color w:val="231F20"/>
                            <w:sz w:val="24"/>
                          </w:rPr>
                          <w:t>區管中心</w:t>
                        </w:r>
                      </w:p>
                    </w:tc>
                    <w:tc>
                      <w:tcPr>
                        <w:tcW w:w="992" w:type="dxa"/>
                        <w:shd w:val="clear" w:color="auto" w:fill="E6E7E8"/>
                      </w:tcPr>
                      <w:p>
                        <w:pPr>
                          <w:pStyle w:val="TableParagraph"/>
                          <w:spacing w:before="231"/>
                          <w:ind w:left="114" w:right="102"/>
                          <w:jc w:val="center"/>
                          <w:rPr>
                            <w:sz w:val="24"/>
                          </w:rPr>
                        </w:pPr>
                        <w:r>
                          <w:rPr>
                            <w:color w:val="231F20"/>
                            <w:sz w:val="24"/>
                          </w:rPr>
                          <w:t>衛生局</w:t>
                        </w:r>
                      </w:p>
                    </w:tc>
                    <w:tc>
                      <w:tcPr>
                        <w:tcW w:w="992" w:type="dxa"/>
                        <w:shd w:val="clear" w:color="auto" w:fill="E6E7E8"/>
                      </w:tcPr>
                      <w:p>
                        <w:pPr>
                          <w:pStyle w:val="TableParagraph"/>
                          <w:spacing w:before="231"/>
                          <w:ind w:left="113" w:right="102"/>
                          <w:jc w:val="center"/>
                          <w:rPr>
                            <w:sz w:val="24"/>
                          </w:rPr>
                        </w:pPr>
                        <w:r>
                          <w:rPr>
                            <w:color w:val="231F20"/>
                            <w:sz w:val="24"/>
                          </w:rPr>
                          <w:t>衛生所</w:t>
                        </w:r>
                      </w:p>
                    </w:tc>
                    <w:tc>
                      <w:tcPr>
                        <w:tcW w:w="5448" w:type="dxa"/>
                        <w:vMerge/>
                        <w:tcBorders>
                          <w:top w:val="nil"/>
                        </w:tcBorders>
                        <w:shd w:val="clear" w:color="auto" w:fill="E6E7E8"/>
                      </w:tcPr>
                      <w:p>
                        <w:pPr>
                          <w:rPr>
                            <w:sz w:val="2"/>
                            <w:szCs w:val="2"/>
                          </w:rPr>
                        </w:pPr>
                      </w:p>
                    </w:tc>
                  </w:tr>
                  <w:tr>
                    <w:trPr>
                      <w:trHeight w:val="623" w:hRule="atLeast"/>
                    </w:trPr>
                    <w:tc>
                      <w:tcPr>
                        <w:tcW w:w="992" w:type="dxa"/>
                        <w:tcBorders>
                          <w:bottom w:val="nil"/>
                        </w:tcBorders>
                      </w:tcPr>
                      <w:p>
                        <w:pPr>
                          <w:pStyle w:val="TableParagraph"/>
                          <w:rPr>
                            <w:rFonts w:ascii="Times New Roman"/>
                            <w:sz w:val="22"/>
                          </w:rPr>
                        </w:pPr>
                      </w:p>
                    </w:tc>
                    <w:tc>
                      <w:tcPr>
                        <w:tcW w:w="1194" w:type="dxa"/>
                        <w:tcBorders>
                          <w:bottom w:val="nil"/>
                        </w:tcBorders>
                      </w:tcPr>
                      <w:p>
                        <w:pPr>
                          <w:pStyle w:val="TableParagraph"/>
                          <w:rPr>
                            <w:rFonts w:ascii="Times New Roman"/>
                            <w:sz w:val="22"/>
                          </w:rPr>
                        </w:pPr>
                      </w:p>
                    </w:tc>
                    <w:tc>
                      <w:tcPr>
                        <w:tcW w:w="992" w:type="dxa"/>
                        <w:tcBorders>
                          <w:bottom w:val="nil"/>
                        </w:tcBorders>
                      </w:tcPr>
                      <w:p>
                        <w:pPr>
                          <w:pStyle w:val="TableParagraph"/>
                          <w:spacing w:before="58"/>
                          <w:ind w:left="12"/>
                          <w:jc w:val="center"/>
                          <w:rPr>
                            <w:rFonts w:ascii="新細明體" w:eastAsia="新細明體" w:hint="eastAsia"/>
                            <w:sz w:val="24"/>
                          </w:rPr>
                        </w:pPr>
                        <w:r>
                          <w:rPr>
                            <w:rFonts w:ascii="新細明體" w:eastAsia="新細明體" w:hint="eastAsia"/>
                            <w:color w:val="231F20"/>
                            <w:sz w:val="24"/>
                          </w:rPr>
                          <w:t>口</w:t>
                        </w:r>
                      </w:p>
                    </w:tc>
                    <w:tc>
                      <w:tcPr>
                        <w:tcW w:w="992" w:type="dxa"/>
                        <w:tcBorders>
                          <w:bottom w:val="nil"/>
                        </w:tcBorders>
                      </w:tcPr>
                      <w:p>
                        <w:pPr>
                          <w:pStyle w:val="TableParagraph"/>
                          <w:rPr>
                            <w:rFonts w:ascii="Times New Roman"/>
                            <w:sz w:val="22"/>
                          </w:rPr>
                        </w:pPr>
                      </w:p>
                    </w:tc>
                    <w:tc>
                      <w:tcPr>
                        <w:tcW w:w="5448" w:type="dxa"/>
                        <w:vMerge w:val="restart"/>
                      </w:tcPr>
                      <w:p>
                        <w:pPr>
                          <w:pStyle w:val="TableParagraph"/>
                          <w:numPr>
                            <w:ilvl w:val="0"/>
                            <w:numId w:val="12"/>
                          </w:numPr>
                          <w:tabs>
                            <w:tab w:pos="356" w:val="left" w:leader="none"/>
                          </w:tabs>
                          <w:spacing w:line="230" w:lineRule="auto" w:before="43" w:after="0"/>
                          <w:ind w:left="355" w:right="90" w:hanging="244"/>
                          <w:jc w:val="both"/>
                          <w:rPr>
                            <w:sz w:val="24"/>
                          </w:rPr>
                        </w:pPr>
                        <w:r>
                          <w:rPr>
                            <w:color w:val="231F20"/>
                            <w:spacing w:val="8"/>
                            <w:sz w:val="24"/>
                          </w:rPr>
                          <w:t>界定目標對象並規劃執行方式，結合相關資源</w:t>
                        </w:r>
                        <w:r>
                          <w:rPr>
                            <w:color w:val="231F20"/>
                            <w:sz w:val="24"/>
                          </w:rPr>
                          <w:t>合作或簽訂合約。</w:t>
                        </w:r>
                      </w:p>
                      <w:p>
                        <w:pPr>
                          <w:pStyle w:val="TableParagraph"/>
                          <w:numPr>
                            <w:ilvl w:val="0"/>
                            <w:numId w:val="12"/>
                          </w:numPr>
                          <w:tabs>
                            <w:tab w:pos="356" w:val="left" w:leader="none"/>
                          </w:tabs>
                          <w:spacing w:line="410" w:lineRule="exact" w:before="0" w:after="0"/>
                          <w:ind w:left="355" w:right="0" w:hanging="245"/>
                          <w:jc w:val="both"/>
                          <w:rPr>
                            <w:sz w:val="24"/>
                          </w:rPr>
                        </w:pPr>
                        <w:r>
                          <w:rPr>
                            <w:color w:val="231F20"/>
                            <w:sz w:val="24"/>
                          </w:rPr>
                          <w:t>安排篩檢相關事宜，並與受檢單位聯繫溝通。</w:t>
                        </w:r>
                      </w:p>
                      <w:p>
                        <w:pPr>
                          <w:pStyle w:val="TableParagraph"/>
                          <w:numPr>
                            <w:ilvl w:val="0"/>
                            <w:numId w:val="12"/>
                          </w:numPr>
                          <w:tabs>
                            <w:tab w:pos="356" w:val="left" w:leader="none"/>
                          </w:tabs>
                          <w:spacing w:line="230" w:lineRule="auto" w:before="7" w:after="0"/>
                          <w:ind w:left="355" w:right="90" w:hanging="244"/>
                          <w:jc w:val="both"/>
                          <w:rPr>
                            <w:sz w:val="24"/>
                          </w:rPr>
                        </w:pPr>
                        <w:r>
                          <w:rPr>
                            <w:color w:val="231F20"/>
                            <w:spacing w:val="8"/>
                            <w:sz w:val="24"/>
                          </w:rPr>
                          <w:t>彙整及協調轄區篩檢行程，並依排定日程表聯</w:t>
                        </w:r>
                        <w:r>
                          <w:rPr>
                            <w:color w:val="231F20"/>
                            <w:sz w:val="24"/>
                          </w:rPr>
                          <w:t>繫合約醫院。</w:t>
                        </w:r>
                      </w:p>
                      <w:p>
                        <w:pPr>
                          <w:pStyle w:val="TableParagraph"/>
                          <w:numPr>
                            <w:ilvl w:val="0"/>
                            <w:numId w:val="12"/>
                          </w:numPr>
                          <w:tabs>
                            <w:tab w:pos="356" w:val="left" w:leader="none"/>
                          </w:tabs>
                          <w:spacing w:line="410" w:lineRule="exact" w:before="0" w:after="0"/>
                          <w:ind w:left="355" w:right="0" w:hanging="245"/>
                          <w:jc w:val="both"/>
                          <w:rPr>
                            <w:sz w:val="24"/>
                          </w:rPr>
                        </w:pPr>
                        <w:r>
                          <w:rPr>
                            <w:color w:val="231F20"/>
                            <w:sz w:val="24"/>
                          </w:rPr>
                          <w:t>建立篩檢清冊避免重複篩檢。</w:t>
                        </w:r>
                      </w:p>
                      <w:p>
                        <w:pPr>
                          <w:pStyle w:val="TableParagraph"/>
                          <w:numPr>
                            <w:ilvl w:val="0"/>
                            <w:numId w:val="12"/>
                          </w:numPr>
                          <w:tabs>
                            <w:tab w:pos="356" w:val="left" w:leader="none"/>
                          </w:tabs>
                          <w:spacing w:line="230" w:lineRule="auto" w:before="8" w:after="0"/>
                          <w:ind w:left="355" w:right="90" w:hanging="244"/>
                          <w:jc w:val="both"/>
                          <w:rPr>
                            <w:sz w:val="24"/>
                          </w:rPr>
                        </w:pPr>
                        <w:r>
                          <w:rPr>
                            <w:color w:val="231F20"/>
                            <w:spacing w:val="8"/>
                            <w:sz w:val="24"/>
                          </w:rPr>
                          <w:t>篩檢當日派員至現場協助篩檢活動及辦理衛教宣導。</w:t>
                        </w:r>
                      </w:p>
                      <w:p>
                        <w:pPr>
                          <w:pStyle w:val="TableParagraph"/>
                          <w:numPr>
                            <w:ilvl w:val="0"/>
                            <w:numId w:val="12"/>
                          </w:numPr>
                          <w:tabs>
                            <w:tab w:pos="356" w:val="left" w:leader="none"/>
                          </w:tabs>
                          <w:spacing w:line="230" w:lineRule="auto" w:before="8" w:after="0"/>
                          <w:ind w:left="355" w:right="90" w:hanging="244"/>
                          <w:jc w:val="both"/>
                          <w:rPr>
                            <w:sz w:val="24"/>
                          </w:rPr>
                        </w:pPr>
                        <w:r>
                          <w:rPr>
                            <w:color w:val="231F20"/>
                            <w:spacing w:val="8"/>
                            <w:sz w:val="24"/>
                          </w:rPr>
                          <w:t>批次上傳受檢者相關資料及篩檢結果至結核病追蹤管理系統。</w:t>
                        </w:r>
                      </w:p>
                      <w:p>
                        <w:pPr>
                          <w:pStyle w:val="TableParagraph"/>
                          <w:numPr>
                            <w:ilvl w:val="0"/>
                            <w:numId w:val="12"/>
                          </w:numPr>
                          <w:tabs>
                            <w:tab w:pos="356" w:val="left" w:leader="none"/>
                          </w:tabs>
                          <w:spacing w:line="230" w:lineRule="auto" w:before="17" w:after="0"/>
                          <w:ind w:left="355" w:right="90" w:hanging="244"/>
                          <w:jc w:val="both"/>
                          <w:rPr>
                            <w:sz w:val="24"/>
                          </w:rPr>
                        </w:pPr>
                        <w:r>
                          <w:rPr>
                            <w:color w:val="231F20"/>
                            <w:spacing w:val="8"/>
                            <w:sz w:val="24"/>
                          </w:rPr>
                          <w:t>針對符合通報條件之篩檢異常者辦理個案通報</w:t>
                        </w:r>
                        <w:r>
                          <w:rPr>
                            <w:color w:val="231F20"/>
                            <w:spacing w:val="6"/>
                            <w:sz w:val="24"/>
                          </w:rPr>
                          <w:t>登記作業，並督導受檢者所屬衛生所追蹤複查</w:t>
                        </w:r>
                        <w:r>
                          <w:rPr>
                            <w:color w:val="231F20"/>
                            <w:sz w:val="24"/>
                          </w:rPr>
                          <w:t>結果。</w:t>
                        </w:r>
                      </w:p>
                      <w:p>
                        <w:pPr>
                          <w:pStyle w:val="TableParagraph"/>
                          <w:numPr>
                            <w:ilvl w:val="0"/>
                            <w:numId w:val="12"/>
                          </w:numPr>
                          <w:tabs>
                            <w:tab w:pos="356" w:val="left" w:leader="none"/>
                          </w:tabs>
                          <w:spacing w:line="409" w:lineRule="exact" w:before="0" w:after="0"/>
                          <w:ind w:left="355" w:right="0" w:hanging="245"/>
                          <w:jc w:val="left"/>
                          <w:rPr>
                            <w:sz w:val="24"/>
                          </w:rPr>
                        </w:pPr>
                        <w:r>
                          <w:rPr>
                            <w:color w:val="231F20"/>
                            <w:sz w:val="24"/>
                          </w:rPr>
                          <w:t>訪視篩檢結果異常之受檢者並追蹤管理。</w:t>
                        </w:r>
                      </w:p>
                      <w:p>
                        <w:pPr>
                          <w:pStyle w:val="TableParagraph"/>
                          <w:numPr>
                            <w:ilvl w:val="0"/>
                            <w:numId w:val="12"/>
                          </w:numPr>
                          <w:tabs>
                            <w:tab w:pos="356" w:val="left" w:leader="none"/>
                          </w:tabs>
                          <w:spacing w:line="410" w:lineRule="exact" w:before="0" w:after="0"/>
                          <w:ind w:left="355" w:right="0" w:hanging="245"/>
                          <w:jc w:val="left"/>
                          <w:rPr>
                            <w:sz w:val="24"/>
                          </w:rPr>
                        </w:pPr>
                        <w:r>
                          <w:rPr>
                            <w:color w:val="231F20"/>
                            <w:spacing w:val="-3"/>
                            <w:sz w:val="24"/>
                          </w:rPr>
                          <w:t>督導地方衛生局 </w:t>
                        </w:r>
                        <w:r>
                          <w:rPr>
                            <w:color w:val="231F20"/>
                            <w:spacing w:val="1"/>
                            <w:w w:val="70"/>
                            <w:sz w:val="24"/>
                          </w:rPr>
                          <w:t>／ </w:t>
                        </w:r>
                        <w:r>
                          <w:rPr>
                            <w:color w:val="231F20"/>
                            <w:sz w:val="24"/>
                          </w:rPr>
                          <w:t>所辦理主動發現篩檢成效。</w:t>
                        </w:r>
                      </w:p>
                      <w:p>
                        <w:pPr>
                          <w:pStyle w:val="TableParagraph"/>
                          <w:numPr>
                            <w:ilvl w:val="0"/>
                            <w:numId w:val="12"/>
                          </w:numPr>
                          <w:tabs>
                            <w:tab w:pos="356" w:val="left" w:leader="none"/>
                          </w:tabs>
                          <w:spacing w:line="396" w:lineRule="exact" w:before="0" w:after="0"/>
                          <w:ind w:left="355" w:right="0" w:hanging="245"/>
                          <w:jc w:val="left"/>
                          <w:rPr>
                            <w:sz w:val="24"/>
                          </w:rPr>
                        </w:pPr>
                        <w:r>
                          <w:rPr>
                            <w:color w:val="231F20"/>
                            <w:sz w:val="24"/>
                          </w:rPr>
                          <w:t>主動發現篩檢政策規劃。</w:t>
                        </w:r>
                      </w:p>
                    </w:tc>
                  </w:tr>
                  <w:tr>
                    <w:trPr>
                      <w:trHeight w:val="594" w:hRule="atLeast"/>
                    </w:trPr>
                    <w:tc>
                      <w:tcPr>
                        <w:tcW w:w="992" w:type="dxa"/>
                        <w:tcBorders>
                          <w:top w:val="nil"/>
                          <w:bottom w:val="nil"/>
                        </w:tcBorders>
                      </w:tcPr>
                      <w:p>
                        <w:pPr>
                          <w:pStyle w:val="TableParagraph"/>
                          <w:rPr>
                            <w:rFonts w:ascii="Times New Roman"/>
                            <w:sz w:val="22"/>
                          </w:rPr>
                        </w:pPr>
                      </w:p>
                    </w:tc>
                    <w:tc>
                      <w:tcPr>
                        <w:tcW w:w="1194"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spacing w:before="8"/>
                          <w:rPr>
                            <w:rFonts w:ascii="微軟正黑體"/>
                            <w:b/>
                            <w:sz w:val="12"/>
                          </w:rPr>
                        </w:pPr>
                      </w:p>
                      <w:p>
                        <w:pPr>
                          <w:pStyle w:val="TableParagraph"/>
                          <w:spacing w:before="1"/>
                          <w:ind w:left="11"/>
                          <w:jc w:val="center"/>
                          <w:rPr>
                            <w:rFonts w:ascii="新細明體" w:eastAsia="新細明體" w:hint="eastAsia"/>
                            <w:sz w:val="24"/>
                          </w:rPr>
                        </w:pPr>
                        <w:r>
                          <w:rPr>
                            <w:rFonts w:ascii="新細明體" w:eastAsia="新細明體" w:hint="eastAsia"/>
                            <w:color w:val="231F20"/>
                            <w:sz w:val="24"/>
                          </w:rPr>
                          <w:t>口</w:t>
                        </w:r>
                      </w:p>
                    </w:tc>
                    <w:tc>
                      <w:tcPr>
                        <w:tcW w:w="5448" w:type="dxa"/>
                        <w:vMerge/>
                        <w:tcBorders>
                          <w:top w:val="nil"/>
                        </w:tcBorders>
                      </w:tcPr>
                      <w:p>
                        <w:pPr>
                          <w:rPr>
                            <w:sz w:val="2"/>
                            <w:szCs w:val="2"/>
                          </w:rPr>
                        </w:pPr>
                      </w:p>
                    </w:tc>
                  </w:tr>
                  <w:tr>
                    <w:trPr>
                      <w:trHeight w:val="594" w:hRule="atLeast"/>
                    </w:trPr>
                    <w:tc>
                      <w:tcPr>
                        <w:tcW w:w="992" w:type="dxa"/>
                        <w:tcBorders>
                          <w:top w:val="nil"/>
                          <w:bottom w:val="nil"/>
                        </w:tcBorders>
                      </w:tcPr>
                      <w:p>
                        <w:pPr>
                          <w:pStyle w:val="TableParagraph"/>
                          <w:rPr>
                            <w:rFonts w:ascii="Times New Roman"/>
                            <w:sz w:val="22"/>
                          </w:rPr>
                        </w:pPr>
                      </w:p>
                    </w:tc>
                    <w:tc>
                      <w:tcPr>
                        <w:tcW w:w="1194"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spacing w:before="29"/>
                          <w:ind w:left="12"/>
                          <w:jc w:val="center"/>
                          <w:rPr>
                            <w:rFonts w:ascii="新細明體" w:eastAsia="新細明體" w:hint="eastAsia"/>
                            <w:sz w:val="24"/>
                          </w:rPr>
                        </w:pPr>
                        <w:r>
                          <w:rPr>
                            <w:rFonts w:ascii="新細明體" w:eastAsia="新細明體" w:hint="eastAsia"/>
                            <w:color w:val="231F20"/>
                            <w:sz w:val="24"/>
                          </w:rPr>
                          <w:t>口</w:t>
                        </w:r>
                      </w:p>
                    </w:tc>
                    <w:tc>
                      <w:tcPr>
                        <w:tcW w:w="992" w:type="dxa"/>
                        <w:tcBorders>
                          <w:top w:val="nil"/>
                          <w:bottom w:val="nil"/>
                        </w:tcBorders>
                      </w:tcPr>
                      <w:p>
                        <w:pPr>
                          <w:pStyle w:val="TableParagraph"/>
                          <w:rPr>
                            <w:rFonts w:ascii="Times New Roman"/>
                            <w:sz w:val="22"/>
                          </w:rPr>
                        </w:pPr>
                      </w:p>
                    </w:tc>
                    <w:tc>
                      <w:tcPr>
                        <w:tcW w:w="5448" w:type="dxa"/>
                        <w:vMerge/>
                        <w:tcBorders>
                          <w:top w:val="nil"/>
                        </w:tcBorders>
                      </w:tcPr>
                      <w:p>
                        <w:pPr>
                          <w:rPr>
                            <w:sz w:val="2"/>
                            <w:szCs w:val="2"/>
                          </w:rPr>
                        </w:pPr>
                      </w:p>
                    </w:tc>
                  </w:tr>
                  <w:tr>
                    <w:trPr>
                      <w:trHeight w:val="594" w:hRule="atLeast"/>
                    </w:trPr>
                    <w:tc>
                      <w:tcPr>
                        <w:tcW w:w="992" w:type="dxa"/>
                        <w:tcBorders>
                          <w:top w:val="nil"/>
                          <w:bottom w:val="nil"/>
                        </w:tcBorders>
                      </w:tcPr>
                      <w:p>
                        <w:pPr>
                          <w:pStyle w:val="TableParagraph"/>
                          <w:rPr>
                            <w:rFonts w:ascii="Times New Roman"/>
                            <w:sz w:val="22"/>
                          </w:rPr>
                        </w:pPr>
                      </w:p>
                    </w:tc>
                    <w:tc>
                      <w:tcPr>
                        <w:tcW w:w="1194"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spacing w:before="8"/>
                          <w:rPr>
                            <w:rFonts w:ascii="微軟正黑體"/>
                            <w:b/>
                            <w:sz w:val="12"/>
                          </w:rPr>
                        </w:pPr>
                      </w:p>
                      <w:p>
                        <w:pPr>
                          <w:pStyle w:val="TableParagraph"/>
                          <w:spacing w:before="1"/>
                          <w:ind w:left="11"/>
                          <w:jc w:val="center"/>
                          <w:rPr>
                            <w:rFonts w:ascii="新細明體" w:eastAsia="新細明體" w:hint="eastAsia"/>
                            <w:sz w:val="24"/>
                          </w:rPr>
                        </w:pPr>
                        <w:r>
                          <w:rPr>
                            <w:rFonts w:ascii="新細明體" w:eastAsia="新細明體" w:hint="eastAsia"/>
                            <w:color w:val="231F20"/>
                            <w:sz w:val="24"/>
                          </w:rPr>
                          <w:t>口</w:t>
                        </w:r>
                      </w:p>
                    </w:tc>
                    <w:tc>
                      <w:tcPr>
                        <w:tcW w:w="5448" w:type="dxa"/>
                        <w:vMerge/>
                        <w:tcBorders>
                          <w:top w:val="nil"/>
                        </w:tcBorders>
                      </w:tcPr>
                      <w:p>
                        <w:pPr>
                          <w:rPr>
                            <w:sz w:val="2"/>
                            <w:szCs w:val="2"/>
                          </w:rPr>
                        </w:pPr>
                      </w:p>
                    </w:tc>
                  </w:tr>
                  <w:tr>
                    <w:trPr>
                      <w:trHeight w:val="594" w:hRule="atLeast"/>
                    </w:trPr>
                    <w:tc>
                      <w:tcPr>
                        <w:tcW w:w="992" w:type="dxa"/>
                        <w:tcBorders>
                          <w:top w:val="nil"/>
                          <w:bottom w:val="nil"/>
                        </w:tcBorders>
                      </w:tcPr>
                      <w:p>
                        <w:pPr>
                          <w:pStyle w:val="TableParagraph"/>
                          <w:rPr>
                            <w:rFonts w:ascii="Times New Roman"/>
                            <w:sz w:val="22"/>
                          </w:rPr>
                        </w:pPr>
                      </w:p>
                    </w:tc>
                    <w:tc>
                      <w:tcPr>
                        <w:tcW w:w="1194"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spacing w:before="29"/>
                          <w:ind w:left="11"/>
                          <w:jc w:val="center"/>
                          <w:rPr>
                            <w:rFonts w:ascii="新細明體" w:eastAsia="新細明體" w:hint="eastAsia"/>
                            <w:sz w:val="24"/>
                          </w:rPr>
                        </w:pPr>
                        <w:r>
                          <w:rPr>
                            <w:rFonts w:ascii="新細明體" w:eastAsia="新細明體" w:hint="eastAsia"/>
                            <w:color w:val="231F20"/>
                            <w:sz w:val="24"/>
                          </w:rPr>
                          <w:t>口</w:t>
                        </w:r>
                      </w:p>
                    </w:tc>
                    <w:tc>
                      <w:tcPr>
                        <w:tcW w:w="5448" w:type="dxa"/>
                        <w:vMerge/>
                        <w:tcBorders>
                          <w:top w:val="nil"/>
                        </w:tcBorders>
                      </w:tcPr>
                      <w:p>
                        <w:pPr>
                          <w:rPr>
                            <w:sz w:val="2"/>
                            <w:szCs w:val="2"/>
                          </w:rPr>
                        </w:pPr>
                      </w:p>
                    </w:tc>
                  </w:tr>
                  <w:tr>
                    <w:trPr>
                      <w:trHeight w:val="799" w:hRule="atLeast"/>
                    </w:trPr>
                    <w:tc>
                      <w:tcPr>
                        <w:tcW w:w="992" w:type="dxa"/>
                        <w:tcBorders>
                          <w:top w:val="nil"/>
                          <w:bottom w:val="nil"/>
                        </w:tcBorders>
                      </w:tcPr>
                      <w:p>
                        <w:pPr>
                          <w:pStyle w:val="TableParagraph"/>
                          <w:rPr>
                            <w:rFonts w:ascii="Times New Roman"/>
                            <w:sz w:val="22"/>
                          </w:rPr>
                        </w:pPr>
                      </w:p>
                    </w:tc>
                    <w:tc>
                      <w:tcPr>
                        <w:tcW w:w="1194"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spacing w:before="8"/>
                          <w:rPr>
                            <w:rFonts w:ascii="微軟正黑體"/>
                            <w:b/>
                            <w:sz w:val="12"/>
                          </w:rPr>
                        </w:pPr>
                      </w:p>
                      <w:p>
                        <w:pPr>
                          <w:pStyle w:val="TableParagraph"/>
                          <w:spacing w:before="1"/>
                          <w:ind w:left="12"/>
                          <w:jc w:val="center"/>
                          <w:rPr>
                            <w:rFonts w:ascii="新細明體" w:eastAsia="新細明體" w:hint="eastAsia"/>
                            <w:sz w:val="24"/>
                          </w:rPr>
                        </w:pPr>
                        <w:r>
                          <w:rPr>
                            <w:rFonts w:ascii="新細明體" w:eastAsia="新細明體" w:hint="eastAsia"/>
                            <w:color w:val="231F20"/>
                            <w:sz w:val="24"/>
                          </w:rPr>
                          <w:t>口</w:t>
                        </w:r>
                      </w:p>
                    </w:tc>
                    <w:tc>
                      <w:tcPr>
                        <w:tcW w:w="992" w:type="dxa"/>
                        <w:tcBorders>
                          <w:top w:val="nil"/>
                          <w:bottom w:val="nil"/>
                        </w:tcBorders>
                      </w:tcPr>
                      <w:p>
                        <w:pPr>
                          <w:pStyle w:val="TableParagraph"/>
                          <w:rPr>
                            <w:rFonts w:ascii="Times New Roman"/>
                            <w:sz w:val="22"/>
                          </w:rPr>
                        </w:pPr>
                      </w:p>
                    </w:tc>
                    <w:tc>
                      <w:tcPr>
                        <w:tcW w:w="5448" w:type="dxa"/>
                        <w:vMerge/>
                        <w:tcBorders>
                          <w:top w:val="nil"/>
                        </w:tcBorders>
                      </w:tcPr>
                      <w:p>
                        <w:pPr>
                          <w:rPr>
                            <w:sz w:val="2"/>
                            <w:szCs w:val="2"/>
                          </w:rPr>
                        </w:pPr>
                      </w:p>
                    </w:tc>
                  </w:tr>
                  <w:tr>
                    <w:trPr>
                      <w:trHeight w:val="999" w:hRule="atLeast"/>
                    </w:trPr>
                    <w:tc>
                      <w:tcPr>
                        <w:tcW w:w="992" w:type="dxa"/>
                        <w:tcBorders>
                          <w:top w:val="nil"/>
                          <w:bottom w:val="nil"/>
                        </w:tcBorders>
                      </w:tcPr>
                      <w:p>
                        <w:pPr>
                          <w:pStyle w:val="TableParagraph"/>
                          <w:rPr>
                            <w:rFonts w:ascii="Times New Roman"/>
                            <w:sz w:val="22"/>
                          </w:rPr>
                        </w:pPr>
                      </w:p>
                    </w:tc>
                    <w:tc>
                      <w:tcPr>
                        <w:tcW w:w="1194"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spacing w:before="13"/>
                          <w:rPr>
                            <w:rFonts w:ascii="微軟正黑體"/>
                            <w:b/>
                            <w:sz w:val="12"/>
                          </w:rPr>
                        </w:pPr>
                      </w:p>
                      <w:p>
                        <w:pPr>
                          <w:pStyle w:val="TableParagraph"/>
                          <w:spacing w:before="1"/>
                          <w:ind w:left="12"/>
                          <w:jc w:val="center"/>
                          <w:rPr>
                            <w:rFonts w:ascii="新細明體" w:eastAsia="新細明體" w:hint="eastAsia"/>
                            <w:sz w:val="24"/>
                          </w:rPr>
                        </w:pPr>
                        <w:r>
                          <w:rPr>
                            <w:rFonts w:ascii="新細明體" w:eastAsia="新細明體" w:hint="eastAsia"/>
                            <w:color w:val="231F20"/>
                            <w:sz w:val="24"/>
                          </w:rPr>
                          <w:t>口</w:t>
                        </w:r>
                      </w:p>
                    </w:tc>
                    <w:tc>
                      <w:tcPr>
                        <w:tcW w:w="992" w:type="dxa"/>
                        <w:tcBorders>
                          <w:top w:val="nil"/>
                          <w:bottom w:val="nil"/>
                        </w:tcBorders>
                      </w:tcPr>
                      <w:p>
                        <w:pPr>
                          <w:pStyle w:val="TableParagraph"/>
                          <w:rPr>
                            <w:rFonts w:ascii="Times New Roman"/>
                            <w:sz w:val="22"/>
                          </w:rPr>
                        </w:pPr>
                      </w:p>
                    </w:tc>
                    <w:tc>
                      <w:tcPr>
                        <w:tcW w:w="5448" w:type="dxa"/>
                        <w:vMerge/>
                        <w:tcBorders>
                          <w:top w:val="nil"/>
                        </w:tcBorders>
                      </w:tcPr>
                      <w:p>
                        <w:pPr>
                          <w:rPr>
                            <w:sz w:val="2"/>
                            <w:szCs w:val="2"/>
                          </w:rPr>
                        </w:pPr>
                      </w:p>
                    </w:tc>
                  </w:tr>
                  <w:tr>
                    <w:trPr>
                      <w:trHeight w:val="794" w:hRule="atLeast"/>
                    </w:trPr>
                    <w:tc>
                      <w:tcPr>
                        <w:tcW w:w="992" w:type="dxa"/>
                        <w:tcBorders>
                          <w:top w:val="nil"/>
                          <w:bottom w:val="nil"/>
                        </w:tcBorders>
                      </w:tcPr>
                      <w:p>
                        <w:pPr>
                          <w:pStyle w:val="TableParagraph"/>
                          <w:rPr>
                            <w:rFonts w:ascii="Times New Roman"/>
                            <w:sz w:val="22"/>
                          </w:rPr>
                        </w:pPr>
                      </w:p>
                    </w:tc>
                    <w:tc>
                      <w:tcPr>
                        <w:tcW w:w="1194"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spacing w:before="6"/>
                          <w:rPr>
                            <w:rFonts w:ascii="微軟正黑體"/>
                            <w:b/>
                            <w:sz w:val="23"/>
                          </w:rPr>
                        </w:pPr>
                      </w:p>
                      <w:p>
                        <w:pPr>
                          <w:pStyle w:val="TableParagraph"/>
                          <w:ind w:left="11"/>
                          <w:jc w:val="center"/>
                          <w:rPr>
                            <w:rFonts w:ascii="新細明體" w:eastAsia="新細明體" w:hint="eastAsia"/>
                            <w:sz w:val="24"/>
                          </w:rPr>
                        </w:pPr>
                        <w:r>
                          <w:rPr>
                            <w:rFonts w:ascii="新細明體" w:eastAsia="新細明體" w:hint="eastAsia"/>
                            <w:color w:val="231F20"/>
                            <w:sz w:val="24"/>
                          </w:rPr>
                          <w:t>口</w:t>
                        </w:r>
                      </w:p>
                    </w:tc>
                    <w:tc>
                      <w:tcPr>
                        <w:tcW w:w="5448" w:type="dxa"/>
                        <w:vMerge/>
                        <w:tcBorders>
                          <w:top w:val="nil"/>
                        </w:tcBorders>
                      </w:tcPr>
                      <w:p>
                        <w:pPr>
                          <w:rPr>
                            <w:sz w:val="2"/>
                            <w:szCs w:val="2"/>
                          </w:rPr>
                        </w:pPr>
                      </w:p>
                    </w:tc>
                  </w:tr>
                  <w:tr>
                    <w:trPr>
                      <w:trHeight w:val="394" w:hRule="atLeast"/>
                    </w:trPr>
                    <w:tc>
                      <w:tcPr>
                        <w:tcW w:w="992" w:type="dxa"/>
                        <w:tcBorders>
                          <w:top w:val="nil"/>
                          <w:bottom w:val="nil"/>
                        </w:tcBorders>
                      </w:tcPr>
                      <w:p>
                        <w:pPr>
                          <w:pStyle w:val="TableParagraph"/>
                          <w:rPr>
                            <w:rFonts w:ascii="Times New Roman"/>
                            <w:sz w:val="22"/>
                          </w:rPr>
                        </w:pPr>
                      </w:p>
                    </w:tc>
                    <w:tc>
                      <w:tcPr>
                        <w:tcW w:w="1194" w:type="dxa"/>
                        <w:tcBorders>
                          <w:top w:val="nil"/>
                          <w:bottom w:val="nil"/>
                        </w:tcBorders>
                      </w:tcPr>
                      <w:p>
                        <w:pPr>
                          <w:pStyle w:val="TableParagraph"/>
                          <w:spacing w:before="29"/>
                          <w:ind w:left="13"/>
                          <w:jc w:val="center"/>
                          <w:rPr>
                            <w:rFonts w:ascii="新細明體" w:eastAsia="新細明體" w:hint="eastAsia"/>
                            <w:sz w:val="24"/>
                          </w:rPr>
                        </w:pPr>
                        <w:r>
                          <w:rPr>
                            <w:rFonts w:ascii="新細明體" w:eastAsia="新細明體" w:hint="eastAsia"/>
                            <w:color w:val="231F20"/>
                            <w:sz w:val="24"/>
                          </w:rPr>
                          <w:t>口</w:t>
                        </w:r>
                      </w:p>
                    </w:tc>
                    <w:tc>
                      <w:tcPr>
                        <w:tcW w:w="992" w:type="dxa"/>
                        <w:tcBorders>
                          <w:top w:val="nil"/>
                          <w:bottom w:val="nil"/>
                        </w:tcBorders>
                      </w:tcPr>
                      <w:p>
                        <w:pPr>
                          <w:pStyle w:val="TableParagraph"/>
                          <w:rPr>
                            <w:rFonts w:ascii="Times New Roman"/>
                            <w:sz w:val="22"/>
                          </w:rPr>
                        </w:pPr>
                      </w:p>
                    </w:tc>
                    <w:tc>
                      <w:tcPr>
                        <w:tcW w:w="992" w:type="dxa"/>
                        <w:tcBorders>
                          <w:top w:val="nil"/>
                          <w:bottom w:val="nil"/>
                        </w:tcBorders>
                      </w:tcPr>
                      <w:p>
                        <w:pPr>
                          <w:pStyle w:val="TableParagraph"/>
                          <w:rPr>
                            <w:rFonts w:ascii="Times New Roman"/>
                            <w:sz w:val="22"/>
                          </w:rPr>
                        </w:pPr>
                      </w:p>
                    </w:tc>
                    <w:tc>
                      <w:tcPr>
                        <w:tcW w:w="5448" w:type="dxa"/>
                        <w:vMerge/>
                        <w:tcBorders>
                          <w:top w:val="nil"/>
                        </w:tcBorders>
                      </w:tcPr>
                      <w:p>
                        <w:pPr>
                          <w:rPr>
                            <w:sz w:val="2"/>
                            <w:szCs w:val="2"/>
                          </w:rPr>
                        </w:pPr>
                      </w:p>
                    </w:tc>
                  </w:tr>
                  <w:tr>
                    <w:trPr>
                      <w:trHeight w:val="423" w:hRule="atLeast"/>
                    </w:trPr>
                    <w:tc>
                      <w:tcPr>
                        <w:tcW w:w="992" w:type="dxa"/>
                        <w:tcBorders>
                          <w:top w:val="nil"/>
                        </w:tcBorders>
                      </w:tcPr>
                      <w:p>
                        <w:pPr>
                          <w:pStyle w:val="TableParagraph"/>
                          <w:spacing w:before="29"/>
                          <w:ind w:left="13"/>
                          <w:jc w:val="center"/>
                          <w:rPr>
                            <w:rFonts w:ascii="新細明體" w:eastAsia="新細明體" w:hint="eastAsia"/>
                            <w:sz w:val="24"/>
                          </w:rPr>
                        </w:pPr>
                        <w:r>
                          <w:rPr>
                            <w:rFonts w:ascii="新細明體" w:eastAsia="新細明體" w:hint="eastAsia"/>
                            <w:color w:val="231F20"/>
                            <w:sz w:val="24"/>
                          </w:rPr>
                          <w:t>口</w:t>
                        </w:r>
                      </w:p>
                    </w:tc>
                    <w:tc>
                      <w:tcPr>
                        <w:tcW w:w="1194" w:type="dxa"/>
                        <w:tcBorders>
                          <w:top w:val="nil"/>
                        </w:tcBorders>
                      </w:tcPr>
                      <w:p>
                        <w:pPr>
                          <w:pStyle w:val="TableParagraph"/>
                          <w:rPr>
                            <w:rFonts w:ascii="Times New Roman"/>
                            <w:sz w:val="22"/>
                          </w:rPr>
                        </w:pPr>
                      </w:p>
                    </w:tc>
                    <w:tc>
                      <w:tcPr>
                        <w:tcW w:w="992" w:type="dxa"/>
                        <w:tcBorders>
                          <w:top w:val="nil"/>
                        </w:tcBorders>
                      </w:tcPr>
                      <w:p>
                        <w:pPr>
                          <w:pStyle w:val="TableParagraph"/>
                          <w:rPr>
                            <w:rFonts w:ascii="Times New Roman"/>
                            <w:sz w:val="22"/>
                          </w:rPr>
                        </w:pPr>
                      </w:p>
                    </w:tc>
                    <w:tc>
                      <w:tcPr>
                        <w:tcW w:w="992" w:type="dxa"/>
                        <w:tcBorders>
                          <w:top w:val="nil"/>
                        </w:tcBorders>
                      </w:tcPr>
                      <w:p>
                        <w:pPr>
                          <w:pStyle w:val="TableParagraph"/>
                          <w:rPr>
                            <w:rFonts w:ascii="Times New Roman"/>
                            <w:sz w:val="22"/>
                          </w:rPr>
                        </w:pPr>
                      </w:p>
                    </w:tc>
                    <w:tc>
                      <w:tcPr>
                        <w:tcW w:w="5448" w:type="dxa"/>
                        <w:vMerge/>
                        <w:tcBorders>
                          <w:top w:val="nil"/>
                        </w:tcBorders>
                      </w:tcPr>
                      <w:p>
                        <w:pPr>
                          <w:rPr>
                            <w:sz w:val="2"/>
                            <w:szCs w:val="2"/>
                          </w:rPr>
                        </w:pPr>
                      </w:p>
                    </w:tc>
                  </w:tr>
                </w:tbl>
                <w:p>
                  <w:pPr>
                    <w:pStyle w:val="BodyText"/>
                  </w:pPr>
                </w:p>
              </w:txbxContent>
            </v:textbox>
            <w10:wrap type="none"/>
          </v:shape>
        </w:pict>
      </w:r>
      <w:r>
        <w:rPr>
          <w:color w:val="231F20"/>
        </w:rPr>
        <w:t>肆、工作項目檢核表</w:t>
      </w:r>
    </w:p>
    <w:p>
      <w:pPr>
        <w:spacing w:after="0" w:line="240" w:lineRule="auto"/>
        <w:sectPr>
          <w:pgSz w:w="11910" w:h="16840"/>
          <w:pgMar w:top="860" w:bottom="0" w:left="520" w:right="600"/>
        </w:sectPr>
      </w:pPr>
    </w:p>
    <w:p>
      <w:pPr>
        <w:spacing w:line="581" w:lineRule="exact" w:before="0"/>
        <w:ind w:left="1535" w:right="1460" w:firstLine="0"/>
        <w:jc w:val="center"/>
        <w:rPr>
          <w:rFonts w:ascii="微軟正黑體" w:eastAsia="微軟正黑體" w:hint="eastAsia"/>
          <w:b/>
          <w:sz w:val="32"/>
        </w:rPr>
      </w:pPr>
      <w:r>
        <w:rPr/>
        <w:pict>
          <v:group style="position:absolute;margin-left:557.686523pt;margin-top:70.144997pt;width:37.35pt;height:771.55pt;mso-position-horizontal-relative:page;mso-position-vertical-relative:page;z-index:251680768" coordorigin="11154,1403" coordsize="747,15431">
            <v:shape style="position:absolute;left:11283;top:1914;width:438;height:14920" type="#_x0000_t75" stroked="false">
              <v:imagedata r:id="rId19" o:title=""/>
            </v:shape>
            <v:shape style="position:absolute;left:11153;top:1402;width:747;height:812" coordorigin="11154,1403" coordsize="747,812" path="m11900,1403l11536,1403,11514,1405,11454,1439,11188,1721,11154,1809,11162,1855,11454,2178,11514,2212,11536,2214,11900,2214,11900,1403xe" filled="true" fillcolor="#f8971d" stroked="false">
              <v:path arrowok="t"/>
              <v:fill type="solid"/>
            </v:shape>
            <v:shape style="position:absolute;left:11307;top:1669;width:388;height:278" type="#_x0000_t75" stroked="false">
              <v:imagedata r:id="rId20" o:title=""/>
            </v:shape>
            <v:shape style="position:absolute;left:11377;top:2349;width:252;height:3944" type="#_x0000_t75" stroked="false">
              <v:imagedata r:id="rId21" o:title=""/>
            </v:shape>
            <v:shape style="position:absolute;left:11457;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7</w:t>
                    </w:r>
                  </w:p>
                </w:txbxContent>
              </v:textbox>
              <w10:wrap type="none"/>
            </v:shape>
            <w10:wrap type="none"/>
          </v:group>
        </w:pict>
      </w:r>
      <w:r>
        <w:rPr>
          <w:rFonts w:ascii="微軟正黑體" w:eastAsia="微軟正黑體" w:hint="eastAsia"/>
          <w:b/>
          <w:color w:val="231F20"/>
          <w:sz w:val="32"/>
        </w:rPr>
        <w:t>第二章 結核菌及潛伏結核感染檢驗</w:t>
      </w:r>
    </w:p>
    <w:p>
      <w:pPr>
        <w:pStyle w:val="BodyText"/>
        <w:spacing w:before="6"/>
        <w:rPr>
          <w:rFonts w:ascii="微軟正黑體"/>
          <w:b/>
          <w:sz w:val="13"/>
        </w:rPr>
      </w:pPr>
    </w:p>
    <w:p>
      <w:pPr>
        <w:spacing w:line="436" w:lineRule="exact" w:before="39"/>
        <w:ind w:left="613" w:right="0" w:firstLine="0"/>
        <w:jc w:val="left"/>
        <w:rPr>
          <w:rFonts w:ascii="微軟正黑體" w:eastAsia="微軟正黑體" w:hint="eastAsia"/>
          <w:b/>
          <w:sz w:val="24"/>
        </w:rPr>
      </w:pPr>
      <w:r>
        <w:rPr>
          <w:rFonts w:ascii="微軟正黑體" w:eastAsia="微軟正黑體" w:hint="eastAsia"/>
          <w:b/>
          <w:color w:val="231F20"/>
          <w:sz w:val="24"/>
        </w:rPr>
        <w:t>壹、前言</w:t>
      </w:r>
    </w:p>
    <w:p>
      <w:pPr>
        <w:pStyle w:val="BodyText"/>
        <w:spacing w:line="413" w:lineRule="exact"/>
        <w:ind w:left="1576"/>
      </w:pPr>
      <w:r>
        <w:rPr>
          <w:color w:val="231F20"/>
        </w:rPr>
        <w:t>結核病的病原體是結核菌，驗痰為肺結核重要的診斷依據，痰裡有結核菌的病人具</w:t>
      </w:r>
    </w:p>
    <w:p>
      <w:pPr>
        <w:pStyle w:val="BodyText"/>
        <w:spacing w:line="230" w:lineRule="auto"/>
        <w:ind w:left="1095" w:right="531"/>
        <w:jc w:val="both"/>
      </w:pPr>
      <w:r>
        <w:rPr>
          <w:color w:val="231F20"/>
        </w:rPr>
        <w:t>有傳染性，是結核病防治的重點對象。除了驗痰，及早利用曲血檢驗發現已經受到結核菌感染但尚未發病的潛伏結核感染者，使其接受適當治療，也可有效降氐日後結核病發病的機率。因此，適當採檢、送驗檢體，可協助醫師獲得正確的檢驗報告，並當作疾病診斷及治療的重要依據。</w:t>
      </w:r>
    </w:p>
    <w:p>
      <w:pPr>
        <w:pStyle w:val="BodyText"/>
        <w:spacing w:before="11"/>
        <w:rPr>
          <w:sz w:val="19"/>
        </w:rPr>
      </w:pPr>
    </w:p>
    <w:p>
      <w:pPr>
        <w:pStyle w:val="Heading2"/>
        <w:ind w:left="613"/>
      </w:pPr>
      <w:r>
        <w:rPr>
          <w:color w:val="231F20"/>
        </w:rPr>
        <w:t>貳、目的</w:t>
      </w:r>
    </w:p>
    <w:p>
      <w:pPr>
        <w:pStyle w:val="BodyText"/>
        <w:spacing w:line="413" w:lineRule="exact"/>
        <w:ind w:left="1535" w:right="1535"/>
        <w:jc w:val="center"/>
      </w:pPr>
      <w:r>
        <w:rPr>
          <w:color w:val="231F20"/>
        </w:rPr>
        <w:t>釐清感染、確認病原，協助結核病及潛伏結核感染診斷及治療成效評估。</w:t>
      </w:r>
    </w:p>
    <w:p>
      <w:pPr>
        <w:pStyle w:val="BodyText"/>
        <w:spacing w:before="16"/>
        <w:rPr>
          <w:sz w:val="19"/>
        </w:rPr>
      </w:pPr>
    </w:p>
    <w:p>
      <w:pPr>
        <w:pStyle w:val="Heading2"/>
        <w:spacing w:before="1"/>
        <w:ind w:left="613"/>
      </w:pPr>
      <w:r>
        <w:rPr>
          <w:color w:val="231F20"/>
        </w:rPr>
        <w:t>參、檢體採集及送驗注意事項</w:t>
      </w:r>
    </w:p>
    <w:p>
      <w:pPr>
        <w:pStyle w:val="BodyText"/>
        <w:spacing w:line="404" w:lineRule="exact"/>
        <w:ind w:left="851"/>
      </w:pPr>
      <w:r>
        <w:rPr>
          <w:color w:val="231F20"/>
        </w:rPr>
        <w:t>＿、痰液檢體採檢：</w:t>
      </w:r>
    </w:p>
    <w:p>
      <w:pPr>
        <w:pStyle w:val="BodyText"/>
        <w:spacing w:line="230" w:lineRule="auto" w:before="2"/>
        <w:ind w:left="1809" w:right="532" w:hanging="720"/>
        <w:jc w:val="both"/>
      </w:pPr>
      <w:r>
        <w:rPr>
          <w:color w:val="231F20"/>
          <w:spacing w:val="-1"/>
        </w:rPr>
        <w:t>( </w:t>
      </w:r>
      <w:r>
        <w:rPr>
          <w:color w:val="231F20"/>
        </w:rPr>
        <w:t>＿</w:t>
      </w:r>
      <w:r>
        <w:rPr>
          <w:color w:val="231F20"/>
          <w:spacing w:val="-7"/>
        </w:rPr>
        <w:t> ) 取痰前應先以開水漱口，去除口腔雜菌，再用力咳出肺部深處的痰，每次收集</w:t>
      </w:r>
      <w:r>
        <w:rPr>
          <w:color w:val="231F20"/>
          <w:spacing w:val="-6"/>
        </w:rPr>
        <w:t>3-5 </w:t>
      </w:r>
      <w:r>
        <w:rPr>
          <w:color w:val="231F20"/>
        </w:rPr>
        <w:t>mL 痰檢體，並註明採檢日期。完成採集後，檢體儘速氐溫 2-8</w:t>
      </w:r>
      <w:r>
        <w:rPr>
          <w:color w:val="231F20"/>
          <w:spacing w:val="4"/>
        </w:rPr>
        <w:t>° </w:t>
      </w:r>
      <w:r>
        <w:rPr>
          <w:color w:val="231F20"/>
        </w:rPr>
        <w:t>C</w:t>
      </w:r>
      <w:r>
        <w:rPr>
          <w:color w:val="231F20"/>
          <w:spacing w:val="1"/>
        </w:rPr>
        <w:t> 運送，</w:t>
      </w:r>
      <w:r>
        <w:rPr>
          <w:color w:val="231F20"/>
        </w:rPr>
        <w:t>3</w:t>
      </w:r>
      <w:r>
        <w:rPr>
          <w:color w:val="231F20"/>
          <w:spacing w:val="2"/>
        </w:rPr>
        <w:t> 天內送至實驗室檢驗，若無法馬上送驗，則應冷藏保存，避免室溫雜菌增生，影響檢體口質。</w:t>
      </w:r>
    </w:p>
    <w:p>
      <w:pPr>
        <w:pStyle w:val="BodyText"/>
        <w:spacing w:line="230" w:lineRule="auto"/>
        <w:ind w:left="1809" w:right="538" w:hanging="720"/>
        <w:jc w:val="both"/>
      </w:pPr>
      <w:r>
        <w:rPr>
          <w:color w:val="231F20"/>
          <w:spacing w:val="-4"/>
        </w:rPr>
        <w:t>( — ) 痰液檢體初次驗痰應於未服藥前採檢，初痰需留取 </w:t>
      </w:r>
      <w:r>
        <w:rPr>
          <w:color w:val="231F20"/>
        </w:rPr>
        <w:t>3</w:t>
      </w:r>
      <w:r>
        <w:rPr>
          <w:color w:val="231F20"/>
          <w:spacing w:val="-3"/>
        </w:rPr>
        <w:t> 套，其中至少有 </w:t>
      </w:r>
      <w:r>
        <w:rPr>
          <w:color w:val="231F20"/>
        </w:rPr>
        <w:t>1</w:t>
      </w:r>
      <w:r>
        <w:rPr>
          <w:color w:val="231F20"/>
          <w:spacing w:val="-6"/>
        </w:rPr>
        <w:t> 次為清晨</w:t>
      </w:r>
      <w:r>
        <w:rPr>
          <w:color w:val="231F20"/>
          <w:spacing w:val="-4"/>
        </w:rPr>
        <w:t>第 </w:t>
      </w:r>
      <w:r>
        <w:rPr>
          <w:color w:val="231F20"/>
        </w:rPr>
        <w:t>1</w:t>
      </w:r>
      <w:r>
        <w:rPr>
          <w:color w:val="231F20"/>
          <w:spacing w:val="-4"/>
        </w:rPr>
        <w:t> 口痰，後續追蹤每次至多 </w:t>
      </w:r>
      <w:r>
        <w:rPr>
          <w:color w:val="231F20"/>
        </w:rPr>
        <w:t>2</w:t>
      </w:r>
      <w:r>
        <w:rPr>
          <w:color w:val="231F20"/>
          <w:spacing w:val="-3"/>
        </w:rPr>
        <w:t> 套。</w:t>
      </w:r>
    </w:p>
    <w:p>
      <w:pPr>
        <w:pStyle w:val="BodyText"/>
        <w:spacing w:line="230" w:lineRule="auto"/>
        <w:ind w:left="1809" w:right="526" w:hanging="720"/>
        <w:jc w:val="both"/>
      </w:pPr>
      <w:r>
        <w:rPr>
          <w:color w:val="231F20"/>
          <w:w w:val="96"/>
        </w:rPr>
        <w:t>(</w:t>
      </w:r>
      <w:r>
        <w:rPr>
          <w:color w:val="231F20"/>
        </w:rPr>
        <w:t> 二 </w:t>
      </w:r>
      <w:r>
        <w:rPr>
          <w:color w:val="231F20"/>
          <w:w w:val="96"/>
        </w:rPr>
        <w:t>)</w:t>
      </w:r>
      <w:r>
        <w:rPr>
          <w:color w:val="231F20"/>
        </w:rPr>
        <w:t>   咳痰困難者採誘導取痰，吸入溫暖的霧化高張性食鹽水</w:t>
      </w:r>
      <w:r>
        <w:rPr>
          <w:color w:val="231F20"/>
          <w:w w:val="300"/>
        </w:rPr>
        <w:t>(</w:t>
      </w:r>
      <w:r>
        <w:rPr>
          <w:color w:val="231F20"/>
          <w:w w:val="104"/>
        </w:rPr>
        <w:t>5</w:t>
      </w:r>
      <w:r>
        <w:rPr>
          <w:color w:val="231F20"/>
          <w:w w:val="99"/>
        </w:rPr>
        <w:t>%</w:t>
      </w:r>
      <w:r>
        <w:rPr>
          <w:color w:val="231F20"/>
          <w:w w:val="126"/>
        </w:rPr>
        <w:t>~</w:t>
      </w:r>
      <w:r>
        <w:rPr>
          <w:color w:val="231F20"/>
          <w:w w:val="104"/>
        </w:rPr>
        <w:t>10</w:t>
      </w:r>
      <w:r>
        <w:rPr>
          <w:color w:val="231F20"/>
          <w:w w:val="99"/>
        </w:rPr>
        <w:t>%</w:t>
      </w:r>
      <w:r>
        <w:rPr>
          <w:color w:val="231F20"/>
          <w:w w:val="115"/>
        </w:rPr>
        <w:t>)以刺激肺</w:t>
      </w:r>
      <w:r>
        <w:rPr>
          <w:color w:val="231F20"/>
        </w:rPr>
        <w:t>部，誘導個案咳嗽及產生薄、水樣的檢體。工作人員須採取適當防護措施</w:t>
      </w:r>
      <w:r>
        <w:rPr>
          <w:color w:val="231F20"/>
          <w:w w:val="120"/>
        </w:rPr>
        <w:t>(如</w:t>
      </w:r>
      <w:r>
        <w:rPr>
          <w:color w:val="231F20"/>
        </w:rPr>
        <w:t>： 配戴 N95 口罩，並於負壓室或保持周圍空氣流通等)，並應於檢體容器外標示註明「導痰檢體」。</w:t>
      </w:r>
    </w:p>
    <w:p>
      <w:pPr>
        <w:spacing w:after="0" w:line="230" w:lineRule="auto"/>
        <w:jc w:val="both"/>
        <w:sectPr>
          <w:pgSz w:w="11910" w:h="16840"/>
          <w:pgMar w:top="1060" w:bottom="0" w:left="520" w:right="600"/>
        </w:sectPr>
      </w:pPr>
    </w:p>
    <w:p>
      <w:pPr>
        <w:pStyle w:val="BodyText"/>
        <w:tabs>
          <w:tab w:pos="1820" w:val="left" w:leader="none"/>
        </w:tabs>
        <w:spacing w:before="59"/>
        <w:ind w:left="1100"/>
      </w:pPr>
      <w:r>
        <w:rPr/>
        <w:drawing>
          <wp:anchor distT="0" distB="0" distL="0" distR="0" allowOverlap="1" layoutInCell="1" locked="0" behindDoc="0" simplePos="0" relativeHeight="23">
            <wp:simplePos x="0" y="0"/>
            <wp:positionH relativeFrom="page">
              <wp:posOffset>1176498</wp:posOffset>
            </wp:positionH>
            <wp:positionV relativeFrom="paragraph">
              <wp:posOffset>366849</wp:posOffset>
            </wp:positionV>
            <wp:extent cx="5218164" cy="3371088"/>
            <wp:effectExtent l="0" t="0" r="0" b="0"/>
            <wp:wrapTopAndBottom/>
            <wp:docPr id="7" name="image18.jpeg"/>
            <wp:cNvGraphicFramePr>
              <a:graphicFrameLocks noChangeAspect="1"/>
            </wp:cNvGraphicFramePr>
            <a:graphic>
              <a:graphicData uri="http://schemas.openxmlformats.org/drawingml/2006/picture">
                <pic:pic>
                  <pic:nvPicPr>
                    <pic:cNvPr id="8" name="image18.jpeg"/>
                    <pic:cNvPicPr/>
                  </pic:nvPicPr>
                  <pic:blipFill>
                    <a:blip r:embed="rId22" cstate="print"/>
                    <a:stretch>
                      <a:fillRect/>
                    </a:stretch>
                  </pic:blipFill>
                  <pic:spPr>
                    <a:xfrm>
                      <a:off x="0" y="0"/>
                      <a:ext cx="5218164" cy="3371088"/>
                    </a:xfrm>
                    <a:prstGeom prst="rect">
                      <a:avLst/>
                    </a:prstGeom>
                  </pic:spPr>
                </pic:pic>
              </a:graphicData>
            </a:graphic>
          </wp:anchor>
        </w:drawing>
      </w:r>
      <w:r>
        <w:rPr/>
        <w:pict>
          <v:group style="position:absolute;margin-left:.0pt;margin-top:70.144997pt;width:37.35pt;height:771.55pt;mso-position-horizontal-relative:page;mso-position-vertical-relative:page;z-index:-266374144" coordorigin="0,1403" coordsize="747,15431">
            <v:shape style="position:absolute;left:178;top:1914;width:438;height:14920" type="#_x0000_t75" stroked="false">
              <v:imagedata r:id="rId23" o:title=""/>
            </v:shape>
            <v:shape style="position:absolute;left:0;top:1402;width:747;height:812" coordorigin="0,1403" coordsize="747,812" path="m365,1403l0,1403,0,2214,365,2214,387,2212,447,2178,713,1896,747,1809,738,1762,447,1439,387,1405,365,1403xe" filled="true" fillcolor="#f8971d" stroked="false">
              <v:path arrowok="t"/>
              <v:fill type="solid"/>
            </v:shape>
            <v:shape style="position:absolute;left:202;top:1669;width:388;height:278" type="#_x0000_t75" stroked="false">
              <v:imagedata r:id="rId24" o:title=""/>
            </v:shape>
            <v:shape style="position:absolute;left:272;top:2349;width:252;height:3944" type="#_x0000_t75" stroked="false">
              <v:imagedata r:id="rId25" o:title=""/>
            </v:shape>
            <v:shape style="position:absolute;left:355;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8</w:t>
                    </w:r>
                  </w:p>
                </w:txbxContent>
              </v:textbox>
              <w10:wrap type="none"/>
            </v:shape>
            <w10:wrap type="none"/>
          </v:group>
        </w:pict>
      </w:r>
      <w:r>
        <w:rPr>
          <w:color w:val="231F20"/>
        </w:rPr>
        <w:t>(</w:t>
      </w:r>
      <w:r>
        <w:rPr>
          <w:color w:val="231F20"/>
          <w:spacing w:val="-9"/>
        </w:rPr>
        <w:t> </w:t>
      </w:r>
      <w:r>
        <w:rPr>
          <w:color w:val="231F20"/>
        </w:rPr>
        <w:t>匹</w:t>
      </w:r>
      <w:r>
        <w:rPr>
          <w:color w:val="231F20"/>
          <w:spacing w:val="-8"/>
        </w:rPr>
        <w:t> </w:t>
      </w:r>
      <w:r>
        <w:rPr>
          <w:color w:val="231F20"/>
        </w:rPr>
        <w:t>)</w:t>
        <w:tab/>
        <w:t>收集痰液檢體步驟：</w:t>
      </w:r>
    </w:p>
    <w:p>
      <w:pPr>
        <w:pStyle w:val="BodyText"/>
        <w:spacing w:before="9"/>
        <w:rPr>
          <w:sz w:val="27"/>
        </w:rPr>
      </w:pPr>
    </w:p>
    <w:p>
      <w:pPr>
        <w:pStyle w:val="BodyText"/>
        <w:spacing w:line="230" w:lineRule="auto"/>
        <w:ind w:left="1338" w:right="537" w:hanging="488"/>
      </w:pPr>
      <w:r>
        <w:rPr>
          <w:color w:val="231F20"/>
        </w:rPr>
        <w:t>—、其他檢體採集相關資訊請參考「傳染病檢體採檢手冊」(請參閱疾管署全球資訊網＞ 檢驗 ＞ 傳染病檢體採檢手冊 ＞ 傳染病檢體採檢及運送規定)。</w:t>
      </w:r>
    </w:p>
    <w:p>
      <w:pPr>
        <w:pStyle w:val="BodyText"/>
        <w:spacing w:line="230" w:lineRule="auto"/>
        <w:ind w:left="1338" w:right="537" w:hanging="488"/>
      </w:pPr>
      <w:r>
        <w:rPr>
          <w:color w:val="231F20"/>
        </w:rPr>
        <w:t>二、丙型干擾素釋放試驗 (Interferon-y release assay, IGRA) 檢體收集及送驗原則，請參考第十＿章「結核病接觸者追蹤管理」附件 11-9「潛伏結核感染檢驗簡介」。</w:t>
      </w:r>
    </w:p>
    <w:p>
      <w:pPr>
        <w:pStyle w:val="BodyText"/>
        <w:spacing w:line="395" w:lineRule="exact"/>
        <w:ind w:left="851"/>
      </w:pPr>
      <w:r>
        <w:rPr>
          <w:color w:val="231F20"/>
        </w:rPr>
        <w:t>匹、＿般送驗：</w:t>
      </w:r>
    </w:p>
    <w:p>
      <w:pPr>
        <w:pStyle w:val="BodyText"/>
        <w:tabs>
          <w:tab w:pos="1809" w:val="left" w:leader="none"/>
        </w:tabs>
        <w:spacing w:line="400" w:lineRule="exact"/>
        <w:ind w:left="1089"/>
      </w:pPr>
      <w:r>
        <w:rPr>
          <w:color w:val="231F20"/>
          <w:spacing w:val="-5"/>
        </w:rPr>
        <w:t>( </w:t>
      </w:r>
      <w:r>
        <w:rPr>
          <w:color w:val="231F20"/>
        </w:rPr>
        <w:t>＿</w:t>
      </w:r>
      <w:r>
        <w:rPr>
          <w:color w:val="231F20"/>
          <w:spacing w:val="-4"/>
        </w:rPr>
        <w:t> )</w:t>
      </w:r>
      <w:r>
        <w:rPr>
          <w:color w:val="231F20"/>
        </w:rPr>
        <w:tab/>
        <w:t>檢體應儘速送驗或與委託之實驗室商訂檢體收送時間：</w:t>
      </w:r>
    </w:p>
    <w:p>
      <w:pPr>
        <w:pStyle w:val="ListParagraph"/>
        <w:numPr>
          <w:ilvl w:val="0"/>
          <w:numId w:val="13"/>
        </w:numPr>
        <w:tabs>
          <w:tab w:pos="1810" w:val="left" w:leader="none"/>
        </w:tabs>
        <w:spacing w:line="230" w:lineRule="auto" w:before="0" w:after="0"/>
        <w:ind w:left="1809" w:right="531" w:hanging="255"/>
        <w:jc w:val="both"/>
        <w:rPr>
          <w:sz w:val="24"/>
        </w:rPr>
      </w:pPr>
      <w:r>
        <w:rPr>
          <w:color w:val="231F20"/>
          <w:spacing w:val="1"/>
          <w:sz w:val="24"/>
        </w:rPr>
        <w:t>痰液檢體請置放於符合國際生物安全標準之容器氐溫</w:t>
      </w:r>
      <w:r>
        <w:rPr>
          <w:color w:val="231F20"/>
          <w:w w:val="300"/>
          <w:sz w:val="24"/>
        </w:rPr>
        <w:t>(</w:t>
      </w:r>
      <w:r>
        <w:rPr>
          <w:color w:val="231F20"/>
          <w:w w:val="104"/>
          <w:sz w:val="24"/>
        </w:rPr>
        <w:t>2</w:t>
      </w:r>
      <w:r>
        <w:rPr>
          <w:color w:val="231F20"/>
          <w:w w:val="129"/>
          <w:sz w:val="24"/>
        </w:rPr>
        <w:t>-</w:t>
      </w:r>
      <w:r>
        <w:rPr>
          <w:color w:val="231F20"/>
          <w:spacing w:val="2"/>
          <w:w w:val="104"/>
          <w:sz w:val="24"/>
        </w:rPr>
        <w:t>8</w:t>
      </w:r>
      <w:r>
        <w:rPr>
          <w:color w:val="231F20"/>
          <w:w w:val="101"/>
          <w:sz w:val="24"/>
        </w:rPr>
        <w:t>°</w:t>
      </w:r>
      <w:r>
        <w:rPr>
          <w:color w:val="231F20"/>
          <w:spacing w:val="-7"/>
          <w:sz w:val="24"/>
        </w:rPr>
        <w:t> </w:t>
      </w:r>
      <w:r>
        <w:rPr>
          <w:color w:val="231F20"/>
          <w:w w:val="92"/>
          <w:sz w:val="24"/>
        </w:rPr>
        <w:t>C</w:t>
      </w:r>
      <w:r>
        <w:rPr>
          <w:color w:val="231F20"/>
          <w:spacing w:val="1"/>
          <w:w w:val="128"/>
          <w:sz w:val="24"/>
        </w:rPr>
        <w:t>)運送</w:t>
      </w:r>
      <w:r>
        <w:rPr>
          <w:color w:val="231F20"/>
          <w:spacing w:val="-1"/>
          <w:sz w:val="24"/>
        </w:rPr>
        <w:t>，採檢後應</w:t>
      </w:r>
      <w:r>
        <w:rPr>
          <w:color w:val="231F20"/>
          <w:spacing w:val="-3"/>
          <w:sz w:val="24"/>
        </w:rPr>
        <w:t>於 </w:t>
      </w:r>
      <w:r>
        <w:rPr>
          <w:color w:val="231F20"/>
          <w:sz w:val="24"/>
        </w:rPr>
        <w:t>3</w:t>
      </w:r>
      <w:r>
        <w:rPr>
          <w:color w:val="231F20"/>
          <w:spacing w:val="-2"/>
          <w:sz w:val="24"/>
        </w:rPr>
        <w:t> 天內送至實驗室檢驗，若無法採檢後及時送驗應冷藏保存，避免雜菌增生， 影響檢體口質。</w:t>
      </w:r>
    </w:p>
    <w:p>
      <w:pPr>
        <w:pStyle w:val="ListParagraph"/>
        <w:numPr>
          <w:ilvl w:val="0"/>
          <w:numId w:val="13"/>
        </w:numPr>
        <w:tabs>
          <w:tab w:pos="1810" w:val="left" w:leader="none"/>
        </w:tabs>
        <w:spacing w:line="230" w:lineRule="auto" w:before="0" w:after="0"/>
        <w:ind w:left="1809" w:right="529" w:hanging="255"/>
        <w:jc w:val="both"/>
        <w:rPr>
          <w:sz w:val="24"/>
        </w:rPr>
      </w:pPr>
      <w:r>
        <w:rPr>
          <w:color w:val="231F20"/>
          <w:spacing w:val="-1"/>
          <w:w w:val="102"/>
          <w:sz w:val="24"/>
        </w:rPr>
        <w:t>I</w:t>
      </w:r>
      <w:r>
        <w:rPr>
          <w:color w:val="231F20"/>
          <w:w w:val="94"/>
          <w:sz w:val="24"/>
        </w:rPr>
        <w:t>G</w:t>
      </w:r>
      <w:r>
        <w:rPr>
          <w:color w:val="231F20"/>
          <w:spacing w:val="-1"/>
          <w:w w:val="88"/>
          <w:sz w:val="24"/>
        </w:rPr>
        <w:t>R</w:t>
      </w:r>
      <w:r>
        <w:rPr>
          <w:color w:val="231F20"/>
          <w:w w:val="103"/>
          <w:sz w:val="24"/>
        </w:rPr>
        <w:t>A</w:t>
      </w:r>
      <w:r>
        <w:rPr>
          <w:color w:val="231F20"/>
          <w:sz w:val="24"/>
        </w:rPr>
        <w:t> 採血檢體未培養腐心前，請以室溫</w:t>
      </w:r>
      <w:r>
        <w:rPr>
          <w:color w:val="231F20"/>
          <w:w w:val="300"/>
          <w:sz w:val="24"/>
        </w:rPr>
        <w:t>(</w:t>
      </w:r>
      <w:r>
        <w:rPr>
          <w:color w:val="231F20"/>
          <w:spacing w:val="-1"/>
          <w:w w:val="104"/>
          <w:sz w:val="24"/>
        </w:rPr>
        <w:t>1</w:t>
      </w:r>
      <w:r>
        <w:rPr>
          <w:color w:val="231F20"/>
          <w:w w:val="104"/>
          <w:sz w:val="24"/>
        </w:rPr>
        <w:t>7</w:t>
      </w:r>
      <w:r>
        <w:rPr>
          <w:color w:val="231F20"/>
          <w:spacing w:val="-1"/>
          <w:w w:val="126"/>
          <w:sz w:val="24"/>
        </w:rPr>
        <w:t>~</w:t>
      </w:r>
      <w:r>
        <w:rPr>
          <w:color w:val="231F20"/>
          <w:w w:val="104"/>
          <w:sz w:val="24"/>
        </w:rPr>
        <w:t>2</w:t>
      </w:r>
      <w:r>
        <w:rPr>
          <w:color w:val="231F20"/>
          <w:spacing w:val="6"/>
          <w:w w:val="104"/>
          <w:sz w:val="24"/>
        </w:rPr>
        <w:t>7</w:t>
      </w:r>
      <w:r>
        <w:rPr>
          <w:color w:val="231F20"/>
          <w:spacing w:val="3"/>
          <w:w w:val="300"/>
          <w:sz w:val="24"/>
        </w:rPr>
        <w:t>()</w:t>
      </w:r>
      <w:r>
        <w:rPr>
          <w:color w:val="231F20"/>
          <w:sz w:val="24"/>
        </w:rPr>
        <w:t>保存 </w:t>
      </w:r>
      <w:r>
        <w:rPr>
          <w:color w:val="231F20"/>
          <w:w w:val="41"/>
          <w:sz w:val="24"/>
        </w:rPr>
        <w:t>／</w:t>
      </w:r>
      <w:r>
        <w:rPr>
          <w:color w:val="231F20"/>
          <w:spacing w:val="2"/>
          <w:sz w:val="24"/>
        </w:rPr>
        <w:t> 運送，請勿冷藏或</w:t>
      </w:r>
      <w:r>
        <w:rPr>
          <w:color w:val="231F20"/>
          <w:spacing w:val="-5"/>
          <w:sz w:val="24"/>
        </w:rPr>
        <w:t>冷凍血液檢體，並填具檢體送驗單，於運送時效 </w:t>
      </w:r>
      <w:r>
        <w:rPr>
          <w:color w:val="231F20"/>
          <w:sz w:val="24"/>
        </w:rPr>
        <w:t>(16</w:t>
      </w:r>
      <w:r>
        <w:rPr>
          <w:color w:val="231F20"/>
          <w:spacing w:val="21"/>
          <w:sz w:val="24"/>
        </w:rPr>
        <w:t> </w:t>
      </w:r>
      <w:r>
        <w:rPr>
          <w:color w:val="231F20"/>
          <w:sz w:val="24"/>
        </w:rPr>
        <w:t>\</w:t>
      </w:r>
      <w:r>
        <w:rPr>
          <w:color w:val="231F20"/>
          <w:spacing w:val="7"/>
          <w:sz w:val="24"/>
        </w:rPr>
        <w:t>時) 內送至代檢實驗室( 或</w:t>
      </w:r>
      <w:r>
        <w:rPr>
          <w:color w:val="231F20"/>
          <w:spacing w:val="-2"/>
          <w:w w:val="105"/>
          <w:sz w:val="24"/>
        </w:rPr>
        <w:t>該醫院之實驗室 )。</w:t>
      </w:r>
    </w:p>
    <w:p>
      <w:pPr>
        <w:pStyle w:val="BodyText"/>
        <w:spacing w:line="230" w:lineRule="auto"/>
        <w:ind w:left="1809" w:right="537" w:hanging="720"/>
        <w:jc w:val="both"/>
      </w:pPr>
      <w:r>
        <w:rPr>
          <w:color w:val="231F20"/>
        </w:rPr>
        <w:t>( — ) 委託疾管署合作之合約實驗室者送驗方式如下，非委託前述實驗室者則依雙方合約辦理：</w:t>
      </w:r>
    </w:p>
    <w:p>
      <w:pPr>
        <w:pStyle w:val="ListParagraph"/>
        <w:numPr>
          <w:ilvl w:val="0"/>
          <w:numId w:val="14"/>
        </w:numPr>
        <w:tabs>
          <w:tab w:pos="1810" w:val="left" w:leader="none"/>
        </w:tabs>
        <w:spacing w:line="230" w:lineRule="auto" w:before="0" w:after="0"/>
        <w:ind w:left="1809" w:right="534" w:hanging="255"/>
        <w:jc w:val="both"/>
        <w:rPr>
          <w:sz w:val="24"/>
        </w:rPr>
      </w:pPr>
      <w:r>
        <w:rPr>
          <w:color w:val="231F20"/>
          <w:spacing w:val="50"/>
          <w:sz w:val="24"/>
        </w:rPr>
        <w:t>由送驗單位登錄疾管署實驗室資訊管理系統 (</w:t>
      </w:r>
      <w:r>
        <w:rPr>
          <w:color w:val="231F20"/>
          <w:sz w:val="24"/>
        </w:rPr>
        <w:t>Laboratory</w:t>
      </w:r>
      <w:r>
        <w:rPr>
          <w:color w:val="231F20"/>
          <w:spacing w:val="40"/>
          <w:sz w:val="24"/>
        </w:rPr>
        <w:t> </w:t>
      </w:r>
      <w:r>
        <w:rPr>
          <w:color w:val="231F20"/>
          <w:sz w:val="24"/>
        </w:rPr>
        <w:t>Information Management</w:t>
      </w:r>
      <w:r>
        <w:rPr>
          <w:color w:val="231F20"/>
          <w:spacing w:val="8"/>
          <w:sz w:val="24"/>
        </w:rPr>
        <w:t> </w:t>
      </w:r>
      <w:r>
        <w:rPr>
          <w:color w:val="231F20"/>
          <w:sz w:val="24"/>
        </w:rPr>
        <w:t>System</w:t>
      </w:r>
      <w:r>
        <w:rPr>
          <w:color w:val="231F20"/>
          <w:spacing w:val="4"/>
          <w:sz w:val="24"/>
        </w:rPr>
        <w:t>, </w:t>
      </w:r>
      <w:r>
        <w:rPr>
          <w:color w:val="231F20"/>
          <w:sz w:val="24"/>
        </w:rPr>
        <w:t>LIMS)</w:t>
      </w:r>
      <w:r>
        <w:rPr>
          <w:color w:val="231F20"/>
          <w:spacing w:val="-1"/>
          <w:sz w:val="24"/>
        </w:rPr>
        <w:t>，路徑：實驗室資訊管理系統 ＞ 送驗資料管理 ＞ </w:t>
      </w:r>
      <w:r>
        <w:rPr>
          <w:color w:val="231F20"/>
          <w:spacing w:val="-5"/>
          <w:sz w:val="24"/>
        </w:rPr>
        <w:t>送驗單新增 ＞ 結核病送驗單 )；</w:t>
      </w:r>
    </w:p>
    <w:p>
      <w:pPr>
        <w:pStyle w:val="ListParagraph"/>
        <w:numPr>
          <w:ilvl w:val="0"/>
          <w:numId w:val="14"/>
        </w:numPr>
        <w:tabs>
          <w:tab w:pos="1811" w:val="left" w:leader="none"/>
        </w:tabs>
        <w:spacing w:line="230" w:lineRule="auto" w:before="0" w:after="0"/>
        <w:ind w:left="1809" w:right="535" w:hanging="255"/>
        <w:jc w:val="both"/>
        <w:rPr>
          <w:sz w:val="24"/>
        </w:rPr>
      </w:pPr>
      <w:r>
        <w:rPr>
          <w:color w:val="231F20"/>
          <w:spacing w:val="-1"/>
          <w:sz w:val="24"/>
        </w:rPr>
        <w:t>送驗項目勾選塗片及培養 </w:t>
      </w:r>
      <w:r>
        <w:rPr>
          <w:color w:val="231F20"/>
          <w:sz w:val="24"/>
        </w:rPr>
        <w:t>2</w:t>
      </w:r>
      <w:r>
        <w:rPr>
          <w:color w:val="231F20"/>
          <w:spacing w:val="-2"/>
          <w:sz w:val="24"/>
        </w:rPr>
        <w:t> 項，實驗室於培養陽性後接續進行菌種鑑定，初次鑑</w:t>
      </w:r>
      <w:r>
        <w:rPr>
          <w:color w:val="231F20"/>
          <w:spacing w:val="-3"/>
          <w:sz w:val="24"/>
        </w:rPr>
        <w:t>定為結核菌者需執行藥物感受性試驗，另為了解治療成效，治療期間之藥物感受</w:t>
      </w:r>
      <w:r>
        <w:rPr>
          <w:color w:val="231F20"/>
          <w:sz w:val="24"/>
        </w:rPr>
        <w:t>性試驗執行與否由診治醫師評估。</w:t>
      </w:r>
    </w:p>
    <w:p>
      <w:pPr>
        <w:spacing w:after="0" w:line="230" w:lineRule="auto"/>
        <w:jc w:val="both"/>
        <w:rPr>
          <w:sz w:val="24"/>
        </w:rPr>
        <w:sectPr>
          <w:pgSz w:w="11910" w:h="16840"/>
          <w:pgMar w:top="1040" w:bottom="0" w:left="520" w:right="600"/>
        </w:sectPr>
      </w:pPr>
    </w:p>
    <w:p>
      <w:pPr>
        <w:pStyle w:val="ListParagraph"/>
        <w:numPr>
          <w:ilvl w:val="0"/>
          <w:numId w:val="14"/>
        </w:numPr>
        <w:tabs>
          <w:tab w:pos="1809" w:val="left" w:leader="none"/>
        </w:tabs>
        <w:spacing w:line="409" w:lineRule="exact" w:before="59" w:after="0"/>
        <w:ind w:left="1808" w:right="0" w:hanging="255"/>
        <w:jc w:val="both"/>
        <w:rPr>
          <w:sz w:val="24"/>
        </w:rPr>
      </w:pPr>
      <w:r>
        <w:rPr/>
        <w:pict>
          <v:group style="position:absolute;margin-left:557.686523pt;margin-top:70.144997pt;width:37.35pt;height:771.55pt;mso-position-horizontal-relative:page;mso-position-vertical-relative:page;z-index:251685888" coordorigin="11154,1403" coordsize="747,15431">
            <v:shape style="position:absolute;left:11283;top:1914;width:438;height:14920" type="#_x0000_t75" stroked="false">
              <v:imagedata r:id="rId19" o:title=""/>
            </v:shape>
            <v:shape style="position:absolute;left:11153;top:1402;width:747;height:812" coordorigin="11154,1403" coordsize="747,812" path="m11900,1403l11536,1403,11514,1405,11454,1439,11188,1721,11154,1809,11162,1855,11454,2178,11514,2212,11536,2214,11900,2214,11900,1403xe" filled="true" fillcolor="#f8971d" stroked="false">
              <v:path arrowok="t"/>
              <v:fill type="solid"/>
            </v:shape>
            <v:shape style="position:absolute;left:11307;top:1669;width:388;height:278" type="#_x0000_t75" stroked="false">
              <v:imagedata r:id="rId20" o:title=""/>
            </v:shape>
            <v:shape style="position:absolute;left:11377;top:2349;width:252;height:3944" type="#_x0000_t75" stroked="false">
              <v:imagedata r:id="rId21" o:title=""/>
            </v:shape>
            <v:shape style="position:absolute;left:11457;top:16271;width:109;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w:t>
                    </w:r>
                  </w:p>
                </w:txbxContent>
              </v:textbox>
              <w10:wrap type="none"/>
            </v:shape>
            <w10:wrap type="none"/>
          </v:group>
        </w:pict>
      </w:r>
      <w:r>
        <w:rPr>
          <w:color w:val="231F20"/>
          <w:sz w:val="24"/>
        </w:rPr>
        <w:t>IGRA</w:t>
      </w:r>
      <w:r>
        <w:rPr>
          <w:color w:val="231F20"/>
          <w:spacing w:val="-3"/>
          <w:sz w:val="24"/>
        </w:rPr>
        <w:t> 檢驗注意事項</w:t>
      </w:r>
    </w:p>
    <w:p>
      <w:pPr>
        <w:pStyle w:val="ListParagraph"/>
        <w:numPr>
          <w:ilvl w:val="1"/>
          <w:numId w:val="14"/>
        </w:numPr>
        <w:tabs>
          <w:tab w:pos="2051" w:val="left" w:leader="none"/>
        </w:tabs>
        <w:spacing w:line="230" w:lineRule="auto" w:before="2" w:after="0"/>
        <w:ind w:left="2051" w:right="535" w:hanging="355"/>
        <w:jc w:val="both"/>
        <w:rPr>
          <w:sz w:val="24"/>
        </w:rPr>
      </w:pPr>
      <w:r>
        <w:rPr>
          <w:color w:val="231F20"/>
          <w:spacing w:val="-1"/>
          <w:sz w:val="24"/>
        </w:rPr>
        <w:t>如需送驗大量檢體( 如專案計畫等)，送驗前先通知代檢院所或規劃分批送驗， </w:t>
      </w:r>
      <w:r>
        <w:rPr>
          <w:color w:val="231F20"/>
          <w:sz w:val="24"/>
        </w:rPr>
        <w:t>以避免發生檢體異常事件。</w:t>
      </w:r>
    </w:p>
    <w:p>
      <w:pPr>
        <w:pStyle w:val="ListParagraph"/>
        <w:numPr>
          <w:ilvl w:val="1"/>
          <w:numId w:val="14"/>
        </w:numPr>
        <w:tabs>
          <w:tab w:pos="2055" w:val="left" w:leader="none"/>
        </w:tabs>
        <w:spacing w:line="230" w:lineRule="auto" w:before="0" w:after="0"/>
        <w:ind w:left="2051" w:right="534" w:hanging="355"/>
        <w:jc w:val="both"/>
        <w:rPr>
          <w:sz w:val="24"/>
        </w:rPr>
      </w:pPr>
      <w:r>
        <w:rPr>
          <w:color w:val="231F20"/>
          <w:spacing w:val="-1"/>
          <w:sz w:val="24"/>
        </w:rPr>
        <w:t>檢驗結果不確定比率過高或出現異常疑義，應主動釐清是否為人為或實驗室之</w:t>
      </w:r>
      <w:r>
        <w:rPr>
          <w:color w:val="231F20"/>
          <w:spacing w:val="-4"/>
          <w:sz w:val="24"/>
        </w:rPr>
        <w:t>因素造成 ( 例如：保存溫度、運送時間等 )。</w:t>
      </w:r>
    </w:p>
    <w:p>
      <w:pPr>
        <w:pStyle w:val="BodyText"/>
        <w:spacing w:line="230" w:lineRule="auto"/>
        <w:ind w:left="1809" w:right="475" w:hanging="720"/>
        <w:jc w:val="both"/>
      </w:pPr>
      <w:r>
        <w:rPr>
          <w:color w:val="231F20"/>
          <w:spacing w:val="-8"/>
        </w:rPr>
        <w:t>( 二 ) 公衛驗痰限由「衛生所」採檢送驗，並於送驗單健保卡序號欄位內鍵入「</w:t>
      </w:r>
      <w:r>
        <w:rPr>
          <w:color w:val="231F20"/>
        </w:rPr>
        <w:t>CDC</w:t>
      </w:r>
      <w:r>
        <w:rPr>
          <w:color w:val="231F20"/>
          <w:spacing w:val="-24"/>
        </w:rPr>
        <w:t>」， </w:t>
      </w:r>
      <w:r>
        <w:rPr>
          <w:color w:val="231F20"/>
        </w:rPr>
        <w:t>無須刷健保卡。有關公衛驗痰費用適用情形如下：</w:t>
      </w:r>
    </w:p>
    <w:p>
      <w:pPr>
        <w:pStyle w:val="ListParagraph"/>
        <w:numPr>
          <w:ilvl w:val="0"/>
          <w:numId w:val="15"/>
        </w:numPr>
        <w:tabs>
          <w:tab w:pos="1809" w:val="left" w:leader="none"/>
        </w:tabs>
        <w:spacing w:line="395" w:lineRule="exact" w:before="0" w:after="0"/>
        <w:ind w:left="1808" w:right="0" w:hanging="255"/>
        <w:jc w:val="both"/>
        <w:rPr>
          <w:sz w:val="24"/>
        </w:rPr>
      </w:pPr>
      <w:r>
        <w:rPr>
          <w:color w:val="231F20"/>
          <w:spacing w:val="-1"/>
          <w:sz w:val="24"/>
        </w:rPr>
        <w:t>初次診斷檢驗之疑似病人如 </w:t>
      </w:r>
      <w:r>
        <w:rPr>
          <w:color w:val="231F20"/>
          <w:sz w:val="24"/>
        </w:rPr>
        <w:t>X</w:t>
      </w:r>
      <w:r>
        <w:rPr>
          <w:color w:val="231F20"/>
          <w:spacing w:val="-3"/>
          <w:sz w:val="24"/>
        </w:rPr>
        <w:t> 光巡檢之疑似個案等；</w:t>
      </w:r>
    </w:p>
    <w:p>
      <w:pPr>
        <w:pStyle w:val="ListParagraph"/>
        <w:numPr>
          <w:ilvl w:val="0"/>
          <w:numId w:val="15"/>
        </w:numPr>
        <w:tabs>
          <w:tab w:pos="1810" w:val="left" w:leader="none"/>
        </w:tabs>
        <w:spacing w:line="230" w:lineRule="auto" w:before="0" w:after="0"/>
        <w:ind w:left="1809" w:right="534" w:hanging="255"/>
        <w:jc w:val="both"/>
        <w:rPr>
          <w:sz w:val="24"/>
        </w:rPr>
      </w:pPr>
      <w:r>
        <w:rPr>
          <w:color w:val="231F20"/>
          <w:sz w:val="24"/>
        </w:rPr>
        <w:t>符合痰檢體快速抗藥性分子檢測之抗藥性結核病高風險族群初次診斷檢驗 ( 請參考第十章「抗藥性結核病照護與管理」)；</w:t>
      </w:r>
    </w:p>
    <w:p>
      <w:pPr>
        <w:pStyle w:val="ListParagraph"/>
        <w:numPr>
          <w:ilvl w:val="0"/>
          <w:numId w:val="15"/>
        </w:numPr>
        <w:tabs>
          <w:tab w:pos="1809" w:val="left" w:leader="none"/>
        </w:tabs>
        <w:spacing w:line="223" w:lineRule="auto" w:before="4" w:after="0"/>
        <w:ind w:left="851" w:right="4894" w:firstLine="702"/>
        <w:jc w:val="both"/>
        <w:rPr>
          <w:sz w:val="24"/>
        </w:rPr>
      </w:pPr>
      <w:r>
        <w:rPr>
          <w:color w:val="231F20"/>
          <w:spacing w:val="-1"/>
          <w:sz w:val="24"/>
        </w:rPr>
        <w:t>監測結核病個案醫療過程中治療成效。</w:t>
      </w:r>
      <w:r>
        <w:rPr>
          <w:color w:val="231F20"/>
          <w:spacing w:val="-18"/>
          <w:sz w:val="24"/>
        </w:rPr>
        <w:t>五、</w:t>
      </w:r>
      <w:r>
        <w:rPr>
          <w:color w:val="231F20"/>
          <w:sz w:val="25"/>
        </w:rPr>
        <w:t>M</w:t>
      </w:r>
      <w:r>
        <w:rPr>
          <w:color w:val="231F20"/>
          <w:spacing w:val="-6"/>
          <w:sz w:val="25"/>
        </w:rPr>
        <w:t>. </w:t>
      </w:r>
      <w:r>
        <w:rPr>
          <w:color w:val="231F20"/>
          <w:sz w:val="25"/>
        </w:rPr>
        <w:t>bovis</w:t>
      </w:r>
      <w:r>
        <w:rPr>
          <w:color w:val="231F20"/>
          <w:spacing w:val="24"/>
          <w:sz w:val="25"/>
        </w:rPr>
        <w:t> </w:t>
      </w:r>
      <w:r>
        <w:rPr>
          <w:color w:val="231F20"/>
          <w:spacing w:val="-3"/>
          <w:sz w:val="24"/>
        </w:rPr>
        <w:t>BCG 鑑定送驗：</w:t>
      </w:r>
    </w:p>
    <w:p>
      <w:pPr>
        <w:pStyle w:val="BodyText"/>
        <w:spacing w:line="395" w:lineRule="exact"/>
        <w:ind w:left="1089"/>
        <w:jc w:val="both"/>
      </w:pPr>
      <w:r>
        <w:rPr>
          <w:color w:val="231F20"/>
        </w:rPr>
        <w:t>( ＿ ) 送驗本項，須先完成結核病通報作業。</w:t>
      </w:r>
    </w:p>
    <w:p>
      <w:pPr>
        <w:pStyle w:val="BodyText"/>
        <w:spacing w:line="230" w:lineRule="auto" w:before="3"/>
        <w:ind w:left="1809" w:right="533" w:hanging="720"/>
        <w:jc w:val="both"/>
      </w:pPr>
      <w:r>
        <w:rPr>
          <w:color w:val="231F20"/>
        </w:rPr>
        <w:t>( — ) 肺外檢體以陽性培養菌株優先，送疾管署檢驗及疫苗研製中心分枝桿菌實驗室進行鑑定，若無陽性培養菌株則以其他種類檢體送驗，優先順序依序為膿液檢體、新鮮組織檢體、石蠟包埋病理組織檢體。</w:t>
      </w:r>
    </w:p>
    <w:p>
      <w:pPr>
        <w:pStyle w:val="BodyText"/>
        <w:spacing w:line="394" w:lineRule="exact"/>
        <w:ind w:left="1089"/>
        <w:jc w:val="both"/>
      </w:pPr>
      <w:r>
        <w:rPr>
          <w:color w:val="231F20"/>
        </w:rPr>
        <w:t>( 二 ) 檢體收集及送驗原則：</w:t>
      </w:r>
    </w:p>
    <w:p>
      <w:pPr>
        <w:pStyle w:val="ListParagraph"/>
        <w:numPr>
          <w:ilvl w:val="0"/>
          <w:numId w:val="16"/>
        </w:numPr>
        <w:tabs>
          <w:tab w:pos="1809" w:val="left" w:leader="none"/>
        </w:tabs>
        <w:spacing w:line="400" w:lineRule="exact" w:before="0" w:after="0"/>
        <w:ind w:left="1808" w:right="0" w:hanging="255"/>
        <w:jc w:val="left"/>
        <w:rPr>
          <w:sz w:val="24"/>
        </w:rPr>
      </w:pPr>
      <w:r>
        <w:rPr>
          <w:color w:val="231F20"/>
          <w:sz w:val="24"/>
        </w:rPr>
        <w:t>陽性培養菌株：該菌株隨同送驗單及原採檢檢體病理檢驗報告送驗。</w:t>
      </w:r>
    </w:p>
    <w:p>
      <w:pPr>
        <w:pStyle w:val="ListParagraph"/>
        <w:numPr>
          <w:ilvl w:val="0"/>
          <w:numId w:val="16"/>
        </w:numPr>
        <w:tabs>
          <w:tab w:pos="1810" w:val="left" w:leader="none"/>
        </w:tabs>
        <w:spacing w:line="230" w:lineRule="auto" w:before="2" w:after="0"/>
        <w:ind w:left="1809" w:right="528" w:hanging="255"/>
        <w:jc w:val="left"/>
        <w:rPr>
          <w:sz w:val="24"/>
        </w:rPr>
      </w:pPr>
      <w:r>
        <w:rPr>
          <w:color w:val="231F20"/>
          <w:spacing w:val="4"/>
          <w:sz w:val="24"/>
        </w:rPr>
        <w:t>膿液檢體：將膿液檢體吸取至少 </w:t>
      </w:r>
      <w:r>
        <w:rPr>
          <w:color w:val="231F20"/>
          <w:sz w:val="24"/>
        </w:rPr>
        <w:t>0.2~0.5mL</w:t>
      </w:r>
      <w:r>
        <w:rPr>
          <w:color w:val="231F20"/>
          <w:spacing w:val="4"/>
          <w:sz w:val="24"/>
        </w:rPr>
        <w:t>，置於</w:t>
      </w:r>
      <w:r>
        <w:rPr>
          <w:color w:val="231F20"/>
          <w:sz w:val="24"/>
        </w:rPr>
        <w:t>＿</w:t>
      </w:r>
      <w:r>
        <w:rPr>
          <w:color w:val="231F20"/>
          <w:spacing w:val="11"/>
          <w:sz w:val="24"/>
        </w:rPr>
        <w:t> </w:t>
      </w:r>
      <w:r>
        <w:rPr>
          <w:color w:val="231F20"/>
          <w:sz w:val="24"/>
        </w:rPr>
        <w:t>1.5mL</w:t>
      </w:r>
      <w:r>
        <w:rPr>
          <w:color w:val="231F20"/>
          <w:spacing w:val="5"/>
          <w:sz w:val="24"/>
        </w:rPr>
        <w:t> 腐心管內，隨同送</w:t>
      </w:r>
      <w:r>
        <w:rPr>
          <w:color w:val="231F20"/>
          <w:sz w:val="24"/>
        </w:rPr>
        <w:t>驗單及病理檢驗報告送驗。</w:t>
      </w:r>
    </w:p>
    <w:p>
      <w:pPr>
        <w:pStyle w:val="ListParagraph"/>
        <w:numPr>
          <w:ilvl w:val="0"/>
          <w:numId w:val="16"/>
        </w:numPr>
        <w:tabs>
          <w:tab w:pos="1810" w:val="left" w:leader="none"/>
        </w:tabs>
        <w:spacing w:line="230" w:lineRule="auto" w:before="0" w:after="0"/>
        <w:ind w:left="1809" w:right="532" w:hanging="255"/>
        <w:jc w:val="left"/>
        <w:rPr>
          <w:sz w:val="24"/>
        </w:rPr>
      </w:pPr>
      <w:r>
        <w:rPr>
          <w:color w:val="231F20"/>
          <w:spacing w:val="4"/>
          <w:sz w:val="24"/>
        </w:rPr>
        <w:t>新鮮組織檢體：將該組織切碎至大</w:t>
      </w:r>
      <w:r>
        <w:rPr>
          <w:color w:val="231F20"/>
          <w:spacing w:val="5"/>
          <w:sz w:val="24"/>
        </w:rPr>
        <w:t>\</w:t>
      </w:r>
      <w:r>
        <w:rPr>
          <w:color w:val="231F20"/>
          <w:spacing w:val="20"/>
          <w:sz w:val="24"/>
        </w:rPr>
        <w:t>約 </w:t>
      </w:r>
      <w:r>
        <w:rPr>
          <w:color w:val="231F20"/>
          <w:sz w:val="24"/>
        </w:rPr>
        <w:t>0.5cm</w:t>
      </w:r>
      <w:r>
        <w:rPr>
          <w:color w:val="231F20"/>
          <w:spacing w:val="9"/>
          <w:sz w:val="24"/>
        </w:rPr>
        <w:t> 立方，置於</w:t>
      </w:r>
      <w:r>
        <w:rPr>
          <w:color w:val="231F20"/>
          <w:spacing w:val="5"/>
          <w:sz w:val="24"/>
        </w:rPr>
        <w:t>＿</w:t>
      </w:r>
      <w:r>
        <w:rPr>
          <w:color w:val="231F20"/>
          <w:spacing w:val="20"/>
          <w:sz w:val="24"/>
        </w:rPr>
        <w:t>含 </w:t>
      </w:r>
      <w:r>
        <w:rPr>
          <w:color w:val="231F20"/>
          <w:sz w:val="24"/>
        </w:rPr>
        <w:t>0.5mL</w:t>
      </w:r>
      <w:r>
        <w:rPr>
          <w:color w:val="231F20"/>
          <w:spacing w:val="12"/>
          <w:sz w:val="24"/>
        </w:rPr>
        <w:t> 無菌水之</w:t>
      </w:r>
      <w:r>
        <w:rPr>
          <w:color w:val="231F20"/>
          <w:sz w:val="24"/>
        </w:rPr>
        <w:t>1.5mL</w:t>
      </w:r>
      <w:r>
        <w:rPr>
          <w:color w:val="231F20"/>
          <w:spacing w:val="-3"/>
          <w:sz w:val="24"/>
        </w:rPr>
        <w:t> 腐心管內，隨同送驗單及病理檢驗報告送驗。</w:t>
      </w:r>
    </w:p>
    <w:p>
      <w:pPr>
        <w:pStyle w:val="ListParagraph"/>
        <w:numPr>
          <w:ilvl w:val="0"/>
          <w:numId w:val="16"/>
        </w:numPr>
        <w:tabs>
          <w:tab w:pos="1809" w:val="left" w:leader="none"/>
        </w:tabs>
        <w:spacing w:line="230" w:lineRule="auto" w:before="0" w:after="0"/>
        <w:ind w:left="1809" w:right="534" w:hanging="255"/>
        <w:jc w:val="left"/>
        <w:rPr>
          <w:sz w:val="24"/>
        </w:rPr>
      </w:pPr>
      <w:r>
        <w:rPr>
          <w:color w:val="231F20"/>
          <w:spacing w:val="-11"/>
          <w:sz w:val="24"/>
        </w:rPr>
        <w:t>石蠟包埋病理組織檢體：將該石蠟檢體切片</w:t>
      </w:r>
      <w:r>
        <w:rPr>
          <w:color w:val="231F20"/>
          <w:w w:val="126"/>
          <w:sz w:val="24"/>
        </w:rPr>
        <w:t>(3~10µm</w:t>
      </w:r>
      <w:r>
        <w:rPr>
          <w:color w:val="231F20"/>
          <w:spacing w:val="-43"/>
          <w:w w:val="300"/>
          <w:sz w:val="24"/>
        </w:rPr>
        <w:t>)</w:t>
      </w:r>
      <w:r>
        <w:rPr>
          <w:color w:val="231F20"/>
          <w:w w:val="111"/>
          <w:sz w:val="24"/>
        </w:rPr>
        <w:t>4~5</w:t>
      </w:r>
      <w:r>
        <w:rPr>
          <w:color w:val="231F20"/>
          <w:spacing w:val="-14"/>
          <w:sz w:val="24"/>
        </w:rPr>
        <w:t> 片後，置於</w:t>
      </w:r>
      <w:r>
        <w:rPr>
          <w:color w:val="231F20"/>
          <w:sz w:val="24"/>
        </w:rPr>
        <w:t>＿</w:t>
      </w:r>
      <w:r>
        <w:rPr>
          <w:color w:val="231F20"/>
          <w:spacing w:val="-29"/>
          <w:sz w:val="24"/>
        </w:rPr>
        <w:t> </w:t>
      </w:r>
      <w:r>
        <w:rPr>
          <w:color w:val="231F20"/>
          <w:spacing w:val="-3"/>
          <w:w w:val="104"/>
          <w:sz w:val="24"/>
        </w:rPr>
        <w:t>1</w:t>
      </w:r>
      <w:r>
        <w:rPr>
          <w:color w:val="231F20"/>
          <w:spacing w:val="-4"/>
          <w:w w:val="100"/>
          <w:sz w:val="24"/>
        </w:rPr>
        <w:t>.5mL</w:t>
      </w:r>
      <w:r>
        <w:rPr>
          <w:color w:val="231F20"/>
          <w:w w:val="105"/>
          <w:sz w:val="24"/>
        </w:rPr>
        <w:t>腐心管內(請勿置放玻片上)，隨同送驗單及病理檢驗報告送驗。</w:t>
      </w:r>
    </w:p>
    <w:p>
      <w:pPr>
        <w:pStyle w:val="BodyText"/>
        <w:tabs>
          <w:tab w:pos="1809" w:val="left" w:leader="none"/>
        </w:tabs>
        <w:spacing w:line="228" w:lineRule="auto"/>
        <w:ind w:left="1809" w:right="529" w:hanging="720"/>
      </w:pPr>
      <w:r>
        <w:rPr>
          <w:color w:val="231F20"/>
        </w:rPr>
        <w:t>(</w:t>
      </w:r>
      <w:r>
        <w:rPr>
          <w:color w:val="231F20"/>
          <w:spacing w:val="-9"/>
        </w:rPr>
        <w:t> </w:t>
      </w:r>
      <w:r>
        <w:rPr>
          <w:color w:val="231F20"/>
        </w:rPr>
        <w:t>匹</w:t>
      </w:r>
      <w:r>
        <w:rPr>
          <w:color w:val="231F20"/>
          <w:spacing w:val="-8"/>
        </w:rPr>
        <w:t> </w:t>
      </w:r>
      <w:r>
        <w:rPr>
          <w:color w:val="231F20"/>
        </w:rPr>
        <w:t>)</w:t>
        <w:tab/>
      </w:r>
      <w:r>
        <w:rPr>
          <w:color w:val="231F20"/>
          <w:spacing w:val="5"/>
        </w:rPr>
        <w:t>若該次檢體鑑定結果</w:t>
      </w:r>
      <w:r>
        <w:rPr>
          <w:color w:val="231F20"/>
          <w:spacing w:val="27"/>
        </w:rPr>
        <w:t>非</w:t>
      </w:r>
      <w:r>
        <w:rPr>
          <w:color w:val="231F20"/>
          <w:sz w:val="25"/>
        </w:rPr>
        <w:t>M.</w:t>
      </w:r>
      <w:r>
        <w:rPr>
          <w:color w:val="231F20"/>
          <w:spacing w:val="3"/>
          <w:sz w:val="25"/>
        </w:rPr>
        <w:t> </w:t>
      </w:r>
      <w:r>
        <w:rPr>
          <w:color w:val="231F20"/>
          <w:sz w:val="25"/>
        </w:rPr>
        <w:t>bovis</w:t>
      </w:r>
      <w:r>
        <w:rPr>
          <w:color w:val="231F20"/>
          <w:spacing w:val="34"/>
          <w:sz w:val="25"/>
        </w:rPr>
        <w:t> </w:t>
      </w:r>
      <w:r>
        <w:rPr>
          <w:color w:val="231F20"/>
        </w:rPr>
        <w:t>BCG，</w:t>
      </w:r>
      <w:r>
        <w:rPr>
          <w:color w:val="231F20"/>
          <w:spacing w:val="5"/>
        </w:rPr>
        <w:t>衛生局於銷案</w:t>
      </w:r>
      <w:r>
        <w:rPr>
          <w:color w:val="231F20"/>
        </w:rPr>
        <w:t>前</w:t>
      </w:r>
      <w:r>
        <w:rPr>
          <w:color w:val="231F20"/>
          <w:spacing w:val="5"/>
        </w:rPr>
        <w:t>，應持續追蹤醫療院所</w:t>
      </w:r>
      <w:r>
        <w:rPr>
          <w:color w:val="231F20"/>
        </w:rPr>
        <w:t>是否再次採集肺外檢體，若再次採集檢體，則參照上述送驗程序。</w:t>
      </w:r>
    </w:p>
    <w:p>
      <w:pPr>
        <w:pStyle w:val="BodyText"/>
        <w:tabs>
          <w:tab w:pos="1810" w:val="left" w:leader="none"/>
        </w:tabs>
        <w:spacing w:line="230" w:lineRule="auto"/>
        <w:ind w:left="1809" w:right="538" w:hanging="720"/>
      </w:pPr>
      <w:r>
        <w:rPr>
          <w:color w:val="231F20"/>
        </w:rPr>
        <w:t>(</w:t>
      </w:r>
      <w:r>
        <w:rPr>
          <w:color w:val="231F20"/>
          <w:spacing w:val="-9"/>
        </w:rPr>
        <w:t> </w:t>
      </w:r>
      <w:r>
        <w:rPr>
          <w:color w:val="231F20"/>
        </w:rPr>
        <w:t>五</w:t>
      </w:r>
      <w:r>
        <w:rPr>
          <w:color w:val="231F20"/>
          <w:spacing w:val="-8"/>
        </w:rPr>
        <w:t> </w:t>
      </w:r>
      <w:r>
        <w:rPr>
          <w:color w:val="231F20"/>
        </w:rPr>
        <w:t>)</w:t>
        <w:tab/>
        <w:tab/>
        <w:t>為避免檢體於送驗前被銷毀，應先以電話連絡相關醫院，以便進行後續檢體送</w:t>
      </w:r>
      <w:r>
        <w:rPr>
          <w:color w:val="231F20"/>
          <w:spacing w:val="-16"/>
        </w:rPr>
        <w:t>驗</w:t>
      </w:r>
      <w:r>
        <w:rPr>
          <w:color w:val="231F20"/>
        </w:rPr>
        <w:t>程序。</w:t>
      </w:r>
    </w:p>
    <w:p>
      <w:pPr>
        <w:pStyle w:val="BodyText"/>
        <w:spacing w:before="3"/>
        <w:rPr>
          <w:sz w:val="19"/>
        </w:rPr>
      </w:pPr>
    </w:p>
    <w:p>
      <w:pPr>
        <w:pStyle w:val="Heading2"/>
        <w:ind w:left="613"/>
      </w:pPr>
      <w:r>
        <w:rPr>
          <w:color w:val="231F20"/>
        </w:rPr>
        <w:t>肆、檢驗項目及報告回復原則</w:t>
      </w:r>
    </w:p>
    <w:p>
      <w:pPr>
        <w:pStyle w:val="BodyText"/>
        <w:spacing w:line="230" w:lineRule="auto" w:before="6"/>
        <w:ind w:left="1338" w:right="532" w:hanging="488"/>
      </w:pPr>
      <w:r>
        <w:rPr>
          <w:color w:val="231F20"/>
        </w:rPr>
        <w:t>＿、實驗室依據時效原則將檢驗報告回復予送驗單位，並將結果登錄於疾管署實驗室資訊管理系統或直接透過自動介接機制將檢驗資料導入結核病追蹤管理系統。</w:t>
      </w:r>
    </w:p>
    <w:p>
      <w:pPr>
        <w:spacing w:after="0" w:line="230" w:lineRule="auto"/>
        <w:sectPr>
          <w:pgSz w:w="11910" w:h="16840"/>
          <w:pgMar w:top="1060" w:bottom="0" w:left="520" w:right="600"/>
        </w:sectPr>
      </w:pPr>
    </w:p>
    <w:p>
      <w:pPr>
        <w:pStyle w:val="BodyText"/>
        <w:spacing w:before="59"/>
        <w:ind w:left="851"/>
      </w:pPr>
      <w:r>
        <w:rPr/>
        <w:pict>
          <v:group style="position:absolute;margin-left:.0pt;margin-top:70.144997pt;width:37.35pt;height:771.55pt;mso-position-horizontal-relative:page;mso-position-vertical-relative:page;z-index:-266370048" coordorigin="0,1403" coordsize="747,15431">
            <v:shape style="position:absolute;left:178;top:1914;width:438;height:14920" type="#_x0000_t75" stroked="false">
              <v:imagedata r:id="rId23" o:title=""/>
            </v:shape>
            <v:shape style="position:absolute;left:0;top:1402;width:747;height:812" coordorigin="0,1403" coordsize="747,812" path="m365,1403l0,1403,0,2214,365,2214,387,2212,447,2178,713,1896,747,1809,738,1762,447,1439,387,1405,365,1403xe" filled="true" fillcolor="#f8971d" stroked="false">
              <v:path arrowok="t"/>
              <v:fill type="solid"/>
            </v:shape>
            <v:shape style="position:absolute;left:202;top:1669;width:388;height:278" type="#_x0000_t75" stroked="false">
              <v:imagedata r:id="rId24" o:title=""/>
            </v:shape>
            <v:shape style="position:absolute;left:272;top:2349;width:252;height:3944" type="#_x0000_t75" stroked="false">
              <v:imagedata r:id="rId25"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w:t>
                    </w:r>
                  </w:p>
                </w:txbxContent>
              </v:textbox>
              <w10:wrap type="none"/>
            </v:shape>
            <w10:wrap type="none"/>
          </v:group>
        </w:pict>
      </w:r>
      <w:r>
        <w:rPr/>
        <w:pict>
          <v:shape style="position:absolute;margin-left:92.933998pt;margin-top:21.48588pt;width:447.3pt;height:622.65pt;mso-position-horizontal-relative:page;mso-position-vertical-relative:paragraph;z-index:25168896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2739"/>
                    <w:gridCol w:w="1142"/>
                    <w:gridCol w:w="1622"/>
                    <w:gridCol w:w="3421"/>
                  </w:tblGrid>
                  <w:tr>
                    <w:trPr>
                      <w:trHeight w:val="440" w:hRule="atLeast"/>
                    </w:trPr>
                    <w:tc>
                      <w:tcPr>
                        <w:tcW w:w="2739" w:type="dxa"/>
                        <w:shd w:val="clear" w:color="auto" w:fill="E6E7E8"/>
                      </w:tcPr>
                      <w:p>
                        <w:pPr>
                          <w:pStyle w:val="TableParagraph"/>
                          <w:spacing w:line="420" w:lineRule="exact"/>
                          <w:ind w:left="889"/>
                          <w:rPr>
                            <w:rFonts w:ascii="微軟正黑體" w:eastAsia="微軟正黑體" w:hint="eastAsia"/>
                            <w:b/>
                            <w:sz w:val="24"/>
                          </w:rPr>
                        </w:pPr>
                        <w:r>
                          <w:rPr>
                            <w:rFonts w:ascii="微軟正黑體" w:eastAsia="微軟正黑體" w:hint="eastAsia"/>
                            <w:b/>
                            <w:color w:val="231F20"/>
                            <w:sz w:val="24"/>
                          </w:rPr>
                          <w:t>檢驗項目</w:t>
                        </w:r>
                      </w:p>
                    </w:tc>
                    <w:tc>
                      <w:tcPr>
                        <w:tcW w:w="1142" w:type="dxa"/>
                        <w:shd w:val="clear" w:color="auto" w:fill="E6E7E8"/>
                      </w:tcPr>
                      <w:p>
                        <w:pPr>
                          <w:pStyle w:val="TableParagraph"/>
                          <w:spacing w:line="420" w:lineRule="exact"/>
                          <w:ind w:left="90"/>
                          <w:rPr>
                            <w:rFonts w:ascii="微軟正黑體" w:eastAsia="微軟正黑體" w:hint="eastAsia"/>
                            <w:b/>
                            <w:sz w:val="24"/>
                          </w:rPr>
                        </w:pPr>
                        <w:r>
                          <w:rPr>
                            <w:rFonts w:ascii="微軟正黑體" w:eastAsia="微軟正黑體" w:hint="eastAsia"/>
                            <w:b/>
                            <w:color w:val="231F20"/>
                            <w:sz w:val="24"/>
                          </w:rPr>
                          <w:t>健保代碼</w:t>
                        </w:r>
                      </w:p>
                    </w:tc>
                    <w:tc>
                      <w:tcPr>
                        <w:tcW w:w="1622" w:type="dxa"/>
                        <w:shd w:val="clear" w:color="auto" w:fill="E6E7E8"/>
                      </w:tcPr>
                      <w:p>
                        <w:pPr>
                          <w:pStyle w:val="TableParagraph"/>
                          <w:spacing w:line="420" w:lineRule="exact"/>
                          <w:ind w:left="90"/>
                          <w:rPr>
                            <w:rFonts w:ascii="微軟正黑體" w:eastAsia="微軟正黑體" w:hint="eastAsia"/>
                            <w:b/>
                            <w:sz w:val="24"/>
                          </w:rPr>
                        </w:pPr>
                        <w:r>
                          <w:rPr>
                            <w:rFonts w:ascii="微軟正黑體" w:eastAsia="微軟正黑體" w:hint="eastAsia"/>
                            <w:b/>
                            <w:color w:val="231F20"/>
                            <w:sz w:val="24"/>
                          </w:rPr>
                          <w:t>報告時效原則</w:t>
                        </w:r>
                      </w:p>
                    </w:tc>
                    <w:tc>
                      <w:tcPr>
                        <w:tcW w:w="3421" w:type="dxa"/>
                        <w:shd w:val="clear" w:color="auto" w:fill="E6E7E8"/>
                      </w:tcPr>
                      <w:p>
                        <w:pPr>
                          <w:pStyle w:val="TableParagraph"/>
                          <w:spacing w:line="420" w:lineRule="exact"/>
                          <w:ind w:left="1449" w:right="1436"/>
                          <w:jc w:val="center"/>
                          <w:rPr>
                            <w:rFonts w:ascii="微軟正黑體" w:eastAsia="微軟正黑體" w:hint="eastAsia"/>
                            <w:b/>
                            <w:sz w:val="24"/>
                          </w:rPr>
                        </w:pPr>
                        <w:r>
                          <w:rPr>
                            <w:rFonts w:ascii="微軟正黑體" w:eastAsia="微軟正黑體" w:hint="eastAsia"/>
                            <w:b/>
                            <w:color w:val="231F20"/>
                            <w:sz w:val="24"/>
                          </w:rPr>
                          <w:t>特性</w:t>
                        </w:r>
                      </w:p>
                    </w:tc>
                  </w:tr>
                  <w:tr>
                    <w:trPr>
                      <w:trHeight w:val="1239" w:hRule="atLeast"/>
                    </w:trPr>
                    <w:tc>
                      <w:tcPr>
                        <w:tcW w:w="2739" w:type="dxa"/>
                      </w:tcPr>
                      <w:p>
                        <w:pPr>
                          <w:pStyle w:val="TableParagraph"/>
                          <w:spacing w:line="230" w:lineRule="auto" w:before="37"/>
                          <w:ind w:left="90" w:right="15"/>
                          <w:rPr>
                            <w:sz w:val="24"/>
                          </w:rPr>
                        </w:pPr>
                        <w:r>
                          <w:rPr>
                            <w:color w:val="231F20"/>
                            <w:spacing w:val="-10"/>
                            <w:sz w:val="24"/>
                          </w:rPr>
                          <w:t>抗酸性濃縮抹片染色檢查</w:t>
                        </w:r>
                        <w:r>
                          <w:rPr>
                            <w:color w:val="231F20"/>
                            <w:w w:val="105"/>
                            <w:sz w:val="24"/>
                          </w:rPr>
                          <w:t>Acid-fast </w:t>
                        </w:r>
                        <w:r>
                          <w:rPr>
                            <w:color w:val="231F20"/>
                            <w:spacing w:val="-4"/>
                            <w:w w:val="105"/>
                            <w:sz w:val="24"/>
                          </w:rPr>
                          <w:t>bacilli(AFB)</w:t>
                        </w:r>
                      </w:p>
                      <w:p>
                        <w:pPr>
                          <w:pStyle w:val="TableParagraph"/>
                          <w:spacing w:line="380" w:lineRule="exact"/>
                          <w:ind w:left="90"/>
                          <w:rPr>
                            <w:sz w:val="24"/>
                          </w:rPr>
                        </w:pPr>
                        <w:r>
                          <w:rPr>
                            <w:color w:val="231F20"/>
                            <w:w w:val="105"/>
                            <w:sz w:val="24"/>
                          </w:rPr>
                          <w:t>smear microscopy</w:t>
                        </w:r>
                      </w:p>
                    </w:tc>
                    <w:tc>
                      <w:tcPr>
                        <w:tcW w:w="1142" w:type="dxa"/>
                      </w:tcPr>
                      <w:p>
                        <w:pPr>
                          <w:pStyle w:val="TableParagraph"/>
                          <w:spacing w:before="8"/>
                          <w:rPr>
                            <w:sz w:val="24"/>
                          </w:rPr>
                        </w:pPr>
                      </w:p>
                      <w:p>
                        <w:pPr>
                          <w:pStyle w:val="TableParagraph"/>
                          <w:ind w:left="142"/>
                          <w:rPr>
                            <w:sz w:val="24"/>
                          </w:rPr>
                        </w:pPr>
                        <w:r>
                          <w:rPr>
                            <w:color w:val="231F20"/>
                            <w:sz w:val="24"/>
                          </w:rPr>
                          <w:t>13025C</w:t>
                        </w:r>
                      </w:p>
                    </w:tc>
                    <w:tc>
                      <w:tcPr>
                        <w:tcW w:w="1622" w:type="dxa"/>
                      </w:tcPr>
                      <w:p>
                        <w:pPr>
                          <w:pStyle w:val="TableParagraph"/>
                          <w:spacing w:line="230" w:lineRule="auto" w:before="237"/>
                          <w:ind w:left="89" w:right="457"/>
                          <w:rPr>
                            <w:sz w:val="24"/>
                          </w:rPr>
                        </w:pPr>
                        <w:r>
                          <w:rPr>
                            <w:color w:val="231F20"/>
                            <w:w w:val="115"/>
                            <w:sz w:val="24"/>
                          </w:rPr>
                          <w:t>收件後24 \時內</w:t>
                        </w:r>
                      </w:p>
                    </w:tc>
                    <w:tc>
                      <w:tcPr>
                        <w:tcW w:w="3421" w:type="dxa"/>
                      </w:tcPr>
                      <w:p>
                        <w:pPr>
                          <w:pStyle w:val="TableParagraph"/>
                          <w:spacing w:line="230" w:lineRule="auto" w:before="37"/>
                          <w:ind w:left="89" w:right="63"/>
                          <w:rPr>
                            <w:sz w:val="24"/>
                          </w:rPr>
                        </w:pPr>
                        <w:r>
                          <w:rPr>
                            <w:color w:val="231F20"/>
                            <w:sz w:val="24"/>
                          </w:rPr>
                          <w:t>簡單、快速提供抗酸菌感染的初步診斷，但無法區別結核菌</w:t>
                        </w:r>
                      </w:p>
                      <w:p>
                        <w:pPr>
                          <w:pStyle w:val="TableParagraph"/>
                          <w:spacing w:line="380" w:lineRule="exact"/>
                          <w:ind w:left="89"/>
                          <w:rPr>
                            <w:sz w:val="24"/>
                          </w:rPr>
                        </w:pPr>
                        <w:r>
                          <w:rPr>
                            <w:color w:val="231F20"/>
                            <w:sz w:val="24"/>
                          </w:rPr>
                          <w:t>群與非結核分枝桿菌群。</w:t>
                        </w:r>
                      </w:p>
                    </w:tc>
                  </w:tr>
                  <w:tr>
                    <w:trPr>
                      <w:trHeight w:val="2439" w:hRule="atLeast"/>
                    </w:trPr>
                    <w:tc>
                      <w:tcPr>
                        <w:tcW w:w="2739" w:type="dxa"/>
                      </w:tcPr>
                      <w:p>
                        <w:pPr>
                          <w:pStyle w:val="TableParagraph"/>
                          <w:spacing w:line="230" w:lineRule="auto" w:before="37"/>
                          <w:ind w:left="90" w:right="55"/>
                          <w:jc w:val="both"/>
                          <w:rPr>
                            <w:sz w:val="24"/>
                          </w:rPr>
                        </w:pPr>
                        <w:r>
                          <w:rPr>
                            <w:color w:val="231F20"/>
                            <w:w w:val="105"/>
                            <w:sz w:val="24"/>
                          </w:rPr>
                          <w:t>抗酸菌培養(限同時使</w:t>
                        </w:r>
                        <w:r>
                          <w:rPr>
                            <w:color w:val="231F20"/>
                            <w:sz w:val="24"/>
                          </w:rPr>
                          <w:t>用固態培養基及具自動化偵測功能之液態培養</w:t>
                        </w:r>
                        <w:r>
                          <w:rPr>
                            <w:color w:val="231F20"/>
                            <w:w w:val="110"/>
                            <w:sz w:val="24"/>
                          </w:rPr>
                          <w:t>系統)</w:t>
                        </w:r>
                      </w:p>
                      <w:p>
                        <w:pPr>
                          <w:pStyle w:val="TableParagraph"/>
                          <w:spacing w:line="392" w:lineRule="exact"/>
                          <w:ind w:left="90"/>
                          <w:jc w:val="both"/>
                          <w:rPr>
                            <w:sz w:val="24"/>
                          </w:rPr>
                        </w:pPr>
                        <w:r>
                          <w:rPr>
                            <w:color w:val="231F20"/>
                            <w:w w:val="115"/>
                            <w:sz w:val="24"/>
                          </w:rPr>
                          <w:t>Culture (Solid media</w:t>
                        </w:r>
                      </w:p>
                      <w:p>
                        <w:pPr>
                          <w:pStyle w:val="TableParagraph"/>
                          <w:spacing w:line="385" w:lineRule="exact"/>
                          <w:ind w:left="90"/>
                          <w:jc w:val="both"/>
                          <w:rPr>
                            <w:sz w:val="24"/>
                          </w:rPr>
                        </w:pPr>
                        <w:r>
                          <w:rPr>
                            <w:color w:val="231F20"/>
                            <w:w w:val="120"/>
                            <w:sz w:val="24"/>
                          </w:rPr>
                          <w:t>&amp; Liquid media)</w:t>
                        </w:r>
                      </w:p>
                    </w:tc>
                    <w:tc>
                      <w:tcPr>
                        <w:tcW w:w="1142" w:type="dxa"/>
                      </w:tcPr>
                      <w:p>
                        <w:pPr>
                          <w:pStyle w:val="TableParagraph"/>
                          <w:rPr>
                            <w:sz w:val="32"/>
                          </w:rPr>
                        </w:pPr>
                      </w:p>
                      <w:p>
                        <w:pPr>
                          <w:pStyle w:val="TableParagraph"/>
                          <w:spacing w:before="15"/>
                          <w:rPr>
                            <w:sz w:val="26"/>
                          </w:rPr>
                        </w:pPr>
                      </w:p>
                      <w:p>
                        <w:pPr>
                          <w:pStyle w:val="TableParagraph"/>
                          <w:spacing w:before="1"/>
                          <w:ind w:left="142"/>
                          <w:rPr>
                            <w:sz w:val="24"/>
                          </w:rPr>
                        </w:pPr>
                        <w:r>
                          <w:rPr>
                            <w:color w:val="231F20"/>
                            <w:sz w:val="24"/>
                          </w:rPr>
                          <w:t>13026C</w:t>
                        </w:r>
                      </w:p>
                    </w:tc>
                    <w:tc>
                      <w:tcPr>
                        <w:tcW w:w="1622" w:type="dxa"/>
                      </w:tcPr>
                      <w:p>
                        <w:pPr>
                          <w:pStyle w:val="TableParagraph"/>
                          <w:spacing w:line="230" w:lineRule="auto" w:before="237"/>
                          <w:ind w:left="89" w:right="74"/>
                          <w:jc w:val="both"/>
                          <w:rPr>
                            <w:sz w:val="24"/>
                          </w:rPr>
                        </w:pPr>
                        <w:r>
                          <w:rPr>
                            <w:color w:val="231F20"/>
                            <w:sz w:val="24"/>
                          </w:rPr>
                          <w:t>陽性結果於收件後 21 天內陰性結果於收件後 56 天內</w:t>
                        </w:r>
                      </w:p>
                    </w:tc>
                    <w:tc>
                      <w:tcPr>
                        <w:tcW w:w="3421" w:type="dxa"/>
                      </w:tcPr>
                      <w:p>
                        <w:pPr>
                          <w:pStyle w:val="TableParagraph"/>
                          <w:spacing w:line="230" w:lineRule="auto" w:before="37"/>
                          <w:ind w:left="89" w:right="63"/>
                          <w:jc w:val="both"/>
                          <w:rPr>
                            <w:sz w:val="24"/>
                          </w:rPr>
                        </w:pPr>
                        <w:r>
                          <w:rPr>
                            <w:color w:val="231F20"/>
                            <w:sz w:val="24"/>
                          </w:rPr>
                          <w:t>結核菌生長速度緩慢、培養需求時間長但為區分活菌及死菌之可靠方法，陽性菌株還可進行後續相關檢驗，液態培養可縮短檢驗時效及提高陽性率，</w:t>
                        </w:r>
                      </w:p>
                      <w:p>
                        <w:pPr>
                          <w:pStyle w:val="TableParagraph"/>
                          <w:spacing w:line="377" w:lineRule="exact"/>
                          <w:ind w:left="89"/>
                          <w:rPr>
                            <w:sz w:val="24"/>
                          </w:rPr>
                        </w:pPr>
                        <w:r>
                          <w:rPr>
                            <w:color w:val="231F20"/>
                            <w:sz w:val="24"/>
                          </w:rPr>
                          <w:t>但須注意汙染率較高。</w:t>
                        </w:r>
                      </w:p>
                    </w:tc>
                  </w:tr>
                  <w:tr>
                    <w:trPr>
                      <w:trHeight w:val="1639" w:hRule="atLeast"/>
                    </w:trPr>
                    <w:tc>
                      <w:tcPr>
                        <w:tcW w:w="2739" w:type="dxa"/>
                      </w:tcPr>
                      <w:p>
                        <w:pPr>
                          <w:pStyle w:val="TableParagraph"/>
                          <w:spacing w:line="230" w:lineRule="auto" w:before="37"/>
                          <w:ind w:left="90" w:right="579"/>
                          <w:rPr>
                            <w:sz w:val="24"/>
                          </w:rPr>
                        </w:pPr>
                        <w:r>
                          <w:rPr>
                            <w:color w:val="231F20"/>
                            <w:sz w:val="24"/>
                          </w:rPr>
                          <w:t>結核菌群分子檢測</w:t>
                        </w:r>
                        <w:r>
                          <w:rPr>
                            <w:color w:val="231F20"/>
                            <w:w w:val="105"/>
                            <w:sz w:val="24"/>
                          </w:rPr>
                          <w:t>Nucleic acid amplification tests</w:t>
                        </w:r>
                      </w:p>
                      <w:p>
                        <w:pPr>
                          <w:pStyle w:val="TableParagraph"/>
                          <w:spacing w:line="379" w:lineRule="exact"/>
                          <w:ind w:left="90"/>
                          <w:rPr>
                            <w:sz w:val="24"/>
                          </w:rPr>
                        </w:pPr>
                        <w:r>
                          <w:rPr>
                            <w:color w:val="231F20"/>
                            <w:w w:val="145"/>
                            <w:sz w:val="24"/>
                          </w:rPr>
                          <w:t>(NAAT)</w:t>
                        </w:r>
                      </w:p>
                    </w:tc>
                    <w:tc>
                      <w:tcPr>
                        <w:tcW w:w="1142" w:type="dxa"/>
                        <w:vMerge w:val="restart"/>
                      </w:tcPr>
                      <w:p>
                        <w:pPr>
                          <w:pStyle w:val="TableParagraph"/>
                          <w:spacing w:before="14"/>
                          <w:rPr>
                            <w:sz w:val="39"/>
                          </w:rPr>
                        </w:pPr>
                      </w:p>
                      <w:p>
                        <w:pPr>
                          <w:pStyle w:val="TableParagraph"/>
                          <w:spacing w:line="409" w:lineRule="exact"/>
                          <w:ind w:left="142"/>
                          <w:rPr>
                            <w:sz w:val="24"/>
                          </w:rPr>
                        </w:pPr>
                        <w:r>
                          <w:rPr>
                            <w:color w:val="231F20"/>
                            <w:sz w:val="24"/>
                          </w:rPr>
                          <w:t>12182C</w:t>
                        </w:r>
                      </w:p>
                      <w:p>
                        <w:pPr>
                          <w:pStyle w:val="TableParagraph"/>
                          <w:spacing w:line="409" w:lineRule="exact"/>
                          <w:ind w:left="142"/>
                          <w:rPr>
                            <w:sz w:val="24"/>
                          </w:rPr>
                        </w:pPr>
                        <w:r>
                          <w:rPr>
                            <w:color w:val="231F20"/>
                            <w:sz w:val="24"/>
                          </w:rPr>
                          <w:t>12184C</w:t>
                        </w:r>
                      </w:p>
                      <w:p>
                        <w:pPr>
                          <w:pStyle w:val="TableParagraph"/>
                          <w:spacing w:line="345" w:lineRule="auto" w:before="7"/>
                          <w:ind w:left="204" w:right="109" w:hanging="80"/>
                          <w:rPr>
                            <w:sz w:val="16"/>
                          </w:rPr>
                        </w:pPr>
                        <w:r>
                          <w:rPr>
                            <w:color w:val="231F20"/>
                            <w:spacing w:val="-5"/>
                            <w:sz w:val="16"/>
                          </w:rPr>
                          <w:t>( 依檢驗方式</w:t>
                        </w:r>
                        <w:r>
                          <w:rPr>
                            <w:color w:val="231F20"/>
                            <w:spacing w:val="-2"/>
                            <w:sz w:val="16"/>
                          </w:rPr>
                          <w:t>進行申報 )</w:t>
                        </w:r>
                      </w:p>
                    </w:tc>
                    <w:tc>
                      <w:tcPr>
                        <w:tcW w:w="1622" w:type="dxa"/>
                      </w:tcPr>
                      <w:p>
                        <w:pPr>
                          <w:pStyle w:val="TableParagraph"/>
                          <w:spacing w:before="8"/>
                          <w:rPr>
                            <w:sz w:val="24"/>
                          </w:rPr>
                        </w:pPr>
                      </w:p>
                      <w:p>
                        <w:pPr>
                          <w:pStyle w:val="TableParagraph"/>
                          <w:spacing w:line="409" w:lineRule="exact"/>
                          <w:ind w:left="89"/>
                          <w:rPr>
                            <w:sz w:val="24"/>
                          </w:rPr>
                        </w:pPr>
                        <w:r>
                          <w:rPr>
                            <w:color w:val="231F20"/>
                            <w:sz w:val="24"/>
                          </w:rPr>
                          <w:t>收件後</w:t>
                        </w:r>
                      </w:p>
                      <w:p>
                        <w:pPr>
                          <w:pStyle w:val="TableParagraph"/>
                          <w:spacing w:line="409" w:lineRule="exact"/>
                          <w:ind w:left="89"/>
                          <w:rPr>
                            <w:sz w:val="24"/>
                          </w:rPr>
                        </w:pPr>
                        <w:r>
                          <w:rPr>
                            <w:color w:val="231F20"/>
                            <w:sz w:val="24"/>
                          </w:rPr>
                          <w:t>1~5 工作天內</w:t>
                        </w:r>
                      </w:p>
                    </w:tc>
                    <w:tc>
                      <w:tcPr>
                        <w:tcW w:w="3421" w:type="dxa"/>
                      </w:tcPr>
                      <w:p>
                        <w:pPr>
                          <w:pStyle w:val="TableParagraph"/>
                          <w:spacing w:line="230" w:lineRule="auto" w:before="37"/>
                          <w:ind w:left="89" w:right="63"/>
                          <w:jc w:val="both"/>
                          <w:rPr>
                            <w:sz w:val="24"/>
                          </w:rPr>
                        </w:pPr>
                        <w:r>
                          <w:rPr>
                            <w:color w:val="231F20"/>
                            <w:sz w:val="24"/>
                          </w:rPr>
                          <w:t>快速、大幅縮短報告時效性， 敏感度高但無法區別活菌或死菌，檢體來源可為痰檢體或陽</w:t>
                        </w:r>
                      </w:p>
                      <w:p>
                        <w:pPr>
                          <w:pStyle w:val="TableParagraph"/>
                          <w:spacing w:line="379" w:lineRule="exact"/>
                          <w:ind w:left="89"/>
                          <w:rPr>
                            <w:sz w:val="24"/>
                          </w:rPr>
                        </w:pPr>
                        <w:r>
                          <w:rPr>
                            <w:color w:val="231F20"/>
                            <w:sz w:val="24"/>
                          </w:rPr>
                          <w:t>性培養菌株。</w:t>
                        </w:r>
                      </w:p>
                    </w:tc>
                  </w:tr>
                  <w:tr>
                    <w:trPr>
                      <w:trHeight w:val="1239" w:hRule="atLeast"/>
                    </w:trPr>
                    <w:tc>
                      <w:tcPr>
                        <w:tcW w:w="2739" w:type="dxa"/>
                      </w:tcPr>
                      <w:p>
                        <w:pPr>
                          <w:pStyle w:val="TableParagraph"/>
                          <w:spacing w:line="230" w:lineRule="auto" w:before="37"/>
                          <w:ind w:left="90" w:right="57"/>
                          <w:rPr>
                            <w:sz w:val="24"/>
                          </w:rPr>
                        </w:pPr>
                        <w:r>
                          <w:rPr>
                            <w:color w:val="231F20"/>
                            <w:sz w:val="24"/>
                          </w:rPr>
                          <w:t>結核菌群與抗藥基因分子檢測</w:t>
                        </w:r>
                      </w:p>
                    </w:tc>
                    <w:tc>
                      <w:tcPr>
                        <w:tcW w:w="1142" w:type="dxa"/>
                        <w:vMerge/>
                        <w:tcBorders>
                          <w:top w:val="nil"/>
                        </w:tcBorders>
                      </w:tcPr>
                      <w:p>
                        <w:pPr>
                          <w:rPr>
                            <w:sz w:val="2"/>
                            <w:szCs w:val="2"/>
                          </w:rPr>
                        </w:pPr>
                      </w:p>
                    </w:tc>
                    <w:tc>
                      <w:tcPr>
                        <w:tcW w:w="1622" w:type="dxa"/>
                      </w:tcPr>
                      <w:p>
                        <w:pPr>
                          <w:pStyle w:val="TableParagraph"/>
                          <w:spacing w:line="409" w:lineRule="exact" w:before="226"/>
                          <w:ind w:left="89"/>
                          <w:rPr>
                            <w:sz w:val="24"/>
                          </w:rPr>
                        </w:pPr>
                        <w:r>
                          <w:rPr>
                            <w:color w:val="231F20"/>
                            <w:sz w:val="24"/>
                          </w:rPr>
                          <w:t>收件後</w:t>
                        </w:r>
                      </w:p>
                      <w:p>
                        <w:pPr>
                          <w:pStyle w:val="TableParagraph"/>
                          <w:spacing w:line="409" w:lineRule="exact"/>
                          <w:ind w:left="89"/>
                          <w:rPr>
                            <w:sz w:val="24"/>
                          </w:rPr>
                        </w:pPr>
                        <w:r>
                          <w:rPr>
                            <w:color w:val="231F20"/>
                            <w:sz w:val="24"/>
                          </w:rPr>
                          <w:t>1~3 工作天內</w:t>
                        </w:r>
                      </w:p>
                    </w:tc>
                    <w:tc>
                      <w:tcPr>
                        <w:tcW w:w="3421" w:type="dxa"/>
                      </w:tcPr>
                      <w:p>
                        <w:pPr>
                          <w:pStyle w:val="TableParagraph"/>
                          <w:spacing w:line="230" w:lineRule="auto" w:before="37"/>
                          <w:ind w:left="89" w:right="63"/>
                          <w:rPr>
                            <w:sz w:val="24"/>
                          </w:rPr>
                        </w:pPr>
                        <w:r>
                          <w:rPr>
                            <w:color w:val="231F20"/>
                            <w:spacing w:val="8"/>
                            <w:sz w:val="24"/>
                          </w:rPr>
                          <w:t>執行結核菌群和其抗藥性分子</w:t>
                        </w:r>
                        <w:r>
                          <w:rPr>
                            <w:color w:val="231F20"/>
                            <w:spacing w:val="6"/>
                            <w:sz w:val="24"/>
                          </w:rPr>
                          <w:t>檢測。敏感度高但無法區別活</w:t>
                        </w:r>
                      </w:p>
                      <w:p>
                        <w:pPr>
                          <w:pStyle w:val="TableParagraph"/>
                          <w:spacing w:line="380" w:lineRule="exact"/>
                          <w:ind w:left="89"/>
                          <w:rPr>
                            <w:sz w:val="24"/>
                          </w:rPr>
                        </w:pPr>
                        <w:r>
                          <w:rPr>
                            <w:color w:val="231F20"/>
                            <w:spacing w:val="-8"/>
                            <w:sz w:val="24"/>
                          </w:rPr>
                          <w:t>菌或死菌，檢體以痰檢體為主。</w:t>
                        </w:r>
                      </w:p>
                    </w:tc>
                  </w:tr>
                  <w:tr>
                    <w:trPr>
                      <w:trHeight w:val="2039" w:hRule="atLeast"/>
                    </w:trPr>
                    <w:tc>
                      <w:tcPr>
                        <w:tcW w:w="2739" w:type="dxa"/>
                      </w:tcPr>
                      <w:p>
                        <w:pPr>
                          <w:pStyle w:val="TableParagraph"/>
                          <w:spacing w:line="230" w:lineRule="auto" w:before="37"/>
                          <w:ind w:left="90" w:right="354"/>
                          <w:rPr>
                            <w:sz w:val="24"/>
                          </w:rPr>
                        </w:pPr>
                        <w:r>
                          <w:rPr>
                            <w:color w:val="231F20"/>
                            <w:w w:val="115"/>
                            <w:sz w:val="24"/>
                          </w:rPr>
                          <w:t>結核菌群鑑定Identification </w:t>
                        </w:r>
                        <w:r>
                          <w:rPr>
                            <w:color w:val="231F20"/>
                            <w:w w:val="160"/>
                            <w:sz w:val="24"/>
                          </w:rPr>
                          <w:t>(ID)</w:t>
                        </w:r>
                      </w:p>
                    </w:tc>
                    <w:tc>
                      <w:tcPr>
                        <w:tcW w:w="1142" w:type="dxa"/>
                      </w:tcPr>
                      <w:p>
                        <w:pPr>
                          <w:pStyle w:val="TableParagraph"/>
                          <w:spacing w:before="7"/>
                          <w:rPr>
                            <w:sz w:val="47"/>
                          </w:rPr>
                        </w:pPr>
                      </w:p>
                      <w:p>
                        <w:pPr>
                          <w:pStyle w:val="TableParagraph"/>
                          <w:ind w:left="142"/>
                          <w:rPr>
                            <w:sz w:val="24"/>
                          </w:rPr>
                        </w:pPr>
                        <w:r>
                          <w:rPr>
                            <w:color w:val="231F20"/>
                            <w:sz w:val="24"/>
                          </w:rPr>
                          <w:t>13013C</w:t>
                        </w:r>
                      </w:p>
                    </w:tc>
                    <w:tc>
                      <w:tcPr>
                        <w:tcW w:w="1622" w:type="dxa"/>
                      </w:tcPr>
                      <w:p>
                        <w:pPr>
                          <w:pStyle w:val="TableParagraph"/>
                          <w:spacing w:before="2"/>
                          <w:rPr>
                            <w:sz w:val="25"/>
                          </w:rPr>
                        </w:pPr>
                      </w:p>
                      <w:p>
                        <w:pPr>
                          <w:pStyle w:val="TableParagraph"/>
                          <w:spacing w:line="230" w:lineRule="auto"/>
                          <w:ind w:left="89" w:right="74"/>
                          <w:jc w:val="both"/>
                          <w:rPr>
                            <w:sz w:val="24"/>
                          </w:rPr>
                        </w:pPr>
                        <w:r>
                          <w:rPr>
                            <w:color w:val="231F20"/>
                            <w:sz w:val="24"/>
                          </w:rPr>
                          <w:t>培養陽性或菌株收件日後 7 天內</w:t>
                        </w:r>
                      </w:p>
                    </w:tc>
                    <w:tc>
                      <w:tcPr>
                        <w:tcW w:w="3421" w:type="dxa"/>
                      </w:tcPr>
                      <w:p>
                        <w:pPr>
                          <w:pStyle w:val="TableParagraph"/>
                          <w:spacing w:line="230" w:lineRule="auto" w:before="37"/>
                          <w:ind w:left="89" w:right="64"/>
                          <w:rPr>
                            <w:sz w:val="24"/>
                          </w:rPr>
                        </w:pPr>
                        <w:r>
                          <w:rPr>
                            <w:color w:val="231F20"/>
                            <w:sz w:val="24"/>
                          </w:rPr>
                          <w:t>現行多使用側向流量免疫層析檢測</w:t>
                        </w:r>
                      </w:p>
                      <w:p>
                        <w:pPr>
                          <w:pStyle w:val="TableParagraph"/>
                          <w:spacing w:line="230" w:lineRule="auto"/>
                          <w:ind w:left="89" w:right="50"/>
                          <w:rPr>
                            <w:sz w:val="24"/>
                          </w:rPr>
                        </w:pPr>
                        <w:r>
                          <w:rPr>
                            <w:color w:val="231F20"/>
                            <w:w w:val="110"/>
                            <w:sz w:val="24"/>
                          </w:rPr>
                          <w:t>(immuno-chromatographic </w:t>
                        </w:r>
                        <w:r>
                          <w:rPr>
                            <w:color w:val="231F20"/>
                            <w:w w:val="130"/>
                            <w:sz w:val="24"/>
                          </w:rPr>
                          <w:t>t</w:t>
                        </w:r>
                        <w:r>
                          <w:rPr>
                            <w:color w:val="231F20"/>
                            <w:w w:val="101"/>
                            <w:sz w:val="24"/>
                          </w:rPr>
                          <w:t>e</w:t>
                        </w:r>
                        <w:r>
                          <w:rPr>
                            <w:color w:val="231F20"/>
                            <w:w w:val="91"/>
                            <w:sz w:val="24"/>
                          </w:rPr>
                          <w:t>s</w:t>
                        </w:r>
                        <w:r>
                          <w:rPr>
                            <w:color w:val="231F20"/>
                            <w:w w:val="130"/>
                            <w:sz w:val="24"/>
                          </w:rPr>
                          <w:t>t</w:t>
                        </w:r>
                        <w:r>
                          <w:rPr>
                            <w:color w:val="231F20"/>
                            <w:w w:val="82"/>
                            <w:sz w:val="24"/>
                          </w:rPr>
                          <w:t>,</w:t>
                        </w:r>
                        <w:r>
                          <w:rPr>
                            <w:color w:val="231F20"/>
                            <w:sz w:val="24"/>
                          </w:rPr>
                          <w:t> </w:t>
                        </w:r>
                        <w:r>
                          <w:rPr>
                            <w:color w:val="231F20"/>
                            <w:w w:val="102"/>
                            <w:sz w:val="24"/>
                          </w:rPr>
                          <w:t>I</w:t>
                        </w:r>
                        <w:r>
                          <w:rPr>
                            <w:color w:val="231F20"/>
                            <w:w w:val="92"/>
                            <w:sz w:val="24"/>
                          </w:rPr>
                          <w:t>C</w:t>
                        </w:r>
                        <w:r>
                          <w:rPr>
                            <w:color w:val="231F20"/>
                            <w:w w:val="91"/>
                            <w:sz w:val="24"/>
                          </w:rPr>
                          <w:t>T</w:t>
                        </w:r>
                        <w:r>
                          <w:rPr>
                            <w:color w:val="231F20"/>
                            <w:w w:val="300"/>
                            <w:sz w:val="24"/>
                          </w:rPr>
                          <w:t>)</w:t>
                        </w:r>
                        <w:r>
                          <w:rPr>
                            <w:color w:val="231F20"/>
                            <w:sz w:val="24"/>
                          </w:rPr>
                          <w:t>鑑定結核菌群，操</w:t>
                        </w:r>
                      </w:p>
                      <w:p>
                        <w:pPr>
                          <w:pStyle w:val="TableParagraph"/>
                          <w:spacing w:line="380" w:lineRule="exact"/>
                          <w:ind w:left="89"/>
                          <w:rPr>
                            <w:sz w:val="24"/>
                          </w:rPr>
                        </w:pPr>
                        <w:r>
                          <w:rPr>
                            <w:color w:val="231F20"/>
                            <w:sz w:val="24"/>
                          </w:rPr>
                          <w:t>作簡便且快速。</w:t>
                        </w:r>
                      </w:p>
                    </w:tc>
                  </w:tr>
                  <w:tr>
                    <w:trPr>
                      <w:trHeight w:val="1639" w:hRule="atLeast"/>
                    </w:trPr>
                    <w:tc>
                      <w:tcPr>
                        <w:tcW w:w="2739" w:type="dxa"/>
                      </w:tcPr>
                      <w:p>
                        <w:pPr>
                          <w:pStyle w:val="TableParagraph"/>
                          <w:spacing w:line="409" w:lineRule="exact" w:before="26"/>
                          <w:ind w:left="90"/>
                          <w:rPr>
                            <w:sz w:val="24"/>
                          </w:rPr>
                        </w:pPr>
                        <w:r>
                          <w:rPr>
                            <w:color w:val="231F20"/>
                            <w:sz w:val="24"/>
                          </w:rPr>
                          <w:t>藥物感受性試驗</w:t>
                        </w:r>
                      </w:p>
                      <w:p>
                        <w:pPr>
                          <w:pStyle w:val="TableParagraph"/>
                          <w:spacing w:line="230" w:lineRule="auto" w:before="2"/>
                          <w:ind w:left="90"/>
                          <w:rPr>
                            <w:sz w:val="24"/>
                          </w:rPr>
                        </w:pPr>
                        <w:r>
                          <w:rPr>
                            <w:color w:val="231F20"/>
                            <w:spacing w:val="18"/>
                            <w:w w:val="110"/>
                            <w:sz w:val="24"/>
                          </w:rPr>
                          <w:t>Drug </w:t>
                        </w:r>
                        <w:r>
                          <w:rPr>
                            <w:color w:val="231F20"/>
                            <w:spacing w:val="22"/>
                            <w:w w:val="110"/>
                            <w:sz w:val="24"/>
                          </w:rPr>
                          <w:t>susceptibility </w:t>
                        </w:r>
                        <w:r>
                          <w:rPr>
                            <w:color w:val="231F20"/>
                            <w:w w:val="120"/>
                            <w:sz w:val="24"/>
                          </w:rPr>
                          <w:t>testing</w:t>
                        </w:r>
                        <w:r>
                          <w:rPr>
                            <w:color w:val="231F20"/>
                            <w:spacing w:val="-17"/>
                            <w:w w:val="120"/>
                            <w:sz w:val="24"/>
                          </w:rPr>
                          <w:t> </w:t>
                        </w:r>
                        <w:r>
                          <w:rPr>
                            <w:color w:val="231F20"/>
                            <w:w w:val="125"/>
                            <w:sz w:val="24"/>
                          </w:rPr>
                          <w:t>(DST)</w:t>
                        </w:r>
                      </w:p>
                    </w:tc>
                    <w:tc>
                      <w:tcPr>
                        <w:tcW w:w="1142" w:type="dxa"/>
                      </w:tcPr>
                      <w:p>
                        <w:pPr>
                          <w:pStyle w:val="TableParagraph"/>
                          <w:spacing w:before="16"/>
                          <w:rPr>
                            <w:sz w:val="35"/>
                          </w:rPr>
                        </w:pPr>
                      </w:p>
                      <w:p>
                        <w:pPr>
                          <w:pStyle w:val="TableParagraph"/>
                          <w:ind w:left="142"/>
                          <w:rPr>
                            <w:sz w:val="24"/>
                          </w:rPr>
                        </w:pPr>
                        <w:r>
                          <w:rPr>
                            <w:color w:val="231F20"/>
                            <w:sz w:val="24"/>
                          </w:rPr>
                          <w:t>13015C</w:t>
                        </w:r>
                      </w:p>
                    </w:tc>
                    <w:tc>
                      <w:tcPr>
                        <w:tcW w:w="1622" w:type="dxa"/>
                      </w:tcPr>
                      <w:p>
                        <w:pPr>
                          <w:pStyle w:val="TableParagraph"/>
                          <w:spacing w:before="2"/>
                          <w:rPr>
                            <w:sz w:val="25"/>
                          </w:rPr>
                        </w:pPr>
                      </w:p>
                      <w:p>
                        <w:pPr>
                          <w:pStyle w:val="TableParagraph"/>
                          <w:spacing w:line="230" w:lineRule="auto"/>
                          <w:ind w:left="89" w:right="697"/>
                          <w:rPr>
                            <w:sz w:val="24"/>
                          </w:rPr>
                        </w:pPr>
                        <w:r>
                          <w:rPr>
                            <w:color w:val="231F20"/>
                            <w:sz w:val="24"/>
                          </w:rPr>
                          <w:t>鑑定後28 天內</w:t>
                        </w:r>
                      </w:p>
                    </w:tc>
                    <w:tc>
                      <w:tcPr>
                        <w:tcW w:w="3421" w:type="dxa"/>
                      </w:tcPr>
                      <w:p>
                        <w:pPr>
                          <w:pStyle w:val="TableParagraph"/>
                          <w:spacing w:line="230" w:lineRule="auto" w:before="37"/>
                          <w:ind w:left="89" w:right="63"/>
                          <w:jc w:val="both"/>
                          <w:rPr>
                            <w:sz w:val="24"/>
                          </w:rPr>
                        </w:pPr>
                        <w:r>
                          <w:rPr>
                            <w:color w:val="231F20"/>
                            <w:sz w:val="24"/>
                          </w:rPr>
                          <w:t>提供醫師診療參考，選擇有效藥物以避免於治療過程衍生抗藥性，亦可對確認抗藥性個案</w:t>
                        </w:r>
                      </w:p>
                      <w:p>
                        <w:pPr>
                          <w:pStyle w:val="TableParagraph"/>
                          <w:spacing w:line="379" w:lineRule="exact"/>
                          <w:ind w:left="89"/>
                          <w:rPr>
                            <w:sz w:val="24"/>
                          </w:rPr>
                        </w:pPr>
                        <w:r>
                          <w:rPr>
                            <w:color w:val="231F20"/>
                            <w:sz w:val="24"/>
                          </w:rPr>
                          <w:t>調整用藥。</w:t>
                        </w:r>
                      </w:p>
                    </w:tc>
                  </w:tr>
                  <w:tr>
                    <w:trPr>
                      <w:trHeight w:val="1639" w:hRule="atLeast"/>
                    </w:trPr>
                    <w:tc>
                      <w:tcPr>
                        <w:tcW w:w="2739" w:type="dxa"/>
                      </w:tcPr>
                      <w:p>
                        <w:pPr>
                          <w:pStyle w:val="TableParagraph"/>
                          <w:spacing w:line="230" w:lineRule="auto" w:before="37"/>
                          <w:ind w:left="90" w:right="74"/>
                          <w:jc w:val="both"/>
                          <w:rPr>
                            <w:sz w:val="24"/>
                          </w:rPr>
                        </w:pPr>
                        <w:r>
                          <w:rPr>
                            <w:color w:val="231F20"/>
                            <w:spacing w:val="18"/>
                            <w:sz w:val="24"/>
                          </w:rPr>
                          <w:t>潛伏結核感染 (</w:t>
                        </w:r>
                        <w:r>
                          <w:rPr>
                            <w:color w:val="231F20"/>
                            <w:spacing w:val="-11"/>
                            <w:sz w:val="24"/>
                          </w:rPr>
                          <w:t>LTBI</w:t>
                        </w:r>
                        <w:r>
                          <w:rPr>
                            <w:color w:val="231F20"/>
                            <w:spacing w:val="-16"/>
                            <w:sz w:val="24"/>
                          </w:rPr>
                          <w:t>) 檢</w:t>
                        </w:r>
                        <w:r>
                          <w:rPr>
                            <w:color w:val="231F20"/>
                            <w:spacing w:val="-10"/>
                            <w:sz w:val="24"/>
                          </w:rPr>
                          <w:t>測－丙型干擾素釋放試驗</w:t>
                        </w:r>
                        <w:r>
                          <w:rPr>
                            <w:color w:val="231F20"/>
                            <w:spacing w:val="-3"/>
                            <w:sz w:val="24"/>
                          </w:rPr>
                          <w:t>(Interferon-y </w:t>
                        </w:r>
                        <w:r>
                          <w:rPr>
                            <w:color w:val="231F20"/>
                            <w:spacing w:val="-4"/>
                            <w:sz w:val="24"/>
                          </w:rPr>
                          <w:t>release</w:t>
                        </w:r>
                      </w:p>
                      <w:p>
                        <w:pPr>
                          <w:pStyle w:val="TableParagraph"/>
                          <w:spacing w:line="379" w:lineRule="exact"/>
                          <w:ind w:left="90"/>
                          <w:jc w:val="both"/>
                          <w:rPr>
                            <w:sz w:val="24"/>
                          </w:rPr>
                        </w:pPr>
                        <w:r>
                          <w:rPr>
                            <w:color w:val="231F20"/>
                            <w:sz w:val="24"/>
                          </w:rPr>
                          <w:t>assays, IGRAs)</w:t>
                        </w:r>
                      </w:p>
                    </w:tc>
                    <w:tc>
                      <w:tcPr>
                        <w:tcW w:w="1142" w:type="dxa"/>
                      </w:tcPr>
                      <w:p>
                        <w:pPr>
                          <w:pStyle w:val="TableParagraph"/>
                          <w:rPr>
                            <w:rFonts w:ascii="Times New Roman"/>
                            <w:sz w:val="22"/>
                          </w:rPr>
                        </w:pPr>
                      </w:p>
                    </w:tc>
                    <w:tc>
                      <w:tcPr>
                        <w:tcW w:w="1622" w:type="dxa"/>
                      </w:tcPr>
                      <w:p>
                        <w:pPr>
                          <w:pStyle w:val="TableParagraph"/>
                          <w:spacing w:line="230" w:lineRule="auto" w:before="237"/>
                          <w:ind w:left="89" w:right="74"/>
                          <w:jc w:val="both"/>
                          <w:rPr>
                            <w:sz w:val="24"/>
                          </w:rPr>
                        </w:pPr>
                        <w:r>
                          <w:rPr>
                            <w:color w:val="231F20"/>
                            <w:sz w:val="24"/>
                          </w:rPr>
                          <w:t>除特殊原因， 應於收件後 7 工作天內</w:t>
                        </w:r>
                      </w:p>
                    </w:tc>
                    <w:tc>
                      <w:tcPr>
                        <w:tcW w:w="3421" w:type="dxa"/>
                      </w:tcPr>
                      <w:p>
                        <w:pPr>
                          <w:pStyle w:val="TableParagraph"/>
                          <w:spacing w:before="1"/>
                          <w:rPr>
                            <w:sz w:val="25"/>
                          </w:rPr>
                        </w:pPr>
                      </w:p>
                      <w:p>
                        <w:pPr>
                          <w:pStyle w:val="TableParagraph"/>
                          <w:spacing w:line="230" w:lineRule="auto" w:before="1"/>
                          <w:ind w:left="89" w:right="74"/>
                          <w:rPr>
                            <w:sz w:val="24"/>
                          </w:rPr>
                        </w:pPr>
                        <w:r>
                          <w:rPr>
                            <w:color w:val="231F20"/>
                            <w:sz w:val="24"/>
                          </w:rPr>
                          <w:t>結核病接觸者或高風險族群， 檢測是否受到結核菌的感染。</w:t>
                        </w:r>
                      </w:p>
                    </w:tc>
                  </w:tr>
                </w:tbl>
                <w:p>
                  <w:pPr>
                    <w:pStyle w:val="BodyText"/>
                  </w:pPr>
                </w:p>
              </w:txbxContent>
            </v:textbox>
            <w10:wrap type="none"/>
          </v:shape>
        </w:pict>
      </w:r>
      <w:r>
        <w:rPr>
          <w:color w:val="231F20"/>
        </w:rPr>
        <w:t>—、常規檢驗：</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5"/>
        <w:rPr>
          <w:sz w:val="42"/>
        </w:rPr>
      </w:pPr>
    </w:p>
    <w:p>
      <w:pPr>
        <w:pStyle w:val="BodyText"/>
        <w:ind w:left="1338"/>
      </w:pPr>
      <w:r>
        <w:rPr>
          <w:color w:val="231F20"/>
        </w:rPr>
        <w:t>註：「初痰鑑定為結核菌群」時效原則為收件後28 天內，此亦為實驗室檢驗口質指標。</w:t>
      </w:r>
    </w:p>
    <w:p>
      <w:pPr>
        <w:spacing w:after="0"/>
        <w:sectPr>
          <w:pgSz w:w="11910" w:h="16840"/>
          <w:pgMar w:top="1060" w:bottom="0" w:left="520" w:right="600"/>
        </w:sectPr>
      </w:pPr>
    </w:p>
    <w:p>
      <w:pPr>
        <w:pStyle w:val="BodyText"/>
        <w:spacing w:line="409" w:lineRule="exact" w:before="59"/>
        <w:ind w:left="851"/>
      </w:pPr>
      <w:r>
        <w:rPr/>
        <w:pict>
          <v:group style="position:absolute;margin-left:557.686523pt;margin-top:70.144997pt;width:37.35pt;height:771.55pt;mso-position-horizontal-relative:page;mso-position-vertical-relative:page;z-index:251691008" coordorigin="11154,1403" coordsize="747,15431">
            <v:shape style="position:absolute;left:11283;top:1914;width:438;height:14920" type="#_x0000_t75" stroked="false">
              <v:imagedata r:id="rId19" o:title=""/>
            </v:shape>
            <v:shape style="position:absolute;left:11153;top:1402;width:747;height:812" coordorigin="11154,1403" coordsize="747,812" path="m11900,1403l11536,1403,11514,1405,11454,1439,11188,1721,11154,1809,11162,1855,11454,2178,11514,2212,11536,2214,11900,2214,11900,1403xe" filled="true" fillcolor="#f8971d" stroked="false">
              <v:path arrowok="t"/>
              <v:fill type="solid"/>
            </v:shape>
            <v:shape style="position:absolute;left:11307;top:1669;width:388;height:278" type="#_x0000_t75" stroked="false">
              <v:imagedata r:id="rId20" o:title=""/>
            </v:shape>
            <v:shape style="position:absolute;left:11377;top:2349;width:252;height:3944" type="#_x0000_t75" stroked="false">
              <v:imagedata r:id="rId21" o:title=""/>
            </v:shape>
            <v:shape style="position:absolute;left:11418;top:16271;width:175;height:179" type="#_x0000_t202" filled="false" stroked="false">
              <v:textbox inset="0,0,0,0">
                <w:txbxContent>
                  <w:p>
                    <w:pPr>
                      <w:spacing w:line="179" w:lineRule="exact" w:before="0"/>
                      <w:ind w:left="0" w:right="0" w:firstLine="0"/>
                      <w:jc w:val="left"/>
                      <w:rPr>
                        <w:rFonts w:ascii="Arial"/>
                        <w:sz w:val="16"/>
                      </w:rPr>
                    </w:pPr>
                    <w:r>
                      <w:rPr>
                        <w:rFonts w:ascii="Arial"/>
                        <w:color w:val="231F20"/>
                        <w:spacing w:val="-12"/>
                        <w:sz w:val="16"/>
                      </w:rPr>
                      <w:t>11</w:t>
                    </w:r>
                  </w:p>
                </w:txbxContent>
              </v:textbox>
              <w10:wrap type="none"/>
            </v:shape>
            <w10:wrap type="none"/>
          </v:group>
        </w:pict>
      </w:r>
      <w:r>
        <w:rPr>
          <w:color w:val="231F20"/>
        </w:rPr>
        <w:t>二、特殊檢驗：</w:t>
      </w:r>
    </w:p>
    <w:p>
      <w:pPr>
        <w:pStyle w:val="BodyText"/>
        <w:spacing w:line="230" w:lineRule="auto" w:before="2"/>
        <w:ind w:left="1809" w:right="535" w:hanging="720"/>
        <w:jc w:val="both"/>
      </w:pPr>
      <w:r>
        <w:rPr>
          <w:color w:val="231F20"/>
          <w:spacing w:val="-5"/>
        </w:rPr>
        <w:t>( </w:t>
      </w:r>
      <w:r>
        <w:rPr>
          <w:color w:val="231F20"/>
        </w:rPr>
        <w:t>＿</w:t>
      </w:r>
      <w:r>
        <w:rPr>
          <w:color w:val="231F20"/>
          <w:spacing w:val="-11"/>
        </w:rPr>
        <w:t> ) 痰檢體快速抗藥性分子檢測：符合抗藥性結核病之高風險族群( 請參考第十章「抗</w:t>
      </w:r>
      <w:r>
        <w:rPr>
          <w:color w:val="231F20"/>
          <w:spacing w:val="1"/>
        </w:rPr>
        <w:t>藥性結核病照護與管理」)，依規定送驗進行快速結核菌鑑定及抗藥性檢測，痰</w:t>
      </w:r>
      <w:r>
        <w:rPr>
          <w:color w:val="231F20"/>
        </w:rPr>
        <w:t>液之報告時效為 3</w:t>
      </w:r>
      <w:r>
        <w:rPr>
          <w:color w:val="231F20"/>
          <w:spacing w:val="-2"/>
        </w:rPr>
        <w:t> 個工作天，未及時送驗痰檢體至指定實驗室，而送驗培養菌株</w:t>
      </w:r>
    </w:p>
    <w:p>
      <w:pPr>
        <w:pStyle w:val="BodyText"/>
        <w:spacing w:line="394" w:lineRule="exact"/>
        <w:ind w:left="1809"/>
        <w:jc w:val="both"/>
      </w:pPr>
      <w:r>
        <w:rPr>
          <w:color w:val="231F20"/>
          <w:w w:val="105"/>
        </w:rPr>
        <w:t>之報告時效為 7 個工作天。(請參考第、章「結核病個案管理」)</w:t>
      </w:r>
    </w:p>
    <w:p>
      <w:pPr>
        <w:pStyle w:val="BodyText"/>
        <w:spacing w:line="230" w:lineRule="auto" w:before="3"/>
        <w:ind w:left="1809" w:right="475" w:hanging="720"/>
        <w:jc w:val="both"/>
      </w:pPr>
      <w:r>
        <w:rPr>
          <w:color w:val="231F20"/>
          <w:spacing w:val="3"/>
          <w:w w:val="105"/>
        </w:rPr>
        <w:t>( — ) 多重抗藥性結核病</w:t>
      </w:r>
      <w:r>
        <w:rPr>
          <w:color w:val="231F20"/>
          <w:spacing w:val="-10"/>
          <w:w w:val="80"/>
        </w:rPr>
        <w:t>／ </w:t>
      </w:r>
      <w:r>
        <w:rPr>
          <w:color w:val="231F20"/>
          <w:spacing w:val="-4"/>
          <w:w w:val="105"/>
        </w:rPr>
        <w:t>抗藥性確認：凡檢出多重抗藥性(至少</w:t>
      </w:r>
      <w:r>
        <w:rPr>
          <w:color w:val="231F20"/>
          <w:w w:val="105"/>
        </w:rPr>
        <w:t>INH</w:t>
      </w:r>
      <w:r>
        <w:rPr>
          <w:color w:val="231F20"/>
          <w:spacing w:val="6"/>
          <w:w w:val="105"/>
        </w:rPr>
        <w:t> 及</w:t>
      </w:r>
      <w:r>
        <w:rPr>
          <w:color w:val="231F20"/>
          <w:w w:val="105"/>
        </w:rPr>
        <w:t>RMP</w:t>
      </w:r>
      <w:r>
        <w:rPr>
          <w:color w:val="231F20"/>
          <w:spacing w:val="-15"/>
          <w:w w:val="105"/>
        </w:rPr>
        <w:t> 抗藥)、</w:t>
      </w:r>
      <w:r>
        <w:rPr>
          <w:color w:val="231F20"/>
        </w:rPr>
        <w:t>RMP</w:t>
      </w:r>
      <w:r>
        <w:rPr>
          <w:color w:val="231F20"/>
          <w:spacing w:val="-2"/>
        </w:rPr>
        <w:t> 單</w:t>
      </w:r>
      <w:r>
        <w:rPr>
          <w:color w:val="231F20"/>
          <w:spacing w:val="5"/>
        </w:rPr>
        <w:t>＿</w:t>
      </w:r>
      <w:r>
        <w:rPr>
          <w:color w:val="231F20"/>
          <w:spacing w:val="4"/>
        </w:rPr>
        <w:t>抗藥或任二種藥物抗藥，實驗室需將原始菌株寄送疾管署檢驗及疫苗</w:t>
      </w:r>
      <w:r>
        <w:rPr>
          <w:color w:val="231F20"/>
        </w:rPr>
        <w:t>研製中心分枝桿菌實驗室進行確認，及執行—線藥物抗藥性檢測，報告時效為 7 </w:t>
      </w:r>
      <w:r>
        <w:rPr>
          <w:color w:val="231F20"/>
          <w:w w:val="110"/>
        </w:rPr>
        <w:t>個工作天。(請參考第十章「抗藥性結核病照護與管理」)</w:t>
      </w:r>
    </w:p>
    <w:p>
      <w:pPr>
        <w:spacing w:line="223" w:lineRule="auto" w:before="0"/>
        <w:ind w:left="1809" w:right="534" w:hanging="720"/>
        <w:jc w:val="both"/>
        <w:rPr>
          <w:sz w:val="24"/>
        </w:rPr>
      </w:pPr>
      <w:r>
        <w:rPr>
          <w:color w:val="231F20"/>
          <w:sz w:val="24"/>
        </w:rPr>
        <w:t>( 二 ) 牛型結核病</w:t>
      </w:r>
      <w:r>
        <w:rPr>
          <w:color w:val="231F20"/>
          <w:sz w:val="25"/>
        </w:rPr>
        <w:t>M. bovis </w:t>
      </w:r>
      <w:r>
        <w:rPr>
          <w:color w:val="231F20"/>
          <w:sz w:val="24"/>
        </w:rPr>
        <w:t>鑑定送驗：凡具動物接觸史或</w:t>
      </w:r>
      <w:r>
        <w:rPr>
          <w:color w:val="231F20"/>
          <w:sz w:val="25"/>
        </w:rPr>
        <w:t>M. bovis </w:t>
      </w:r>
      <w:r>
        <w:rPr>
          <w:color w:val="231F20"/>
          <w:sz w:val="24"/>
        </w:rPr>
        <w:t>個案接觸者，實驗室須將菌株寄送疾管署分枝桿菌實驗室進行</w:t>
      </w:r>
      <w:r>
        <w:rPr>
          <w:color w:val="231F20"/>
          <w:sz w:val="25"/>
        </w:rPr>
        <w:t>M. bovis </w:t>
      </w:r>
      <w:r>
        <w:rPr>
          <w:color w:val="231F20"/>
          <w:sz w:val="24"/>
        </w:rPr>
        <w:t>鑑定。(請參考第七章「特定場域、身分個案防治重點」)</w:t>
      </w:r>
    </w:p>
    <w:p>
      <w:pPr>
        <w:pStyle w:val="BodyText"/>
        <w:spacing w:line="230" w:lineRule="auto"/>
        <w:ind w:left="1809" w:right="535" w:hanging="720"/>
        <w:jc w:val="both"/>
      </w:pPr>
      <w:r>
        <w:rPr>
          <w:color w:val="231F20"/>
          <w:spacing w:val="-1"/>
        </w:rPr>
        <w:t>( 匹 ) 疑似聚集事件判定 </w:t>
      </w:r>
      <w:r>
        <w:rPr>
          <w:color w:val="231F20"/>
          <w:spacing w:val="-1"/>
          <w:w w:val="80"/>
        </w:rPr>
        <w:t>／ </w:t>
      </w:r>
      <w:r>
        <w:rPr>
          <w:color w:val="231F20"/>
        </w:rPr>
        <w:t>菌株基因分型：針對符合聚集事件定義之個案、實驗室檢驗</w:t>
      </w:r>
      <w:r>
        <w:rPr>
          <w:color w:val="231F20"/>
          <w:spacing w:val="-1"/>
        </w:rPr>
        <w:t>報告異常案件或其他特殊需求案例，依規定送驗個案菌株進行分子分型檢驗以釐</w:t>
      </w:r>
      <w:r>
        <w:rPr>
          <w:color w:val="231F20"/>
          <w:spacing w:val="12"/>
        </w:rPr>
        <w:t>清關聯性，原則上 </w:t>
      </w:r>
      <w:r>
        <w:rPr>
          <w:color w:val="231F20"/>
        </w:rPr>
        <w:t>21</w:t>
      </w:r>
      <w:r>
        <w:rPr>
          <w:color w:val="231F20"/>
          <w:spacing w:val="18"/>
        </w:rPr>
        <w:t> 天內發送 </w:t>
      </w:r>
      <w:r>
        <w:rPr>
          <w:color w:val="231F20"/>
        </w:rPr>
        <w:t>Mycobacterial</w:t>
      </w:r>
      <w:r>
        <w:rPr>
          <w:color w:val="231F20"/>
          <w:spacing w:val="59"/>
        </w:rPr>
        <w:t> </w:t>
      </w:r>
      <w:r>
        <w:rPr>
          <w:color w:val="231F20"/>
        </w:rPr>
        <w:t>Interspersed</w:t>
      </w:r>
      <w:r>
        <w:rPr>
          <w:color w:val="231F20"/>
          <w:spacing w:val="58"/>
        </w:rPr>
        <w:t> </w:t>
      </w:r>
      <w:r>
        <w:rPr>
          <w:color w:val="231F20"/>
        </w:rPr>
        <w:t>Repetitive</w:t>
      </w:r>
      <w:r>
        <w:rPr>
          <w:color w:val="231F20"/>
          <w:spacing w:val="58"/>
        </w:rPr>
        <w:t> </w:t>
      </w:r>
      <w:r>
        <w:rPr>
          <w:color w:val="231F20"/>
        </w:rPr>
        <w:t>Units (MIRU)</w:t>
      </w:r>
      <w:r>
        <w:rPr>
          <w:color w:val="231F20"/>
          <w:spacing w:val="10"/>
        </w:rPr>
        <w:t> 比對報告；若須執行進階 </w:t>
      </w:r>
      <w:r>
        <w:rPr>
          <w:color w:val="231F20"/>
        </w:rPr>
        <w:t>Whole-Genome</w:t>
      </w:r>
      <w:r>
        <w:rPr>
          <w:color w:val="231F20"/>
          <w:spacing w:val="51"/>
        </w:rPr>
        <w:t> </w:t>
      </w:r>
      <w:r>
        <w:rPr>
          <w:color w:val="231F20"/>
        </w:rPr>
        <w:t>Sequencing</w:t>
      </w:r>
      <w:r>
        <w:rPr>
          <w:color w:val="231F20"/>
          <w:spacing w:val="51"/>
        </w:rPr>
        <w:t> </w:t>
      </w:r>
      <w:r>
        <w:rPr>
          <w:color w:val="231F20"/>
        </w:rPr>
        <w:t>(WGS)</w:t>
      </w:r>
      <w:r>
        <w:rPr>
          <w:color w:val="231F20"/>
          <w:spacing w:val="8"/>
        </w:rPr>
        <w:t> 分析， </w:t>
      </w:r>
      <w:r>
        <w:rPr>
          <w:color w:val="231F20"/>
          <w:spacing w:val="7"/>
        </w:rPr>
        <w:t>則約再需 </w:t>
      </w:r>
      <w:r>
        <w:rPr>
          <w:color w:val="231F20"/>
        </w:rPr>
        <w:t>42 天。(請參考第十—章「疑似結核病聚集事件處理」)</w:t>
      </w:r>
    </w:p>
    <w:p>
      <w:pPr>
        <w:pStyle w:val="BodyText"/>
        <w:spacing w:before="13"/>
        <w:rPr>
          <w:sz w:val="19"/>
        </w:rPr>
      </w:pPr>
    </w:p>
    <w:p>
      <w:pPr>
        <w:pStyle w:val="Heading2"/>
        <w:ind w:left="613"/>
      </w:pPr>
      <w:r>
        <w:rPr>
          <w:color w:val="231F20"/>
        </w:rPr>
        <w:t>伍、費用申報</w:t>
      </w:r>
    </w:p>
    <w:p>
      <w:pPr>
        <w:pStyle w:val="BodyText"/>
        <w:spacing w:line="404" w:lineRule="exact"/>
        <w:ind w:left="851"/>
      </w:pPr>
      <w:r>
        <w:rPr>
          <w:color w:val="231F20"/>
        </w:rPr>
        <w:t>＿、相關檢驗費用可循＿般健保方式向健保署申報，惟不得重複申報。</w:t>
      </w:r>
    </w:p>
    <w:p>
      <w:pPr>
        <w:pStyle w:val="BodyText"/>
        <w:spacing w:line="230" w:lineRule="auto" w:before="3"/>
        <w:ind w:left="1338" w:right="531" w:hanging="488"/>
        <w:jc w:val="both"/>
      </w:pPr>
      <w:r>
        <w:rPr>
          <w:color w:val="231F20"/>
        </w:rPr>
        <w:t>—、公衛驗痰之檢驗費用由合約實驗室檢附檢驗報告清單、領據等相關資料逕向衛生局申報，經審核無誤後，費用由都治計畫項下支付，已循都治計畫申報之費用不得向健保署重複申報。</w:t>
      </w:r>
    </w:p>
    <w:p>
      <w:pPr>
        <w:pStyle w:val="BodyText"/>
        <w:spacing w:line="394" w:lineRule="exact"/>
        <w:ind w:left="851"/>
      </w:pPr>
      <w:r>
        <w:rPr>
          <w:color w:val="231F20"/>
        </w:rPr>
        <w:t>二、委託非疾管署合約實驗室代檢則依雙方合約結算檢驗費用。</w:t>
      </w:r>
    </w:p>
    <w:p>
      <w:pPr>
        <w:pStyle w:val="BodyText"/>
        <w:spacing w:line="230" w:lineRule="auto" w:before="2"/>
        <w:ind w:left="1338" w:right="533" w:hanging="488"/>
        <w:jc w:val="both"/>
      </w:pPr>
      <w:r>
        <w:rPr>
          <w:color w:val="231F20"/>
        </w:rPr>
        <w:t>匹、</w:t>
      </w:r>
      <w:r>
        <w:rPr>
          <w:color w:val="231F20"/>
          <w:w w:val="102"/>
        </w:rPr>
        <w:t>I</w:t>
      </w:r>
      <w:r>
        <w:rPr>
          <w:color w:val="231F20"/>
          <w:w w:val="94"/>
        </w:rPr>
        <w:t>G</w:t>
      </w:r>
      <w:r>
        <w:rPr>
          <w:color w:val="231F20"/>
          <w:w w:val="88"/>
        </w:rPr>
        <w:t>R</w:t>
      </w:r>
      <w:r>
        <w:rPr>
          <w:color w:val="231F20"/>
          <w:w w:val="103"/>
        </w:rPr>
        <w:t>A</w:t>
      </w:r>
      <w:r>
        <w:rPr>
          <w:color w:val="231F20"/>
        </w:rPr>
        <w:t> 檢驗費用、山地鄉主動發現計畫之結核菌快速分子檢測 </w:t>
      </w:r>
      <w:r>
        <w:rPr>
          <w:color w:val="231F20"/>
          <w:w w:val="96"/>
        </w:rPr>
        <w:t>(</w:t>
      </w:r>
      <w:r>
        <w:rPr>
          <w:color w:val="231F20"/>
          <w:w w:val="94"/>
        </w:rPr>
        <w:t>X</w:t>
      </w:r>
      <w:r>
        <w:rPr>
          <w:color w:val="231F20"/>
          <w:w w:val="113"/>
        </w:rPr>
        <w:t>p</w:t>
      </w:r>
      <w:r>
        <w:rPr>
          <w:color w:val="231F20"/>
          <w:w w:val="101"/>
        </w:rPr>
        <w:t>e</w:t>
      </w:r>
      <w:r>
        <w:rPr>
          <w:color w:val="231F20"/>
          <w:w w:val="111"/>
        </w:rPr>
        <w:t>r</w:t>
      </w:r>
      <w:r>
        <w:rPr>
          <w:color w:val="231F20"/>
          <w:w w:val="130"/>
        </w:rPr>
        <w:t>t</w:t>
      </w:r>
      <w:r>
        <w:rPr>
          <w:color w:val="231F20"/>
        </w:rPr>
        <w:t> </w:t>
      </w:r>
      <w:r>
        <w:rPr>
          <w:color w:val="231F20"/>
          <w:w w:val="115"/>
        </w:rPr>
        <w:t>M</w:t>
      </w:r>
      <w:r>
        <w:rPr>
          <w:color w:val="231F20"/>
          <w:w w:val="91"/>
        </w:rPr>
        <w:t>T</w:t>
      </w:r>
      <w:r>
        <w:rPr>
          <w:color w:val="231F20"/>
          <w:w w:val="92"/>
        </w:rPr>
        <w:t>B</w:t>
      </w:r>
      <w:r>
        <w:rPr>
          <w:color w:val="231F20"/>
          <w:w w:val="41"/>
        </w:rPr>
        <w:t>／</w:t>
      </w:r>
      <w:r>
        <w:rPr>
          <w:color w:val="231F20"/>
          <w:w w:val="88"/>
        </w:rPr>
        <w:t>R</w:t>
      </w:r>
      <w:r>
        <w:rPr>
          <w:color w:val="231F20"/>
          <w:w w:val="102"/>
        </w:rPr>
        <w:t>I</w:t>
      </w:r>
      <w:r>
        <w:rPr>
          <w:color w:val="231F20"/>
          <w:w w:val="85"/>
        </w:rPr>
        <w:t>F</w:t>
      </w:r>
      <w:r>
        <w:rPr>
          <w:color w:val="231F20"/>
          <w:w w:val="96"/>
        </w:rPr>
        <w:t>)</w:t>
      </w:r>
      <w:r>
        <w:rPr>
          <w:color w:val="231F20"/>
        </w:rPr>
        <w:t> 費用依「衛生福利部法定傳染病醫療服務費用支付作業規範」向健保署申報，由本署以代收代付方式支付。</w:t>
      </w:r>
    </w:p>
    <w:p>
      <w:pPr>
        <w:pStyle w:val="BodyText"/>
        <w:spacing w:before="13"/>
        <w:rPr>
          <w:sz w:val="21"/>
        </w:rPr>
      </w:pPr>
    </w:p>
    <w:p>
      <w:pPr>
        <w:pStyle w:val="Heading2"/>
        <w:spacing w:line="218" w:lineRule="auto" w:before="1"/>
        <w:ind w:left="1095" w:right="538" w:hanging="482"/>
      </w:pPr>
      <w:r>
        <w:rPr>
          <w:color w:val="231F20"/>
        </w:rPr>
        <w:t>陸、認可實驗室品質管理及辦理事項 （結核病認可實驗室名冊請參考疾管署全球資訊網 ＞ 申請 ＞ 傳染病認可檢驗機構）</w:t>
      </w:r>
    </w:p>
    <w:p>
      <w:pPr>
        <w:pStyle w:val="BodyText"/>
        <w:spacing w:line="230" w:lineRule="auto" w:before="10"/>
        <w:ind w:left="1338" w:right="532" w:hanging="488"/>
      </w:pPr>
      <w:r>
        <w:rPr>
          <w:color w:val="231F20"/>
        </w:rPr>
        <w:t>＿、參加疾管署委託或辦理之全國結核病實驗室口管計畫，接受能力試驗、實驗室口管及生物安全實地查核；參加疾管署定期召開之結核病實驗室會議。</w:t>
      </w:r>
    </w:p>
    <w:p>
      <w:pPr>
        <w:pStyle w:val="BodyText"/>
        <w:spacing w:line="230" w:lineRule="auto"/>
        <w:ind w:left="1338" w:right="534" w:hanging="488"/>
      </w:pPr>
      <w:r>
        <w:rPr>
          <w:color w:val="231F20"/>
        </w:rPr>
        <w:t>—、送驗時效、檢驗口質及安全等缺失，經疾管署要求即須依限期及建議改善；若否，得終止認可資格或疾管署委託代檢之合約。</w:t>
      </w:r>
    </w:p>
    <w:p>
      <w:pPr>
        <w:pStyle w:val="BodyText"/>
        <w:spacing w:line="230" w:lineRule="auto"/>
        <w:ind w:left="1338" w:right="532" w:hanging="488"/>
      </w:pPr>
      <w:r>
        <w:rPr>
          <w:color w:val="231F20"/>
          <w:spacing w:val="-1"/>
        </w:rPr>
        <w:t>二、檢驗操作人員(以專職人員為佳)須參加疾管署或檢驗相關學會辦理之檢驗人員訓練   及通過能力測試，並至少有 </w:t>
      </w:r>
      <w:r>
        <w:rPr>
          <w:color w:val="231F20"/>
        </w:rPr>
        <w:t>1</w:t>
      </w:r>
      <w:r>
        <w:rPr>
          <w:color w:val="231F20"/>
          <w:spacing w:val="-3"/>
        </w:rPr>
        <w:t> 人完成能力驗證。</w:t>
      </w:r>
    </w:p>
    <w:p>
      <w:pPr>
        <w:spacing w:after="0" w:line="230" w:lineRule="auto"/>
        <w:sectPr>
          <w:pgSz w:w="11910" w:h="16840"/>
          <w:pgMar w:top="1060" w:bottom="0" w:left="520" w:right="600"/>
        </w:sectPr>
      </w:pPr>
    </w:p>
    <w:p>
      <w:pPr>
        <w:pStyle w:val="BodyText"/>
        <w:spacing w:before="59"/>
        <w:ind w:left="851"/>
      </w:pPr>
      <w:r>
        <w:rPr/>
        <w:pict>
          <v:group style="position:absolute;margin-left:.0pt;margin-top:70.144997pt;width:37.35pt;height:771.55pt;mso-position-horizontal-relative:page;mso-position-vertical-relative:page;z-index:-266364928" coordorigin="0,1403" coordsize="747,15431">
            <v:shape style="position:absolute;left:178;top:1914;width:438;height:14920" type="#_x0000_t75" stroked="false">
              <v:imagedata r:id="rId23" o:title=""/>
            </v:shape>
            <v:shape style="position:absolute;left:0;top:1402;width:747;height:812" coordorigin="0,1403" coordsize="747,812" path="m365,1403l0,1403,0,2214,365,2214,387,2212,447,2178,713,1896,747,1809,738,1762,447,1439,387,1405,365,1403xe" filled="true" fillcolor="#f8971d" stroked="false">
              <v:path arrowok="t"/>
              <v:fill type="solid"/>
            </v:shape>
            <v:shape style="position:absolute;left:202;top:1669;width:388;height:278" type="#_x0000_t75" stroked="false">
              <v:imagedata r:id="rId24" o:title=""/>
            </v:shape>
            <v:shape style="position:absolute;left:272;top:2349;width:252;height:3944" type="#_x0000_t75" stroked="false">
              <v:imagedata r:id="rId25"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w:t>
                    </w:r>
                  </w:p>
                </w:txbxContent>
              </v:textbox>
              <w10:wrap type="none"/>
            </v:shape>
            <w10:wrap type="none"/>
          </v:group>
        </w:pict>
      </w:r>
      <w:r>
        <w:rPr>
          <w:color w:val="231F20"/>
        </w:rPr>
        <w:t>匹、將陽性菌株併同檢體清冊寄回疾管署檢驗及疫苗研製中心分枝桿菌實驗室保存。</w:t>
      </w:r>
    </w:p>
    <w:p>
      <w:pPr>
        <w:pStyle w:val="BodyText"/>
        <w:spacing w:before="16"/>
        <w:rPr>
          <w:sz w:val="19"/>
        </w:rPr>
      </w:pPr>
    </w:p>
    <w:p>
      <w:pPr>
        <w:pStyle w:val="Heading2"/>
        <w:ind w:left="613"/>
      </w:pPr>
      <w:r>
        <w:rPr>
          <w:color w:val="231F20"/>
        </w:rPr>
        <w:t>柒、相關單位權責分工</w:t>
      </w:r>
    </w:p>
    <w:p>
      <w:pPr>
        <w:pStyle w:val="BodyText"/>
        <w:spacing w:line="404" w:lineRule="exact"/>
        <w:ind w:left="851"/>
      </w:pPr>
      <w:r>
        <w:rPr>
          <w:color w:val="231F20"/>
        </w:rPr>
        <w:t>＿、衛生局</w:t>
      </w:r>
    </w:p>
    <w:p>
      <w:pPr>
        <w:pStyle w:val="BodyText"/>
        <w:tabs>
          <w:tab w:pos="1809" w:val="left" w:leader="none"/>
        </w:tabs>
        <w:spacing w:line="400" w:lineRule="exact"/>
        <w:ind w:left="1089"/>
      </w:pPr>
      <w:r>
        <w:rPr>
          <w:color w:val="231F20"/>
          <w:spacing w:val="-5"/>
        </w:rPr>
        <w:t>( </w:t>
      </w:r>
      <w:r>
        <w:rPr>
          <w:color w:val="231F20"/>
        </w:rPr>
        <w:t>＿</w:t>
      </w:r>
      <w:r>
        <w:rPr>
          <w:color w:val="231F20"/>
          <w:spacing w:val="-4"/>
        </w:rPr>
        <w:t> )</w:t>
      </w:r>
      <w:r>
        <w:rPr>
          <w:color w:val="231F20"/>
        </w:rPr>
        <w:tab/>
        <w:t>協助轄區醫療院所取得結核病認可實驗室資格。</w:t>
      </w:r>
    </w:p>
    <w:p>
      <w:pPr>
        <w:pStyle w:val="BodyText"/>
        <w:tabs>
          <w:tab w:pos="1809" w:val="left" w:leader="none"/>
        </w:tabs>
        <w:spacing w:line="400" w:lineRule="exact"/>
        <w:ind w:left="1089"/>
      </w:pPr>
      <w:r>
        <w:rPr>
          <w:color w:val="231F20"/>
          <w:spacing w:val="-4"/>
        </w:rPr>
        <w:t>( — )</w:t>
      </w:r>
      <w:r>
        <w:rPr>
          <w:color w:val="231F20"/>
        </w:rPr>
        <w:tab/>
        <w:t>協調轄區檢體送至結核病認可或合約實驗室檢驗。</w:t>
      </w:r>
    </w:p>
    <w:p>
      <w:pPr>
        <w:pStyle w:val="BodyText"/>
        <w:tabs>
          <w:tab w:pos="1809" w:val="left" w:leader="none"/>
        </w:tabs>
        <w:spacing w:line="230" w:lineRule="auto" w:before="3"/>
        <w:ind w:left="1809" w:right="535" w:hanging="720"/>
      </w:pPr>
      <w:r>
        <w:rPr>
          <w:color w:val="231F20"/>
        </w:rPr>
        <w:t>(</w:t>
      </w:r>
      <w:r>
        <w:rPr>
          <w:color w:val="231F20"/>
          <w:spacing w:val="-9"/>
        </w:rPr>
        <w:t> </w:t>
      </w:r>
      <w:r>
        <w:rPr>
          <w:color w:val="231F20"/>
        </w:rPr>
        <w:t>二</w:t>
      </w:r>
      <w:r>
        <w:rPr>
          <w:color w:val="231F20"/>
          <w:spacing w:val="-8"/>
        </w:rPr>
        <w:t> </w:t>
      </w:r>
      <w:r>
        <w:rPr>
          <w:color w:val="231F20"/>
        </w:rPr>
        <w:t>)</w:t>
        <w:tab/>
        <w:t>每月定期自</w:t>
      </w:r>
      <w:r>
        <w:rPr>
          <w:color w:val="231F20"/>
          <w:spacing w:val="14"/>
        </w:rPr>
        <w:t> </w:t>
      </w:r>
      <w:r>
        <w:rPr>
          <w:color w:val="231F20"/>
        </w:rPr>
        <w:t>BO</w:t>
      </w:r>
      <w:r>
        <w:rPr>
          <w:color w:val="231F20"/>
          <w:spacing w:val="13"/>
        </w:rPr>
        <w:t> </w:t>
      </w:r>
      <w:r>
        <w:rPr>
          <w:color w:val="231F20"/>
        </w:rPr>
        <w:t>系統下載檢體送驗不良率(標準為 </w:t>
      </w:r>
      <w:r>
        <w:rPr>
          <w:color w:val="231F20"/>
          <w:spacing w:val="13"/>
        </w:rPr>
        <w:t> </w:t>
      </w:r>
      <w:r>
        <w:rPr>
          <w:color w:val="231F20"/>
        </w:rPr>
        <w:t>2% </w:t>
      </w:r>
      <w:r>
        <w:rPr>
          <w:color w:val="231F20"/>
          <w:spacing w:val="11"/>
        </w:rPr>
        <w:t> </w:t>
      </w:r>
      <w:r>
        <w:rPr>
          <w:color w:val="231F20"/>
        </w:rPr>
        <w:t>以下)資料進行稽核，並落實檢體於</w:t>
      </w:r>
      <w:r>
        <w:rPr>
          <w:color w:val="231F20"/>
          <w:spacing w:val="-7"/>
        </w:rPr>
        <w:t> </w:t>
      </w:r>
      <w:r>
        <w:rPr>
          <w:color w:val="231F20"/>
        </w:rPr>
        <w:t>3</w:t>
      </w:r>
      <w:r>
        <w:rPr>
          <w:color w:val="231F20"/>
          <w:spacing w:val="-7"/>
        </w:rPr>
        <w:t> </w:t>
      </w:r>
      <w:r>
        <w:rPr>
          <w:color w:val="231F20"/>
        </w:rPr>
        <w:t>天內送達之目標。</w:t>
      </w:r>
    </w:p>
    <w:p>
      <w:pPr>
        <w:pStyle w:val="BodyText"/>
        <w:tabs>
          <w:tab w:pos="1810" w:val="left" w:leader="none"/>
        </w:tabs>
        <w:spacing w:line="230" w:lineRule="auto"/>
        <w:ind w:left="1809" w:right="537" w:hanging="720"/>
      </w:pPr>
      <w:r>
        <w:rPr>
          <w:color w:val="231F20"/>
        </w:rPr>
        <w:t>(</w:t>
      </w:r>
      <w:r>
        <w:rPr>
          <w:color w:val="231F20"/>
          <w:spacing w:val="-9"/>
        </w:rPr>
        <w:t> </w:t>
      </w:r>
      <w:r>
        <w:rPr>
          <w:color w:val="231F20"/>
        </w:rPr>
        <w:t>匹</w:t>
      </w:r>
      <w:r>
        <w:rPr>
          <w:color w:val="231F20"/>
          <w:spacing w:val="-8"/>
        </w:rPr>
        <w:t> </w:t>
      </w:r>
      <w:r>
        <w:rPr>
          <w:color w:val="231F20"/>
        </w:rPr>
        <w:t>)</w:t>
        <w:tab/>
        <w:tab/>
        <w:t>督導送驗單位及實驗室完整建置檢體送驗及檢驗相關資料，並依檢驗結果對於</w:t>
      </w:r>
      <w:r>
        <w:rPr>
          <w:color w:val="231F20"/>
          <w:spacing w:val="-17"/>
        </w:rPr>
        <w:t>個</w:t>
      </w:r>
      <w:r>
        <w:rPr>
          <w:color w:val="231F20"/>
        </w:rPr>
        <w:t>案進行必要之管理及處置。</w:t>
      </w:r>
    </w:p>
    <w:p>
      <w:pPr>
        <w:pStyle w:val="BodyText"/>
        <w:tabs>
          <w:tab w:pos="1809" w:val="left" w:leader="none"/>
        </w:tabs>
        <w:spacing w:line="395" w:lineRule="exact"/>
        <w:ind w:left="1089"/>
      </w:pPr>
      <w:r>
        <w:rPr>
          <w:color w:val="231F20"/>
        </w:rPr>
        <w:t>(</w:t>
      </w:r>
      <w:r>
        <w:rPr>
          <w:color w:val="231F20"/>
          <w:spacing w:val="-9"/>
        </w:rPr>
        <w:t> </w:t>
      </w:r>
      <w:r>
        <w:rPr>
          <w:color w:val="231F20"/>
        </w:rPr>
        <w:t>五</w:t>
      </w:r>
      <w:r>
        <w:rPr>
          <w:color w:val="231F20"/>
          <w:spacing w:val="-8"/>
        </w:rPr>
        <w:t> </w:t>
      </w:r>
      <w:r>
        <w:rPr>
          <w:color w:val="231F20"/>
        </w:rPr>
        <w:t>)</w:t>
        <w:tab/>
        <w:t>協助轄區醫院公費檢驗物資調度，並管理其使用情形。</w:t>
      </w:r>
    </w:p>
    <w:p>
      <w:pPr>
        <w:pStyle w:val="BodyText"/>
        <w:spacing w:line="400" w:lineRule="exact"/>
        <w:ind w:left="851"/>
      </w:pPr>
      <w:r>
        <w:rPr>
          <w:color w:val="231F20"/>
        </w:rPr>
        <w:t>—、疾管署各區管制中心</w:t>
      </w:r>
    </w:p>
    <w:p>
      <w:pPr>
        <w:pStyle w:val="BodyText"/>
        <w:tabs>
          <w:tab w:pos="1809" w:val="left" w:leader="none"/>
        </w:tabs>
        <w:spacing w:line="400" w:lineRule="exact"/>
        <w:ind w:left="1089"/>
      </w:pPr>
      <w:r>
        <w:rPr>
          <w:color w:val="231F20"/>
          <w:spacing w:val="-5"/>
        </w:rPr>
        <w:t>( </w:t>
      </w:r>
      <w:r>
        <w:rPr>
          <w:color w:val="231F20"/>
        </w:rPr>
        <w:t>＿</w:t>
      </w:r>
      <w:r>
        <w:rPr>
          <w:color w:val="231F20"/>
          <w:spacing w:val="-4"/>
        </w:rPr>
        <w:t> )</w:t>
      </w:r>
      <w:r>
        <w:rPr>
          <w:color w:val="231F20"/>
        </w:rPr>
        <w:tab/>
        <w:t>協助轄區衛生局與實驗室間業務溝通協調。</w:t>
      </w:r>
    </w:p>
    <w:p>
      <w:pPr>
        <w:pStyle w:val="BodyText"/>
        <w:tabs>
          <w:tab w:pos="1809" w:val="left" w:leader="none"/>
        </w:tabs>
        <w:spacing w:line="400" w:lineRule="exact"/>
        <w:ind w:left="1089"/>
      </w:pPr>
      <w:r>
        <w:rPr>
          <w:color w:val="231F20"/>
          <w:spacing w:val="-4"/>
        </w:rPr>
        <w:t>( — )</w:t>
      </w:r>
      <w:r>
        <w:rPr>
          <w:color w:val="231F20"/>
        </w:rPr>
        <w:tab/>
        <w:t>疑似聚集感染事件時檢體收送之協調處理及處置。</w:t>
      </w:r>
    </w:p>
    <w:p>
      <w:pPr>
        <w:pStyle w:val="BodyText"/>
        <w:tabs>
          <w:tab w:pos="1809" w:val="left" w:leader="none"/>
        </w:tabs>
        <w:spacing w:line="230" w:lineRule="auto"/>
        <w:ind w:left="851" w:right="3455" w:firstLine="238"/>
      </w:pPr>
      <w:r>
        <w:rPr>
          <w:color w:val="231F20"/>
        </w:rPr>
        <w:t>(</w:t>
      </w:r>
      <w:r>
        <w:rPr>
          <w:color w:val="231F20"/>
          <w:spacing w:val="-9"/>
        </w:rPr>
        <w:t> </w:t>
      </w:r>
      <w:r>
        <w:rPr>
          <w:color w:val="231F20"/>
        </w:rPr>
        <w:t>二</w:t>
      </w:r>
      <w:r>
        <w:rPr>
          <w:color w:val="231F20"/>
          <w:spacing w:val="-8"/>
        </w:rPr>
        <w:t> </w:t>
      </w:r>
      <w:r>
        <w:rPr>
          <w:color w:val="231F20"/>
        </w:rPr>
        <w:t>)</w:t>
        <w:tab/>
        <w:t>協調轄區衛生局間公費檢驗物資調度，並協助管理</w:t>
      </w:r>
      <w:r>
        <w:rPr>
          <w:color w:val="231F20"/>
          <w:spacing w:val="-20"/>
        </w:rPr>
        <w:t>。</w:t>
      </w:r>
      <w:r>
        <w:rPr>
          <w:color w:val="231F20"/>
        </w:rPr>
        <w:t>二、疾管署檢驗及疫苗研製中心分枝桿菌實驗室</w:t>
      </w:r>
    </w:p>
    <w:p>
      <w:pPr>
        <w:pStyle w:val="BodyText"/>
        <w:tabs>
          <w:tab w:pos="1809" w:val="left" w:leader="none"/>
        </w:tabs>
        <w:spacing w:line="395" w:lineRule="exact"/>
        <w:ind w:left="1089"/>
      </w:pPr>
      <w:r>
        <w:rPr>
          <w:color w:val="231F20"/>
          <w:spacing w:val="-5"/>
        </w:rPr>
        <w:t>( </w:t>
      </w:r>
      <w:r>
        <w:rPr>
          <w:color w:val="231F20"/>
        </w:rPr>
        <w:t>＿</w:t>
      </w:r>
      <w:r>
        <w:rPr>
          <w:color w:val="231F20"/>
          <w:spacing w:val="-4"/>
        </w:rPr>
        <w:t> )</w:t>
      </w:r>
      <w:r>
        <w:rPr>
          <w:color w:val="231F20"/>
        </w:rPr>
        <w:tab/>
        <w:t>辦理認可實驗室審查、教育訓練及定期召開會議等。</w:t>
      </w:r>
    </w:p>
    <w:p>
      <w:pPr>
        <w:pStyle w:val="BodyText"/>
        <w:tabs>
          <w:tab w:pos="1809" w:val="left" w:leader="none"/>
        </w:tabs>
        <w:spacing w:line="230" w:lineRule="auto" w:before="3"/>
        <w:ind w:left="1809" w:right="538" w:hanging="720"/>
      </w:pPr>
      <w:r>
        <w:rPr>
          <w:color w:val="231F20"/>
          <w:spacing w:val="-4"/>
        </w:rPr>
        <w:t>( — )</w:t>
      </w:r>
      <w:r>
        <w:rPr>
          <w:color w:val="231F20"/>
        </w:rPr>
        <w:tab/>
      </w:r>
      <w:r>
        <w:rPr>
          <w:color w:val="231F20"/>
          <w:spacing w:val="-1"/>
        </w:rPr>
        <w:t>檢驗口質監控、外部口管計畫、實驗室檢驗報告異常案件調查及結核菌株庫 </w:t>
      </w:r>
      <w:r>
        <w:rPr>
          <w:color w:val="231F20"/>
          <w:spacing w:val="-1"/>
          <w:w w:val="70"/>
        </w:rPr>
        <w:t>／ </w:t>
      </w:r>
      <w:r>
        <w:rPr>
          <w:color w:val="231F20"/>
        </w:rPr>
        <w:t>基因庫之建置。</w:t>
      </w:r>
    </w:p>
    <w:p>
      <w:pPr>
        <w:pStyle w:val="BodyText"/>
        <w:tabs>
          <w:tab w:pos="1809" w:val="left" w:leader="none"/>
        </w:tabs>
        <w:spacing w:line="230" w:lineRule="auto"/>
        <w:ind w:left="851" w:right="1056" w:firstLine="238"/>
      </w:pPr>
      <w:r>
        <w:rPr>
          <w:color w:val="231F20"/>
        </w:rPr>
        <w:t>(</w:t>
      </w:r>
      <w:r>
        <w:rPr>
          <w:color w:val="231F20"/>
          <w:spacing w:val="-9"/>
        </w:rPr>
        <w:t> </w:t>
      </w:r>
      <w:r>
        <w:rPr>
          <w:color w:val="231F20"/>
        </w:rPr>
        <w:t>二</w:t>
      </w:r>
      <w:r>
        <w:rPr>
          <w:color w:val="231F20"/>
          <w:spacing w:val="-8"/>
        </w:rPr>
        <w:t> </w:t>
      </w:r>
      <w:r>
        <w:rPr>
          <w:color w:val="231F20"/>
        </w:rPr>
        <w:t>)</w:t>
        <w:tab/>
        <w:t>辦理新檢驗技術、流程之引進、政策規劃評估及結核檢驗技術之學術研發</w:t>
      </w:r>
      <w:r>
        <w:rPr>
          <w:color w:val="231F20"/>
          <w:spacing w:val="-21"/>
        </w:rPr>
        <w:t>。</w:t>
      </w:r>
      <w:r>
        <w:rPr>
          <w:color w:val="231F20"/>
        </w:rPr>
        <w:t>匹、疾管署慢性傳染病組</w:t>
      </w:r>
    </w:p>
    <w:p>
      <w:pPr>
        <w:pStyle w:val="BodyText"/>
        <w:tabs>
          <w:tab w:pos="1809" w:val="left" w:leader="none"/>
        </w:tabs>
        <w:spacing w:line="395" w:lineRule="exact"/>
        <w:ind w:left="1089"/>
      </w:pPr>
      <w:r>
        <w:rPr>
          <w:color w:val="231F20"/>
          <w:spacing w:val="-5"/>
        </w:rPr>
        <w:t>( </w:t>
      </w:r>
      <w:r>
        <w:rPr>
          <w:color w:val="231F20"/>
        </w:rPr>
        <w:t>＿</w:t>
      </w:r>
      <w:r>
        <w:rPr>
          <w:color w:val="231F20"/>
          <w:spacing w:val="-4"/>
        </w:rPr>
        <w:t> )</w:t>
      </w:r>
      <w:r>
        <w:rPr>
          <w:color w:val="231F20"/>
        </w:rPr>
        <w:tab/>
        <w:t>結核病檢驗政策規劃。</w:t>
      </w:r>
    </w:p>
    <w:p>
      <w:pPr>
        <w:pStyle w:val="BodyText"/>
        <w:tabs>
          <w:tab w:pos="1809" w:val="left" w:leader="none"/>
        </w:tabs>
        <w:spacing w:line="400" w:lineRule="exact"/>
        <w:ind w:left="1089"/>
      </w:pPr>
      <w:r>
        <w:rPr>
          <w:color w:val="231F20"/>
          <w:spacing w:val="-4"/>
        </w:rPr>
        <w:t>( — )</w:t>
      </w:r>
      <w:r>
        <w:rPr>
          <w:color w:val="231F20"/>
        </w:rPr>
        <w:tab/>
        <w:t>疾管署檢驗相關經費編列及審核。</w:t>
      </w:r>
    </w:p>
    <w:p>
      <w:pPr>
        <w:pStyle w:val="BodyText"/>
        <w:tabs>
          <w:tab w:pos="1809" w:val="left" w:leader="none"/>
        </w:tabs>
        <w:spacing w:line="409" w:lineRule="exact"/>
        <w:ind w:left="1089"/>
      </w:pPr>
      <w:r>
        <w:rPr>
          <w:color w:val="231F20"/>
        </w:rPr>
        <w:t>(</w:t>
      </w:r>
      <w:r>
        <w:rPr>
          <w:color w:val="231F20"/>
          <w:spacing w:val="-9"/>
        </w:rPr>
        <w:t> </w:t>
      </w:r>
      <w:r>
        <w:rPr>
          <w:color w:val="231F20"/>
        </w:rPr>
        <w:t>二</w:t>
      </w:r>
      <w:r>
        <w:rPr>
          <w:color w:val="231F20"/>
          <w:spacing w:val="-8"/>
        </w:rPr>
        <w:t> </w:t>
      </w:r>
      <w:r>
        <w:rPr>
          <w:color w:val="231F20"/>
        </w:rPr>
        <w:t>)</w:t>
        <w:tab/>
        <w:t>辦理公費檢驗物資採購，並統＿配賦。</w:t>
      </w:r>
    </w:p>
    <w:p>
      <w:pPr>
        <w:spacing w:after="0" w:line="409" w:lineRule="exact"/>
        <w:sectPr>
          <w:pgSz w:w="11910" w:h="16840"/>
          <w:pgMar w:top="1060" w:bottom="0" w:left="520" w:right="600"/>
        </w:sectPr>
      </w:pPr>
    </w:p>
    <w:p>
      <w:pPr>
        <w:pStyle w:val="Heading2"/>
        <w:spacing w:line="240" w:lineRule="auto" w:before="27"/>
        <w:ind w:left="613"/>
      </w:pPr>
      <w:r>
        <w:rPr/>
        <w:pict>
          <v:group style="position:absolute;margin-left:557.686523pt;margin-top:70.144997pt;width:37.35pt;height:771.55pt;mso-position-horizontal-relative:page;mso-position-vertical-relative:page;z-index:251695104" coordorigin="11154,1403" coordsize="747,15431">
            <v:shape style="position:absolute;left:11283;top:1914;width:438;height:14920" type="#_x0000_t75" stroked="false">
              <v:imagedata r:id="rId19" o:title=""/>
            </v:shape>
            <v:shape style="position:absolute;left:11153;top:1402;width:747;height:812" coordorigin="11154,1403" coordsize="747,812" path="m11900,1403l11536,1403,11514,1405,11454,1439,11188,1721,11154,1809,11162,1855,11454,2178,11514,2212,11536,2214,11900,2214,11900,1403xe" filled="true" fillcolor="#f8971d" stroked="false">
              <v:path arrowok="t"/>
              <v:fill type="solid"/>
            </v:shape>
            <v:shape style="position:absolute;left:11307;top:1669;width:388;height:278" type="#_x0000_t75" stroked="false">
              <v:imagedata r:id="rId20" o:title=""/>
            </v:shape>
            <v:shape style="position:absolute;left:11377;top:2349;width:252;height:3944" type="#_x0000_t75" stroked="false">
              <v:imagedata r:id="rId21"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w:t>
                    </w:r>
                  </w:p>
                </w:txbxContent>
              </v:textbox>
              <w10:wrap type="none"/>
            </v:shape>
            <w10:wrap type="none"/>
          </v:group>
        </w:pict>
      </w:r>
      <w:r>
        <w:rPr/>
        <w:pict>
          <v:shape style="position:absolute;margin-left:56.667999pt;margin-top:74.496498pt;width:480.75pt;height:702.05pt;mso-position-horizontal-relative:page;mso-position-vertical-relative:page;z-index:25169612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70"/>
                    <w:gridCol w:w="1062"/>
                    <w:gridCol w:w="1022"/>
                    <w:gridCol w:w="1017"/>
                    <w:gridCol w:w="5520"/>
                  </w:tblGrid>
                  <w:tr>
                    <w:trPr>
                      <w:trHeight w:val="451" w:hRule="atLeast"/>
                    </w:trPr>
                    <w:tc>
                      <w:tcPr>
                        <w:tcW w:w="4071" w:type="dxa"/>
                        <w:gridSpan w:val="4"/>
                        <w:shd w:val="clear" w:color="auto" w:fill="E6E7E8"/>
                      </w:tcPr>
                      <w:p>
                        <w:pPr>
                          <w:pStyle w:val="TableParagraph"/>
                          <w:spacing w:line="431" w:lineRule="exact"/>
                          <w:ind w:left="1536" w:right="1520"/>
                          <w:jc w:val="center"/>
                          <w:rPr>
                            <w:rFonts w:ascii="微軟正黑體" w:eastAsia="微軟正黑體" w:hint="eastAsia"/>
                            <w:b/>
                            <w:sz w:val="24"/>
                          </w:rPr>
                        </w:pPr>
                        <w:r>
                          <w:rPr>
                            <w:rFonts w:ascii="微軟正黑體" w:eastAsia="微軟正黑體" w:hint="eastAsia"/>
                            <w:b/>
                            <w:color w:val="231F20"/>
                            <w:sz w:val="24"/>
                          </w:rPr>
                          <w:t>主責單位</w:t>
                        </w:r>
                      </w:p>
                    </w:tc>
                    <w:tc>
                      <w:tcPr>
                        <w:tcW w:w="5520" w:type="dxa"/>
                        <w:tcBorders>
                          <w:bottom w:val="nil"/>
                        </w:tcBorders>
                        <w:shd w:val="clear" w:color="auto" w:fill="E6E7E8"/>
                      </w:tcPr>
                      <w:p>
                        <w:pPr>
                          <w:pStyle w:val="TableParagraph"/>
                          <w:rPr>
                            <w:rFonts w:ascii="Times New Roman"/>
                            <w:sz w:val="22"/>
                          </w:rPr>
                        </w:pPr>
                      </w:p>
                    </w:tc>
                  </w:tr>
                  <w:tr>
                    <w:trPr>
                      <w:trHeight w:val="396" w:hRule="atLeast"/>
                    </w:trPr>
                    <w:tc>
                      <w:tcPr>
                        <w:tcW w:w="970" w:type="dxa"/>
                        <w:tcBorders>
                          <w:bottom w:val="nil"/>
                        </w:tcBorders>
                        <w:shd w:val="clear" w:color="auto" w:fill="E6E7E8"/>
                      </w:tcPr>
                      <w:p>
                        <w:pPr>
                          <w:pStyle w:val="TableParagraph"/>
                          <w:spacing w:line="376" w:lineRule="exact"/>
                          <w:ind w:left="104" w:right="90"/>
                          <w:jc w:val="center"/>
                          <w:rPr>
                            <w:rFonts w:ascii="微軟正黑體" w:eastAsia="微軟正黑體" w:hint="eastAsia"/>
                            <w:b/>
                            <w:sz w:val="24"/>
                          </w:rPr>
                        </w:pPr>
                        <w:r>
                          <w:rPr>
                            <w:rFonts w:ascii="微軟正黑體" w:eastAsia="微軟正黑體" w:hint="eastAsia"/>
                            <w:b/>
                            <w:color w:val="231F20"/>
                            <w:sz w:val="24"/>
                          </w:rPr>
                          <w:t>疾管署</w:t>
                        </w:r>
                      </w:p>
                    </w:tc>
                    <w:tc>
                      <w:tcPr>
                        <w:tcW w:w="1062" w:type="dxa"/>
                        <w:vMerge w:val="restart"/>
                        <w:shd w:val="clear" w:color="auto" w:fill="E6E7E8"/>
                      </w:tcPr>
                      <w:p>
                        <w:pPr>
                          <w:pStyle w:val="TableParagraph"/>
                          <w:spacing w:line="218" w:lineRule="auto" w:before="229"/>
                          <w:ind w:left="171" w:right="153"/>
                          <w:jc w:val="both"/>
                          <w:rPr>
                            <w:rFonts w:ascii="微軟正黑體" w:eastAsia="微軟正黑體" w:hint="eastAsia"/>
                            <w:b/>
                            <w:sz w:val="24"/>
                          </w:rPr>
                        </w:pPr>
                        <w:r>
                          <w:rPr>
                            <w:rFonts w:ascii="微軟正黑體" w:eastAsia="微軟正黑體" w:hint="eastAsia"/>
                            <w:b/>
                            <w:color w:val="231F20"/>
                            <w:sz w:val="24"/>
                          </w:rPr>
                          <w:t>疾管署各區管制中心</w:t>
                        </w:r>
                      </w:p>
                    </w:tc>
                    <w:tc>
                      <w:tcPr>
                        <w:tcW w:w="1022" w:type="dxa"/>
                        <w:tcBorders>
                          <w:bottom w:val="nil"/>
                        </w:tcBorders>
                        <w:shd w:val="clear" w:color="auto" w:fill="E6E7E8"/>
                      </w:tcPr>
                      <w:p>
                        <w:pPr>
                          <w:pStyle w:val="TableParagraph"/>
                          <w:rPr>
                            <w:rFonts w:ascii="Times New Roman"/>
                            <w:sz w:val="22"/>
                          </w:rPr>
                        </w:pPr>
                      </w:p>
                    </w:tc>
                    <w:tc>
                      <w:tcPr>
                        <w:tcW w:w="1017" w:type="dxa"/>
                        <w:tcBorders>
                          <w:bottom w:val="nil"/>
                        </w:tcBorders>
                        <w:shd w:val="clear" w:color="auto" w:fill="E6E7E8"/>
                      </w:tcPr>
                      <w:p>
                        <w:pPr>
                          <w:pStyle w:val="TableParagraph"/>
                          <w:rPr>
                            <w:rFonts w:ascii="Times New Roman"/>
                            <w:sz w:val="22"/>
                          </w:rPr>
                        </w:pPr>
                      </w:p>
                    </w:tc>
                    <w:tc>
                      <w:tcPr>
                        <w:tcW w:w="5520" w:type="dxa"/>
                        <w:tcBorders>
                          <w:top w:val="nil"/>
                          <w:bottom w:val="nil"/>
                        </w:tcBorders>
                        <w:shd w:val="clear" w:color="auto" w:fill="E6E7E8"/>
                      </w:tcPr>
                      <w:p>
                        <w:pPr>
                          <w:pStyle w:val="TableParagraph"/>
                          <w:rPr>
                            <w:rFonts w:ascii="Times New Roman"/>
                            <w:sz w:val="22"/>
                          </w:rPr>
                        </w:pPr>
                      </w:p>
                    </w:tc>
                  </w:tr>
                  <w:tr>
                    <w:trPr>
                      <w:trHeight w:val="801" w:hRule="atLeast"/>
                    </w:trPr>
                    <w:tc>
                      <w:tcPr>
                        <w:tcW w:w="970" w:type="dxa"/>
                        <w:tcBorders>
                          <w:top w:val="nil"/>
                          <w:bottom w:val="nil"/>
                        </w:tcBorders>
                        <w:shd w:val="clear" w:color="auto" w:fill="E6E7E8"/>
                      </w:tcPr>
                      <w:p>
                        <w:pPr>
                          <w:pStyle w:val="TableParagraph"/>
                          <w:spacing w:line="409" w:lineRule="exact"/>
                          <w:ind w:left="124"/>
                          <w:rPr>
                            <w:rFonts w:ascii="微軟正黑體" w:eastAsia="微軟正黑體" w:hint="eastAsia"/>
                            <w:b/>
                            <w:sz w:val="24"/>
                          </w:rPr>
                        </w:pPr>
                        <w:r>
                          <w:rPr>
                            <w:rFonts w:ascii="微軟正黑體" w:eastAsia="微軟正黑體" w:hint="eastAsia"/>
                            <w:b/>
                            <w:color w:val="231F20"/>
                            <w:sz w:val="24"/>
                          </w:rPr>
                          <w:t>分枝桿</w:t>
                        </w:r>
                      </w:p>
                      <w:p>
                        <w:pPr>
                          <w:pStyle w:val="TableParagraph"/>
                          <w:spacing w:line="372" w:lineRule="exact"/>
                          <w:ind w:left="124"/>
                          <w:rPr>
                            <w:rFonts w:ascii="微軟正黑體" w:eastAsia="微軟正黑體" w:hint="eastAsia"/>
                            <w:b/>
                            <w:sz w:val="24"/>
                          </w:rPr>
                        </w:pPr>
                        <w:r>
                          <w:rPr>
                            <w:rFonts w:ascii="微軟正黑體" w:eastAsia="微軟正黑體" w:hint="eastAsia"/>
                            <w:b/>
                            <w:color w:val="231F20"/>
                            <w:sz w:val="24"/>
                          </w:rPr>
                          <w:t>菌實驗</w:t>
                        </w:r>
                      </w:p>
                    </w:tc>
                    <w:tc>
                      <w:tcPr>
                        <w:tcW w:w="1062" w:type="dxa"/>
                        <w:vMerge/>
                        <w:tcBorders>
                          <w:top w:val="nil"/>
                        </w:tcBorders>
                        <w:shd w:val="clear" w:color="auto" w:fill="E6E7E8"/>
                      </w:tcPr>
                      <w:p>
                        <w:pPr>
                          <w:rPr>
                            <w:sz w:val="2"/>
                            <w:szCs w:val="2"/>
                          </w:rPr>
                        </w:pPr>
                      </w:p>
                    </w:tc>
                    <w:tc>
                      <w:tcPr>
                        <w:tcW w:w="1022" w:type="dxa"/>
                        <w:tcBorders>
                          <w:top w:val="nil"/>
                          <w:bottom w:val="nil"/>
                        </w:tcBorders>
                        <w:shd w:val="clear" w:color="auto" w:fill="E6E7E8"/>
                      </w:tcPr>
                      <w:p>
                        <w:pPr>
                          <w:pStyle w:val="TableParagraph"/>
                          <w:spacing w:line="409" w:lineRule="exact"/>
                          <w:ind w:left="151"/>
                          <w:rPr>
                            <w:rFonts w:ascii="微軟正黑體" w:eastAsia="微軟正黑體" w:hint="eastAsia"/>
                            <w:b/>
                            <w:sz w:val="24"/>
                          </w:rPr>
                        </w:pPr>
                        <w:r>
                          <w:rPr>
                            <w:rFonts w:ascii="微軟正黑體" w:eastAsia="微軟正黑體" w:hint="eastAsia"/>
                            <w:b/>
                            <w:color w:val="231F20"/>
                            <w:sz w:val="24"/>
                          </w:rPr>
                          <w:t>衛生局</w:t>
                        </w:r>
                      </w:p>
                      <w:p>
                        <w:pPr>
                          <w:pStyle w:val="TableParagraph"/>
                          <w:spacing w:line="372" w:lineRule="exact"/>
                          <w:ind w:left="308"/>
                          <w:rPr>
                            <w:rFonts w:ascii="微軟正黑體" w:eastAsia="微軟正黑體" w:hint="eastAsia"/>
                            <w:b/>
                            <w:sz w:val="24"/>
                          </w:rPr>
                        </w:pPr>
                        <w:r>
                          <w:rPr>
                            <w:rFonts w:ascii="微軟正黑體" w:eastAsia="微軟正黑體" w:hint="eastAsia"/>
                            <w:b/>
                            <w:color w:val="231F20"/>
                            <w:w w:val="80"/>
                            <w:sz w:val="24"/>
                          </w:rPr>
                          <w:t>／所</w:t>
                        </w:r>
                        <w:r>
                          <w:rPr>
                            <w:rFonts w:ascii="微軟正黑體" w:eastAsia="微軟正黑體" w:hint="eastAsia"/>
                            <w:b/>
                            <w:color w:val="231F20"/>
                            <w:sz w:val="24"/>
                          </w:rPr>
                          <w:t> </w:t>
                        </w:r>
                      </w:p>
                    </w:tc>
                    <w:tc>
                      <w:tcPr>
                        <w:tcW w:w="1017" w:type="dxa"/>
                        <w:tcBorders>
                          <w:top w:val="nil"/>
                          <w:bottom w:val="nil"/>
                        </w:tcBorders>
                        <w:shd w:val="clear" w:color="auto" w:fill="E6E7E8"/>
                      </w:tcPr>
                      <w:p>
                        <w:pPr>
                          <w:pStyle w:val="TableParagraph"/>
                          <w:spacing w:before="188"/>
                          <w:ind w:left="129" w:right="112"/>
                          <w:jc w:val="center"/>
                          <w:rPr>
                            <w:rFonts w:ascii="微軟正黑體" w:eastAsia="微軟正黑體" w:hint="eastAsia"/>
                            <w:b/>
                            <w:sz w:val="24"/>
                          </w:rPr>
                        </w:pPr>
                        <w:r>
                          <w:rPr>
                            <w:rFonts w:ascii="微軟正黑體" w:eastAsia="微軟正黑體" w:hint="eastAsia"/>
                            <w:b/>
                            <w:color w:val="231F20"/>
                            <w:sz w:val="24"/>
                          </w:rPr>
                          <w:t>實驗室</w:t>
                        </w:r>
                      </w:p>
                    </w:tc>
                    <w:tc>
                      <w:tcPr>
                        <w:tcW w:w="5520" w:type="dxa"/>
                        <w:tcBorders>
                          <w:top w:val="nil"/>
                          <w:bottom w:val="nil"/>
                        </w:tcBorders>
                        <w:shd w:val="clear" w:color="auto" w:fill="E6E7E8"/>
                      </w:tcPr>
                      <w:p>
                        <w:pPr>
                          <w:pStyle w:val="TableParagraph"/>
                          <w:spacing w:line="396" w:lineRule="exact"/>
                          <w:ind w:left="2261" w:right="2243"/>
                          <w:jc w:val="center"/>
                          <w:rPr>
                            <w:rFonts w:ascii="微軟正黑體" w:eastAsia="微軟正黑體" w:hint="eastAsia"/>
                            <w:b/>
                            <w:sz w:val="24"/>
                          </w:rPr>
                        </w:pPr>
                        <w:r>
                          <w:rPr>
                            <w:rFonts w:ascii="微軟正黑體" w:eastAsia="微軟正黑體" w:hint="eastAsia"/>
                            <w:b/>
                            <w:color w:val="231F20"/>
                            <w:sz w:val="24"/>
                          </w:rPr>
                          <w:t>工作項目</w:t>
                        </w:r>
                      </w:p>
                    </w:tc>
                  </w:tr>
                  <w:tr>
                    <w:trPr>
                      <w:trHeight w:val="423" w:hRule="atLeast"/>
                    </w:trPr>
                    <w:tc>
                      <w:tcPr>
                        <w:tcW w:w="970" w:type="dxa"/>
                        <w:tcBorders>
                          <w:top w:val="nil"/>
                        </w:tcBorders>
                        <w:shd w:val="clear" w:color="auto" w:fill="E6E7E8"/>
                      </w:tcPr>
                      <w:p>
                        <w:pPr>
                          <w:pStyle w:val="TableParagraph"/>
                          <w:spacing w:line="403" w:lineRule="exact"/>
                          <w:ind w:left="14"/>
                          <w:jc w:val="center"/>
                          <w:rPr>
                            <w:rFonts w:ascii="微軟正黑體" w:eastAsia="微軟正黑體" w:hint="eastAsia"/>
                            <w:b/>
                            <w:sz w:val="24"/>
                          </w:rPr>
                        </w:pPr>
                        <w:r>
                          <w:rPr>
                            <w:rFonts w:ascii="微軟正黑體" w:eastAsia="微軟正黑體" w:hint="eastAsia"/>
                            <w:b/>
                            <w:color w:val="231F20"/>
                            <w:sz w:val="24"/>
                          </w:rPr>
                          <w:t>室</w:t>
                        </w:r>
                      </w:p>
                    </w:tc>
                    <w:tc>
                      <w:tcPr>
                        <w:tcW w:w="1062" w:type="dxa"/>
                        <w:vMerge/>
                        <w:tcBorders>
                          <w:top w:val="nil"/>
                        </w:tcBorders>
                        <w:shd w:val="clear" w:color="auto" w:fill="E6E7E8"/>
                      </w:tcPr>
                      <w:p>
                        <w:pPr>
                          <w:rPr>
                            <w:sz w:val="2"/>
                            <w:szCs w:val="2"/>
                          </w:rPr>
                        </w:pPr>
                      </w:p>
                    </w:tc>
                    <w:tc>
                      <w:tcPr>
                        <w:tcW w:w="1022" w:type="dxa"/>
                        <w:tcBorders>
                          <w:top w:val="nil"/>
                        </w:tcBorders>
                        <w:shd w:val="clear" w:color="auto" w:fill="E6E7E8"/>
                      </w:tcPr>
                      <w:p>
                        <w:pPr>
                          <w:pStyle w:val="TableParagraph"/>
                          <w:rPr>
                            <w:rFonts w:ascii="Times New Roman"/>
                            <w:sz w:val="22"/>
                          </w:rPr>
                        </w:pPr>
                      </w:p>
                    </w:tc>
                    <w:tc>
                      <w:tcPr>
                        <w:tcW w:w="1017" w:type="dxa"/>
                        <w:tcBorders>
                          <w:top w:val="nil"/>
                        </w:tcBorders>
                        <w:shd w:val="clear" w:color="auto" w:fill="E6E7E8"/>
                      </w:tcPr>
                      <w:p>
                        <w:pPr>
                          <w:pStyle w:val="TableParagraph"/>
                          <w:rPr>
                            <w:rFonts w:ascii="Times New Roman"/>
                            <w:sz w:val="22"/>
                          </w:rPr>
                        </w:pPr>
                      </w:p>
                    </w:tc>
                    <w:tc>
                      <w:tcPr>
                        <w:tcW w:w="5520" w:type="dxa"/>
                        <w:tcBorders>
                          <w:top w:val="nil"/>
                        </w:tcBorders>
                        <w:shd w:val="clear" w:color="auto" w:fill="E6E7E8"/>
                      </w:tcPr>
                      <w:p>
                        <w:pPr>
                          <w:pStyle w:val="TableParagraph"/>
                          <w:rPr>
                            <w:rFonts w:ascii="Times New Roman"/>
                            <w:sz w:val="22"/>
                          </w:rPr>
                        </w:pPr>
                      </w:p>
                    </w:tc>
                  </w:tr>
                  <w:tr>
                    <w:trPr>
                      <w:trHeight w:val="833" w:hRule="atLeast"/>
                    </w:trPr>
                    <w:tc>
                      <w:tcPr>
                        <w:tcW w:w="970" w:type="dxa"/>
                        <w:tcBorders>
                          <w:bottom w:val="nil"/>
                        </w:tcBorders>
                      </w:tcPr>
                      <w:p>
                        <w:pPr>
                          <w:pStyle w:val="TableParagraph"/>
                          <w:rPr>
                            <w:rFonts w:ascii="Times New Roman"/>
                            <w:sz w:val="22"/>
                          </w:rPr>
                        </w:pPr>
                      </w:p>
                    </w:tc>
                    <w:tc>
                      <w:tcPr>
                        <w:tcW w:w="1062" w:type="dxa"/>
                        <w:tcBorders>
                          <w:bottom w:val="nil"/>
                        </w:tcBorders>
                      </w:tcPr>
                      <w:p>
                        <w:pPr>
                          <w:pStyle w:val="TableParagraph"/>
                          <w:rPr>
                            <w:rFonts w:ascii="Times New Roman"/>
                            <w:sz w:val="22"/>
                          </w:rPr>
                        </w:pPr>
                      </w:p>
                    </w:tc>
                    <w:tc>
                      <w:tcPr>
                        <w:tcW w:w="1022" w:type="dxa"/>
                        <w:tcBorders>
                          <w:bottom w:val="nil"/>
                        </w:tcBorders>
                      </w:tcPr>
                      <w:p>
                        <w:pPr>
                          <w:pStyle w:val="TableParagraph"/>
                          <w:spacing w:before="8"/>
                          <w:rPr>
                            <w:rFonts w:ascii="微軟正黑體"/>
                            <w:b/>
                            <w:sz w:val="25"/>
                          </w:rPr>
                        </w:pPr>
                      </w:p>
                      <w:p>
                        <w:pPr>
                          <w:pStyle w:val="TableParagraph"/>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bottom w:val="nil"/>
                        </w:tcBorders>
                      </w:tcPr>
                      <w:p>
                        <w:pPr>
                          <w:pStyle w:val="TableParagraph"/>
                          <w:rPr>
                            <w:rFonts w:ascii="Times New Roman"/>
                            <w:sz w:val="22"/>
                          </w:rPr>
                        </w:pPr>
                      </w:p>
                    </w:tc>
                    <w:tc>
                      <w:tcPr>
                        <w:tcW w:w="5520" w:type="dxa"/>
                        <w:vMerge w:val="restart"/>
                      </w:tcPr>
                      <w:p>
                        <w:pPr>
                          <w:pStyle w:val="TableParagraph"/>
                          <w:numPr>
                            <w:ilvl w:val="0"/>
                            <w:numId w:val="17"/>
                          </w:numPr>
                          <w:tabs>
                            <w:tab w:pos="359" w:val="left" w:leader="none"/>
                          </w:tabs>
                          <w:spacing w:line="414" w:lineRule="exact" w:before="31" w:after="0"/>
                          <w:ind w:left="358" w:right="0" w:hanging="245"/>
                          <w:jc w:val="both"/>
                          <w:rPr>
                            <w:sz w:val="24"/>
                          </w:rPr>
                        </w:pPr>
                        <w:r>
                          <w:rPr>
                            <w:color w:val="231F20"/>
                            <w:sz w:val="24"/>
                          </w:rPr>
                          <w:t>檢驗量能</w:t>
                        </w:r>
                      </w:p>
                      <w:p>
                        <w:pPr>
                          <w:pStyle w:val="TableParagraph"/>
                          <w:spacing w:line="410" w:lineRule="exact"/>
                          <w:ind w:left="267"/>
                          <w:jc w:val="both"/>
                          <w:rPr>
                            <w:sz w:val="24"/>
                          </w:rPr>
                        </w:pPr>
                        <w:r>
                          <w:rPr>
                            <w:rFonts w:ascii="Wingdings" w:hAnsi="Wingdings" w:eastAsia="Wingdings"/>
                            <w:color w:val="231F20"/>
                            <w:w w:val="115"/>
                            <w:sz w:val="24"/>
                          </w:rPr>
                          <w:t>令</w:t>
                        </w:r>
                        <w:r>
                          <w:rPr>
                            <w:rFonts w:ascii="Times New Roman" w:hAnsi="Times New Roman" w:eastAsia="Times New Roman"/>
                            <w:color w:val="231F20"/>
                            <w:spacing w:val="-19"/>
                            <w:w w:val="115"/>
                            <w:sz w:val="24"/>
                          </w:rPr>
                          <w:t> </w:t>
                        </w:r>
                        <w:r>
                          <w:rPr>
                            <w:color w:val="231F20"/>
                            <w:w w:val="105"/>
                            <w:sz w:val="24"/>
                          </w:rPr>
                          <w:t>協助轄區醫療院所取得結核病認可實驗室資</w:t>
                        </w:r>
                        <w:r>
                          <w:rPr>
                            <w:color w:val="231F20"/>
                            <w:spacing w:val="-136"/>
                            <w:w w:val="105"/>
                            <w:sz w:val="24"/>
                          </w:rPr>
                          <w:t>格</w:t>
                        </w:r>
                      </w:p>
                      <w:p>
                        <w:pPr>
                          <w:pStyle w:val="TableParagraph"/>
                          <w:spacing w:line="230" w:lineRule="auto" w:before="8"/>
                          <w:ind w:left="607" w:right="92" w:hanging="340"/>
                          <w:jc w:val="both"/>
                          <w:rPr>
                            <w:sz w:val="24"/>
                          </w:rPr>
                        </w:pPr>
                        <w:r>
                          <w:rPr>
                            <w:rFonts w:ascii="Wingdings" w:hAnsi="Wingdings" w:eastAsia="Wingdings"/>
                            <w:color w:val="231F20"/>
                            <w:w w:val="115"/>
                            <w:sz w:val="24"/>
                          </w:rPr>
                          <w:t>令</w:t>
                        </w:r>
                        <w:r>
                          <w:rPr>
                            <w:rFonts w:ascii="Times New Roman" w:hAnsi="Times New Roman" w:eastAsia="Times New Roman"/>
                            <w:color w:val="231F20"/>
                            <w:spacing w:val="-19"/>
                            <w:w w:val="115"/>
                            <w:sz w:val="24"/>
                          </w:rPr>
                          <w:t> </w:t>
                        </w:r>
                        <w:r>
                          <w:rPr>
                            <w:color w:val="231F20"/>
                            <w:w w:val="105"/>
                            <w:sz w:val="24"/>
                          </w:rPr>
                          <w:t>協調轄區檢體送至結核病認可或合約實驗室</w:t>
                        </w:r>
                        <w:r>
                          <w:rPr>
                            <w:color w:val="231F20"/>
                            <w:spacing w:val="-228"/>
                            <w:w w:val="105"/>
                            <w:sz w:val="24"/>
                          </w:rPr>
                          <w:t>檢</w:t>
                        </w:r>
                        <w:r>
                          <w:rPr>
                            <w:color w:val="231F20"/>
                            <w:w w:val="105"/>
                            <w:sz w:val="24"/>
                          </w:rPr>
                          <w:t>驗</w:t>
                        </w:r>
                      </w:p>
                      <w:p>
                        <w:pPr>
                          <w:pStyle w:val="TableParagraph"/>
                          <w:numPr>
                            <w:ilvl w:val="0"/>
                            <w:numId w:val="17"/>
                          </w:numPr>
                          <w:tabs>
                            <w:tab w:pos="359" w:val="left" w:leader="none"/>
                          </w:tabs>
                          <w:spacing w:line="414" w:lineRule="exact" w:before="0" w:after="0"/>
                          <w:ind w:left="358" w:right="0" w:hanging="245"/>
                          <w:jc w:val="both"/>
                          <w:rPr>
                            <w:sz w:val="24"/>
                          </w:rPr>
                        </w:pPr>
                        <w:r>
                          <w:rPr>
                            <w:color w:val="231F20"/>
                            <w:sz w:val="24"/>
                          </w:rPr>
                          <w:t>採檢、送驗及報告回復</w:t>
                        </w:r>
                      </w:p>
                      <w:p>
                        <w:pPr>
                          <w:pStyle w:val="TableParagraph"/>
                          <w:spacing w:line="230" w:lineRule="auto" w:before="65"/>
                          <w:ind w:left="607" w:right="81" w:hanging="340"/>
                          <w:jc w:val="both"/>
                          <w:rPr>
                            <w:sz w:val="24"/>
                          </w:rPr>
                        </w:pPr>
                        <w:r>
                          <w:rPr>
                            <w:rFonts w:ascii="Wingdings" w:hAnsi="Wingdings" w:eastAsia="Wingdings"/>
                            <w:color w:val="231F20"/>
                            <w:w w:val="115"/>
                            <w:sz w:val="24"/>
                          </w:rPr>
                          <w:t>令</w:t>
                        </w:r>
                        <w:r>
                          <w:rPr>
                            <w:rFonts w:ascii="Times New Roman" w:hAnsi="Times New Roman" w:eastAsia="Times New Roman"/>
                            <w:color w:val="231F20"/>
                            <w:spacing w:val="-19"/>
                            <w:w w:val="115"/>
                            <w:sz w:val="24"/>
                          </w:rPr>
                          <w:t> </w:t>
                        </w:r>
                        <w:r>
                          <w:rPr>
                            <w:color w:val="231F20"/>
                            <w:w w:val="105"/>
                            <w:sz w:val="24"/>
                          </w:rPr>
                          <w:t>送驗單位與檢驗單位商訂檢體收送時間，並</w:t>
                        </w:r>
                        <w:r>
                          <w:rPr>
                            <w:color w:val="231F20"/>
                            <w:spacing w:val="-217"/>
                            <w:w w:val="105"/>
                            <w:sz w:val="24"/>
                          </w:rPr>
                          <w:t>落</w:t>
                        </w:r>
                        <w:r>
                          <w:rPr>
                            <w:color w:val="231F20"/>
                            <w:spacing w:val="5"/>
                            <w:w w:val="105"/>
                            <w:sz w:val="24"/>
                          </w:rPr>
                          <w:t>實痰液檢體 </w:t>
                        </w:r>
                        <w:r>
                          <w:rPr>
                            <w:color w:val="231F20"/>
                            <w:w w:val="105"/>
                            <w:sz w:val="24"/>
                          </w:rPr>
                          <w:t>3</w:t>
                        </w:r>
                        <w:r>
                          <w:rPr>
                            <w:color w:val="231F20"/>
                            <w:spacing w:val="-6"/>
                            <w:w w:val="105"/>
                            <w:sz w:val="24"/>
                          </w:rPr>
                          <w:t> 天、</w:t>
                        </w:r>
                        <w:r>
                          <w:rPr>
                            <w:color w:val="231F20"/>
                            <w:w w:val="105"/>
                            <w:sz w:val="24"/>
                          </w:rPr>
                          <w:t>IGRA</w:t>
                        </w:r>
                        <w:r>
                          <w:rPr>
                            <w:color w:val="231F20"/>
                            <w:spacing w:val="1"/>
                            <w:w w:val="105"/>
                            <w:sz w:val="24"/>
                          </w:rPr>
                          <w:t> 檢體 </w:t>
                        </w:r>
                        <w:r>
                          <w:rPr>
                            <w:color w:val="231F20"/>
                            <w:w w:val="105"/>
                            <w:sz w:val="24"/>
                          </w:rPr>
                          <w:t>16</w:t>
                        </w:r>
                        <w:r>
                          <w:rPr>
                            <w:color w:val="231F20"/>
                            <w:spacing w:val="-15"/>
                            <w:w w:val="105"/>
                            <w:sz w:val="24"/>
                          </w:rPr>
                          <w:t> </w:t>
                        </w:r>
                        <w:r>
                          <w:rPr>
                            <w:color w:val="231F20"/>
                            <w:spacing w:val="12"/>
                            <w:w w:val="105"/>
                            <w:sz w:val="24"/>
                          </w:rPr>
                          <w:t>\時內送達</w:t>
                        </w:r>
                        <w:r>
                          <w:rPr>
                            <w:color w:val="231F20"/>
                            <w:w w:val="105"/>
                            <w:sz w:val="24"/>
                          </w:rPr>
                          <w:t>之目標</w:t>
                        </w:r>
                      </w:p>
                      <w:p>
                        <w:pPr>
                          <w:pStyle w:val="TableParagraph"/>
                          <w:spacing w:line="230" w:lineRule="auto" w:before="6"/>
                          <w:ind w:left="607" w:right="92" w:hanging="340"/>
                          <w:jc w:val="both"/>
                          <w:rPr>
                            <w:sz w:val="24"/>
                          </w:rPr>
                        </w:pPr>
                        <w:r>
                          <w:rPr>
                            <w:rFonts w:ascii="Wingdings" w:hAnsi="Wingdings" w:eastAsia="Wingdings"/>
                            <w:color w:val="231F20"/>
                            <w:w w:val="115"/>
                            <w:sz w:val="24"/>
                          </w:rPr>
                          <w:t>令</w:t>
                        </w:r>
                        <w:r>
                          <w:rPr>
                            <w:rFonts w:ascii="Times New Roman" w:hAnsi="Times New Roman" w:eastAsia="Times New Roman"/>
                            <w:color w:val="231F20"/>
                            <w:spacing w:val="-19"/>
                            <w:w w:val="115"/>
                            <w:sz w:val="24"/>
                          </w:rPr>
                          <w:t> </w:t>
                        </w:r>
                        <w:r>
                          <w:rPr>
                            <w:color w:val="231F20"/>
                            <w:w w:val="105"/>
                            <w:sz w:val="24"/>
                          </w:rPr>
                          <w:t>送驗單位進行檢體採集，並填寫送驗單併附</w:t>
                        </w:r>
                        <w:r>
                          <w:rPr>
                            <w:color w:val="231F20"/>
                            <w:spacing w:val="-228"/>
                            <w:w w:val="105"/>
                            <w:sz w:val="24"/>
                          </w:rPr>
                          <w:t>相</w:t>
                        </w:r>
                        <w:r>
                          <w:rPr>
                            <w:color w:val="231F20"/>
                            <w:w w:val="105"/>
                            <w:sz w:val="24"/>
                          </w:rPr>
                          <w:t>關資料送驗</w:t>
                        </w:r>
                      </w:p>
                      <w:p>
                        <w:pPr>
                          <w:pStyle w:val="TableParagraph"/>
                          <w:spacing w:line="220" w:lineRule="auto" w:before="8"/>
                          <w:ind w:left="573" w:right="305" w:hanging="307"/>
                          <w:jc w:val="both"/>
                          <w:rPr>
                            <w:sz w:val="24"/>
                          </w:rPr>
                        </w:pPr>
                        <w:r>
                          <w:rPr>
                            <w:rFonts w:ascii="Wingdings" w:hAnsi="Wingdings" w:eastAsia="Wingdings"/>
                            <w:color w:val="231F20"/>
                            <w:w w:val="155"/>
                            <w:sz w:val="24"/>
                          </w:rPr>
                          <w:t>令</w:t>
                        </w:r>
                        <w:r>
                          <w:rPr>
                            <w:rFonts w:ascii="Times New Roman" w:hAnsi="Times New Roman" w:eastAsia="Times New Roman"/>
                            <w:color w:val="231F20"/>
                            <w:spacing w:val="-39"/>
                            <w:w w:val="155"/>
                            <w:sz w:val="24"/>
                          </w:rPr>
                          <w:t> </w:t>
                        </w:r>
                        <w:r>
                          <w:rPr>
                            <w:color w:val="231F20"/>
                            <w:w w:val="105"/>
                            <w:sz w:val="24"/>
                          </w:rPr>
                          <w:t>5</w:t>
                        </w:r>
                        <w:r>
                          <w:rPr>
                            <w:color w:val="231F20"/>
                            <w:spacing w:val="-6"/>
                            <w:w w:val="105"/>
                            <w:sz w:val="24"/>
                          </w:rPr>
                          <w:t> 歲以下幼童結核病之醫療院所送驗鑑定</w:t>
                        </w:r>
                        <w:r>
                          <w:rPr>
                            <w:color w:val="231F20"/>
                            <w:spacing w:val="-100"/>
                            <w:w w:val="105"/>
                            <w:sz w:val="25"/>
                          </w:rPr>
                          <w:t>M</w:t>
                        </w:r>
                        <w:r>
                          <w:rPr>
                            <w:color w:val="231F20"/>
                            <w:spacing w:val="-52"/>
                            <w:w w:val="105"/>
                            <w:sz w:val="25"/>
                          </w:rPr>
                          <w:t>. </w:t>
                        </w:r>
                        <w:r>
                          <w:rPr>
                            <w:color w:val="231F20"/>
                            <w:w w:val="105"/>
                            <w:sz w:val="25"/>
                          </w:rPr>
                          <w:t>bovis</w:t>
                        </w:r>
                        <w:r>
                          <w:rPr>
                            <w:color w:val="231F20"/>
                            <w:spacing w:val="18"/>
                            <w:w w:val="105"/>
                            <w:sz w:val="25"/>
                          </w:rPr>
                          <w:t> </w:t>
                        </w:r>
                        <w:r>
                          <w:rPr>
                            <w:color w:val="231F20"/>
                            <w:spacing w:val="-3"/>
                            <w:w w:val="105"/>
                            <w:sz w:val="24"/>
                          </w:rPr>
                          <w:t>BCG</w:t>
                        </w:r>
                      </w:p>
                      <w:p>
                        <w:pPr>
                          <w:pStyle w:val="TableParagraph"/>
                          <w:spacing w:line="230" w:lineRule="auto" w:before="9"/>
                          <w:ind w:left="607" w:right="92" w:hanging="340"/>
                          <w:rPr>
                            <w:sz w:val="24"/>
                          </w:rPr>
                        </w:pPr>
                        <w:r>
                          <w:rPr>
                            <w:rFonts w:ascii="Wingdings" w:hAnsi="Wingdings" w:eastAsia="Wingdings"/>
                            <w:color w:val="231F20"/>
                            <w:w w:val="160"/>
                            <w:sz w:val="24"/>
                          </w:rPr>
                          <w:t>令</w:t>
                        </w:r>
                        <w:r>
                          <w:rPr>
                            <w:rFonts w:ascii="Times New Roman" w:hAnsi="Times New Roman" w:eastAsia="Times New Roman"/>
                            <w:color w:val="231F20"/>
                            <w:spacing w:val="67"/>
                            <w:w w:val="160"/>
                            <w:sz w:val="24"/>
                          </w:rPr>
                          <w:t> </w:t>
                        </w:r>
                        <w:r>
                          <w:rPr>
                            <w:color w:val="231F20"/>
                            <w:sz w:val="24"/>
                          </w:rPr>
                          <w:t>提醒符合抗藥性結核病高風險族群之醫療院</w:t>
                        </w:r>
                        <w:r>
                          <w:rPr>
                            <w:color w:val="231F20"/>
                            <w:spacing w:val="-228"/>
                            <w:sz w:val="24"/>
                          </w:rPr>
                          <w:t>所</w:t>
                        </w:r>
                        <w:r>
                          <w:rPr>
                            <w:color w:val="231F20"/>
                            <w:sz w:val="24"/>
                          </w:rPr>
                          <w:t>將檢體送驗進行痰檢體分子快速檢測</w:t>
                        </w:r>
                      </w:p>
                      <w:p>
                        <w:pPr>
                          <w:pStyle w:val="TableParagraph"/>
                          <w:spacing w:line="410" w:lineRule="exact"/>
                          <w:ind w:left="267"/>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協調疑似聚集感染事件檢體收送處理等</w:t>
                        </w:r>
                      </w:p>
                      <w:p>
                        <w:pPr>
                          <w:pStyle w:val="TableParagraph"/>
                          <w:spacing w:line="410" w:lineRule="exact"/>
                          <w:ind w:left="267"/>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依時效原則回復檢驗報告及登錄資料</w:t>
                        </w:r>
                      </w:p>
                      <w:p>
                        <w:pPr>
                          <w:pStyle w:val="TableParagraph"/>
                          <w:spacing w:line="230" w:lineRule="auto" w:before="7"/>
                          <w:ind w:left="607" w:right="94" w:hanging="340"/>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spacing w:val="-1"/>
                            <w:sz w:val="24"/>
                          </w:rPr>
                          <w:t>送驗進行多重抗藥性結核病 </w:t>
                        </w:r>
                        <w:r>
                          <w:rPr>
                            <w:color w:val="231F20"/>
                            <w:spacing w:val="6"/>
                            <w:w w:val="70"/>
                            <w:sz w:val="24"/>
                          </w:rPr>
                          <w:t>／ </w:t>
                        </w:r>
                        <w:r>
                          <w:rPr>
                            <w:color w:val="231F20"/>
                            <w:sz w:val="24"/>
                          </w:rPr>
                          <w:t>抗藥性確認及</w:t>
                        </w:r>
                        <w:r>
                          <w:rPr>
                            <w:color w:val="231F20"/>
                            <w:spacing w:val="-227"/>
                            <w:sz w:val="24"/>
                          </w:rPr>
                          <w:t>—</w:t>
                        </w:r>
                        <w:r>
                          <w:rPr>
                            <w:color w:val="231F20"/>
                            <w:spacing w:val="-65"/>
                            <w:sz w:val="24"/>
                          </w:rPr>
                          <w:t> </w:t>
                        </w:r>
                        <w:r>
                          <w:rPr>
                            <w:color w:val="231F20"/>
                            <w:sz w:val="24"/>
                          </w:rPr>
                          <w:t>線藥物抗藥性檢測</w:t>
                        </w:r>
                      </w:p>
                      <w:p>
                        <w:pPr>
                          <w:pStyle w:val="TableParagraph"/>
                          <w:numPr>
                            <w:ilvl w:val="0"/>
                            <w:numId w:val="17"/>
                          </w:numPr>
                          <w:tabs>
                            <w:tab w:pos="359" w:val="left" w:leader="none"/>
                          </w:tabs>
                          <w:spacing w:line="410" w:lineRule="exact" w:before="0" w:after="0"/>
                          <w:ind w:left="358" w:right="0" w:hanging="245"/>
                          <w:jc w:val="left"/>
                          <w:rPr>
                            <w:sz w:val="24"/>
                          </w:rPr>
                        </w:pPr>
                        <w:r>
                          <w:rPr>
                            <w:color w:val="231F20"/>
                            <w:sz w:val="24"/>
                          </w:rPr>
                          <w:t>口管及監測</w:t>
                        </w:r>
                      </w:p>
                      <w:p>
                        <w:pPr>
                          <w:pStyle w:val="TableParagraph"/>
                          <w:spacing w:line="410" w:lineRule="exact"/>
                          <w:ind w:left="267"/>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稽核檢體送驗不良率</w:t>
                        </w:r>
                      </w:p>
                      <w:p>
                        <w:pPr>
                          <w:pStyle w:val="TableParagraph"/>
                          <w:spacing w:line="410" w:lineRule="exact"/>
                          <w:ind w:left="267"/>
                          <w:rPr>
                            <w:sz w:val="24"/>
                          </w:rPr>
                        </w:pPr>
                        <w:r>
                          <w:rPr>
                            <w:rFonts w:ascii="Wingdings" w:hAnsi="Wingdings" w:eastAsia="Wingdings"/>
                            <w:color w:val="231F20"/>
                            <w:w w:val="150"/>
                            <w:sz w:val="24"/>
                          </w:rPr>
                          <w:t>令</w:t>
                        </w:r>
                        <w:r>
                          <w:rPr>
                            <w:rFonts w:ascii="Times New Roman" w:hAnsi="Times New Roman" w:eastAsia="Times New Roman"/>
                            <w:color w:val="231F20"/>
                            <w:w w:val="150"/>
                            <w:sz w:val="24"/>
                          </w:rPr>
                          <w:t> </w:t>
                        </w:r>
                        <w:r>
                          <w:rPr>
                            <w:color w:val="231F20"/>
                            <w:w w:val="105"/>
                            <w:sz w:val="24"/>
                          </w:rPr>
                          <w:t>依檢驗結果對於個案進行必要之管理及處置</w:t>
                        </w:r>
                      </w:p>
                      <w:p>
                        <w:pPr>
                          <w:pStyle w:val="TableParagraph"/>
                          <w:spacing w:line="230" w:lineRule="auto" w:before="8"/>
                          <w:ind w:left="607" w:right="92" w:hanging="340"/>
                          <w:jc w:val="both"/>
                          <w:rPr>
                            <w:sz w:val="24"/>
                          </w:rPr>
                        </w:pPr>
                        <w:r>
                          <w:rPr>
                            <w:rFonts w:ascii="Wingdings" w:hAnsi="Wingdings" w:eastAsia="Wingdings"/>
                            <w:color w:val="231F20"/>
                            <w:w w:val="160"/>
                            <w:sz w:val="24"/>
                          </w:rPr>
                          <w:t>令</w:t>
                        </w:r>
                        <w:r>
                          <w:rPr>
                            <w:rFonts w:ascii="Times New Roman" w:hAnsi="Times New Roman" w:eastAsia="Times New Roman"/>
                            <w:color w:val="231F20"/>
                            <w:spacing w:val="67"/>
                            <w:w w:val="160"/>
                            <w:sz w:val="24"/>
                          </w:rPr>
                          <w:t> </w:t>
                        </w:r>
                        <w:r>
                          <w:rPr>
                            <w:color w:val="231F20"/>
                            <w:sz w:val="24"/>
                          </w:rPr>
                          <w:t>參與口管計畫、能力試驗、結核病實驗室會</w:t>
                        </w:r>
                        <w:r>
                          <w:rPr>
                            <w:color w:val="231F20"/>
                            <w:spacing w:val="-228"/>
                            <w:sz w:val="24"/>
                          </w:rPr>
                          <w:t>議</w:t>
                        </w:r>
                        <w:r>
                          <w:rPr>
                            <w:color w:val="231F20"/>
                            <w:spacing w:val="-1"/>
                            <w:sz w:val="24"/>
                          </w:rPr>
                          <w:t>等，並定期將陽性菌株寄回疾管署檢驗及疫苗</w:t>
                        </w:r>
                        <w:r>
                          <w:rPr>
                            <w:color w:val="231F20"/>
                            <w:sz w:val="24"/>
                          </w:rPr>
                          <w:t>研製中心分枝桿菌實驗室</w:t>
                        </w:r>
                      </w:p>
                      <w:p>
                        <w:pPr>
                          <w:pStyle w:val="TableParagraph"/>
                          <w:spacing w:line="230" w:lineRule="auto" w:before="6"/>
                          <w:ind w:left="607" w:right="92" w:hanging="340"/>
                          <w:jc w:val="both"/>
                          <w:rPr>
                            <w:sz w:val="24"/>
                          </w:rPr>
                        </w:pPr>
                        <w:r>
                          <w:rPr>
                            <w:rFonts w:ascii="Wingdings" w:hAnsi="Wingdings" w:eastAsia="Wingdings"/>
                            <w:color w:val="231F20"/>
                            <w:w w:val="115"/>
                            <w:sz w:val="24"/>
                          </w:rPr>
                          <w:t>令</w:t>
                        </w:r>
                        <w:r>
                          <w:rPr>
                            <w:rFonts w:ascii="Times New Roman" w:hAnsi="Times New Roman" w:eastAsia="Times New Roman"/>
                            <w:color w:val="231F20"/>
                            <w:spacing w:val="-19"/>
                            <w:w w:val="115"/>
                            <w:sz w:val="24"/>
                          </w:rPr>
                          <w:t> </w:t>
                        </w:r>
                        <w:r>
                          <w:rPr>
                            <w:color w:val="231F20"/>
                            <w:w w:val="105"/>
                            <w:sz w:val="24"/>
                          </w:rPr>
                          <w:t>辦理認可實驗室審查、教育訓練及定期召開</w:t>
                        </w:r>
                        <w:r>
                          <w:rPr>
                            <w:color w:val="231F20"/>
                            <w:spacing w:val="-228"/>
                            <w:w w:val="105"/>
                            <w:sz w:val="24"/>
                          </w:rPr>
                          <w:t>會</w:t>
                        </w:r>
                        <w:r>
                          <w:rPr>
                            <w:color w:val="231F20"/>
                            <w:w w:val="105"/>
                            <w:sz w:val="24"/>
                          </w:rPr>
                          <w:t>議等</w:t>
                        </w:r>
                      </w:p>
                      <w:p>
                        <w:pPr>
                          <w:pStyle w:val="TableParagraph"/>
                          <w:spacing w:line="230" w:lineRule="auto" w:before="8"/>
                          <w:ind w:left="607" w:right="92" w:hanging="340"/>
                          <w:jc w:val="both"/>
                          <w:rPr>
                            <w:sz w:val="24"/>
                          </w:rPr>
                        </w:pPr>
                        <w:r>
                          <w:rPr>
                            <w:rFonts w:ascii="Wingdings" w:hAnsi="Wingdings" w:eastAsia="Wingdings"/>
                            <w:color w:val="231F20"/>
                            <w:w w:val="160"/>
                            <w:sz w:val="24"/>
                          </w:rPr>
                          <w:t>令</w:t>
                        </w:r>
                        <w:r>
                          <w:rPr>
                            <w:rFonts w:ascii="Times New Roman" w:hAnsi="Times New Roman" w:eastAsia="Times New Roman"/>
                            <w:color w:val="231F20"/>
                            <w:spacing w:val="67"/>
                            <w:w w:val="160"/>
                            <w:sz w:val="24"/>
                          </w:rPr>
                          <w:t> </w:t>
                        </w:r>
                        <w:r>
                          <w:rPr>
                            <w:color w:val="231F20"/>
                            <w:sz w:val="24"/>
                          </w:rPr>
                          <w:t>檢驗口質監控、外部口管計畫、實驗室檢驗</w:t>
                        </w:r>
                        <w:r>
                          <w:rPr>
                            <w:color w:val="231F20"/>
                            <w:spacing w:val="-228"/>
                            <w:sz w:val="24"/>
                          </w:rPr>
                          <w:t>報</w:t>
                        </w:r>
                        <w:r>
                          <w:rPr>
                            <w:color w:val="231F20"/>
                            <w:spacing w:val="-3"/>
                            <w:sz w:val="24"/>
                          </w:rPr>
                          <w:t>告異常案件調查及結核菌株庫 </w:t>
                        </w:r>
                        <w:r>
                          <w:rPr>
                            <w:color w:val="231F20"/>
                            <w:spacing w:val="-8"/>
                            <w:w w:val="70"/>
                            <w:sz w:val="24"/>
                          </w:rPr>
                          <w:t>／ </w:t>
                        </w:r>
                        <w:r>
                          <w:rPr>
                            <w:color w:val="231F20"/>
                            <w:sz w:val="24"/>
                          </w:rPr>
                          <w:t>基因庫之建置</w:t>
                        </w:r>
                      </w:p>
                      <w:p>
                        <w:pPr>
                          <w:pStyle w:val="TableParagraph"/>
                          <w:numPr>
                            <w:ilvl w:val="0"/>
                            <w:numId w:val="17"/>
                          </w:numPr>
                          <w:tabs>
                            <w:tab w:pos="359" w:val="left" w:leader="none"/>
                          </w:tabs>
                          <w:spacing w:line="396" w:lineRule="exact" w:before="0" w:after="0"/>
                          <w:ind w:left="358" w:right="0" w:hanging="245"/>
                          <w:jc w:val="both"/>
                          <w:rPr>
                            <w:sz w:val="24"/>
                          </w:rPr>
                        </w:pPr>
                        <w:r>
                          <w:rPr>
                            <w:color w:val="231F20"/>
                            <w:sz w:val="24"/>
                          </w:rPr>
                          <w:t>公費檢驗物資調度及管理</w:t>
                        </w:r>
                      </w:p>
                    </w:tc>
                  </w:tr>
                  <w:tr>
                    <w:trPr>
                      <w:trHeight w:val="830"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spacing w:before="29"/>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top w:val="nil"/>
                          <w:bottom w:val="nil"/>
                        </w:tcBorders>
                      </w:tcPr>
                      <w:p>
                        <w:pPr>
                          <w:pStyle w:val="TableParagraph"/>
                          <w:rPr>
                            <w:rFonts w:ascii="Times New Roman"/>
                            <w:sz w:val="22"/>
                          </w:rPr>
                        </w:pPr>
                      </w:p>
                    </w:tc>
                    <w:tc>
                      <w:tcPr>
                        <w:tcW w:w="5520" w:type="dxa"/>
                        <w:vMerge/>
                        <w:tcBorders>
                          <w:top w:val="nil"/>
                        </w:tcBorders>
                      </w:tcPr>
                      <w:p>
                        <w:pPr>
                          <w:rPr>
                            <w:sz w:val="2"/>
                            <w:szCs w:val="2"/>
                          </w:rPr>
                        </w:pPr>
                      </w:p>
                    </w:tc>
                  </w:tr>
                  <w:tr>
                    <w:trPr>
                      <w:trHeight w:val="1230"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spacing w:before="5"/>
                          <w:rPr>
                            <w:rFonts w:ascii="微軟正黑體"/>
                            <w:b/>
                            <w:sz w:val="25"/>
                          </w:rPr>
                        </w:pPr>
                      </w:p>
                      <w:p>
                        <w:pPr>
                          <w:pStyle w:val="TableParagraph"/>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top w:val="nil"/>
                          <w:bottom w:val="nil"/>
                        </w:tcBorders>
                      </w:tcPr>
                      <w:p>
                        <w:pPr>
                          <w:pStyle w:val="TableParagraph"/>
                          <w:spacing w:before="5"/>
                          <w:rPr>
                            <w:rFonts w:ascii="微軟正黑體"/>
                            <w:b/>
                            <w:sz w:val="25"/>
                          </w:rPr>
                        </w:pPr>
                      </w:p>
                      <w:p>
                        <w:pPr>
                          <w:pStyle w:val="TableParagraph"/>
                          <w:ind w:left="17"/>
                          <w:jc w:val="center"/>
                          <w:rPr>
                            <w:rFonts w:ascii="新細明體" w:eastAsia="新細明體" w:hint="eastAsia"/>
                            <w:sz w:val="24"/>
                          </w:rPr>
                        </w:pPr>
                        <w:r>
                          <w:rPr>
                            <w:rFonts w:ascii="新細明體" w:eastAsia="新細明體" w:hint="eastAsia"/>
                            <w:color w:val="231F20"/>
                            <w:sz w:val="24"/>
                          </w:rPr>
                          <w:t>口</w:t>
                        </w:r>
                      </w:p>
                    </w:tc>
                    <w:tc>
                      <w:tcPr>
                        <w:tcW w:w="5520" w:type="dxa"/>
                        <w:vMerge/>
                        <w:tcBorders>
                          <w:top w:val="nil"/>
                        </w:tcBorders>
                      </w:tcPr>
                      <w:p>
                        <w:pPr>
                          <w:rPr>
                            <w:sz w:val="2"/>
                            <w:szCs w:val="2"/>
                          </w:rPr>
                        </w:pPr>
                      </w:p>
                    </w:tc>
                  </w:tr>
                  <w:tr>
                    <w:trPr>
                      <w:trHeight w:val="994"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spacing w:before="6"/>
                          <w:rPr>
                            <w:rFonts w:ascii="微軟正黑體"/>
                            <w:b/>
                            <w:sz w:val="23"/>
                          </w:rPr>
                        </w:pPr>
                      </w:p>
                      <w:p>
                        <w:pPr>
                          <w:pStyle w:val="TableParagraph"/>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top w:val="nil"/>
                          <w:bottom w:val="nil"/>
                        </w:tcBorders>
                      </w:tcPr>
                      <w:p>
                        <w:pPr>
                          <w:pStyle w:val="TableParagraph"/>
                          <w:spacing w:before="6"/>
                          <w:rPr>
                            <w:rFonts w:ascii="微軟正黑體"/>
                            <w:b/>
                            <w:sz w:val="23"/>
                          </w:rPr>
                        </w:pPr>
                      </w:p>
                      <w:p>
                        <w:pPr>
                          <w:pStyle w:val="TableParagraph"/>
                          <w:ind w:left="17"/>
                          <w:jc w:val="center"/>
                          <w:rPr>
                            <w:rFonts w:ascii="新細明體" w:eastAsia="新細明體" w:hint="eastAsia"/>
                            <w:sz w:val="24"/>
                          </w:rPr>
                        </w:pPr>
                        <w:r>
                          <w:rPr>
                            <w:rFonts w:ascii="新細明體" w:eastAsia="新細明體" w:hint="eastAsia"/>
                            <w:color w:val="231F20"/>
                            <w:sz w:val="24"/>
                          </w:rPr>
                          <w:t>口</w:t>
                        </w:r>
                      </w:p>
                    </w:tc>
                    <w:tc>
                      <w:tcPr>
                        <w:tcW w:w="5520" w:type="dxa"/>
                        <w:vMerge/>
                        <w:tcBorders>
                          <w:top w:val="nil"/>
                        </w:tcBorders>
                      </w:tcPr>
                      <w:p>
                        <w:pPr>
                          <w:rPr>
                            <w:sz w:val="2"/>
                            <w:szCs w:val="2"/>
                          </w:rPr>
                        </w:pPr>
                      </w:p>
                    </w:tc>
                  </w:tr>
                  <w:tr>
                    <w:trPr>
                      <w:trHeight w:val="794"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spacing w:before="8"/>
                          <w:rPr>
                            <w:rFonts w:ascii="微軟正黑體"/>
                            <w:b/>
                            <w:sz w:val="12"/>
                          </w:rPr>
                        </w:pPr>
                      </w:p>
                      <w:p>
                        <w:pPr>
                          <w:pStyle w:val="TableParagraph"/>
                          <w:spacing w:before="1"/>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top w:val="nil"/>
                          <w:bottom w:val="nil"/>
                        </w:tcBorders>
                      </w:tcPr>
                      <w:p>
                        <w:pPr>
                          <w:pStyle w:val="TableParagraph"/>
                          <w:rPr>
                            <w:rFonts w:ascii="Times New Roman"/>
                            <w:sz w:val="22"/>
                          </w:rPr>
                        </w:pPr>
                      </w:p>
                    </w:tc>
                    <w:tc>
                      <w:tcPr>
                        <w:tcW w:w="5520" w:type="dxa"/>
                        <w:vMerge/>
                        <w:tcBorders>
                          <w:top w:val="nil"/>
                        </w:tcBorders>
                      </w:tcPr>
                      <w:p>
                        <w:pPr>
                          <w:rPr>
                            <w:sz w:val="2"/>
                            <w:szCs w:val="2"/>
                          </w:rPr>
                        </w:pPr>
                      </w:p>
                    </w:tc>
                  </w:tr>
                  <w:tr>
                    <w:trPr>
                      <w:trHeight w:val="794"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spacing w:before="8"/>
                          <w:rPr>
                            <w:rFonts w:ascii="微軟正黑體"/>
                            <w:b/>
                            <w:sz w:val="12"/>
                          </w:rPr>
                        </w:pPr>
                      </w:p>
                      <w:p>
                        <w:pPr>
                          <w:pStyle w:val="TableParagraph"/>
                          <w:spacing w:before="1"/>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top w:val="nil"/>
                          <w:bottom w:val="nil"/>
                        </w:tcBorders>
                      </w:tcPr>
                      <w:p>
                        <w:pPr>
                          <w:pStyle w:val="TableParagraph"/>
                          <w:rPr>
                            <w:rFonts w:ascii="Times New Roman"/>
                            <w:sz w:val="22"/>
                          </w:rPr>
                        </w:pPr>
                      </w:p>
                    </w:tc>
                    <w:tc>
                      <w:tcPr>
                        <w:tcW w:w="5520" w:type="dxa"/>
                        <w:vMerge/>
                        <w:tcBorders>
                          <w:top w:val="nil"/>
                        </w:tcBorders>
                      </w:tcPr>
                      <w:p>
                        <w:pPr>
                          <w:rPr>
                            <w:sz w:val="2"/>
                            <w:szCs w:val="2"/>
                          </w:rPr>
                        </w:pPr>
                      </w:p>
                    </w:tc>
                  </w:tr>
                  <w:tr>
                    <w:trPr>
                      <w:trHeight w:val="594"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spacing w:before="8"/>
                          <w:rPr>
                            <w:rFonts w:ascii="微軟正黑體"/>
                            <w:b/>
                            <w:sz w:val="12"/>
                          </w:rPr>
                        </w:pPr>
                      </w:p>
                      <w:p>
                        <w:pPr>
                          <w:pStyle w:val="TableParagraph"/>
                          <w:spacing w:before="1"/>
                          <w:ind w:right="393"/>
                          <w:jc w:val="right"/>
                          <w:rPr>
                            <w:rFonts w:ascii="新細明體" w:eastAsia="新細明體" w:hint="eastAsia"/>
                            <w:sz w:val="24"/>
                          </w:rPr>
                        </w:pPr>
                        <w:r>
                          <w:rPr>
                            <w:rFonts w:ascii="新細明體" w:eastAsia="新細明體" w:hint="eastAsia"/>
                            <w:color w:val="231F20"/>
                            <w:sz w:val="24"/>
                          </w:rPr>
                          <w:t>口</w:t>
                        </w:r>
                      </w:p>
                    </w:tc>
                    <w:tc>
                      <w:tcPr>
                        <w:tcW w:w="1022" w:type="dxa"/>
                        <w:tcBorders>
                          <w:top w:val="nil"/>
                          <w:bottom w:val="nil"/>
                        </w:tcBorders>
                      </w:tcPr>
                      <w:p>
                        <w:pPr>
                          <w:pStyle w:val="TableParagraph"/>
                          <w:rPr>
                            <w:rFonts w:ascii="Times New Roman"/>
                            <w:sz w:val="22"/>
                          </w:rPr>
                        </w:pPr>
                      </w:p>
                    </w:tc>
                    <w:tc>
                      <w:tcPr>
                        <w:tcW w:w="1017" w:type="dxa"/>
                        <w:tcBorders>
                          <w:top w:val="nil"/>
                          <w:bottom w:val="nil"/>
                        </w:tcBorders>
                      </w:tcPr>
                      <w:p>
                        <w:pPr>
                          <w:pStyle w:val="TableParagraph"/>
                          <w:rPr>
                            <w:rFonts w:ascii="Times New Roman"/>
                            <w:sz w:val="22"/>
                          </w:rPr>
                        </w:pPr>
                      </w:p>
                    </w:tc>
                    <w:tc>
                      <w:tcPr>
                        <w:tcW w:w="5520"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rPr>
                            <w:rFonts w:ascii="Times New Roman"/>
                            <w:sz w:val="22"/>
                          </w:rPr>
                        </w:pPr>
                      </w:p>
                    </w:tc>
                    <w:tc>
                      <w:tcPr>
                        <w:tcW w:w="1017" w:type="dxa"/>
                        <w:tcBorders>
                          <w:top w:val="nil"/>
                          <w:bottom w:val="nil"/>
                        </w:tcBorders>
                      </w:tcPr>
                      <w:p>
                        <w:pPr>
                          <w:pStyle w:val="TableParagraph"/>
                          <w:spacing w:before="29"/>
                          <w:ind w:left="17"/>
                          <w:jc w:val="center"/>
                          <w:rPr>
                            <w:rFonts w:ascii="新細明體" w:eastAsia="新細明體" w:hint="eastAsia"/>
                            <w:sz w:val="24"/>
                          </w:rPr>
                        </w:pPr>
                        <w:r>
                          <w:rPr>
                            <w:rFonts w:ascii="新細明體" w:eastAsia="新細明體" w:hint="eastAsia"/>
                            <w:color w:val="231F20"/>
                            <w:sz w:val="24"/>
                          </w:rPr>
                          <w:t>口</w:t>
                        </w:r>
                      </w:p>
                    </w:tc>
                    <w:tc>
                      <w:tcPr>
                        <w:tcW w:w="5520" w:type="dxa"/>
                        <w:vMerge/>
                        <w:tcBorders>
                          <w:top w:val="nil"/>
                        </w:tcBorders>
                      </w:tcPr>
                      <w:p>
                        <w:pPr>
                          <w:rPr>
                            <w:sz w:val="2"/>
                            <w:szCs w:val="2"/>
                          </w:rPr>
                        </w:pPr>
                      </w:p>
                    </w:tc>
                  </w:tr>
                  <w:tr>
                    <w:trPr>
                      <w:trHeight w:val="799"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rPr>
                            <w:rFonts w:ascii="Times New Roman"/>
                            <w:sz w:val="22"/>
                          </w:rPr>
                        </w:pPr>
                      </w:p>
                    </w:tc>
                    <w:tc>
                      <w:tcPr>
                        <w:tcW w:w="1017" w:type="dxa"/>
                        <w:tcBorders>
                          <w:top w:val="nil"/>
                          <w:bottom w:val="nil"/>
                        </w:tcBorders>
                      </w:tcPr>
                      <w:p>
                        <w:pPr>
                          <w:pStyle w:val="TableParagraph"/>
                          <w:spacing w:before="29"/>
                          <w:ind w:left="17"/>
                          <w:jc w:val="center"/>
                          <w:rPr>
                            <w:rFonts w:ascii="新細明體" w:eastAsia="新細明體" w:hint="eastAsia"/>
                            <w:sz w:val="24"/>
                          </w:rPr>
                        </w:pPr>
                        <w:r>
                          <w:rPr>
                            <w:rFonts w:ascii="新細明體" w:eastAsia="新細明體" w:hint="eastAsia"/>
                            <w:color w:val="231F20"/>
                            <w:sz w:val="24"/>
                          </w:rPr>
                          <w:t>口</w:t>
                        </w:r>
                      </w:p>
                    </w:tc>
                    <w:tc>
                      <w:tcPr>
                        <w:tcW w:w="5520" w:type="dxa"/>
                        <w:vMerge/>
                        <w:tcBorders>
                          <w:top w:val="nil"/>
                        </w:tcBorders>
                      </w:tcPr>
                      <w:p>
                        <w:pPr>
                          <w:rPr>
                            <w:sz w:val="2"/>
                            <w:szCs w:val="2"/>
                          </w:rPr>
                        </w:pPr>
                      </w:p>
                    </w:tc>
                  </w:tr>
                  <w:tr>
                    <w:trPr>
                      <w:trHeight w:val="799"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spacing w:before="11"/>
                          <w:rPr>
                            <w:rFonts w:ascii="微軟正黑體"/>
                            <w:b/>
                            <w:sz w:val="23"/>
                          </w:rPr>
                        </w:pPr>
                      </w:p>
                      <w:p>
                        <w:pPr>
                          <w:pStyle w:val="TableParagraph"/>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top w:val="nil"/>
                          <w:bottom w:val="nil"/>
                        </w:tcBorders>
                      </w:tcPr>
                      <w:p>
                        <w:pPr>
                          <w:pStyle w:val="TableParagraph"/>
                          <w:rPr>
                            <w:rFonts w:ascii="Times New Roman"/>
                            <w:sz w:val="22"/>
                          </w:rPr>
                        </w:pPr>
                      </w:p>
                    </w:tc>
                    <w:tc>
                      <w:tcPr>
                        <w:tcW w:w="5520"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spacing w:before="29"/>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top w:val="nil"/>
                          <w:bottom w:val="nil"/>
                        </w:tcBorders>
                      </w:tcPr>
                      <w:p>
                        <w:pPr>
                          <w:pStyle w:val="TableParagraph"/>
                          <w:rPr>
                            <w:rFonts w:ascii="Times New Roman"/>
                            <w:sz w:val="22"/>
                          </w:rPr>
                        </w:pPr>
                      </w:p>
                    </w:tc>
                    <w:tc>
                      <w:tcPr>
                        <w:tcW w:w="5520" w:type="dxa"/>
                        <w:vMerge/>
                        <w:tcBorders>
                          <w:top w:val="nil"/>
                        </w:tcBorders>
                      </w:tcPr>
                      <w:p>
                        <w:pPr>
                          <w:rPr>
                            <w:sz w:val="2"/>
                            <w:szCs w:val="2"/>
                          </w:rPr>
                        </w:pPr>
                      </w:p>
                    </w:tc>
                  </w:tr>
                  <w:tr>
                    <w:trPr>
                      <w:trHeight w:val="794" w:hRule="atLeast"/>
                    </w:trPr>
                    <w:tc>
                      <w:tcPr>
                        <w:tcW w:w="970" w:type="dxa"/>
                        <w:tcBorders>
                          <w:top w:val="nil"/>
                          <w:bottom w:val="nil"/>
                        </w:tcBorders>
                      </w:tcPr>
                      <w:p>
                        <w:pPr>
                          <w:pStyle w:val="TableParagraph"/>
                          <w:rPr>
                            <w:rFonts w:ascii="Times New Roman"/>
                            <w:sz w:val="22"/>
                          </w:rPr>
                        </w:pP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rPr>
                            <w:rFonts w:ascii="Times New Roman"/>
                            <w:sz w:val="22"/>
                          </w:rPr>
                        </w:pPr>
                      </w:p>
                    </w:tc>
                    <w:tc>
                      <w:tcPr>
                        <w:tcW w:w="1017" w:type="dxa"/>
                        <w:tcBorders>
                          <w:top w:val="nil"/>
                          <w:bottom w:val="nil"/>
                        </w:tcBorders>
                      </w:tcPr>
                      <w:p>
                        <w:pPr>
                          <w:pStyle w:val="TableParagraph"/>
                          <w:spacing w:before="29"/>
                          <w:ind w:left="17"/>
                          <w:jc w:val="center"/>
                          <w:rPr>
                            <w:rFonts w:ascii="新細明體" w:eastAsia="新細明體" w:hint="eastAsia"/>
                            <w:sz w:val="24"/>
                          </w:rPr>
                        </w:pPr>
                        <w:r>
                          <w:rPr>
                            <w:rFonts w:ascii="新細明體" w:eastAsia="新細明體" w:hint="eastAsia"/>
                            <w:color w:val="231F20"/>
                            <w:sz w:val="24"/>
                          </w:rPr>
                          <w:t>口</w:t>
                        </w:r>
                      </w:p>
                    </w:tc>
                    <w:tc>
                      <w:tcPr>
                        <w:tcW w:w="5520" w:type="dxa"/>
                        <w:vMerge/>
                        <w:tcBorders>
                          <w:top w:val="nil"/>
                        </w:tcBorders>
                      </w:tcPr>
                      <w:p>
                        <w:pPr>
                          <w:rPr>
                            <w:sz w:val="2"/>
                            <w:szCs w:val="2"/>
                          </w:rPr>
                        </w:pPr>
                      </w:p>
                    </w:tc>
                  </w:tr>
                  <w:tr>
                    <w:trPr>
                      <w:trHeight w:val="994" w:hRule="atLeast"/>
                    </w:trPr>
                    <w:tc>
                      <w:tcPr>
                        <w:tcW w:w="970" w:type="dxa"/>
                        <w:tcBorders>
                          <w:top w:val="nil"/>
                          <w:bottom w:val="nil"/>
                        </w:tcBorders>
                      </w:tcPr>
                      <w:p>
                        <w:pPr>
                          <w:pStyle w:val="TableParagraph"/>
                          <w:spacing w:before="6"/>
                          <w:rPr>
                            <w:rFonts w:ascii="微軟正黑體"/>
                            <w:b/>
                            <w:sz w:val="23"/>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rPr>
                            <w:rFonts w:ascii="Times New Roman"/>
                            <w:sz w:val="22"/>
                          </w:rPr>
                        </w:pPr>
                      </w:p>
                    </w:tc>
                    <w:tc>
                      <w:tcPr>
                        <w:tcW w:w="1017" w:type="dxa"/>
                        <w:tcBorders>
                          <w:top w:val="nil"/>
                          <w:bottom w:val="nil"/>
                        </w:tcBorders>
                      </w:tcPr>
                      <w:p>
                        <w:pPr>
                          <w:pStyle w:val="TableParagraph"/>
                          <w:rPr>
                            <w:rFonts w:ascii="Times New Roman"/>
                            <w:sz w:val="22"/>
                          </w:rPr>
                        </w:pPr>
                      </w:p>
                    </w:tc>
                    <w:tc>
                      <w:tcPr>
                        <w:tcW w:w="5520" w:type="dxa"/>
                        <w:vMerge/>
                        <w:tcBorders>
                          <w:top w:val="nil"/>
                        </w:tcBorders>
                      </w:tcPr>
                      <w:p>
                        <w:pPr>
                          <w:rPr>
                            <w:sz w:val="2"/>
                            <w:szCs w:val="2"/>
                          </w:rPr>
                        </w:pPr>
                      </w:p>
                    </w:tc>
                  </w:tr>
                  <w:tr>
                    <w:trPr>
                      <w:trHeight w:val="794" w:hRule="atLeast"/>
                    </w:trPr>
                    <w:tc>
                      <w:tcPr>
                        <w:tcW w:w="970" w:type="dxa"/>
                        <w:tcBorders>
                          <w:top w:val="nil"/>
                          <w:bottom w:val="nil"/>
                        </w:tcBorders>
                      </w:tcPr>
                      <w:p>
                        <w:pPr>
                          <w:pStyle w:val="TableParagraph"/>
                          <w:spacing w:before="8"/>
                          <w:rPr>
                            <w:rFonts w:ascii="微軟正黑體"/>
                            <w:b/>
                            <w:sz w:val="12"/>
                          </w:rPr>
                        </w:pPr>
                      </w:p>
                      <w:p>
                        <w:pPr>
                          <w:pStyle w:val="TableParagraph"/>
                          <w:spacing w:before="1"/>
                          <w:ind w:left="14"/>
                          <w:jc w:val="center"/>
                          <w:rPr>
                            <w:rFonts w:ascii="新細明體" w:eastAsia="新細明體" w:hint="eastAsia"/>
                            <w:sz w:val="24"/>
                          </w:rPr>
                        </w:pPr>
                        <w:r>
                          <w:rPr>
                            <w:rFonts w:ascii="新細明體" w:eastAsia="新細明體" w:hint="eastAsia"/>
                            <w:color w:val="231F20"/>
                            <w:sz w:val="24"/>
                          </w:rPr>
                          <w:t>口</w:t>
                        </w:r>
                      </w:p>
                    </w:tc>
                    <w:tc>
                      <w:tcPr>
                        <w:tcW w:w="1062" w:type="dxa"/>
                        <w:tcBorders>
                          <w:top w:val="nil"/>
                          <w:bottom w:val="nil"/>
                        </w:tcBorders>
                      </w:tcPr>
                      <w:p>
                        <w:pPr>
                          <w:pStyle w:val="TableParagraph"/>
                          <w:rPr>
                            <w:rFonts w:ascii="Times New Roman"/>
                            <w:sz w:val="22"/>
                          </w:rPr>
                        </w:pPr>
                      </w:p>
                    </w:tc>
                    <w:tc>
                      <w:tcPr>
                        <w:tcW w:w="1022" w:type="dxa"/>
                        <w:tcBorders>
                          <w:top w:val="nil"/>
                          <w:bottom w:val="nil"/>
                        </w:tcBorders>
                      </w:tcPr>
                      <w:p>
                        <w:pPr>
                          <w:pStyle w:val="TableParagraph"/>
                          <w:rPr>
                            <w:rFonts w:ascii="Times New Roman"/>
                            <w:sz w:val="22"/>
                          </w:rPr>
                        </w:pPr>
                      </w:p>
                    </w:tc>
                    <w:tc>
                      <w:tcPr>
                        <w:tcW w:w="1017" w:type="dxa"/>
                        <w:tcBorders>
                          <w:top w:val="nil"/>
                          <w:bottom w:val="nil"/>
                        </w:tcBorders>
                      </w:tcPr>
                      <w:p>
                        <w:pPr>
                          <w:pStyle w:val="TableParagraph"/>
                          <w:rPr>
                            <w:rFonts w:ascii="Times New Roman"/>
                            <w:sz w:val="22"/>
                          </w:rPr>
                        </w:pPr>
                      </w:p>
                    </w:tc>
                    <w:tc>
                      <w:tcPr>
                        <w:tcW w:w="5520" w:type="dxa"/>
                        <w:vMerge/>
                        <w:tcBorders>
                          <w:top w:val="nil"/>
                        </w:tcBorders>
                      </w:tcPr>
                      <w:p>
                        <w:pPr>
                          <w:rPr>
                            <w:sz w:val="2"/>
                            <w:szCs w:val="2"/>
                          </w:rPr>
                        </w:pPr>
                      </w:p>
                    </w:tc>
                  </w:tr>
                  <w:tr>
                    <w:trPr>
                      <w:trHeight w:val="623" w:hRule="atLeast"/>
                    </w:trPr>
                    <w:tc>
                      <w:tcPr>
                        <w:tcW w:w="970" w:type="dxa"/>
                        <w:tcBorders>
                          <w:top w:val="nil"/>
                        </w:tcBorders>
                      </w:tcPr>
                      <w:p>
                        <w:pPr>
                          <w:pStyle w:val="TableParagraph"/>
                          <w:rPr>
                            <w:rFonts w:ascii="Times New Roman"/>
                            <w:sz w:val="22"/>
                          </w:rPr>
                        </w:pPr>
                      </w:p>
                    </w:tc>
                    <w:tc>
                      <w:tcPr>
                        <w:tcW w:w="1062" w:type="dxa"/>
                        <w:tcBorders>
                          <w:top w:val="nil"/>
                        </w:tcBorders>
                      </w:tcPr>
                      <w:p>
                        <w:pPr>
                          <w:pStyle w:val="TableParagraph"/>
                          <w:spacing w:before="8"/>
                          <w:rPr>
                            <w:rFonts w:ascii="微軟正黑體"/>
                            <w:b/>
                            <w:sz w:val="12"/>
                          </w:rPr>
                        </w:pPr>
                      </w:p>
                      <w:p>
                        <w:pPr>
                          <w:pStyle w:val="TableParagraph"/>
                          <w:spacing w:before="1"/>
                          <w:ind w:right="393"/>
                          <w:jc w:val="right"/>
                          <w:rPr>
                            <w:rFonts w:ascii="新細明體" w:eastAsia="新細明體" w:hint="eastAsia"/>
                            <w:sz w:val="24"/>
                          </w:rPr>
                        </w:pPr>
                        <w:r>
                          <w:rPr>
                            <w:rFonts w:ascii="新細明體" w:eastAsia="新細明體" w:hint="eastAsia"/>
                            <w:color w:val="231F20"/>
                            <w:sz w:val="24"/>
                          </w:rPr>
                          <w:t>口</w:t>
                        </w:r>
                      </w:p>
                    </w:tc>
                    <w:tc>
                      <w:tcPr>
                        <w:tcW w:w="1022" w:type="dxa"/>
                        <w:tcBorders>
                          <w:top w:val="nil"/>
                        </w:tcBorders>
                      </w:tcPr>
                      <w:p>
                        <w:pPr>
                          <w:pStyle w:val="TableParagraph"/>
                          <w:spacing w:before="8"/>
                          <w:rPr>
                            <w:rFonts w:ascii="微軟正黑體"/>
                            <w:b/>
                            <w:sz w:val="12"/>
                          </w:rPr>
                        </w:pPr>
                      </w:p>
                      <w:p>
                        <w:pPr>
                          <w:pStyle w:val="TableParagraph"/>
                          <w:spacing w:before="1"/>
                          <w:ind w:right="373"/>
                          <w:jc w:val="right"/>
                          <w:rPr>
                            <w:rFonts w:ascii="新細明體" w:eastAsia="新細明體" w:hint="eastAsia"/>
                            <w:sz w:val="24"/>
                          </w:rPr>
                        </w:pPr>
                        <w:r>
                          <w:rPr>
                            <w:rFonts w:ascii="新細明體" w:eastAsia="新細明體" w:hint="eastAsia"/>
                            <w:color w:val="231F20"/>
                            <w:sz w:val="24"/>
                          </w:rPr>
                          <w:t>口</w:t>
                        </w:r>
                      </w:p>
                    </w:tc>
                    <w:tc>
                      <w:tcPr>
                        <w:tcW w:w="1017" w:type="dxa"/>
                        <w:tcBorders>
                          <w:top w:val="nil"/>
                        </w:tcBorders>
                      </w:tcPr>
                      <w:p>
                        <w:pPr>
                          <w:pStyle w:val="TableParagraph"/>
                          <w:spacing w:before="8"/>
                          <w:rPr>
                            <w:rFonts w:ascii="微軟正黑體"/>
                            <w:b/>
                            <w:sz w:val="12"/>
                          </w:rPr>
                        </w:pPr>
                      </w:p>
                      <w:p>
                        <w:pPr>
                          <w:pStyle w:val="TableParagraph"/>
                          <w:spacing w:before="1"/>
                          <w:ind w:left="17"/>
                          <w:jc w:val="center"/>
                          <w:rPr>
                            <w:rFonts w:ascii="新細明體" w:eastAsia="新細明體" w:hint="eastAsia"/>
                            <w:sz w:val="24"/>
                          </w:rPr>
                        </w:pPr>
                        <w:r>
                          <w:rPr>
                            <w:rFonts w:ascii="新細明體" w:eastAsia="新細明體" w:hint="eastAsia"/>
                            <w:color w:val="231F20"/>
                            <w:sz w:val="24"/>
                          </w:rPr>
                          <w:t>口</w:t>
                        </w:r>
                      </w:p>
                    </w:tc>
                    <w:tc>
                      <w:tcPr>
                        <w:tcW w:w="5520" w:type="dxa"/>
                        <w:vMerge/>
                        <w:tcBorders>
                          <w:top w:val="nil"/>
                        </w:tcBorders>
                      </w:tcPr>
                      <w:p>
                        <w:pPr>
                          <w:rPr>
                            <w:sz w:val="2"/>
                            <w:szCs w:val="2"/>
                          </w:rPr>
                        </w:pPr>
                      </w:p>
                    </w:tc>
                  </w:tr>
                </w:tbl>
                <w:p>
                  <w:pPr>
                    <w:pStyle w:val="BodyText"/>
                  </w:pPr>
                </w:p>
              </w:txbxContent>
            </v:textbox>
            <w10:wrap type="none"/>
          </v:shape>
        </w:pict>
      </w:r>
      <w:r>
        <w:rPr>
          <w:color w:val="231F20"/>
        </w:rPr>
        <w:t>捌、結核病實驗室檢驗工作項目檢核表</w:t>
      </w:r>
    </w:p>
    <w:p>
      <w:pPr>
        <w:spacing w:after="0" w:line="240" w:lineRule="auto"/>
        <w:sectPr>
          <w:pgSz w:w="11910" w:h="16840"/>
          <w:pgMar w:top="1060" w:bottom="0" w:left="520" w:right="600"/>
        </w:sectPr>
      </w:pPr>
    </w:p>
    <w:p>
      <w:pPr>
        <w:pStyle w:val="BodyText"/>
        <w:spacing w:before="16"/>
        <w:rPr>
          <w:rFonts w:ascii="微軟正黑體"/>
          <w:b/>
          <w:sz w:val="10"/>
        </w:rPr>
      </w:pPr>
      <w:r>
        <w:rPr/>
        <w:pict>
          <v:group style="position:absolute;margin-left:.0pt;margin-top:70.144997pt;width:37.35pt;height:771.55pt;mso-position-horizontal-relative:page;mso-position-vertical-relative:page;z-index:-266359808" coordorigin="0,1403" coordsize="747,15431">
            <v:shape style="position:absolute;left:178;top:1914;width:438;height:14920" type="#_x0000_t75" stroked="false">
              <v:imagedata r:id="rId23" o:title=""/>
            </v:shape>
            <v:shape style="position:absolute;left:0;top:1402;width:747;height:812" coordorigin="0,1403" coordsize="747,812" path="m365,1403l0,1403,0,2214,365,2214,387,2212,447,2178,713,1896,747,1809,738,1762,447,1439,387,1405,365,1403xe" filled="true" fillcolor="#f8971d" stroked="false">
              <v:path arrowok="t"/>
              <v:fill type="solid"/>
            </v:shape>
            <v:shape style="position:absolute;left:202;top:1669;width:388;height:278" type="#_x0000_t75" stroked="false">
              <v:imagedata r:id="rId24" o:title=""/>
            </v:shape>
            <v:shape style="position:absolute;left:272;top:2349;width:252;height:3944" type="#_x0000_t75" stroked="false">
              <v:imagedata r:id="rId25"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w:t>
                    </w:r>
                  </w:p>
                </w:txbxContent>
              </v:textbox>
              <w10:wrap type="none"/>
            </v:shape>
            <w10:wrap type="none"/>
          </v:group>
        </w:pict>
      </w:r>
    </w:p>
    <w:p>
      <w:pPr>
        <w:spacing w:after="0"/>
        <w:rPr>
          <w:rFonts w:ascii="微軟正黑體"/>
          <w:sz w:val="10"/>
        </w:rPr>
        <w:sectPr>
          <w:pgSz w:w="11910" w:h="16840"/>
          <w:pgMar w:top="1400" w:bottom="0" w:left="520" w:right="600"/>
        </w:sectPr>
      </w:pPr>
    </w:p>
    <w:p>
      <w:pPr>
        <w:pStyle w:val="BodyText"/>
        <w:rPr>
          <w:rFonts w:ascii="微軟正黑體"/>
          <w:b/>
          <w:sz w:val="30"/>
        </w:rPr>
      </w:pPr>
    </w:p>
    <w:p>
      <w:pPr>
        <w:pStyle w:val="BodyText"/>
        <w:spacing w:before="17"/>
        <w:rPr>
          <w:rFonts w:ascii="微軟正黑體"/>
          <w:b/>
          <w:sz w:val="15"/>
        </w:rPr>
      </w:pPr>
    </w:p>
    <w:p>
      <w:pPr>
        <w:spacing w:before="0"/>
        <w:ind w:left="934" w:right="0" w:firstLine="0"/>
        <w:jc w:val="left"/>
        <w:rPr>
          <w:rFonts w:ascii="Microsoft JhengHei UI" w:eastAsia="Microsoft JhengHei UI" w:hint="eastAsia"/>
          <w:b/>
          <w:sz w:val="24"/>
        </w:rPr>
      </w:pPr>
      <w:r>
        <w:rPr>
          <w:rFonts w:ascii="Microsoft JhengHei UI" w:eastAsia="Microsoft JhengHei UI" w:hint="eastAsia"/>
          <w:b/>
          <w:sz w:val="24"/>
        </w:rPr>
        <w:t>壹、目的</w:t>
      </w:r>
    </w:p>
    <w:p>
      <w:pPr>
        <w:spacing w:line="559" w:lineRule="exact" w:before="0"/>
        <w:ind w:left="933" w:right="0" w:firstLine="0"/>
        <w:jc w:val="left"/>
        <w:rPr>
          <w:rFonts w:ascii="Microsoft JhengHei UI" w:eastAsia="Microsoft JhengHei UI" w:hint="eastAsia"/>
          <w:b/>
          <w:sz w:val="32"/>
        </w:rPr>
      </w:pPr>
      <w:r>
        <w:rPr/>
        <w:br w:type="column"/>
      </w:r>
      <w:r>
        <w:rPr>
          <w:rFonts w:ascii="Microsoft JhengHei UI" w:eastAsia="Microsoft JhengHei UI" w:hint="eastAsia"/>
          <w:b/>
          <w:color w:val="221F1F"/>
          <w:sz w:val="32"/>
        </w:rPr>
        <w:t>第三章潛伏結核感染之診斷及治療</w:t>
      </w:r>
    </w:p>
    <w:p>
      <w:pPr>
        <w:pStyle w:val="BodyText"/>
        <w:spacing w:before="3"/>
        <w:rPr>
          <w:rFonts w:ascii="Microsoft JhengHei UI"/>
          <w:b/>
          <w:sz w:val="25"/>
        </w:rPr>
      </w:pPr>
      <w:r>
        <w:rPr/>
        <w:br w:type="column"/>
      </w:r>
      <w:r>
        <w:rPr>
          <w:rFonts w:ascii="Microsoft JhengHei UI"/>
          <w:b/>
          <w:sz w:val="25"/>
        </w:rPr>
      </w:r>
    </w:p>
    <w:p>
      <w:pPr>
        <w:spacing w:before="0"/>
        <w:ind w:left="853" w:right="0" w:firstLine="0"/>
        <w:jc w:val="left"/>
        <w:rPr>
          <w:rFonts w:ascii="微軟正黑體" w:eastAsia="微軟正黑體" w:hint="eastAsia"/>
          <w:sz w:val="22"/>
        </w:rPr>
      </w:pPr>
      <w:r>
        <w:rPr>
          <w:rFonts w:ascii="微軟正黑體" w:eastAsia="微軟正黑體" w:hint="eastAsia"/>
          <w:sz w:val="22"/>
        </w:rPr>
        <w:t>2025/5/8 修訂</w:t>
      </w:r>
    </w:p>
    <w:p>
      <w:pPr>
        <w:spacing w:after="0"/>
        <w:jc w:val="left"/>
        <w:rPr>
          <w:rFonts w:ascii="微軟正黑體" w:eastAsia="微軟正黑體" w:hint="eastAsia"/>
          <w:sz w:val="22"/>
        </w:rPr>
        <w:sectPr>
          <w:pgSz w:w="11920" w:h="16840"/>
          <w:pgMar w:top="1040" w:bottom="280" w:left="200" w:right="220"/>
          <w:cols w:num="3" w:equalWidth="0">
            <w:col w:w="1935" w:space="444"/>
            <w:col w:w="5816" w:space="39"/>
            <w:col w:w="3266"/>
          </w:cols>
        </w:sectPr>
      </w:pPr>
    </w:p>
    <w:p>
      <w:pPr>
        <w:pStyle w:val="BodyText"/>
        <w:spacing w:line="199" w:lineRule="auto" w:before="27"/>
        <w:ind w:left="1416" w:right="924" w:firstLine="481"/>
        <w:rPr>
          <w:rFonts w:ascii="Microsoft JhengHei UI" w:eastAsia="Microsoft JhengHei UI" w:hint="eastAsia"/>
        </w:rPr>
      </w:pPr>
      <w:r>
        <w:rPr>
          <w:rFonts w:ascii="Microsoft JhengHei UI" w:eastAsia="Microsoft JhengHei UI" w:hint="eastAsia"/>
          <w:color w:val="221F1F"/>
        </w:rPr>
        <w:t>找出潛伏結核感染（latent TB infection，LTBI）者並給予治療，降低其結核病發病機率及避免疾病傳播。</w:t>
      </w:r>
    </w:p>
    <w:p>
      <w:pPr>
        <w:pStyle w:val="Heading2"/>
        <w:spacing w:line="414" w:lineRule="exact" w:before="195"/>
        <w:ind w:left="934"/>
        <w:rPr>
          <w:rFonts w:ascii="Microsoft JhengHei UI" w:eastAsia="Microsoft JhengHei UI" w:hint="eastAsia"/>
        </w:rPr>
      </w:pPr>
      <w:r>
        <w:rPr>
          <w:rFonts w:ascii="Microsoft JhengHei UI" w:eastAsia="Microsoft JhengHei UI" w:hint="eastAsia"/>
          <w:color w:val="221F1F"/>
        </w:rPr>
        <w:t>貳、對象</w:t>
      </w:r>
    </w:p>
    <w:p>
      <w:pPr>
        <w:pStyle w:val="BodyText"/>
        <w:spacing w:line="414" w:lineRule="exact" w:after="7"/>
        <w:ind w:left="1410"/>
        <w:rPr>
          <w:rFonts w:ascii="Microsoft JhengHei UI" w:eastAsia="Microsoft JhengHei UI" w:hint="eastAsia"/>
        </w:rPr>
      </w:pPr>
      <w:r>
        <w:rPr>
          <w:rFonts w:ascii="Microsoft JhengHei UI" w:eastAsia="Microsoft JhengHei UI" w:hint="eastAsia"/>
          <w:color w:val="221F1F"/>
        </w:rPr>
        <w:t>表 1、潛伏結核感染之診斷及治療對象</w:t>
      </w:r>
    </w:p>
    <w:tbl>
      <w:tblPr>
        <w:tblW w:w="0" w:type="auto"/>
        <w:jc w:val="left"/>
        <w:tblInd w:w="1439" w:type="dxa"/>
        <w:tblBorders>
          <w:top w:val="single" w:sz="6" w:space="0" w:color="221F1F"/>
          <w:left w:val="single" w:sz="6" w:space="0" w:color="221F1F"/>
          <w:bottom w:val="single" w:sz="6" w:space="0" w:color="221F1F"/>
          <w:right w:val="single" w:sz="6" w:space="0" w:color="221F1F"/>
          <w:insideH w:val="single" w:sz="6" w:space="0" w:color="221F1F"/>
          <w:insideV w:val="single" w:sz="6" w:space="0" w:color="221F1F"/>
        </w:tblBorders>
        <w:tblLayout w:type="fixed"/>
        <w:tblCellMar>
          <w:top w:w="0" w:type="dxa"/>
          <w:left w:w="0" w:type="dxa"/>
          <w:bottom w:w="0" w:type="dxa"/>
          <w:right w:w="0" w:type="dxa"/>
        </w:tblCellMar>
        <w:tblLook w:val="01E0"/>
      </w:tblPr>
      <w:tblGrid>
        <w:gridCol w:w="2075"/>
        <w:gridCol w:w="4380"/>
        <w:gridCol w:w="2671"/>
      </w:tblGrid>
      <w:tr>
        <w:trPr>
          <w:trHeight w:val="452" w:hRule="atLeast"/>
        </w:trPr>
        <w:tc>
          <w:tcPr>
            <w:tcW w:w="2075" w:type="dxa"/>
            <w:shd w:val="clear" w:color="auto" w:fill="E6E7E8"/>
          </w:tcPr>
          <w:p>
            <w:pPr>
              <w:pStyle w:val="TableParagraph"/>
              <w:spacing w:line="413" w:lineRule="exact" w:before="20"/>
              <w:ind w:left="294" w:right="285"/>
              <w:jc w:val="center"/>
              <w:rPr>
                <w:rFonts w:ascii="Microsoft JhengHei UI" w:eastAsia="Microsoft JhengHei UI" w:hint="eastAsia"/>
                <w:b/>
                <w:sz w:val="24"/>
              </w:rPr>
            </w:pPr>
            <w:r>
              <w:rPr>
                <w:rFonts w:ascii="Microsoft JhengHei UI" w:eastAsia="Microsoft JhengHei UI" w:hint="eastAsia"/>
                <w:b/>
                <w:color w:val="221F1F"/>
                <w:sz w:val="24"/>
              </w:rPr>
              <w:t>族群別</w:t>
            </w:r>
          </w:p>
        </w:tc>
        <w:tc>
          <w:tcPr>
            <w:tcW w:w="4380" w:type="dxa"/>
            <w:shd w:val="clear" w:color="auto" w:fill="E6E7E8"/>
          </w:tcPr>
          <w:p>
            <w:pPr>
              <w:pStyle w:val="TableParagraph"/>
              <w:spacing w:line="413" w:lineRule="exact" w:before="20"/>
              <w:ind w:left="747"/>
              <w:rPr>
                <w:rFonts w:ascii="Microsoft JhengHei UI" w:eastAsia="Microsoft JhengHei UI" w:hint="eastAsia"/>
                <w:b/>
                <w:sz w:val="24"/>
              </w:rPr>
            </w:pPr>
            <w:r>
              <w:rPr>
                <w:rFonts w:ascii="Microsoft JhengHei UI" w:eastAsia="Microsoft JhengHei UI" w:hint="eastAsia"/>
                <w:b/>
                <w:color w:val="221F1F"/>
                <w:sz w:val="24"/>
              </w:rPr>
              <w:t>政策對象（含歷年接觸者）</w:t>
            </w:r>
          </w:p>
        </w:tc>
        <w:tc>
          <w:tcPr>
            <w:tcW w:w="2671" w:type="dxa"/>
            <w:shd w:val="clear" w:color="auto" w:fill="E6E7E8"/>
          </w:tcPr>
          <w:p>
            <w:pPr>
              <w:pStyle w:val="TableParagraph"/>
              <w:spacing w:line="413" w:lineRule="exact" w:before="20"/>
              <w:ind w:left="613"/>
              <w:rPr>
                <w:rFonts w:ascii="Microsoft JhengHei UI" w:eastAsia="Microsoft JhengHei UI" w:hint="eastAsia"/>
                <w:b/>
                <w:sz w:val="24"/>
              </w:rPr>
            </w:pPr>
            <w:r>
              <w:rPr>
                <w:rFonts w:ascii="Microsoft JhengHei UI" w:eastAsia="Microsoft JhengHei UI" w:hint="eastAsia"/>
                <w:b/>
                <w:color w:val="221F1F"/>
                <w:sz w:val="24"/>
              </w:rPr>
              <w:t>工作內容說明</w:t>
            </w:r>
          </w:p>
        </w:tc>
      </w:tr>
      <w:tr>
        <w:trPr>
          <w:trHeight w:val="4451" w:hRule="atLeast"/>
        </w:trPr>
        <w:tc>
          <w:tcPr>
            <w:tcW w:w="2075" w:type="dxa"/>
          </w:tcPr>
          <w:p>
            <w:pPr>
              <w:pStyle w:val="TableParagraph"/>
              <w:rPr>
                <w:rFonts w:ascii="Microsoft JhengHei UI"/>
                <w:sz w:val="30"/>
              </w:rPr>
            </w:pPr>
          </w:p>
          <w:p>
            <w:pPr>
              <w:pStyle w:val="TableParagraph"/>
              <w:rPr>
                <w:rFonts w:ascii="Microsoft JhengHei UI"/>
                <w:sz w:val="30"/>
              </w:rPr>
            </w:pPr>
          </w:p>
          <w:p>
            <w:pPr>
              <w:pStyle w:val="TableParagraph"/>
              <w:rPr>
                <w:rFonts w:ascii="Microsoft JhengHei UI"/>
                <w:sz w:val="30"/>
              </w:rPr>
            </w:pPr>
          </w:p>
          <w:p>
            <w:pPr>
              <w:pStyle w:val="TableParagraph"/>
              <w:spacing w:before="12"/>
              <w:rPr>
                <w:rFonts w:ascii="Microsoft JhengHei UI"/>
                <w:sz w:val="20"/>
              </w:rPr>
            </w:pPr>
          </w:p>
          <w:p>
            <w:pPr>
              <w:pStyle w:val="TableParagraph"/>
              <w:ind w:left="294" w:right="285"/>
              <w:jc w:val="center"/>
              <w:rPr>
                <w:rFonts w:ascii="Microsoft JhengHei UI" w:eastAsia="Microsoft JhengHei UI" w:hint="eastAsia"/>
                <w:sz w:val="24"/>
              </w:rPr>
            </w:pPr>
            <w:r>
              <w:rPr>
                <w:rFonts w:ascii="Microsoft JhengHei UI" w:eastAsia="Microsoft JhengHei UI" w:hint="eastAsia"/>
                <w:color w:val="221F1F"/>
                <w:sz w:val="24"/>
              </w:rPr>
              <w:t>接觸者</w:t>
            </w:r>
          </w:p>
        </w:tc>
        <w:tc>
          <w:tcPr>
            <w:tcW w:w="4380" w:type="dxa"/>
          </w:tcPr>
          <w:p>
            <w:pPr>
              <w:pStyle w:val="TableParagraph"/>
              <w:numPr>
                <w:ilvl w:val="0"/>
                <w:numId w:val="18"/>
              </w:numPr>
              <w:tabs>
                <w:tab w:pos="366" w:val="left" w:leader="none"/>
              </w:tabs>
              <w:spacing w:line="225" w:lineRule="auto" w:before="32" w:after="0"/>
              <w:ind w:left="365" w:right="344" w:hanging="256"/>
              <w:jc w:val="left"/>
              <w:rPr>
                <w:rFonts w:ascii="Microsoft JhengHei UI" w:eastAsia="Microsoft JhengHei UI" w:hint="eastAsia"/>
                <w:sz w:val="24"/>
              </w:rPr>
            </w:pPr>
            <w:r>
              <w:rPr>
                <w:rFonts w:ascii="Microsoft JhengHei UI" w:eastAsia="Microsoft JhengHei UI" w:hint="eastAsia"/>
                <w:spacing w:val="2"/>
                <w:sz w:val="24"/>
              </w:rPr>
              <w:t>指標個案痰塗片陽性且培養鑑定為</w:t>
            </w:r>
            <w:r>
              <w:rPr>
                <w:rFonts w:ascii="Microsoft JhengHei UI" w:eastAsia="Microsoft JhengHei UI" w:hint="eastAsia"/>
                <w:sz w:val="24"/>
              </w:rPr>
              <w:t>結核分枝桿菌：全年齡層接觸者</w:t>
            </w:r>
          </w:p>
          <w:p>
            <w:pPr>
              <w:pStyle w:val="TableParagraph"/>
              <w:numPr>
                <w:ilvl w:val="0"/>
                <w:numId w:val="18"/>
              </w:numPr>
              <w:tabs>
                <w:tab w:pos="366" w:val="left" w:leader="none"/>
              </w:tabs>
              <w:spacing w:line="225" w:lineRule="auto" w:before="0" w:after="0"/>
              <w:ind w:left="365" w:right="344" w:hanging="256"/>
              <w:jc w:val="left"/>
              <w:rPr>
                <w:rFonts w:ascii="Microsoft JhengHei UI" w:eastAsia="Microsoft JhengHei UI" w:hint="eastAsia"/>
                <w:sz w:val="24"/>
              </w:rPr>
            </w:pPr>
            <w:r>
              <w:rPr>
                <w:rFonts w:ascii="Microsoft JhengHei UI" w:eastAsia="Microsoft JhengHei UI" w:hint="eastAsia"/>
                <w:spacing w:val="2"/>
                <w:sz w:val="24"/>
              </w:rPr>
              <w:t>指標個案痰塗片陰性且培養鑑定為</w:t>
            </w:r>
            <w:r>
              <w:rPr>
                <w:rFonts w:ascii="Microsoft JhengHei UI" w:eastAsia="Microsoft JhengHei UI" w:hint="eastAsia"/>
                <w:sz w:val="24"/>
              </w:rPr>
              <w:t>結核分枝桿菌：</w:t>
            </w:r>
          </w:p>
          <w:p>
            <w:pPr>
              <w:pStyle w:val="TableParagraph"/>
              <w:numPr>
                <w:ilvl w:val="1"/>
                <w:numId w:val="18"/>
              </w:numPr>
              <w:tabs>
                <w:tab w:pos="606" w:val="left" w:leader="none"/>
              </w:tabs>
              <w:spacing w:line="378" w:lineRule="exact" w:before="0" w:after="0"/>
              <w:ind w:left="605" w:right="0" w:hanging="353"/>
              <w:jc w:val="left"/>
              <w:rPr>
                <w:rFonts w:ascii="Microsoft JhengHei UI" w:eastAsia="Microsoft JhengHei UI" w:hint="eastAsia"/>
                <w:sz w:val="24"/>
              </w:rPr>
            </w:pPr>
            <w:r>
              <w:rPr>
                <w:rFonts w:ascii="Microsoft JhengHei UI" w:eastAsia="Microsoft JhengHei UI" w:hint="eastAsia"/>
                <w:sz w:val="24"/>
              </w:rPr>
              <w:t>未滿 13 歲接觸者</w:t>
            </w:r>
          </w:p>
          <w:p>
            <w:pPr>
              <w:pStyle w:val="TableParagraph"/>
              <w:numPr>
                <w:ilvl w:val="1"/>
                <w:numId w:val="18"/>
              </w:numPr>
              <w:tabs>
                <w:tab w:pos="622" w:val="left" w:leader="none"/>
              </w:tabs>
              <w:spacing w:line="371" w:lineRule="exact" w:before="0" w:after="0"/>
              <w:ind w:left="621" w:right="0" w:hanging="369"/>
              <w:jc w:val="left"/>
              <w:rPr>
                <w:rFonts w:ascii="Microsoft JhengHei UI" w:eastAsia="Microsoft JhengHei UI" w:hint="eastAsia"/>
                <w:sz w:val="24"/>
              </w:rPr>
            </w:pPr>
            <w:r>
              <w:rPr>
                <w:rFonts w:ascii="Microsoft JhengHei UI" w:eastAsia="Microsoft JhengHei UI" w:hint="eastAsia"/>
                <w:sz w:val="24"/>
              </w:rPr>
              <w:t>13 歲（含）以上共同居住接觸者</w:t>
            </w:r>
          </w:p>
          <w:p>
            <w:pPr>
              <w:pStyle w:val="TableParagraph"/>
              <w:numPr>
                <w:ilvl w:val="1"/>
                <w:numId w:val="18"/>
              </w:numPr>
              <w:tabs>
                <w:tab w:pos="618" w:val="left" w:leader="none"/>
              </w:tabs>
              <w:spacing w:line="213" w:lineRule="auto" w:before="7" w:after="0"/>
              <w:ind w:left="487" w:right="71" w:hanging="240"/>
              <w:jc w:val="both"/>
              <w:rPr>
                <w:rFonts w:ascii="Microsoft JhengHei UI" w:eastAsia="Microsoft JhengHei UI" w:hint="eastAsia"/>
                <w:sz w:val="24"/>
              </w:rPr>
            </w:pPr>
            <w:r>
              <w:rPr>
                <w:rFonts w:ascii="Microsoft JhengHei UI" w:eastAsia="Microsoft JhengHei UI" w:hint="eastAsia"/>
                <w:sz w:val="24"/>
              </w:rPr>
              <w:t>13</w:t>
            </w:r>
            <w:r>
              <w:rPr>
                <w:rFonts w:ascii="Microsoft JhengHei UI" w:eastAsia="Microsoft JhengHei UI" w:hint="eastAsia"/>
                <w:spacing w:val="-9"/>
                <w:sz w:val="24"/>
              </w:rPr>
              <w:t> 歲</w:t>
            </w:r>
            <w:r>
              <w:rPr>
                <w:rFonts w:ascii="Microsoft JhengHei UI" w:eastAsia="Microsoft JhengHei UI" w:hint="eastAsia"/>
                <w:sz w:val="24"/>
              </w:rPr>
              <w:t>（含</w:t>
            </w:r>
            <w:r>
              <w:rPr>
                <w:rFonts w:ascii="Microsoft JhengHei UI" w:eastAsia="Microsoft JhengHei UI" w:hint="eastAsia"/>
                <w:spacing w:val="-12"/>
                <w:sz w:val="24"/>
              </w:rPr>
              <w:t>）</w:t>
            </w:r>
            <w:r>
              <w:rPr>
                <w:rFonts w:ascii="Microsoft JhengHei UI" w:eastAsia="Microsoft JhengHei UI" w:hint="eastAsia"/>
                <w:spacing w:val="-2"/>
                <w:sz w:val="24"/>
              </w:rPr>
              <w:t>以上患有慢性病</w:t>
            </w:r>
            <w:r>
              <w:rPr>
                <w:rFonts w:ascii="Microsoft JhengHei UI" w:eastAsia="Microsoft JhengHei UI" w:hint="eastAsia"/>
                <w:sz w:val="24"/>
              </w:rPr>
              <w:t>（</w:t>
            </w:r>
            <w:r>
              <w:rPr>
                <w:rFonts w:ascii="Microsoft JhengHei UI" w:eastAsia="Microsoft JhengHei UI" w:hint="eastAsia"/>
                <w:spacing w:val="-6"/>
                <w:sz w:val="24"/>
              </w:rPr>
              <w:t>如： </w:t>
            </w:r>
            <w:r>
              <w:rPr>
                <w:rFonts w:ascii="Microsoft JhengHei UI" w:eastAsia="Microsoft JhengHei UI" w:hint="eastAsia"/>
                <w:spacing w:val="26"/>
                <w:sz w:val="24"/>
              </w:rPr>
              <w:t>糖尿病、腎臟病、使用免疫抑制</w:t>
            </w:r>
            <w:r>
              <w:rPr>
                <w:rFonts w:ascii="Microsoft JhengHei UI" w:eastAsia="Microsoft JhengHei UI" w:hint="eastAsia"/>
                <w:spacing w:val="28"/>
                <w:sz w:val="24"/>
              </w:rPr>
              <w:t>劑、器官移植、愛滋病毒感染者</w:t>
            </w:r>
            <w:r>
              <w:rPr>
                <w:rFonts w:ascii="Microsoft JhengHei UI" w:eastAsia="Microsoft JhengHei UI" w:hint="eastAsia"/>
                <w:spacing w:val="11"/>
                <w:sz w:val="24"/>
              </w:rPr>
              <w:t>等</w:t>
            </w:r>
            <w:r>
              <w:rPr>
                <w:rFonts w:ascii="Microsoft JhengHei UI" w:eastAsia="Microsoft JhengHei UI" w:hint="eastAsia"/>
                <w:spacing w:val="12"/>
                <w:sz w:val="24"/>
              </w:rPr>
              <w:t>）</w:t>
            </w:r>
            <w:r>
              <w:rPr>
                <w:rFonts w:ascii="Microsoft JhengHei UI" w:eastAsia="Microsoft JhengHei UI" w:hint="eastAsia"/>
                <w:spacing w:val="11"/>
                <w:sz w:val="24"/>
              </w:rPr>
              <w:t>的接觸者（</w:t>
            </w:r>
            <w:r>
              <w:rPr>
                <w:rFonts w:ascii="Microsoft JhengHei UI" w:eastAsia="Microsoft JhengHei UI" w:hint="eastAsia"/>
                <w:spacing w:val="10"/>
                <w:sz w:val="24"/>
              </w:rPr>
              <w:t>不論其為家庭、校</w:t>
            </w:r>
            <w:r>
              <w:rPr>
                <w:rFonts w:ascii="Microsoft JhengHei UI" w:eastAsia="Microsoft JhengHei UI" w:hint="eastAsia"/>
                <w:sz w:val="24"/>
              </w:rPr>
              <w:t>園或職 場暴露）</w:t>
            </w:r>
          </w:p>
        </w:tc>
        <w:tc>
          <w:tcPr>
            <w:tcW w:w="2671" w:type="dxa"/>
          </w:tcPr>
          <w:p>
            <w:pPr>
              <w:pStyle w:val="TableParagraph"/>
              <w:rPr>
                <w:rFonts w:ascii="Microsoft JhengHei UI"/>
                <w:sz w:val="30"/>
              </w:rPr>
            </w:pPr>
          </w:p>
          <w:p>
            <w:pPr>
              <w:pStyle w:val="TableParagraph"/>
              <w:spacing w:before="8"/>
              <w:rPr>
                <w:rFonts w:ascii="Microsoft JhengHei UI"/>
                <w:sz w:val="24"/>
              </w:rPr>
            </w:pPr>
          </w:p>
          <w:p>
            <w:pPr>
              <w:pStyle w:val="TableParagraph"/>
              <w:numPr>
                <w:ilvl w:val="0"/>
                <w:numId w:val="19"/>
              </w:numPr>
              <w:tabs>
                <w:tab w:pos="355" w:val="left" w:leader="none"/>
              </w:tabs>
              <w:spacing w:line="414" w:lineRule="exact" w:before="0" w:after="0"/>
              <w:ind w:left="354" w:right="0" w:hanging="245"/>
              <w:jc w:val="both"/>
              <w:rPr>
                <w:rFonts w:ascii="Microsoft JhengHei UI" w:hAnsi="Microsoft JhengHei UI" w:eastAsia="Microsoft JhengHei UI" w:hint="eastAsia"/>
                <w:sz w:val="24"/>
              </w:rPr>
            </w:pPr>
            <w:r>
              <w:rPr>
                <w:rFonts w:ascii="Microsoft JhengHei UI" w:hAnsi="Microsoft JhengHei UI" w:eastAsia="Microsoft JhengHei UI" w:hint="eastAsia"/>
                <w:sz w:val="24"/>
              </w:rPr>
              <w:t>為主要執行對象</w:t>
            </w:r>
          </w:p>
          <w:p>
            <w:pPr>
              <w:pStyle w:val="TableParagraph"/>
              <w:numPr>
                <w:ilvl w:val="0"/>
                <w:numId w:val="19"/>
              </w:numPr>
              <w:tabs>
                <w:tab w:pos="345" w:val="left" w:leader="none"/>
              </w:tabs>
              <w:spacing w:line="225" w:lineRule="auto" w:before="6" w:after="0"/>
              <w:ind w:left="355" w:right="97" w:hanging="245"/>
              <w:jc w:val="both"/>
              <w:rPr>
                <w:rFonts w:ascii="Microsoft JhengHei UI" w:hAnsi="Microsoft JhengHei UI" w:eastAsia="Microsoft JhengHei UI" w:hint="eastAsia"/>
                <w:sz w:val="24"/>
              </w:rPr>
            </w:pPr>
            <w:r>
              <w:rPr>
                <w:rFonts w:ascii="Microsoft JhengHei UI" w:hAnsi="Microsoft JhengHei UI" w:eastAsia="Microsoft JhengHei UI" w:hint="eastAsia"/>
                <w:spacing w:val="3"/>
                <w:sz w:val="24"/>
              </w:rPr>
              <w:t>需進行符合執行條件</w:t>
            </w:r>
            <w:r>
              <w:rPr>
                <w:rFonts w:ascii="Microsoft JhengHei UI" w:hAnsi="Microsoft JhengHei UI" w:eastAsia="Microsoft JhengHei UI" w:hint="eastAsia"/>
                <w:spacing w:val="32"/>
                <w:sz w:val="24"/>
              </w:rPr>
              <w:t>對象之匡列、轉介</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3"/>
                <w:sz w:val="24"/>
              </w:rPr>
              <w:t> 診斷及治療、個</w:t>
            </w:r>
            <w:r>
              <w:rPr>
                <w:rFonts w:ascii="Microsoft JhengHei UI" w:hAnsi="Microsoft JhengHei UI" w:eastAsia="Microsoft JhengHei UI" w:hint="eastAsia"/>
                <w:spacing w:val="33"/>
                <w:sz w:val="24"/>
              </w:rPr>
              <w:t>案管理與都治關懷</w:t>
            </w:r>
            <w:r>
              <w:rPr>
                <w:rFonts w:ascii="Microsoft JhengHei UI" w:hAnsi="Microsoft JhengHei UI" w:eastAsia="Microsoft JhengHei UI" w:hint="eastAsia"/>
                <w:spacing w:val="2"/>
                <w:sz w:val="24"/>
              </w:rPr>
              <w:t>服務</w:t>
            </w:r>
          </w:p>
        </w:tc>
      </w:tr>
      <w:tr>
        <w:trPr>
          <w:trHeight w:val="6049" w:hRule="atLeast"/>
        </w:trPr>
        <w:tc>
          <w:tcPr>
            <w:tcW w:w="2075" w:type="dxa"/>
          </w:tcPr>
          <w:p>
            <w:pPr>
              <w:pStyle w:val="TableParagraph"/>
              <w:rPr>
                <w:rFonts w:ascii="Microsoft JhengHei UI"/>
                <w:sz w:val="30"/>
              </w:rPr>
            </w:pPr>
          </w:p>
          <w:p>
            <w:pPr>
              <w:pStyle w:val="TableParagraph"/>
              <w:rPr>
                <w:rFonts w:ascii="Microsoft JhengHei UI"/>
                <w:sz w:val="30"/>
              </w:rPr>
            </w:pPr>
          </w:p>
          <w:p>
            <w:pPr>
              <w:pStyle w:val="TableParagraph"/>
              <w:rPr>
                <w:rFonts w:ascii="Microsoft JhengHei UI"/>
                <w:sz w:val="30"/>
              </w:rPr>
            </w:pPr>
          </w:p>
          <w:p>
            <w:pPr>
              <w:pStyle w:val="TableParagraph"/>
              <w:spacing w:before="3"/>
              <w:rPr>
                <w:rFonts w:ascii="Microsoft JhengHei UI"/>
                <w:sz w:val="43"/>
              </w:rPr>
            </w:pPr>
          </w:p>
          <w:p>
            <w:pPr>
              <w:pStyle w:val="TableParagraph"/>
              <w:spacing w:before="1"/>
              <w:ind w:left="294" w:right="286"/>
              <w:jc w:val="center"/>
              <w:rPr>
                <w:rFonts w:ascii="Microsoft JhengHei UI" w:eastAsia="Microsoft JhengHei UI" w:hint="eastAsia"/>
                <w:sz w:val="24"/>
              </w:rPr>
            </w:pPr>
            <w:r>
              <w:rPr>
                <w:rFonts w:ascii="Microsoft JhengHei UI" w:eastAsia="Microsoft JhengHei UI" w:hint="eastAsia"/>
                <w:color w:val="221F1F"/>
                <w:sz w:val="24"/>
              </w:rPr>
              <w:t>其他風險族群</w:t>
            </w:r>
          </w:p>
        </w:tc>
        <w:tc>
          <w:tcPr>
            <w:tcW w:w="4380" w:type="dxa"/>
          </w:tcPr>
          <w:p>
            <w:pPr>
              <w:pStyle w:val="TableParagraph"/>
              <w:numPr>
                <w:ilvl w:val="0"/>
                <w:numId w:val="20"/>
              </w:numPr>
              <w:tabs>
                <w:tab w:pos="366" w:val="left" w:leader="none"/>
              </w:tabs>
              <w:spacing w:line="397" w:lineRule="exact" w:before="0" w:after="0"/>
              <w:ind w:left="365" w:right="0" w:hanging="256"/>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山地原鄉住民</w:t>
            </w:r>
          </w:p>
          <w:p>
            <w:pPr>
              <w:pStyle w:val="TableParagraph"/>
              <w:numPr>
                <w:ilvl w:val="0"/>
                <w:numId w:val="20"/>
              </w:numPr>
              <w:tabs>
                <w:tab w:pos="354" w:val="left" w:leader="none"/>
              </w:tabs>
              <w:spacing w:line="399" w:lineRule="exact" w:before="0" w:after="0"/>
              <w:ind w:left="353"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矯正機關收容人與工作人員</w:t>
            </w:r>
          </w:p>
          <w:p>
            <w:pPr>
              <w:pStyle w:val="TableParagraph"/>
              <w:numPr>
                <w:ilvl w:val="0"/>
                <w:numId w:val="20"/>
              </w:numPr>
              <w:tabs>
                <w:tab w:pos="366" w:val="left" w:leader="none"/>
              </w:tabs>
              <w:spacing w:line="400" w:lineRule="exact" w:before="0" w:after="0"/>
              <w:ind w:left="365" w:right="0" w:hanging="256"/>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照護機構住民與工作人員</w:t>
            </w:r>
          </w:p>
          <w:p>
            <w:pPr>
              <w:pStyle w:val="TableParagraph"/>
              <w:numPr>
                <w:ilvl w:val="0"/>
                <w:numId w:val="20"/>
              </w:numPr>
              <w:tabs>
                <w:tab w:pos="354" w:val="left" w:leader="none"/>
              </w:tabs>
              <w:spacing w:line="403" w:lineRule="exact" w:before="0" w:after="0"/>
              <w:ind w:left="353"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來自結核病高負擔國家之新住民</w:t>
            </w:r>
          </w:p>
          <w:p>
            <w:pPr>
              <w:pStyle w:val="TableParagraph"/>
              <w:spacing w:line="402" w:lineRule="exact"/>
              <w:ind w:left="350"/>
              <w:rPr>
                <w:rFonts w:ascii="Microsoft JhengHei UI" w:eastAsia="Microsoft JhengHei UI" w:hint="eastAsia"/>
                <w:sz w:val="24"/>
              </w:rPr>
            </w:pPr>
            <w:r>
              <w:rPr>
                <w:rFonts w:ascii="Microsoft JhengHei UI" w:eastAsia="Microsoft JhengHei UI" w:hint="eastAsia"/>
                <w:sz w:val="24"/>
              </w:rPr>
              <w:t>(外籍配偶)</w:t>
            </w:r>
          </w:p>
          <w:p>
            <w:pPr>
              <w:pStyle w:val="TableParagraph"/>
              <w:numPr>
                <w:ilvl w:val="0"/>
                <w:numId w:val="20"/>
              </w:numPr>
              <w:tabs>
                <w:tab w:pos="354" w:val="left" w:leader="none"/>
              </w:tabs>
              <w:spacing w:line="400" w:lineRule="exact" w:before="0" w:after="0"/>
              <w:ind w:left="353"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愛滋病毒感染者或藥癮個案</w:t>
            </w:r>
          </w:p>
          <w:p>
            <w:pPr>
              <w:pStyle w:val="TableParagraph"/>
              <w:numPr>
                <w:ilvl w:val="0"/>
                <w:numId w:val="20"/>
              </w:numPr>
              <w:tabs>
                <w:tab w:pos="354" w:val="left" w:leader="none"/>
              </w:tabs>
              <w:spacing w:line="397" w:lineRule="exact" w:before="0" w:after="0"/>
              <w:ind w:left="353"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慢性腹膜或血液透析</w:t>
            </w:r>
          </w:p>
          <w:p>
            <w:pPr>
              <w:pStyle w:val="TableParagraph"/>
              <w:numPr>
                <w:ilvl w:val="0"/>
                <w:numId w:val="20"/>
              </w:numPr>
              <w:tabs>
                <w:tab w:pos="401" w:val="left" w:leader="none"/>
              </w:tabs>
              <w:spacing w:line="397" w:lineRule="exact" w:before="0" w:after="0"/>
              <w:ind w:left="400" w:right="0" w:hanging="291"/>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60</w:t>
            </w:r>
            <w:r>
              <w:rPr>
                <w:rFonts w:ascii="Microsoft JhengHei UI" w:hAnsi="Microsoft JhengHei UI" w:eastAsia="Microsoft JhengHei UI" w:hint="eastAsia"/>
                <w:spacing w:val="-1"/>
                <w:sz w:val="24"/>
              </w:rPr>
              <w:t> 歲以上慢性阻塞性肺病病人</w:t>
            </w:r>
          </w:p>
          <w:p>
            <w:pPr>
              <w:pStyle w:val="TableParagraph"/>
              <w:numPr>
                <w:ilvl w:val="0"/>
                <w:numId w:val="20"/>
              </w:numPr>
              <w:tabs>
                <w:tab w:pos="395" w:val="left" w:leader="none"/>
              </w:tabs>
              <w:spacing w:line="397" w:lineRule="exact" w:before="0" w:after="0"/>
              <w:ind w:left="394" w:right="0" w:hanging="291"/>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45</w:t>
            </w:r>
            <w:r>
              <w:rPr>
                <w:rFonts w:ascii="Microsoft JhengHei UI" w:hAnsi="Microsoft JhengHei UI" w:eastAsia="Microsoft JhengHei UI" w:hint="eastAsia"/>
                <w:spacing w:val="9"/>
                <w:sz w:val="24"/>
              </w:rPr>
              <w:t> 歲以上控制不佳的糖尿病</w:t>
            </w:r>
          </w:p>
          <w:p>
            <w:pPr>
              <w:pStyle w:val="TableParagraph"/>
              <w:spacing w:line="399" w:lineRule="exact"/>
              <w:ind w:left="231"/>
              <w:rPr>
                <w:rFonts w:ascii="Microsoft JhengHei UI" w:hAnsi="Microsoft JhengHei UI" w:eastAsia="Microsoft JhengHei UI" w:hint="eastAsia"/>
                <w:sz w:val="24"/>
              </w:rPr>
            </w:pPr>
            <w:r>
              <w:rPr>
                <w:rFonts w:ascii="Microsoft JhengHei UI" w:hAnsi="Microsoft JhengHei UI" w:eastAsia="Microsoft JhengHei UI" w:hint="eastAsia"/>
                <w:sz w:val="24"/>
              </w:rPr>
              <w:t>（糖 化血色素</w:t>
            </w:r>
            <w:r>
              <w:rPr>
                <w:rFonts w:ascii="Arial" w:hAnsi="Arial" w:eastAsia="Arial"/>
                <w:sz w:val="24"/>
              </w:rPr>
              <w:t>≥</w:t>
            </w:r>
            <w:r>
              <w:rPr>
                <w:rFonts w:ascii="Microsoft JhengHei UI" w:hAnsi="Microsoft JhengHei UI" w:eastAsia="Microsoft JhengHei UI" w:hint="eastAsia"/>
                <w:sz w:val="24"/>
              </w:rPr>
              <w:t>9.0%）</w:t>
            </w:r>
          </w:p>
          <w:p>
            <w:pPr>
              <w:pStyle w:val="TableParagraph"/>
              <w:numPr>
                <w:ilvl w:val="0"/>
                <w:numId w:val="20"/>
              </w:numPr>
              <w:tabs>
                <w:tab w:pos="401" w:val="left" w:leader="none"/>
              </w:tabs>
              <w:spacing w:line="402" w:lineRule="exact" w:before="0" w:after="0"/>
              <w:ind w:left="400" w:right="0" w:hanging="291"/>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塵肺症</w:t>
            </w:r>
          </w:p>
          <w:p>
            <w:pPr>
              <w:pStyle w:val="TableParagraph"/>
              <w:numPr>
                <w:ilvl w:val="0"/>
                <w:numId w:val="20"/>
              </w:numPr>
              <w:tabs>
                <w:tab w:pos="354" w:val="left" w:leader="none"/>
              </w:tabs>
              <w:spacing w:line="403" w:lineRule="exact" w:before="0" w:after="0"/>
              <w:ind w:left="353"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接受器官或骨髓移植個案</w:t>
            </w:r>
          </w:p>
          <w:p>
            <w:pPr>
              <w:pStyle w:val="TableParagraph"/>
              <w:numPr>
                <w:ilvl w:val="0"/>
                <w:numId w:val="20"/>
              </w:numPr>
              <w:tabs>
                <w:tab w:pos="354" w:val="left" w:leader="none"/>
              </w:tabs>
              <w:spacing w:line="405" w:lineRule="exact" w:before="0" w:after="0"/>
              <w:ind w:left="353"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接受生物製劑治療者</w:t>
            </w:r>
          </w:p>
          <w:p>
            <w:pPr>
              <w:pStyle w:val="TableParagraph"/>
              <w:numPr>
                <w:ilvl w:val="0"/>
                <w:numId w:val="20"/>
              </w:numPr>
              <w:tabs>
                <w:tab w:pos="354" w:val="left" w:leader="none"/>
              </w:tabs>
              <w:spacing w:line="225" w:lineRule="auto" w:before="8" w:after="0"/>
              <w:ind w:left="355" w:right="339" w:hanging="245"/>
              <w:jc w:val="left"/>
              <w:rPr>
                <w:rFonts w:ascii="Microsoft JhengHei UI" w:hAnsi="Microsoft JhengHei UI" w:eastAsia="Microsoft JhengHei UI" w:hint="eastAsia"/>
                <w:sz w:val="24"/>
              </w:rPr>
            </w:pPr>
            <w:r>
              <w:rPr>
                <w:rFonts w:ascii="Microsoft JhengHei UI" w:hAnsi="Microsoft JhengHei UI" w:eastAsia="Microsoft JhengHei UI" w:hint="eastAsia"/>
                <w:spacing w:val="3"/>
                <w:sz w:val="24"/>
              </w:rPr>
              <w:t>縣市自提高風險族群並經疾管署核</w:t>
            </w:r>
            <w:r>
              <w:rPr>
                <w:rFonts w:ascii="Microsoft JhengHei UI" w:hAnsi="Microsoft JhengHei UI" w:eastAsia="Microsoft JhengHei UI" w:hint="eastAsia"/>
                <w:sz w:val="24"/>
              </w:rPr>
              <w:t>備 同意對象（如遊民等）</w:t>
            </w:r>
          </w:p>
        </w:tc>
        <w:tc>
          <w:tcPr>
            <w:tcW w:w="2671" w:type="dxa"/>
          </w:tcPr>
          <w:p>
            <w:pPr>
              <w:pStyle w:val="TableParagraph"/>
              <w:rPr>
                <w:rFonts w:ascii="Microsoft JhengHei UI"/>
                <w:sz w:val="30"/>
              </w:rPr>
            </w:pPr>
          </w:p>
          <w:p>
            <w:pPr>
              <w:pStyle w:val="TableParagraph"/>
              <w:rPr>
                <w:rFonts w:ascii="Microsoft JhengHei UI"/>
                <w:sz w:val="30"/>
              </w:rPr>
            </w:pPr>
          </w:p>
          <w:p>
            <w:pPr>
              <w:pStyle w:val="TableParagraph"/>
              <w:spacing w:before="5"/>
              <w:rPr>
                <w:rFonts w:ascii="Microsoft JhengHei UI"/>
                <w:sz w:val="28"/>
              </w:rPr>
            </w:pPr>
          </w:p>
          <w:p>
            <w:pPr>
              <w:pStyle w:val="TableParagraph"/>
              <w:numPr>
                <w:ilvl w:val="0"/>
                <w:numId w:val="21"/>
              </w:numPr>
              <w:tabs>
                <w:tab w:pos="355" w:val="left" w:leader="none"/>
              </w:tabs>
              <w:spacing w:line="414" w:lineRule="exact" w:before="0" w:after="0"/>
              <w:ind w:left="354" w:right="0" w:hanging="245"/>
              <w:jc w:val="both"/>
              <w:rPr>
                <w:rFonts w:ascii="Microsoft JhengHei UI" w:hAnsi="Microsoft JhengHei UI" w:eastAsia="Microsoft JhengHei UI" w:hint="eastAsia"/>
                <w:sz w:val="24"/>
              </w:rPr>
            </w:pPr>
            <w:r>
              <w:rPr>
                <w:rFonts w:ascii="Microsoft JhengHei UI" w:hAnsi="Microsoft JhengHei UI" w:eastAsia="Microsoft JhengHei UI" w:hint="eastAsia"/>
                <w:sz w:val="24"/>
              </w:rPr>
              <w:t>以專案計畫執行</w:t>
            </w:r>
          </w:p>
          <w:p>
            <w:pPr>
              <w:pStyle w:val="TableParagraph"/>
              <w:numPr>
                <w:ilvl w:val="0"/>
                <w:numId w:val="21"/>
              </w:numPr>
              <w:tabs>
                <w:tab w:pos="346" w:val="left" w:leader="none"/>
              </w:tabs>
              <w:spacing w:line="225" w:lineRule="auto" w:before="6" w:after="0"/>
              <w:ind w:left="355" w:right="66" w:hanging="245"/>
              <w:jc w:val="both"/>
              <w:rPr>
                <w:rFonts w:ascii="Microsoft JhengHei UI" w:hAnsi="Microsoft JhengHei UI" w:eastAsia="Microsoft JhengHei UI" w:hint="eastAsia"/>
                <w:sz w:val="24"/>
              </w:rPr>
            </w:pPr>
            <w:r>
              <w:rPr>
                <w:rFonts w:ascii="Microsoft JhengHei UI" w:hAnsi="Microsoft JhengHei UI" w:eastAsia="Microsoft JhengHei UI" w:hint="eastAsia"/>
                <w:spacing w:val="35"/>
                <w:sz w:val="24"/>
              </w:rPr>
              <w:t>進行風險族群個案</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z w:val="24"/>
              </w:rPr>
              <w:t> 診斷及治療與都</w:t>
            </w:r>
            <w:r>
              <w:rPr>
                <w:rFonts w:ascii="Microsoft JhengHei UI" w:hAnsi="Microsoft JhengHei UI" w:eastAsia="Microsoft JhengHei UI" w:hint="eastAsia"/>
                <w:spacing w:val="35"/>
                <w:sz w:val="24"/>
              </w:rPr>
              <w:t>治關懷服務，惟仍</w:t>
            </w:r>
            <w:r>
              <w:rPr>
                <w:rFonts w:ascii="Microsoft JhengHei UI" w:hAnsi="Microsoft JhengHei UI" w:eastAsia="Microsoft JhengHei UI" w:hint="eastAsia"/>
                <w:spacing w:val="3"/>
                <w:sz w:val="24"/>
              </w:rPr>
              <w:t>須視專案計畫內容而定</w:t>
            </w:r>
          </w:p>
        </w:tc>
      </w:tr>
    </w:tbl>
    <w:p>
      <w:pPr>
        <w:pStyle w:val="BodyText"/>
        <w:rPr>
          <w:rFonts w:ascii="Microsoft JhengHei UI"/>
          <w:sz w:val="30"/>
        </w:rPr>
      </w:pPr>
    </w:p>
    <w:p>
      <w:pPr>
        <w:pStyle w:val="BodyText"/>
        <w:spacing w:before="4"/>
        <w:rPr>
          <w:rFonts w:ascii="Microsoft JhengHei UI"/>
          <w:sz w:val="35"/>
        </w:rPr>
      </w:pPr>
    </w:p>
    <w:p>
      <w:pPr>
        <w:spacing w:before="0"/>
        <w:ind w:left="0" w:right="189" w:firstLine="0"/>
        <w:jc w:val="right"/>
        <w:rPr>
          <w:rFonts w:ascii="Arial"/>
          <w:sz w:val="16"/>
        </w:rPr>
      </w:pPr>
      <w:r>
        <w:rPr>
          <w:rFonts w:ascii="Arial"/>
          <w:color w:val="221F1F"/>
          <w:w w:val="99"/>
          <w:sz w:val="16"/>
        </w:rPr>
        <w:t>1</w:t>
      </w:r>
    </w:p>
    <w:p>
      <w:pPr>
        <w:spacing w:after="0"/>
        <w:jc w:val="right"/>
        <w:rPr>
          <w:rFonts w:ascii="Arial"/>
          <w:sz w:val="16"/>
        </w:rPr>
        <w:sectPr>
          <w:type w:val="continuous"/>
          <w:pgSz w:w="11920" w:h="16840"/>
          <w:pgMar w:top="720" w:bottom="280" w:left="200" w:right="220"/>
        </w:sectPr>
      </w:pPr>
    </w:p>
    <w:p>
      <w:pPr>
        <w:pStyle w:val="Heading2"/>
        <w:spacing w:line="391" w:lineRule="exact" w:before="22"/>
        <w:ind w:left="934"/>
        <w:rPr>
          <w:rFonts w:ascii="Microsoft JhengHei UI" w:eastAsia="Microsoft JhengHei UI" w:hint="eastAsia"/>
        </w:rPr>
      </w:pPr>
      <w:r>
        <w:rPr>
          <w:rFonts w:ascii="Microsoft JhengHei UI" w:eastAsia="Microsoft JhengHei UI" w:hint="eastAsia"/>
          <w:color w:val="221F1F"/>
        </w:rPr>
        <w:t>參、實施內容：</w:t>
      </w:r>
    </w:p>
    <w:p>
      <w:pPr>
        <w:pStyle w:val="BodyText"/>
        <w:spacing w:line="223" w:lineRule="auto"/>
        <w:ind w:left="1540" w:right="762" w:firstLine="482"/>
        <w:rPr>
          <w:rFonts w:ascii="Microsoft JhengHei UI" w:hAnsi="Microsoft JhengHei UI" w:eastAsia="Microsoft JhengHei UI" w:hint="eastAsia"/>
        </w:rPr>
      </w:pPr>
      <w:r>
        <w:rPr>
          <w:rFonts w:ascii="Microsoft JhengHei UI" w:hAnsi="Microsoft JhengHei UI" w:eastAsia="Microsoft JhengHei UI" w:hint="eastAsia"/>
          <w:color w:val="221F1F"/>
          <w:spacing w:val="36"/>
        </w:rPr>
        <w:t>針對上述對象進行 </w:t>
      </w:r>
      <w:r>
        <w:rPr>
          <w:rFonts w:ascii="Microsoft JhengHei UI" w:hAnsi="Microsoft JhengHei UI" w:eastAsia="Microsoft JhengHei UI" w:hint="eastAsia"/>
          <w:color w:val="221F1F"/>
          <w:spacing w:val="-4"/>
        </w:rPr>
        <w:t>LTBI</w:t>
      </w:r>
      <w:r>
        <w:rPr>
          <w:rFonts w:ascii="Microsoft JhengHei UI" w:hAnsi="Microsoft JhengHei UI" w:eastAsia="Microsoft JhengHei UI" w:hint="eastAsia"/>
          <w:color w:val="221F1F"/>
          <w:spacing w:val="33"/>
        </w:rPr>
        <w:t> 檢驗，結果</w:t>
      </w:r>
      <w:r>
        <w:rPr>
          <w:rFonts w:ascii="Microsoft JhengHei UI" w:hAnsi="Microsoft JhengHei UI" w:eastAsia="Microsoft JhengHei UI" w:hint="eastAsia"/>
          <w:spacing w:val="39"/>
        </w:rPr>
        <w:t>為陽性或不確定</w:t>
      </w:r>
      <w:r>
        <w:rPr>
          <w:rFonts w:ascii="Microsoft JhengHei UI" w:hAnsi="Microsoft JhengHei UI" w:eastAsia="Microsoft JhengHei UI" w:hint="eastAsia"/>
        </w:rPr>
        <w:t>（ indeterminate</w:t>
      </w:r>
      <w:r>
        <w:rPr>
          <w:rFonts w:ascii="Microsoft JhengHei UI" w:hAnsi="Microsoft JhengHei UI" w:eastAsia="Microsoft JhengHei UI" w:hint="eastAsia"/>
          <w:spacing w:val="-11"/>
        </w:rPr>
        <w:t> ， mitogen-nil&lt;0.5 且 nil</w:t>
      </w:r>
      <w:r>
        <w:rPr>
          <w:rFonts w:ascii="Microsoft JhengHei UI" w:hAnsi="Microsoft JhengHei UI" w:eastAsia="Microsoft JhengHei UI" w:hint="eastAsia"/>
          <w:spacing w:val="12"/>
        </w:rPr>
        <w:t> 值≦ </w:t>
      </w:r>
      <w:r>
        <w:rPr>
          <w:rFonts w:ascii="Microsoft JhengHei UI" w:hAnsi="Microsoft JhengHei UI" w:eastAsia="Microsoft JhengHei UI" w:hint="eastAsia"/>
        </w:rPr>
        <w:t>8.0 IU/mL）者轉介至「潛伏結核感染治療指定醫療院所」由合作醫師治療評估，加入治療者提供照護及都治關懷服務（</w:t>
      </w:r>
      <w:r>
        <w:rPr>
          <w:rFonts w:ascii="Microsoft JhengHei UI" w:hAnsi="Microsoft JhengHei UI" w:eastAsia="Microsoft JhengHei UI" w:hint="eastAsia"/>
          <w:spacing w:val="2"/>
        </w:rPr>
        <w:t>可選用公費  </w:t>
      </w:r>
      <w:r>
        <w:rPr>
          <w:rFonts w:ascii="Microsoft JhengHei UI" w:hAnsi="Microsoft JhengHei UI" w:eastAsia="Microsoft JhengHei UI" w:hint="eastAsia"/>
        </w:rPr>
        <w:t>LTBI</w:t>
      </w:r>
      <w:r>
        <w:rPr>
          <w:rFonts w:ascii="Microsoft JhengHei UI" w:hAnsi="Microsoft JhengHei UI" w:eastAsia="Microsoft JhengHei UI" w:hint="eastAsia"/>
          <w:spacing w:val="4"/>
        </w:rPr>
        <w:t>  治療 藥品），陪伴其完成療程，降低發病機率。</w:t>
      </w:r>
    </w:p>
    <w:p>
      <w:pPr>
        <w:pStyle w:val="BodyText"/>
        <w:spacing w:before="3"/>
        <w:rPr>
          <w:rFonts w:ascii="Microsoft JhengHei UI"/>
          <w:sz w:val="20"/>
        </w:rPr>
      </w:pPr>
    </w:p>
    <w:p>
      <w:pPr>
        <w:pStyle w:val="Heading2"/>
        <w:spacing w:line="414" w:lineRule="exact" w:before="1"/>
        <w:ind w:left="934"/>
        <w:rPr>
          <w:rFonts w:ascii="Microsoft JhengHei UI" w:eastAsia="Microsoft JhengHei UI" w:hint="eastAsia"/>
        </w:rPr>
      </w:pPr>
      <w:r>
        <w:rPr>
          <w:rFonts w:ascii="Microsoft JhengHei UI" w:eastAsia="Microsoft JhengHei UI" w:hint="eastAsia"/>
        </w:rPr>
        <w:t>肆、進行 LTBI 檢驗前應至結核病追蹤管理系統（下稱 TB 系統）確認事項如下：</w:t>
      </w:r>
    </w:p>
    <w:p>
      <w:pPr>
        <w:pStyle w:val="BodyText"/>
        <w:spacing w:line="414" w:lineRule="exact" w:after="7"/>
        <w:ind w:left="1433"/>
        <w:rPr>
          <w:rFonts w:ascii="Microsoft JhengHei UI" w:eastAsia="Microsoft JhengHei UI" w:hint="eastAsia"/>
        </w:rPr>
      </w:pPr>
      <w:r>
        <w:rPr>
          <w:rFonts w:ascii="Microsoft JhengHei UI" w:eastAsia="Microsoft JhengHei UI" w:hint="eastAsia"/>
        </w:rPr>
        <w:t>表 2、LTBI 檢驗前 TB 系統確認事項</w:t>
      </w:r>
    </w:p>
    <w:tbl>
      <w:tblPr>
        <w:tblW w:w="0" w:type="auto"/>
        <w:jc w:val="left"/>
        <w:tblInd w:w="1441"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2964"/>
        <w:gridCol w:w="3118"/>
        <w:gridCol w:w="3044"/>
      </w:tblGrid>
      <w:tr>
        <w:trPr>
          <w:trHeight w:val="918" w:hRule="atLeast"/>
        </w:trPr>
        <w:tc>
          <w:tcPr>
            <w:tcW w:w="2964" w:type="dxa"/>
            <w:shd w:val="clear" w:color="auto" w:fill="E6E7E8"/>
          </w:tcPr>
          <w:p>
            <w:pPr>
              <w:pStyle w:val="TableParagraph"/>
              <w:spacing w:line="213" w:lineRule="auto" w:before="52"/>
              <w:ind w:left="639" w:right="21" w:hanging="607"/>
              <w:rPr>
                <w:rFonts w:ascii="Microsoft JhengHei UI" w:eastAsia="Microsoft JhengHei UI" w:hint="eastAsia"/>
                <w:b/>
                <w:sz w:val="24"/>
              </w:rPr>
            </w:pPr>
            <w:r>
              <w:rPr>
                <w:rFonts w:ascii="Microsoft JhengHei UI" w:eastAsia="Microsoft JhengHei UI" w:hint="eastAsia"/>
                <w:b/>
                <w:sz w:val="24"/>
              </w:rPr>
              <w:t>TB 系統查詢欲進行 LTBI 檢驗與治療者情形</w:t>
            </w:r>
          </w:p>
        </w:tc>
        <w:tc>
          <w:tcPr>
            <w:tcW w:w="3118" w:type="dxa"/>
            <w:shd w:val="clear" w:color="auto" w:fill="E6E7E8"/>
          </w:tcPr>
          <w:p>
            <w:pPr>
              <w:pStyle w:val="TableParagraph"/>
              <w:spacing w:before="19"/>
              <w:ind w:left="1066" w:right="1037"/>
              <w:jc w:val="center"/>
              <w:rPr>
                <w:rFonts w:ascii="Microsoft JhengHei UI" w:eastAsia="Microsoft JhengHei UI" w:hint="eastAsia"/>
                <w:b/>
                <w:sz w:val="24"/>
              </w:rPr>
            </w:pPr>
            <w:r>
              <w:rPr>
                <w:rFonts w:ascii="Microsoft JhengHei UI" w:eastAsia="Microsoft JhengHei UI" w:hint="eastAsia"/>
                <w:b/>
                <w:sz w:val="24"/>
              </w:rPr>
              <w:t>辦理事項</w:t>
            </w:r>
          </w:p>
        </w:tc>
        <w:tc>
          <w:tcPr>
            <w:tcW w:w="3044" w:type="dxa"/>
            <w:shd w:val="clear" w:color="auto" w:fill="E6E7E8"/>
          </w:tcPr>
          <w:p>
            <w:pPr>
              <w:pStyle w:val="TableParagraph"/>
              <w:spacing w:before="19"/>
              <w:ind w:left="1270" w:right="1239"/>
              <w:jc w:val="center"/>
              <w:rPr>
                <w:rFonts w:ascii="Microsoft JhengHei UI" w:eastAsia="Microsoft JhengHei UI" w:hint="eastAsia"/>
                <w:b/>
                <w:sz w:val="24"/>
              </w:rPr>
            </w:pPr>
            <w:r>
              <w:rPr>
                <w:rFonts w:ascii="Microsoft JhengHei UI" w:eastAsia="Microsoft JhengHei UI" w:hint="eastAsia"/>
                <w:b/>
                <w:sz w:val="24"/>
              </w:rPr>
              <w:t>說明</w:t>
            </w:r>
          </w:p>
        </w:tc>
      </w:tr>
      <w:tr>
        <w:trPr>
          <w:trHeight w:val="4412" w:hRule="atLeast"/>
        </w:trPr>
        <w:tc>
          <w:tcPr>
            <w:tcW w:w="2964" w:type="dxa"/>
          </w:tcPr>
          <w:p>
            <w:pPr>
              <w:pStyle w:val="TableParagraph"/>
              <w:spacing w:before="12"/>
              <w:rPr>
                <w:rFonts w:ascii="Microsoft JhengHei UI"/>
                <w:sz w:val="44"/>
              </w:rPr>
            </w:pPr>
          </w:p>
          <w:p>
            <w:pPr>
              <w:pStyle w:val="TableParagraph"/>
              <w:spacing w:line="213" w:lineRule="auto" w:before="1"/>
              <w:ind w:left="108" w:right="46"/>
              <w:jc w:val="both"/>
              <w:rPr>
                <w:rFonts w:ascii="Microsoft JhengHei UI" w:eastAsia="Microsoft JhengHei UI" w:hint="eastAsia"/>
                <w:sz w:val="24"/>
              </w:rPr>
            </w:pPr>
            <w:r>
              <w:rPr>
                <w:rFonts w:ascii="Microsoft JhengHei UI" w:eastAsia="Microsoft JhengHei UI" w:hint="eastAsia"/>
                <w:sz w:val="24"/>
              </w:rPr>
              <w:t>曾 LTBI 檢驗結果為陽性</w:t>
            </w:r>
            <w:r>
              <w:rPr>
                <w:rFonts w:ascii="Microsoft JhengHei UI" w:eastAsia="Microsoft JhengHei UI" w:hint="eastAsia"/>
                <w:position w:val="2"/>
                <w:sz w:val="24"/>
              </w:rPr>
              <w:t>或</w:t>
            </w:r>
            <w:r>
              <w:rPr>
                <w:rFonts w:ascii="Microsoft JhengHei UI" w:eastAsia="Microsoft JhengHei UI" w:hint="eastAsia"/>
                <w:sz w:val="24"/>
              </w:rPr>
              <w:t>不確定（indeterminate） 者，包含：</w:t>
            </w:r>
          </w:p>
          <w:p>
            <w:pPr>
              <w:pStyle w:val="TableParagraph"/>
              <w:numPr>
                <w:ilvl w:val="0"/>
                <w:numId w:val="22"/>
              </w:numPr>
              <w:tabs>
                <w:tab w:pos="355" w:val="left" w:leader="none"/>
              </w:tabs>
              <w:spacing w:line="353" w:lineRule="exact" w:before="0" w:after="0"/>
              <w:ind w:left="354" w:right="0" w:hanging="242"/>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未接受過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1"/>
                <w:sz w:val="24"/>
              </w:rPr>
              <w:t> 治療者</w:t>
            </w:r>
          </w:p>
          <w:p>
            <w:pPr>
              <w:pStyle w:val="TableParagraph"/>
              <w:numPr>
                <w:ilvl w:val="0"/>
                <w:numId w:val="22"/>
              </w:numPr>
              <w:tabs>
                <w:tab w:pos="355" w:val="left" w:leader="none"/>
              </w:tabs>
              <w:spacing w:line="223" w:lineRule="auto" w:before="9" w:after="0"/>
              <w:ind w:left="353" w:right="191" w:hanging="240"/>
              <w:jc w:val="left"/>
              <w:rPr>
                <w:rFonts w:ascii="Microsoft JhengHei UI" w:hAnsi="Microsoft JhengHei UI" w:eastAsia="Microsoft JhengHei UI" w:hint="eastAsia"/>
                <w:sz w:val="24"/>
              </w:rPr>
            </w:pPr>
            <w:r>
              <w:rPr>
                <w:rFonts w:ascii="Microsoft JhengHei UI" w:hAnsi="Microsoft JhengHei UI" w:eastAsia="Microsoft JhengHei UI" w:hint="eastAsia"/>
                <w:spacing w:val="-2"/>
                <w:sz w:val="24"/>
              </w:rPr>
              <w:t>曾接受過治療但未完治</w:t>
            </w:r>
            <w:r>
              <w:rPr>
                <w:rFonts w:ascii="Microsoft JhengHei UI" w:hAnsi="Microsoft JhengHei UI" w:eastAsia="Microsoft JhengHei UI" w:hint="eastAsia"/>
                <w:sz w:val="24"/>
              </w:rPr>
              <w:t>者</w:t>
            </w:r>
          </w:p>
          <w:p>
            <w:pPr>
              <w:pStyle w:val="TableParagraph"/>
              <w:numPr>
                <w:ilvl w:val="0"/>
                <w:numId w:val="22"/>
              </w:numPr>
              <w:tabs>
                <w:tab w:pos="355" w:val="left" w:leader="none"/>
              </w:tabs>
              <w:spacing w:line="410" w:lineRule="exact" w:before="0" w:after="0"/>
              <w:ind w:left="354" w:right="0" w:hanging="242"/>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曾接受過治療且完治者</w:t>
            </w:r>
          </w:p>
        </w:tc>
        <w:tc>
          <w:tcPr>
            <w:tcW w:w="3118" w:type="dxa"/>
          </w:tcPr>
          <w:p>
            <w:pPr>
              <w:pStyle w:val="TableParagraph"/>
              <w:numPr>
                <w:ilvl w:val="0"/>
                <w:numId w:val="23"/>
              </w:numPr>
              <w:tabs>
                <w:tab w:pos="314" w:val="left" w:leader="none"/>
              </w:tabs>
              <w:spacing w:line="414" w:lineRule="exact" w:before="14" w:after="0"/>
              <w:ind w:left="313" w:right="0" w:hanging="200"/>
              <w:jc w:val="left"/>
              <w:rPr>
                <w:rFonts w:ascii="Microsoft JhengHei UI" w:hAnsi="Microsoft JhengHei UI" w:eastAsia="Microsoft JhengHei UI" w:hint="eastAsia"/>
                <w:sz w:val="24"/>
              </w:rPr>
            </w:pPr>
            <w:r>
              <w:rPr>
                <w:rFonts w:ascii="Microsoft JhengHei UI" w:hAnsi="Microsoft JhengHei UI" w:eastAsia="Microsoft JhengHei UI" w:hint="eastAsia"/>
                <w:spacing w:val="14"/>
                <w:sz w:val="24"/>
              </w:rPr>
              <w:t>毋須辦理</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2"/>
                <w:sz w:val="24"/>
              </w:rPr>
              <w:t> 檢驗</w:t>
            </w:r>
          </w:p>
          <w:p>
            <w:pPr>
              <w:pStyle w:val="TableParagraph"/>
              <w:numPr>
                <w:ilvl w:val="0"/>
                <w:numId w:val="24"/>
              </w:numPr>
              <w:tabs>
                <w:tab w:pos="310" w:val="left" w:leader="none"/>
              </w:tabs>
              <w:spacing w:line="225" w:lineRule="auto" w:before="5" w:after="0"/>
              <w:ind w:left="354" w:right="111" w:hanging="240"/>
              <w:jc w:val="left"/>
              <w:rPr>
                <w:rFonts w:ascii="Microsoft JhengHei UI" w:eastAsia="Microsoft JhengHei UI" w:hint="eastAsia"/>
                <w:sz w:val="24"/>
              </w:rPr>
            </w:pPr>
            <w:r>
              <w:rPr>
                <w:rFonts w:ascii="Microsoft JhengHei UI" w:eastAsia="Microsoft JhengHei UI" w:hint="eastAsia"/>
                <w:sz w:val="24"/>
              </w:rPr>
              <w:t>接觸者：轉介至合作醫師</w:t>
            </w:r>
            <w:r>
              <w:rPr>
                <w:rFonts w:ascii="Microsoft JhengHei UI" w:eastAsia="Microsoft JhengHei UI" w:hint="eastAsia"/>
                <w:spacing w:val="6"/>
                <w:sz w:val="24"/>
              </w:rPr>
              <w:t>處進行治療評估</w:t>
            </w:r>
          </w:p>
          <w:p>
            <w:pPr>
              <w:pStyle w:val="TableParagraph"/>
              <w:numPr>
                <w:ilvl w:val="0"/>
                <w:numId w:val="24"/>
              </w:numPr>
              <w:tabs>
                <w:tab w:pos="310" w:val="left" w:leader="none"/>
              </w:tabs>
              <w:spacing w:line="392" w:lineRule="exact" w:before="0" w:after="0"/>
              <w:ind w:left="309" w:right="0" w:hanging="196"/>
              <w:jc w:val="left"/>
              <w:rPr>
                <w:rFonts w:ascii="Microsoft JhengHei UI" w:eastAsia="Microsoft JhengHei UI" w:hint="eastAsia"/>
                <w:sz w:val="24"/>
              </w:rPr>
            </w:pPr>
            <w:r>
              <w:rPr>
                <w:rFonts w:ascii="Microsoft JhengHei UI" w:eastAsia="Microsoft JhengHei UI" w:hint="eastAsia"/>
                <w:sz w:val="24"/>
              </w:rPr>
              <w:t>非接觸者：</w:t>
            </w:r>
          </w:p>
          <w:p>
            <w:pPr>
              <w:pStyle w:val="TableParagraph"/>
              <w:numPr>
                <w:ilvl w:val="1"/>
                <w:numId w:val="24"/>
              </w:numPr>
              <w:tabs>
                <w:tab w:pos="633" w:val="left" w:leader="none"/>
              </w:tabs>
              <w:spacing w:line="225" w:lineRule="auto" w:before="5" w:after="0"/>
              <w:ind w:left="573" w:right="94" w:hanging="240"/>
              <w:jc w:val="both"/>
              <w:rPr>
                <w:rFonts w:ascii="Microsoft JhengHei UI" w:eastAsia="Microsoft JhengHei UI" w:hint="eastAsia"/>
                <w:sz w:val="24"/>
              </w:rPr>
            </w:pPr>
            <w:r>
              <w:rPr>
                <w:rFonts w:ascii="Microsoft JhengHei UI" w:eastAsia="Microsoft JhengHei UI" w:hint="eastAsia"/>
                <w:spacing w:val="8"/>
                <w:sz w:val="24"/>
              </w:rPr>
              <w:t>若未接受過 </w:t>
            </w:r>
            <w:r>
              <w:rPr>
                <w:rFonts w:ascii="Microsoft JhengHei UI" w:eastAsia="Microsoft JhengHei UI" w:hint="eastAsia"/>
                <w:sz w:val="24"/>
              </w:rPr>
              <w:t>LTBI</w:t>
            </w:r>
            <w:r>
              <w:rPr>
                <w:rFonts w:ascii="Microsoft JhengHei UI" w:eastAsia="Microsoft JhengHei UI" w:hint="eastAsia"/>
                <w:spacing w:val="10"/>
                <w:sz w:val="24"/>
              </w:rPr>
              <w:t> 治療</w:t>
            </w:r>
            <w:r>
              <w:rPr>
                <w:rFonts w:ascii="Microsoft JhengHei UI" w:eastAsia="Microsoft JhengHei UI" w:hint="eastAsia"/>
                <w:sz w:val="24"/>
              </w:rPr>
              <w:t>者、曾接受過治療但未</w:t>
            </w:r>
            <w:r>
              <w:rPr>
                <w:rFonts w:ascii="Microsoft JhengHei UI" w:eastAsia="Microsoft JhengHei UI" w:hint="eastAsia"/>
                <w:spacing w:val="18"/>
                <w:sz w:val="24"/>
              </w:rPr>
              <w:t>完治者， 轉介至合作</w:t>
            </w:r>
            <w:r>
              <w:rPr>
                <w:rFonts w:ascii="Microsoft JhengHei UI" w:eastAsia="Microsoft JhengHei UI" w:hint="eastAsia"/>
                <w:spacing w:val="7"/>
                <w:sz w:val="24"/>
              </w:rPr>
              <w:t>醫師處進行治療評估</w:t>
            </w:r>
          </w:p>
          <w:p>
            <w:pPr>
              <w:pStyle w:val="TableParagraph"/>
              <w:numPr>
                <w:ilvl w:val="1"/>
                <w:numId w:val="24"/>
              </w:numPr>
              <w:tabs>
                <w:tab w:pos="628" w:val="left" w:leader="none"/>
              </w:tabs>
              <w:spacing w:line="225" w:lineRule="auto" w:before="0" w:after="0"/>
              <w:ind w:left="573" w:right="100" w:hanging="240"/>
              <w:jc w:val="both"/>
              <w:rPr>
                <w:rFonts w:ascii="Microsoft JhengHei UI" w:eastAsia="Microsoft JhengHei UI" w:hint="eastAsia"/>
                <w:sz w:val="24"/>
              </w:rPr>
            </w:pPr>
            <w:r>
              <w:rPr>
                <w:rFonts w:ascii="Microsoft JhengHei UI" w:eastAsia="Microsoft JhengHei UI" w:hint="eastAsia"/>
                <w:spacing w:val="7"/>
                <w:sz w:val="24"/>
              </w:rPr>
              <w:t>若為曾接受過 </w:t>
            </w:r>
            <w:r>
              <w:rPr>
                <w:rFonts w:ascii="Microsoft JhengHei UI" w:eastAsia="Microsoft JhengHei UI" w:hint="eastAsia"/>
                <w:sz w:val="24"/>
              </w:rPr>
              <w:t>LTBI</w:t>
            </w:r>
            <w:r>
              <w:rPr>
                <w:rFonts w:ascii="Microsoft JhengHei UI" w:eastAsia="Microsoft JhengHei UI" w:hint="eastAsia"/>
                <w:spacing w:val="18"/>
                <w:sz w:val="24"/>
              </w:rPr>
              <w:t> 治</w:t>
            </w:r>
            <w:r>
              <w:rPr>
                <w:rFonts w:ascii="Microsoft JhengHei UI" w:eastAsia="Microsoft JhengHei UI" w:hint="eastAsia"/>
                <w:spacing w:val="-1"/>
                <w:sz w:val="24"/>
              </w:rPr>
              <w:t>療且完治者，不再進行</w:t>
            </w:r>
          </w:p>
          <w:p>
            <w:pPr>
              <w:pStyle w:val="TableParagraph"/>
              <w:spacing w:line="356" w:lineRule="exact"/>
              <w:ind w:left="573"/>
              <w:rPr>
                <w:rFonts w:ascii="Microsoft JhengHei UI" w:eastAsia="Microsoft JhengHei UI" w:hint="eastAsia"/>
                <w:sz w:val="24"/>
              </w:rPr>
            </w:pPr>
            <w:r>
              <w:rPr>
                <w:rFonts w:ascii="Microsoft JhengHei UI" w:eastAsia="Microsoft JhengHei UI" w:hint="eastAsia"/>
                <w:sz w:val="24"/>
              </w:rPr>
              <w:t>LTBI 治療</w:t>
            </w:r>
          </w:p>
        </w:tc>
        <w:tc>
          <w:tcPr>
            <w:tcW w:w="3044" w:type="dxa"/>
          </w:tcPr>
          <w:p>
            <w:pPr>
              <w:pStyle w:val="TableParagraph"/>
              <w:numPr>
                <w:ilvl w:val="0"/>
                <w:numId w:val="25"/>
              </w:numPr>
              <w:tabs>
                <w:tab w:pos="340" w:val="left" w:leader="none"/>
              </w:tabs>
              <w:spacing w:line="225" w:lineRule="auto" w:before="32" w:after="0"/>
              <w:ind w:left="357" w:right="91" w:hanging="244"/>
              <w:jc w:val="both"/>
              <w:rPr>
                <w:rFonts w:ascii="Microsoft JhengHei UI" w:hAnsi="Microsoft JhengHei UI" w:eastAsia="Microsoft JhengHei UI" w:hint="eastAsia"/>
                <w:sz w:val="24"/>
              </w:rPr>
            </w:pPr>
            <w:r>
              <w:rPr>
                <w:rFonts w:ascii="Microsoft JhengHei UI" w:hAnsi="Microsoft JhengHei UI" w:eastAsia="Microsoft JhengHei UI" w:hint="eastAsia"/>
                <w:spacing w:val="16"/>
                <w:sz w:val="24"/>
              </w:rPr>
              <w:t>目前無診斷工具可區別</w:t>
            </w:r>
            <w:r>
              <w:rPr>
                <w:rFonts w:ascii="Microsoft JhengHei UI" w:hAnsi="Microsoft JhengHei UI" w:eastAsia="Microsoft JhengHei UI" w:hint="eastAsia"/>
                <w:spacing w:val="15"/>
                <w:sz w:val="24"/>
              </w:rPr>
              <w:t>是近期或是以前感染， </w:t>
            </w:r>
            <w:r>
              <w:rPr>
                <w:rFonts w:ascii="Microsoft JhengHei UI" w:hAnsi="Microsoft JhengHei UI" w:eastAsia="Microsoft JhengHei UI" w:hint="eastAsia"/>
                <w:spacing w:val="12"/>
                <w:sz w:val="24"/>
              </w:rPr>
              <w:t>故 </w:t>
            </w:r>
            <w:r>
              <w:rPr>
                <w:rFonts w:ascii="Microsoft JhengHei UI" w:hAnsi="Microsoft JhengHei UI" w:eastAsia="Microsoft JhengHei UI" w:hint="eastAsia"/>
                <w:spacing w:val="6"/>
                <w:sz w:val="24"/>
              </w:rPr>
              <w:t>IGRA</w:t>
            </w:r>
            <w:r>
              <w:rPr>
                <w:rFonts w:ascii="Microsoft JhengHei UI" w:hAnsi="Microsoft JhengHei UI" w:eastAsia="Microsoft JhengHei UI" w:hint="eastAsia"/>
                <w:spacing w:val="13"/>
                <w:sz w:val="24"/>
              </w:rPr>
              <w:t> 檢驗陽性或不</w:t>
            </w:r>
            <w:r>
              <w:rPr>
                <w:rFonts w:ascii="Microsoft JhengHei UI" w:hAnsi="Microsoft JhengHei UI" w:eastAsia="Microsoft JhengHei UI" w:hint="eastAsia"/>
                <w:spacing w:val="4"/>
                <w:sz w:val="24"/>
              </w:rPr>
              <w:t>確定</w:t>
            </w:r>
            <w:r>
              <w:rPr>
                <w:rFonts w:ascii="Microsoft JhengHei UI" w:hAnsi="Microsoft JhengHei UI" w:eastAsia="Microsoft JhengHei UI" w:hint="eastAsia"/>
                <w:sz w:val="24"/>
              </w:rPr>
              <w:t>（indeterminate） </w:t>
            </w:r>
            <w:r>
              <w:rPr>
                <w:rFonts w:ascii="Microsoft JhengHei UI" w:hAnsi="Microsoft JhengHei UI" w:eastAsia="Microsoft JhengHei UI" w:hint="eastAsia"/>
                <w:spacing w:val="5"/>
                <w:sz w:val="24"/>
              </w:rPr>
              <w:t>者不建議再次進行檢驗</w:t>
            </w:r>
          </w:p>
          <w:p>
            <w:pPr>
              <w:pStyle w:val="TableParagraph"/>
              <w:numPr>
                <w:ilvl w:val="0"/>
                <w:numId w:val="25"/>
              </w:numPr>
              <w:tabs>
                <w:tab w:pos="393" w:val="left" w:leader="none"/>
              </w:tabs>
              <w:spacing w:line="225" w:lineRule="auto" w:before="0" w:after="0"/>
              <w:ind w:left="357" w:right="101" w:hanging="244"/>
              <w:jc w:val="both"/>
              <w:rPr>
                <w:rFonts w:ascii="Microsoft JhengHei UI" w:hAnsi="Microsoft JhengHei UI" w:eastAsia="Microsoft JhengHei UI" w:hint="eastAsia"/>
                <w:sz w:val="24"/>
              </w:rPr>
            </w:pPr>
            <w:r>
              <w:rPr>
                <w:rFonts w:ascii="Microsoft JhengHei UI" w:hAnsi="Microsoft JhengHei UI" w:eastAsia="Microsoft JhengHei UI" w:hint="eastAsia"/>
                <w:spacing w:val="6"/>
                <w:sz w:val="24"/>
              </w:rPr>
              <w:t>倘接觸者前次以 </w:t>
            </w:r>
            <w:r>
              <w:rPr>
                <w:rFonts w:ascii="Microsoft JhengHei UI" w:hAnsi="Microsoft JhengHei UI" w:eastAsia="Microsoft JhengHei UI" w:hint="eastAsia"/>
                <w:sz w:val="24"/>
              </w:rPr>
              <w:t>TST</w:t>
            </w:r>
            <w:r>
              <w:rPr>
                <w:rFonts w:ascii="Microsoft JhengHei UI" w:hAnsi="Microsoft JhengHei UI" w:eastAsia="Microsoft JhengHei UI" w:hint="eastAsia"/>
                <w:spacing w:val="8"/>
                <w:sz w:val="24"/>
              </w:rPr>
              <w:t> 檢</w:t>
            </w:r>
            <w:r>
              <w:rPr>
                <w:rFonts w:ascii="Microsoft JhengHei UI" w:hAnsi="Microsoft JhengHei UI" w:eastAsia="Microsoft JhengHei UI" w:hint="eastAsia"/>
                <w:spacing w:val="13"/>
                <w:sz w:val="24"/>
              </w:rPr>
              <w:t>查陽性者，符合對象滿2</w:t>
            </w:r>
            <w:r>
              <w:rPr>
                <w:rFonts w:ascii="Microsoft JhengHei UI" w:hAnsi="Microsoft JhengHei UI" w:eastAsia="Microsoft JhengHei UI" w:hint="eastAsia"/>
                <w:spacing w:val="26"/>
                <w:sz w:val="24"/>
              </w:rPr>
              <w:t> 歲者以 </w:t>
            </w:r>
            <w:r>
              <w:rPr>
                <w:rFonts w:ascii="Microsoft JhengHei UI" w:hAnsi="Microsoft JhengHei UI" w:eastAsia="Microsoft JhengHei UI" w:hint="eastAsia"/>
                <w:sz w:val="24"/>
              </w:rPr>
              <w:t>IGRA</w:t>
            </w:r>
            <w:r>
              <w:rPr>
                <w:rFonts w:ascii="Microsoft JhengHei UI" w:hAnsi="Microsoft JhengHei UI" w:eastAsia="Microsoft JhengHei UI" w:hint="eastAsia"/>
                <w:spacing w:val="21"/>
                <w:sz w:val="24"/>
              </w:rPr>
              <w:t> 方式再</w:t>
            </w:r>
            <w:r>
              <w:rPr>
                <w:rFonts w:ascii="Microsoft JhengHei UI" w:hAnsi="Microsoft JhengHei UI" w:eastAsia="Microsoft JhengHei UI" w:hint="eastAsia"/>
                <w:sz w:val="24"/>
              </w:rPr>
              <w:t>次檢驗</w:t>
            </w:r>
          </w:p>
        </w:tc>
      </w:tr>
      <w:tr>
        <w:trPr>
          <w:trHeight w:val="970" w:hRule="atLeast"/>
        </w:trPr>
        <w:tc>
          <w:tcPr>
            <w:tcW w:w="2964" w:type="dxa"/>
          </w:tcPr>
          <w:p>
            <w:pPr>
              <w:pStyle w:val="TableParagraph"/>
              <w:spacing w:before="218"/>
              <w:ind w:left="113"/>
              <w:rPr>
                <w:rFonts w:ascii="Microsoft JhengHei UI" w:eastAsia="Microsoft JhengHei UI" w:hint="eastAsia"/>
                <w:sz w:val="24"/>
              </w:rPr>
            </w:pPr>
            <w:r>
              <w:rPr>
                <w:rFonts w:ascii="Microsoft JhengHei UI" w:eastAsia="Microsoft JhengHei UI" w:hint="eastAsia"/>
                <w:sz w:val="24"/>
              </w:rPr>
              <w:t>未曾進行 LTBI 檢驗</w:t>
            </w:r>
          </w:p>
        </w:tc>
        <w:tc>
          <w:tcPr>
            <w:tcW w:w="3118" w:type="dxa"/>
          </w:tcPr>
          <w:p>
            <w:pPr>
              <w:pStyle w:val="TableParagraph"/>
              <w:spacing w:line="225" w:lineRule="auto" w:before="32"/>
              <w:ind w:left="114" w:right="101"/>
              <w:rPr>
                <w:rFonts w:ascii="Microsoft JhengHei UI" w:eastAsia="Microsoft JhengHei UI" w:hint="eastAsia"/>
                <w:sz w:val="24"/>
              </w:rPr>
            </w:pPr>
            <w:r>
              <w:rPr>
                <w:rFonts w:ascii="Microsoft JhengHei UI" w:eastAsia="Microsoft JhengHei UI" w:hint="eastAsia"/>
                <w:sz w:val="24"/>
              </w:rPr>
              <w:t>執行 LTBI 檢驗，並依檢驗結果轉介治療</w:t>
            </w:r>
          </w:p>
        </w:tc>
        <w:tc>
          <w:tcPr>
            <w:tcW w:w="3044" w:type="dxa"/>
          </w:tcPr>
          <w:p>
            <w:pPr>
              <w:pStyle w:val="TableParagraph"/>
              <w:rPr>
                <w:rFonts w:ascii="Times New Roman"/>
                <w:sz w:val="22"/>
              </w:rPr>
            </w:pPr>
          </w:p>
        </w:tc>
      </w:tr>
      <w:tr>
        <w:trPr>
          <w:trHeight w:val="1993" w:hRule="atLeast"/>
        </w:trPr>
        <w:tc>
          <w:tcPr>
            <w:tcW w:w="2964" w:type="dxa"/>
          </w:tcPr>
          <w:p>
            <w:pPr>
              <w:pStyle w:val="TableParagraph"/>
              <w:spacing w:before="4"/>
              <w:rPr>
                <w:rFonts w:ascii="Microsoft JhengHei UI"/>
                <w:sz w:val="23"/>
              </w:rPr>
            </w:pPr>
          </w:p>
          <w:p>
            <w:pPr>
              <w:pStyle w:val="TableParagraph"/>
              <w:spacing w:line="213" w:lineRule="auto"/>
              <w:ind w:left="113" w:right="172"/>
              <w:rPr>
                <w:rFonts w:ascii="Microsoft JhengHei UI" w:eastAsia="Microsoft JhengHei UI" w:hint="eastAsia"/>
                <w:sz w:val="24"/>
              </w:rPr>
            </w:pPr>
            <w:r>
              <w:rPr>
                <w:rFonts w:ascii="Microsoft JhengHei UI" w:eastAsia="Microsoft JhengHei UI" w:hint="eastAsia"/>
                <w:sz w:val="24"/>
              </w:rPr>
              <w:t>曾進行 LTBI 檢驗結果為陰性者或不確定（nil 值</w:t>
            </w:r>
          </w:p>
          <w:p>
            <w:pPr>
              <w:pStyle w:val="TableParagraph"/>
              <w:spacing w:line="395" w:lineRule="exact"/>
              <w:ind w:left="113"/>
              <w:rPr>
                <w:rFonts w:ascii="Microsoft JhengHei UI" w:eastAsia="Microsoft JhengHei UI" w:hint="eastAsia"/>
                <w:sz w:val="24"/>
              </w:rPr>
            </w:pPr>
            <w:r>
              <w:rPr>
                <w:rFonts w:ascii="Microsoft JhengHei UI" w:eastAsia="Microsoft JhengHei UI" w:hint="eastAsia"/>
                <w:sz w:val="24"/>
              </w:rPr>
              <w:t>&gt;8.0）</w:t>
            </w:r>
          </w:p>
        </w:tc>
        <w:tc>
          <w:tcPr>
            <w:tcW w:w="3118" w:type="dxa"/>
          </w:tcPr>
          <w:p>
            <w:pPr>
              <w:pStyle w:val="TableParagraph"/>
              <w:numPr>
                <w:ilvl w:val="0"/>
                <w:numId w:val="26"/>
              </w:numPr>
              <w:tabs>
                <w:tab w:pos="310" w:val="left" w:leader="none"/>
              </w:tabs>
              <w:spacing w:line="225" w:lineRule="auto" w:before="32" w:after="0"/>
              <w:ind w:left="354" w:right="95" w:hanging="240"/>
              <w:jc w:val="left"/>
              <w:rPr>
                <w:rFonts w:ascii="Microsoft JhengHei UI" w:eastAsia="Microsoft JhengHei UI" w:hint="eastAsia"/>
                <w:sz w:val="24"/>
              </w:rPr>
            </w:pPr>
            <w:r>
              <w:rPr>
                <w:rFonts w:ascii="Microsoft JhengHei UI" w:eastAsia="Microsoft JhengHei UI" w:hint="eastAsia"/>
                <w:spacing w:val="6"/>
                <w:sz w:val="24"/>
              </w:rPr>
              <w:t>接觸者：執行</w:t>
            </w:r>
            <w:r>
              <w:rPr>
                <w:rFonts w:ascii="Microsoft JhengHei UI" w:eastAsia="Microsoft JhengHei UI" w:hint="eastAsia"/>
                <w:spacing w:val="-4"/>
                <w:sz w:val="24"/>
              </w:rPr>
              <w:t>LTBI</w:t>
            </w:r>
            <w:r>
              <w:rPr>
                <w:rFonts w:ascii="Microsoft JhengHei UI" w:eastAsia="Microsoft JhengHei UI" w:hint="eastAsia"/>
                <w:spacing w:val="-9"/>
                <w:sz w:val="24"/>
              </w:rPr>
              <w:t> 檢驗， </w:t>
            </w:r>
            <w:r>
              <w:rPr>
                <w:rFonts w:ascii="Microsoft JhengHei UI" w:eastAsia="Microsoft JhengHei UI" w:hint="eastAsia"/>
                <w:sz w:val="24"/>
              </w:rPr>
              <w:t>並依檢驗結果轉介治療</w:t>
            </w:r>
          </w:p>
          <w:p>
            <w:pPr>
              <w:pStyle w:val="TableParagraph"/>
              <w:numPr>
                <w:ilvl w:val="0"/>
                <w:numId w:val="26"/>
              </w:numPr>
              <w:tabs>
                <w:tab w:pos="401" w:val="left" w:leader="none"/>
              </w:tabs>
              <w:spacing w:line="393" w:lineRule="exact" w:before="0" w:after="0"/>
              <w:ind w:left="400" w:right="0" w:hanging="287"/>
              <w:jc w:val="left"/>
              <w:rPr>
                <w:rFonts w:ascii="Microsoft JhengHei UI" w:eastAsia="Microsoft JhengHei UI" w:hint="eastAsia"/>
                <w:sz w:val="24"/>
              </w:rPr>
            </w:pPr>
            <w:r>
              <w:rPr>
                <w:rFonts w:ascii="Microsoft JhengHei UI" w:eastAsia="Microsoft JhengHei UI" w:hint="eastAsia"/>
                <w:spacing w:val="4"/>
                <w:sz w:val="24"/>
              </w:rPr>
              <w:t>非接觸者：不進行 </w:t>
            </w:r>
            <w:r>
              <w:rPr>
                <w:rFonts w:ascii="Microsoft JhengHei UI" w:eastAsia="Microsoft JhengHei UI" w:hint="eastAsia"/>
                <w:spacing w:val="3"/>
                <w:sz w:val="24"/>
              </w:rPr>
              <w:t>LTBI</w:t>
            </w:r>
          </w:p>
          <w:p>
            <w:pPr>
              <w:pStyle w:val="TableParagraph"/>
              <w:spacing w:line="413" w:lineRule="exact"/>
              <w:ind w:left="354"/>
              <w:rPr>
                <w:rFonts w:ascii="Microsoft JhengHei UI" w:eastAsia="Microsoft JhengHei UI" w:hint="eastAsia"/>
                <w:sz w:val="24"/>
              </w:rPr>
            </w:pPr>
            <w:r>
              <w:rPr>
                <w:rFonts w:ascii="Microsoft JhengHei UI" w:eastAsia="Microsoft JhengHei UI" w:hint="eastAsia"/>
                <w:sz w:val="24"/>
              </w:rPr>
              <w:t>檢驗與治療</w:t>
            </w:r>
          </w:p>
        </w:tc>
        <w:tc>
          <w:tcPr>
            <w:tcW w:w="3044" w:type="dxa"/>
          </w:tcPr>
          <w:p>
            <w:pPr>
              <w:pStyle w:val="TableParagraph"/>
              <w:spacing w:line="225" w:lineRule="auto" w:before="32"/>
              <w:ind w:left="114" w:right="89"/>
              <w:jc w:val="both"/>
              <w:rPr>
                <w:rFonts w:ascii="Microsoft JhengHei UI" w:eastAsia="Microsoft JhengHei UI" w:hint="eastAsia"/>
                <w:sz w:val="24"/>
              </w:rPr>
            </w:pPr>
            <w:r>
              <w:rPr>
                <w:rFonts w:ascii="Microsoft JhengHei UI" w:eastAsia="Microsoft JhengHei UI" w:hint="eastAsia"/>
                <w:sz w:val="24"/>
              </w:rPr>
              <w:t>曾檢驗結果為陰性者，若再次暴露結核菌，應依與指標個案終止有效暴露日滿 8 週後，重新辦理檢驗</w:t>
            </w:r>
          </w:p>
        </w:tc>
      </w:tr>
      <w:tr>
        <w:trPr>
          <w:trHeight w:val="2533" w:hRule="atLeast"/>
        </w:trPr>
        <w:tc>
          <w:tcPr>
            <w:tcW w:w="2964" w:type="dxa"/>
          </w:tcPr>
          <w:p>
            <w:pPr>
              <w:pStyle w:val="TableParagraph"/>
              <w:rPr>
                <w:rFonts w:ascii="Microsoft JhengHei UI"/>
                <w:sz w:val="30"/>
              </w:rPr>
            </w:pPr>
          </w:p>
          <w:p>
            <w:pPr>
              <w:pStyle w:val="TableParagraph"/>
              <w:spacing w:before="5"/>
              <w:rPr>
                <w:rFonts w:ascii="Microsoft JhengHei UI"/>
                <w:sz w:val="18"/>
              </w:rPr>
            </w:pPr>
          </w:p>
          <w:p>
            <w:pPr>
              <w:pStyle w:val="TableParagraph"/>
              <w:ind w:left="108"/>
              <w:rPr>
                <w:rFonts w:ascii="Microsoft JhengHei UI" w:eastAsia="Microsoft JhengHei UI" w:hint="eastAsia"/>
                <w:sz w:val="24"/>
              </w:rPr>
            </w:pPr>
            <w:r>
              <w:rPr>
                <w:rFonts w:ascii="Microsoft JhengHei UI" w:eastAsia="Microsoft JhengHei UI" w:hint="eastAsia"/>
                <w:sz w:val="24"/>
              </w:rPr>
              <w:t>曾為結核病個案</w:t>
            </w:r>
          </w:p>
        </w:tc>
        <w:tc>
          <w:tcPr>
            <w:tcW w:w="3118" w:type="dxa"/>
          </w:tcPr>
          <w:p>
            <w:pPr>
              <w:pStyle w:val="TableParagraph"/>
              <w:numPr>
                <w:ilvl w:val="0"/>
                <w:numId w:val="27"/>
              </w:numPr>
              <w:tabs>
                <w:tab w:pos="369" w:val="left" w:leader="none"/>
              </w:tabs>
              <w:spacing w:line="423" w:lineRule="exact" w:before="14" w:after="0"/>
              <w:ind w:left="368" w:right="0" w:hanging="255"/>
              <w:jc w:val="left"/>
              <w:rPr>
                <w:rFonts w:ascii="Microsoft JhengHei UI" w:eastAsia="Microsoft JhengHei UI" w:hint="eastAsia"/>
                <w:sz w:val="24"/>
              </w:rPr>
            </w:pPr>
            <w:r>
              <w:rPr>
                <w:rFonts w:ascii="Microsoft JhengHei UI" w:eastAsia="Microsoft JhengHei UI" w:hint="eastAsia"/>
                <w:spacing w:val="6"/>
                <w:sz w:val="24"/>
              </w:rPr>
              <w:t>不進行 </w:t>
            </w:r>
            <w:r>
              <w:rPr>
                <w:rFonts w:ascii="Microsoft JhengHei UI" w:eastAsia="Microsoft JhengHei UI" w:hint="eastAsia"/>
                <w:position w:val="-1"/>
                <w:sz w:val="24"/>
              </w:rPr>
              <w:t>LTBI</w:t>
            </w:r>
            <w:r>
              <w:rPr>
                <w:rFonts w:ascii="Microsoft JhengHei UI" w:eastAsia="Microsoft JhengHei UI" w:hint="eastAsia"/>
                <w:spacing w:val="-1"/>
                <w:position w:val="-1"/>
                <w:sz w:val="24"/>
              </w:rPr>
              <w:t> </w:t>
            </w:r>
            <w:r>
              <w:rPr>
                <w:rFonts w:ascii="Microsoft JhengHei UI" w:eastAsia="Microsoft JhengHei UI" w:hint="eastAsia"/>
                <w:spacing w:val="8"/>
                <w:sz w:val="24"/>
              </w:rPr>
              <w:t>檢驗</w:t>
            </w:r>
          </w:p>
          <w:p>
            <w:pPr>
              <w:pStyle w:val="TableParagraph"/>
              <w:numPr>
                <w:ilvl w:val="0"/>
                <w:numId w:val="27"/>
              </w:numPr>
              <w:tabs>
                <w:tab w:pos="331" w:val="left" w:leader="none"/>
              </w:tabs>
              <w:spacing w:line="225" w:lineRule="auto" w:before="0" w:after="0"/>
              <w:ind w:left="354" w:right="82" w:hanging="240"/>
              <w:jc w:val="both"/>
              <w:rPr>
                <w:rFonts w:ascii="Microsoft JhengHei UI" w:eastAsia="Microsoft JhengHei UI" w:hint="eastAsia"/>
                <w:sz w:val="24"/>
              </w:rPr>
            </w:pPr>
            <w:r>
              <w:rPr>
                <w:rFonts w:ascii="Microsoft JhengHei UI" w:eastAsia="Microsoft JhengHei UI" w:hint="eastAsia"/>
                <w:spacing w:val="25"/>
                <w:sz w:val="24"/>
              </w:rPr>
              <w:t>惟倘確知結核病完治後</w:t>
            </w:r>
            <w:r>
              <w:rPr>
                <w:rFonts w:ascii="Microsoft JhengHei UI" w:eastAsia="Microsoft JhengHei UI" w:hint="eastAsia"/>
                <w:spacing w:val="24"/>
                <w:sz w:val="24"/>
              </w:rPr>
              <w:t>再次暴露結核病個案成</w:t>
            </w:r>
            <w:r>
              <w:rPr>
                <w:rFonts w:ascii="Microsoft JhengHei UI" w:eastAsia="Microsoft JhengHei UI" w:hint="eastAsia"/>
                <w:spacing w:val="20"/>
                <w:sz w:val="24"/>
              </w:rPr>
              <w:t>為接觸者，轉介至合作</w:t>
            </w:r>
            <w:r>
              <w:rPr>
                <w:rFonts w:ascii="Microsoft JhengHei UI" w:eastAsia="Microsoft JhengHei UI" w:hint="eastAsia"/>
                <w:sz w:val="24"/>
              </w:rPr>
              <w:t>醫師處進行治療評估</w:t>
            </w:r>
          </w:p>
        </w:tc>
        <w:tc>
          <w:tcPr>
            <w:tcW w:w="3044" w:type="dxa"/>
          </w:tcPr>
          <w:p>
            <w:pPr>
              <w:pStyle w:val="TableParagraph"/>
              <w:spacing w:line="225" w:lineRule="auto" w:before="32"/>
              <w:ind w:left="114" w:right="79"/>
              <w:jc w:val="both"/>
              <w:rPr>
                <w:rFonts w:ascii="Microsoft JhengHei UI" w:eastAsia="Microsoft JhengHei UI" w:hint="eastAsia"/>
                <w:sz w:val="24"/>
              </w:rPr>
            </w:pPr>
            <w:r>
              <w:rPr>
                <w:rFonts w:ascii="Microsoft JhengHei UI" w:eastAsia="Microsoft JhengHei UI" w:hint="eastAsia"/>
                <w:sz w:val="24"/>
              </w:rPr>
              <w:t>儘早或至遲於第 1 個月胸部 X 光檢查時轉介進行LTBI 治療評估</w:t>
            </w:r>
          </w:p>
        </w:tc>
      </w:tr>
    </w:tbl>
    <w:p>
      <w:pPr>
        <w:pStyle w:val="BodyText"/>
        <w:rPr>
          <w:rFonts w:ascii="Microsoft JhengHei UI"/>
          <w:sz w:val="30"/>
        </w:rPr>
      </w:pPr>
    </w:p>
    <w:p>
      <w:pPr>
        <w:pStyle w:val="BodyText"/>
        <w:spacing w:before="11"/>
        <w:rPr>
          <w:rFonts w:ascii="Microsoft JhengHei UI"/>
          <w:sz w:val="31"/>
        </w:rPr>
      </w:pPr>
    </w:p>
    <w:p>
      <w:pPr>
        <w:spacing w:before="0"/>
        <w:ind w:left="110" w:right="0" w:firstLine="0"/>
        <w:jc w:val="left"/>
        <w:rPr>
          <w:rFonts w:ascii="Arial"/>
          <w:sz w:val="16"/>
        </w:rPr>
      </w:pPr>
      <w:r>
        <w:rPr>
          <w:rFonts w:ascii="Arial"/>
          <w:color w:val="221F1F"/>
          <w:w w:val="99"/>
          <w:sz w:val="16"/>
        </w:rPr>
        <w:t>2</w:t>
      </w:r>
    </w:p>
    <w:p>
      <w:pPr>
        <w:spacing w:after="0"/>
        <w:jc w:val="left"/>
        <w:rPr>
          <w:rFonts w:ascii="Arial"/>
          <w:sz w:val="16"/>
        </w:rPr>
        <w:sectPr>
          <w:pgSz w:w="11920" w:h="16840"/>
          <w:pgMar w:top="1040" w:bottom="280" w:left="200" w:right="220"/>
        </w:sectPr>
      </w:pPr>
    </w:p>
    <w:p>
      <w:pPr>
        <w:pStyle w:val="Heading2"/>
        <w:spacing w:line="414" w:lineRule="exact" w:before="25"/>
        <w:ind w:left="935"/>
        <w:rPr>
          <w:rFonts w:ascii="Microsoft JhengHei UI" w:eastAsia="Microsoft JhengHei UI" w:hint="eastAsia"/>
        </w:rPr>
      </w:pPr>
      <w:r>
        <w:rPr>
          <w:rFonts w:ascii="Microsoft JhengHei UI" w:eastAsia="Microsoft JhengHei UI" w:hint="eastAsia"/>
        </w:rPr>
        <w:t>伍、潛伏結核感染之診斷：</w:t>
      </w:r>
    </w:p>
    <w:p>
      <w:pPr>
        <w:pStyle w:val="BodyText"/>
        <w:spacing w:line="402" w:lineRule="exact"/>
        <w:ind w:left="1899"/>
        <w:rPr>
          <w:rFonts w:ascii="Microsoft JhengHei UI" w:eastAsia="Microsoft JhengHei UI" w:hint="eastAsia"/>
        </w:rPr>
      </w:pPr>
      <w:r>
        <w:rPr>
          <w:rFonts w:ascii="Microsoft JhengHei UI" w:eastAsia="Microsoft JhengHei UI" w:hint="eastAsia"/>
        </w:rPr>
        <w:t>目前有 2 種檢驗方式可以診斷是否遭結核菌感染， 分別為結核菌素皮膚測驗</w:t>
      </w:r>
    </w:p>
    <w:p>
      <w:pPr>
        <w:pStyle w:val="BodyText"/>
        <w:spacing w:line="225" w:lineRule="auto" w:before="6"/>
        <w:ind w:left="1417" w:right="928"/>
        <w:rPr>
          <w:rFonts w:ascii="Microsoft JhengHei UI" w:eastAsia="Microsoft JhengHei UI" w:hint="eastAsia"/>
        </w:rPr>
      </w:pPr>
      <w:r>
        <w:rPr>
          <w:rFonts w:ascii="Microsoft JhengHei UI" w:eastAsia="Microsoft JhengHei UI" w:hint="eastAsia"/>
        </w:rPr>
        <w:t>（Tuberculin Skin Test，TST）及丙型干擾素釋放試驗（Interferon-gamma release assay，IGRA）；LTBI 檢驗診斷標準檢查項目與執行方式如表 3。</w:t>
      </w:r>
    </w:p>
    <w:p>
      <w:pPr>
        <w:pStyle w:val="BodyText"/>
        <w:spacing w:line="415" w:lineRule="exact"/>
        <w:ind w:left="1898"/>
        <w:rPr>
          <w:rFonts w:ascii="Microsoft JhengHei UI" w:eastAsia="Microsoft JhengHei UI" w:hint="eastAsia"/>
        </w:rPr>
      </w:pPr>
      <w:r>
        <w:rPr>
          <w:rFonts w:ascii="Microsoft JhengHei UI" w:eastAsia="Microsoft JhengHei UI" w:hint="eastAsia"/>
        </w:rPr>
        <w:t>接觸者或風險族群之潛伏結核感染診斷與治療流程，分別適用圖 1 與圖 2。</w:t>
      </w:r>
    </w:p>
    <w:p>
      <w:pPr>
        <w:pStyle w:val="BodyText"/>
        <w:spacing w:before="1"/>
        <w:rPr>
          <w:rFonts w:ascii="Microsoft JhengHei UI"/>
          <w:sz w:val="23"/>
        </w:rPr>
      </w:pPr>
    </w:p>
    <w:p>
      <w:pPr>
        <w:pStyle w:val="BodyText"/>
        <w:ind w:left="1432"/>
        <w:rPr>
          <w:rFonts w:ascii="微軟正黑體" w:eastAsia="微軟正黑體" w:hint="eastAsia"/>
        </w:rPr>
      </w:pPr>
      <w:r>
        <w:rPr>
          <w:rFonts w:ascii="微軟正黑體" w:eastAsia="微軟正黑體" w:hint="eastAsia"/>
        </w:rPr>
        <w:t>表 3、LTBI 檢驗項目與執行方式</w:t>
      </w:r>
    </w:p>
    <w:p>
      <w:pPr>
        <w:pStyle w:val="BodyText"/>
        <w:spacing w:before="12" w:after="1"/>
        <w:rPr>
          <w:rFonts w:ascii="微軟正黑體"/>
          <w:sz w:val="6"/>
        </w:rPr>
      </w:pPr>
    </w:p>
    <w:tbl>
      <w:tblPr>
        <w:tblW w:w="0" w:type="auto"/>
        <w:jc w:val="left"/>
        <w:tblInd w:w="1598"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845"/>
        <w:gridCol w:w="3952"/>
        <w:gridCol w:w="4329"/>
      </w:tblGrid>
      <w:tr>
        <w:trPr>
          <w:trHeight w:val="451" w:hRule="atLeast"/>
        </w:trPr>
        <w:tc>
          <w:tcPr>
            <w:tcW w:w="845" w:type="dxa"/>
            <w:vMerge w:val="restart"/>
            <w:shd w:val="clear" w:color="auto" w:fill="E6E7E8"/>
          </w:tcPr>
          <w:p>
            <w:pPr>
              <w:pStyle w:val="TableParagraph"/>
              <w:spacing w:line="225" w:lineRule="auto" w:before="5"/>
              <w:ind w:left="180" w:right="166"/>
              <w:rPr>
                <w:rFonts w:ascii="微軟正黑體" w:eastAsia="微軟正黑體" w:hint="eastAsia"/>
                <w:b/>
                <w:sz w:val="24"/>
              </w:rPr>
            </w:pPr>
            <w:r>
              <w:rPr>
                <w:rFonts w:ascii="微軟正黑體" w:eastAsia="微軟正黑體" w:hint="eastAsia"/>
                <w:b/>
                <w:sz w:val="24"/>
              </w:rPr>
              <w:t>檢驗項目</w:t>
            </w:r>
          </w:p>
        </w:tc>
        <w:tc>
          <w:tcPr>
            <w:tcW w:w="8281" w:type="dxa"/>
            <w:gridSpan w:val="2"/>
            <w:shd w:val="clear" w:color="auto" w:fill="E6E7E8"/>
          </w:tcPr>
          <w:p>
            <w:pPr>
              <w:pStyle w:val="TableParagraph"/>
              <w:spacing w:line="427" w:lineRule="exact"/>
              <w:ind w:left="2862" w:right="2851"/>
              <w:jc w:val="center"/>
              <w:rPr>
                <w:rFonts w:ascii="微軟正黑體" w:eastAsia="微軟正黑體" w:hint="eastAsia"/>
                <w:b/>
                <w:sz w:val="24"/>
              </w:rPr>
            </w:pPr>
            <w:r>
              <w:rPr>
                <w:rFonts w:ascii="微軟正黑體" w:eastAsia="微軟正黑體" w:hint="eastAsia"/>
                <w:b/>
                <w:sz w:val="24"/>
              </w:rPr>
              <w:t>潛伏結核感染檢驗</w:t>
            </w:r>
          </w:p>
        </w:tc>
      </w:tr>
      <w:tr>
        <w:trPr>
          <w:trHeight w:val="389" w:hRule="atLeast"/>
        </w:trPr>
        <w:tc>
          <w:tcPr>
            <w:tcW w:w="845" w:type="dxa"/>
            <w:vMerge/>
            <w:tcBorders>
              <w:top w:val="nil"/>
            </w:tcBorders>
            <w:shd w:val="clear" w:color="auto" w:fill="E6E7E8"/>
          </w:tcPr>
          <w:p>
            <w:pPr>
              <w:rPr>
                <w:sz w:val="2"/>
                <w:szCs w:val="2"/>
              </w:rPr>
            </w:pPr>
          </w:p>
        </w:tc>
        <w:tc>
          <w:tcPr>
            <w:tcW w:w="3952" w:type="dxa"/>
            <w:shd w:val="clear" w:color="auto" w:fill="E6E7E8"/>
          </w:tcPr>
          <w:p>
            <w:pPr>
              <w:pStyle w:val="TableParagraph"/>
              <w:spacing w:line="369" w:lineRule="exact"/>
              <w:ind w:left="790" w:right="762"/>
              <w:jc w:val="center"/>
              <w:rPr>
                <w:rFonts w:ascii="微軟正黑體" w:eastAsia="微軟正黑體" w:hint="eastAsia"/>
                <w:b/>
                <w:sz w:val="24"/>
              </w:rPr>
            </w:pPr>
            <w:r>
              <w:rPr>
                <w:rFonts w:ascii="微軟正黑體" w:eastAsia="微軟正黑體" w:hint="eastAsia"/>
                <w:b/>
                <w:sz w:val="24"/>
              </w:rPr>
              <w:t>結核菌素測驗（TST）</w:t>
            </w:r>
          </w:p>
        </w:tc>
        <w:tc>
          <w:tcPr>
            <w:tcW w:w="4329" w:type="dxa"/>
            <w:shd w:val="clear" w:color="auto" w:fill="E6E7E8"/>
          </w:tcPr>
          <w:p>
            <w:pPr>
              <w:pStyle w:val="TableParagraph"/>
              <w:spacing w:line="369" w:lineRule="exact"/>
              <w:ind w:left="484" w:right="455"/>
              <w:jc w:val="center"/>
              <w:rPr>
                <w:rFonts w:ascii="Microsoft JhengHei UI" w:eastAsia="Microsoft JhengHei UI" w:hint="eastAsia"/>
                <w:sz w:val="24"/>
              </w:rPr>
            </w:pPr>
            <w:r>
              <w:rPr>
                <w:rFonts w:ascii="微軟正黑體" w:eastAsia="微軟正黑體" w:hint="eastAsia"/>
                <w:b/>
                <w:sz w:val="24"/>
              </w:rPr>
              <w:t>丙型干擾素釋放試驗（IGRA）</w:t>
            </w:r>
            <w:r>
              <w:rPr>
                <w:rFonts w:ascii="Microsoft JhengHei UI" w:eastAsia="Microsoft JhengHei UI" w:hint="eastAsia"/>
                <w:position w:val="2"/>
                <w:sz w:val="24"/>
              </w:rPr>
              <w:t>*</w:t>
            </w:r>
          </w:p>
        </w:tc>
      </w:tr>
      <w:tr>
        <w:trPr>
          <w:trHeight w:val="763" w:hRule="atLeast"/>
        </w:trPr>
        <w:tc>
          <w:tcPr>
            <w:tcW w:w="845" w:type="dxa"/>
          </w:tcPr>
          <w:p>
            <w:pPr>
              <w:pStyle w:val="TableParagraph"/>
              <w:spacing w:before="111"/>
              <w:ind w:left="180"/>
              <w:rPr>
                <w:rFonts w:ascii="微軟正黑體" w:eastAsia="微軟正黑體" w:hint="eastAsia"/>
                <w:sz w:val="24"/>
              </w:rPr>
            </w:pPr>
            <w:r>
              <w:rPr>
                <w:rFonts w:ascii="微軟正黑體" w:eastAsia="微軟正黑體" w:hint="eastAsia"/>
                <w:sz w:val="24"/>
              </w:rPr>
              <w:t>目的</w:t>
            </w:r>
          </w:p>
        </w:tc>
        <w:tc>
          <w:tcPr>
            <w:tcW w:w="8281" w:type="dxa"/>
            <w:gridSpan w:val="2"/>
          </w:tcPr>
          <w:p>
            <w:pPr>
              <w:pStyle w:val="TableParagraph"/>
              <w:spacing w:line="414" w:lineRule="exact"/>
              <w:ind w:left="4" w:right="-15"/>
              <w:rPr>
                <w:rFonts w:ascii="微軟正黑體" w:eastAsia="微軟正黑體" w:hint="eastAsia"/>
                <w:sz w:val="24"/>
              </w:rPr>
            </w:pPr>
            <w:r>
              <w:rPr>
                <w:rFonts w:ascii="微軟正黑體" w:eastAsia="微軟正黑體" w:hint="eastAsia"/>
                <w:spacing w:val="-1"/>
                <w:sz w:val="24"/>
              </w:rPr>
              <w:t>確認是否感染結核菌，及早轉介潛伏結核感染者評估接受 </w:t>
            </w:r>
            <w:r>
              <w:rPr>
                <w:rFonts w:ascii="微軟正黑體" w:eastAsia="微軟正黑體" w:hint="eastAsia"/>
                <w:sz w:val="24"/>
              </w:rPr>
              <w:t>LTBI</w:t>
            </w:r>
            <w:r>
              <w:rPr>
                <w:rFonts w:ascii="微軟正黑體" w:eastAsia="微軟正黑體" w:hint="eastAsia"/>
                <w:spacing w:val="-2"/>
                <w:sz w:val="24"/>
              </w:rPr>
              <w:t> 治療，以降低日</w:t>
            </w:r>
          </w:p>
          <w:p>
            <w:pPr>
              <w:pStyle w:val="TableParagraph"/>
              <w:spacing w:line="330" w:lineRule="exact"/>
              <w:ind w:left="4"/>
              <w:rPr>
                <w:rFonts w:ascii="微軟正黑體" w:eastAsia="微軟正黑體" w:hint="eastAsia"/>
                <w:sz w:val="24"/>
              </w:rPr>
            </w:pPr>
            <w:r>
              <w:rPr>
                <w:rFonts w:ascii="微軟正黑體" w:eastAsia="微軟正黑體" w:hint="eastAsia"/>
                <w:sz w:val="24"/>
              </w:rPr>
              <w:t>後發病風險</w:t>
            </w:r>
          </w:p>
        </w:tc>
      </w:tr>
      <w:tr>
        <w:trPr>
          <w:trHeight w:val="408" w:hRule="atLeast"/>
        </w:trPr>
        <w:tc>
          <w:tcPr>
            <w:tcW w:w="845" w:type="dxa"/>
            <w:vMerge w:val="restart"/>
          </w:tcPr>
          <w:p>
            <w:pPr>
              <w:pStyle w:val="TableParagraph"/>
              <w:spacing w:before="111"/>
              <w:ind w:left="180"/>
              <w:rPr>
                <w:rFonts w:ascii="微軟正黑體" w:eastAsia="微軟正黑體" w:hint="eastAsia"/>
                <w:sz w:val="24"/>
              </w:rPr>
            </w:pPr>
            <w:r>
              <w:rPr>
                <w:rFonts w:ascii="微軟正黑體" w:eastAsia="微軟正黑體" w:hint="eastAsia"/>
                <w:sz w:val="24"/>
              </w:rPr>
              <w:t>對象</w:t>
            </w:r>
          </w:p>
        </w:tc>
        <w:tc>
          <w:tcPr>
            <w:tcW w:w="8281" w:type="dxa"/>
            <w:gridSpan w:val="2"/>
          </w:tcPr>
          <w:p>
            <w:pPr>
              <w:pStyle w:val="TableParagraph"/>
              <w:spacing w:line="389" w:lineRule="exact"/>
              <w:ind w:left="2862" w:right="2852"/>
              <w:jc w:val="center"/>
              <w:rPr>
                <w:rFonts w:ascii="微軟正黑體" w:eastAsia="微軟正黑體" w:hint="eastAsia"/>
                <w:sz w:val="24"/>
              </w:rPr>
            </w:pPr>
            <w:r>
              <w:rPr>
                <w:rFonts w:ascii="微軟正黑體" w:eastAsia="微軟正黑體" w:hint="eastAsia"/>
                <w:sz w:val="24"/>
              </w:rPr>
              <w:t>符合 LTBI 治療政策對象</w:t>
            </w:r>
          </w:p>
        </w:tc>
      </w:tr>
      <w:tr>
        <w:trPr>
          <w:trHeight w:val="413" w:hRule="atLeast"/>
        </w:trPr>
        <w:tc>
          <w:tcPr>
            <w:tcW w:w="845" w:type="dxa"/>
            <w:vMerge/>
            <w:tcBorders>
              <w:top w:val="nil"/>
            </w:tcBorders>
          </w:tcPr>
          <w:p>
            <w:pPr>
              <w:rPr>
                <w:sz w:val="2"/>
                <w:szCs w:val="2"/>
              </w:rPr>
            </w:pPr>
          </w:p>
        </w:tc>
        <w:tc>
          <w:tcPr>
            <w:tcW w:w="3952" w:type="dxa"/>
            <w:tcBorders>
              <w:right w:val="single" w:sz="4" w:space="0" w:color="000000"/>
            </w:tcBorders>
          </w:tcPr>
          <w:p>
            <w:pPr>
              <w:pStyle w:val="TableParagraph"/>
              <w:spacing w:line="393" w:lineRule="exact"/>
              <w:ind w:left="513" w:right="486"/>
              <w:jc w:val="center"/>
              <w:rPr>
                <w:rFonts w:ascii="微軟正黑體" w:eastAsia="微軟正黑體" w:hint="eastAsia"/>
                <w:sz w:val="24"/>
              </w:rPr>
            </w:pPr>
            <w:r>
              <w:rPr>
                <w:rFonts w:ascii="微軟正黑體" w:eastAsia="微軟正黑體" w:hint="eastAsia"/>
                <w:sz w:val="24"/>
              </w:rPr>
              <w:t>未滿 2 歲</w:t>
            </w:r>
          </w:p>
        </w:tc>
        <w:tc>
          <w:tcPr>
            <w:tcW w:w="4329" w:type="dxa"/>
            <w:tcBorders>
              <w:left w:val="single" w:sz="4" w:space="0" w:color="000000"/>
            </w:tcBorders>
          </w:tcPr>
          <w:p>
            <w:pPr>
              <w:pStyle w:val="TableParagraph"/>
              <w:spacing w:line="393" w:lineRule="exact"/>
              <w:ind w:left="1376" w:right="1347"/>
              <w:jc w:val="center"/>
              <w:rPr>
                <w:rFonts w:ascii="微軟正黑體" w:eastAsia="微軟正黑體" w:hint="eastAsia"/>
                <w:sz w:val="24"/>
              </w:rPr>
            </w:pPr>
            <w:r>
              <w:rPr>
                <w:rFonts w:ascii="微軟正黑體" w:eastAsia="微軟正黑體" w:hint="eastAsia"/>
                <w:sz w:val="24"/>
              </w:rPr>
              <w:t>2 歲 ( 含 ) 以上</w:t>
            </w:r>
          </w:p>
        </w:tc>
      </w:tr>
      <w:tr>
        <w:trPr>
          <w:trHeight w:val="4304" w:hRule="atLeast"/>
        </w:trPr>
        <w:tc>
          <w:tcPr>
            <w:tcW w:w="845" w:type="dxa"/>
          </w:tcPr>
          <w:p>
            <w:pPr>
              <w:pStyle w:val="TableParagraph"/>
              <w:rPr>
                <w:rFonts w:ascii="微軟正黑體"/>
                <w:sz w:val="32"/>
              </w:rPr>
            </w:pPr>
          </w:p>
          <w:p>
            <w:pPr>
              <w:pStyle w:val="TableParagraph"/>
              <w:rPr>
                <w:rFonts w:ascii="微軟正黑體"/>
                <w:sz w:val="32"/>
              </w:rPr>
            </w:pPr>
          </w:p>
          <w:p>
            <w:pPr>
              <w:pStyle w:val="TableParagraph"/>
              <w:spacing w:before="10"/>
              <w:rPr>
                <w:rFonts w:ascii="微軟正黑體"/>
                <w:sz w:val="26"/>
              </w:rPr>
            </w:pPr>
          </w:p>
          <w:p>
            <w:pPr>
              <w:pStyle w:val="TableParagraph"/>
              <w:spacing w:line="225" w:lineRule="auto"/>
              <w:ind w:left="180" w:right="167"/>
              <w:rPr>
                <w:rFonts w:ascii="微軟正黑體" w:eastAsia="微軟正黑體" w:hint="eastAsia"/>
                <w:sz w:val="24"/>
              </w:rPr>
            </w:pPr>
            <w:r>
              <w:rPr>
                <w:rFonts w:ascii="微軟正黑體" w:eastAsia="微軟正黑體" w:hint="eastAsia"/>
                <w:sz w:val="24"/>
              </w:rPr>
              <w:t>執行時程</w:t>
            </w:r>
          </w:p>
        </w:tc>
        <w:tc>
          <w:tcPr>
            <w:tcW w:w="8281" w:type="dxa"/>
            <w:gridSpan w:val="2"/>
          </w:tcPr>
          <w:p>
            <w:pPr>
              <w:pStyle w:val="TableParagraph"/>
              <w:spacing w:line="444" w:lineRule="exact"/>
              <w:ind w:left="4"/>
              <w:jc w:val="both"/>
              <w:rPr>
                <w:rFonts w:ascii="微軟正黑體" w:hAnsi="微軟正黑體" w:eastAsia="微軟正黑體" w:hint="eastAsia"/>
                <w:sz w:val="24"/>
              </w:rPr>
            </w:pPr>
            <w:r>
              <w:rPr>
                <w:rFonts w:ascii="微軟正黑體" w:hAnsi="微軟正黑體" w:eastAsia="微軟正黑體" w:hint="eastAsia"/>
                <w:position w:val="3"/>
                <w:sz w:val="24"/>
              </w:rPr>
              <w:t>※ </w:t>
            </w:r>
            <w:r>
              <w:rPr>
                <w:rFonts w:ascii="微軟正黑體" w:hAnsi="微軟正黑體" w:eastAsia="微軟正黑體" w:hint="eastAsia"/>
                <w:sz w:val="24"/>
              </w:rPr>
              <w:t>接觸者：</w:t>
            </w:r>
          </w:p>
          <w:p>
            <w:pPr>
              <w:pStyle w:val="TableParagraph"/>
              <w:numPr>
                <w:ilvl w:val="0"/>
                <w:numId w:val="28"/>
              </w:numPr>
              <w:tabs>
                <w:tab w:pos="582" w:val="left" w:leader="none"/>
              </w:tabs>
              <w:spacing w:line="225" w:lineRule="auto" w:before="6" w:after="0"/>
              <w:ind w:left="581" w:right="100" w:hanging="358"/>
              <w:jc w:val="both"/>
              <w:rPr>
                <w:rFonts w:ascii="微軟正黑體" w:hAnsi="微軟正黑體" w:eastAsia="微軟正黑體" w:hint="eastAsia"/>
                <w:sz w:val="24"/>
              </w:rPr>
            </w:pPr>
            <w:r>
              <w:rPr>
                <w:rFonts w:ascii="微軟正黑體" w:hAnsi="微軟正黑體" w:eastAsia="微軟正黑體" w:hint="eastAsia"/>
                <w:spacing w:val="-2"/>
                <w:sz w:val="24"/>
              </w:rPr>
              <w:t>未滿 </w:t>
            </w:r>
            <w:r>
              <w:rPr>
                <w:rFonts w:ascii="微軟正黑體" w:hAnsi="微軟正黑體" w:eastAsia="微軟正黑體" w:hint="eastAsia"/>
                <w:sz w:val="24"/>
              </w:rPr>
              <w:t>5</w:t>
            </w:r>
            <w:r>
              <w:rPr>
                <w:rFonts w:ascii="微軟正黑體" w:hAnsi="微軟正黑體" w:eastAsia="微軟正黑體" w:hint="eastAsia"/>
                <w:spacing w:val="-2"/>
                <w:sz w:val="24"/>
              </w:rPr>
              <w:t> 歲接觸者：指標個案確診後，應儘速執行 </w:t>
            </w:r>
            <w:r>
              <w:rPr>
                <w:rFonts w:ascii="微軟正黑體" w:hAnsi="微軟正黑體" w:eastAsia="微軟正黑體" w:hint="eastAsia"/>
                <w:sz w:val="24"/>
              </w:rPr>
              <w:t>LTBI</w:t>
            </w:r>
            <w:r>
              <w:rPr>
                <w:rFonts w:ascii="微軟正黑體" w:hAnsi="微軟正黑體" w:eastAsia="微軟正黑體" w:hint="eastAsia"/>
                <w:spacing w:val="-2"/>
                <w:sz w:val="24"/>
              </w:rPr>
              <w:t> 檢驗，於 </w:t>
            </w:r>
            <w:r>
              <w:rPr>
                <w:rFonts w:ascii="微軟正黑體" w:hAnsi="微軟正黑體" w:eastAsia="微軟正黑體" w:hint="eastAsia"/>
                <w:sz w:val="24"/>
              </w:rPr>
              <w:t>1</w:t>
            </w:r>
            <w:r>
              <w:rPr>
                <w:rFonts w:ascii="微軟正黑體" w:hAnsi="微軟正黑體" w:eastAsia="微軟正黑體" w:hint="eastAsia"/>
                <w:spacing w:val="-2"/>
                <w:sz w:val="24"/>
              </w:rPr>
              <w:t> 個月內</w:t>
            </w:r>
            <w:r>
              <w:rPr>
                <w:rFonts w:ascii="微軟正黑體" w:hAnsi="微軟正黑體" w:eastAsia="微軟正黑體" w:hint="eastAsia"/>
                <w:spacing w:val="2"/>
                <w:sz w:val="24"/>
              </w:rPr>
              <w:t>開始提供預防性投藥，並依檢驗結果判斷於與指標個案終止有效暴露滿8</w:t>
            </w:r>
            <w:r>
              <w:rPr>
                <w:rFonts w:ascii="微軟正黑體" w:hAnsi="微軟正黑體" w:eastAsia="微軟正黑體" w:hint="eastAsia"/>
                <w:spacing w:val="4"/>
                <w:sz w:val="24"/>
              </w:rPr>
              <w:t> 週執行第 </w:t>
            </w:r>
            <w:r>
              <w:rPr>
                <w:rFonts w:ascii="微軟正黑體" w:hAnsi="微軟正黑體" w:eastAsia="微軟正黑體" w:hint="eastAsia"/>
                <w:sz w:val="24"/>
              </w:rPr>
              <w:t>2 次檢驗，決定是否終止預防性投藥或繼續完成 LTBI</w:t>
            </w:r>
            <w:r>
              <w:rPr>
                <w:rFonts w:ascii="微軟正黑體" w:hAnsi="微軟正黑體" w:eastAsia="微軟正黑體" w:hint="eastAsia"/>
                <w:spacing w:val="-4"/>
                <w:sz w:val="24"/>
              </w:rPr>
              <w:t> 治療， </w:t>
            </w:r>
            <w:r>
              <w:rPr>
                <w:rFonts w:ascii="微軟正黑體" w:hAnsi="微軟正黑體" w:eastAsia="微軟正黑體" w:hint="eastAsia"/>
                <w:spacing w:val="1"/>
                <w:sz w:val="24"/>
              </w:rPr>
              <w:t>參見工作手冊第十一章 </w:t>
            </w:r>
            <w:r>
              <w:rPr>
                <w:rFonts w:ascii="微軟正黑體" w:hAnsi="微軟正黑體" w:eastAsia="微軟正黑體" w:hint="eastAsia"/>
                <w:sz w:val="24"/>
              </w:rPr>
              <w:t>｢</w:t>
            </w:r>
            <w:r>
              <w:rPr>
                <w:rFonts w:ascii="微軟正黑體" w:hAnsi="微軟正黑體" w:eastAsia="微軟正黑體" w:hint="eastAsia"/>
                <w:spacing w:val="1"/>
                <w:sz w:val="24"/>
              </w:rPr>
              <w:t> 結核病接觸者追蹤管理 </w:t>
            </w:r>
            <w:r>
              <w:rPr>
                <w:rFonts w:ascii="微軟正黑體" w:hAnsi="微軟正黑體" w:eastAsia="微軟正黑體" w:hint="eastAsia"/>
                <w:sz w:val="24"/>
              </w:rPr>
              <w:t>｣</w:t>
            </w:r>
            <w:r>
              <w:rPr>
                <w:rFonts w:ascii="微軟正黑體" w:hAnsi="微軟正黑體" w:eastAsia="微軟正黑體" w:hint="eastAsia"/>
                <w:spacing w:val="6"/>
                <w:sz w:val="24"/>
              </w:rPr>
              <w:t>未滿 </w:t>
            </w:r>
            <w:r>
              <w:rPr>
                <w:rFonts w:ascii="微軟正黑體" w:hAnsi="微軟正黑體" w:eastAsia="微軟正黑體" w:hint="eastAsia"/>
                <w:sz w:val="24"/>
              </w:rPr>
              <w:t>5</w:t>
            </w:r>
            <w:r>
              <w:rPr>
                <w:rFonts w:ascii="微軟正黑體" w:hAnsi="微軟正黑體" w:eastAsia="微軟正黑體" w:hint="eastAsia"/>
                <w:spacing w:val="6"/>
                <w:sz w:val="24"/>
              </w:rPr>
              <w:t> 歲接觸者 </w:t>
            </w:r>
            <w:r>
              <w:rPr>
                <w:rFonts w:ascii="微軟正黑體" w:hAnsi="微軟正黑體" w:eastAsia="微軟正黑體" w:hint="eastAsia"/>
                <w:sz w:val="24"/>
              </w:rPr>
              <w:t>LTBI 檢驗注意事項</w:t>
            </w:r>
          </w:p>
          <w:p>
            <w:pPr>
              <w:pStyle w:val="TableParagraph"/>
              <w:numPr>
                <w:ilvl w:val="0"/>
                <w:numId w:val="28"/>
              </w:numPr>
              <w:tabs>
                <w:tab w:pos="582" w:val="left" w:leader="none"/>
              </w:tabs>
              <w:spacing w:line="410" w:lineRule="exact" w:before="0" w:after="0"/>
              <w:ind w:left="581" w:right="0" w:hanging="358"/>
              <w:jc w:val="both"/>
              <w:rPr>
                <w:rFonts w:ascii="微軟正黑體" w:hAnsi="微軟正黑體" w:eastAsia="微軟正黑體" w:hint="eastAsia"/>
                <w:sz w:val="24"/>
              </w:rPr>
            </w:pPr>
            <w:r>
              <w:rPr>
                <w:rFonts w:ascii="微軟正黑體" w:hAnsi="微軟正黑體" w:eastAsia="微軟正黑體" w:hint="eastAsia"/>
                <w:sz w:val="24"/>
              </w:rPr>
              <w:t>5 歲 ( 含 ) 以上接觸者：指標個案確診後，於與指標個案終止有效暴露滿</w:t>
            </w:r>
          </w:p>
          <w:p>
            <w:pPr>
              <w:pStyle w:val="TableParagraph"/>
              <w:spacing w:line="415" w:lineRule="exact"/>
              <w:ind w:left="581"/>
              <w:jc w:val="both"/>
              <w:rPr>
                <w:rFonts w:ascii="微軟正黑體" w:eastAsia="微軟正黑體" w:hint="eastAsia"/>
                <w:sz w:val="24"/>
              </w:rPr>
            </w:pPr>
            <w:r>
              <w:rPr>
                <w:rFonts w:ascii="微軟正黑體" w:eastAsia="微軟正黑體" w:hint="eastAsia"/>
                <w:sz w:val="24"/>
              </w:rPr>
              <w:t>8 週，儘速執行 IGRA 檢驗，並於指標個案確診後 3 個月內完成</w:t>
            </w:r>
          </w:p>
          <w:p>
            <w:pPr>
              <w:pStyle w:val="TableParagraph"/>
              <w:spacing w:line="445" w:lineRule="exact"/>
              <w:ind w:left="4"/>
              <w:rPr>
                <w:rFonts w:ascii="微軟正黑體" w:hAnsi="微軟正黑體" w:eastAsia="微軟正黑體" w:hint="eastAsia"/>
                <w:sz w:val="24"/>
              </w:rPr>
            </w:pPr>
            <w:r>
              <w:rPr>
                <w:rFonts w:ascii="微軟正黑體" w:hAnsi="微軟正黑體" w:eastAsia="微軟正黑體" w:hint="eastAsia"/>
                <w:position w:val="3"/>
                <w:sz w:val="24"/>
              </w:rPr>
              <w:t>※</w:t>
            </w:r>
            <w:r>
              <w:rPr>
                <w:rFonts w:ascii="微軟正黑體" w:hAnsi="微軟正黑體" w:eastAsia="微軟正黑體" w:hint="eastAsia"/>
                <w:sz w:val="24"/>
              </w:rPr>
              <w:t>非接觸者：</w:t>
            </w:r>
          </w:p>
          <w:p>
            <w:pPr>
              <w:pStyle w:val="TableParagraph"/>
              <w:spacing w:line="428" w:lineRule="exact"/>
              <w:ind w:left="184"/>
              <w:rPr>
                <w:rFonts w:ascii="微軟正黑體" w:eastAsia="微軟正黑體" w:hint="eastAsia"/>
                <w:sz w:val="24"/>
              </w:rPr>
            </w:pPr>
            <w:r>
              <w:rPr>
                <w:rFonts w:ascii="微軟正黑體" w:eastAsia="微軟正黑體" w:hint="eastAsia"/>
                <w:sz w:val="24"/>
              </w:rPr>
              <w:t>依計畫時程規劃執行 1 次 LTBI 檢驗</w:t>
            </w:r>
          </w:p>
        </w:tc>
      </w:tr>
      <w:tr>
        <w:trPr>
          <w:trHeight w:val="4233" w:hRule="atLeast"/>
        </w:trPr>
        <w:tc>
          <w:tcPr>
            <w:tcW w:w="845" w:type="dxa"/>
          </w:tcPr>
          <w:p>
            <w:pPr>
              <w:pStyle w:val="TableParagraph"/>
              <w:rPr>
                <w:rFonts w:ascii="微軟正黑體"/>
                <w:sz w:val="32"/>
              </w:rPr>
            </w:pPr>
          </w:p>
          <w:p>
            <w:pPr>
              <w:pStyle w:val="TableParagraph"/>
              <w:rPr>
                <w:rFonts w:ascii="微軟正黑體"/>
                <w:sz w:val="32"/>
              </w:rPr>
            </w:pPr>
          </w:p>
          <w:p>
            <w:pPr>
              <w:pStyle w:val="TableParagraph"/>
              <w:spacing w:before="9"/>
              <w:rPr>
                <w:rFonts w:ascii="微軟正黑體"/>
                <w:sz w:val="26"/>
              </w:rPr>
            </w:pPr>
          </w:p>
          <w:p>
            <w:pPr>
              <w:pStyle w:val="TableParagraph"/>
              <w:spacing w:line="225" w:lineRule="auto"/>
              <w:ind w:left="180" w:right="167"/>
              <w:rPr>
                <w:rFonts w:ascii="微軟正黑體" w:eastAsia="微軟正黑體" w:hint="eastAsia"/>
                <w:sz w:val="24"/>
              </w:rPr>
            </w:pPr>
            <w:r>
              <w:rPr>
                <w:rFonts w:ascii="微軟正黑體" w:eastAsia="微軟正黑體" w:hint="eastAsia"/>
                <w:sz w:val="24"/>
              </w:rPr>
              <w:t>結果判讀</w:t>
            </w:r>
          </w:p>
        </w:tc>
        <w:tc>
          <w:tcPr>
            <w:tcW w:w="3952" w:type="dxa"/>
            <w:tcBorders>
              <w:right w:val="single" w:sz="4" w:space="0" w:color="000000"/>
            </w:tcBorders>
          </w:tcPr>
          <w:p>
            <w:pPr>
              <w:pStyle w:val="TableParagraph"/>
              <w:spacing w:line="412" w:lineRule="exact"/>
              <w:ind w:right="486"/>
              <w:jc w:val="center"/>
              <w:rPr>
                <w:rFonts w:ascii="微軟正黑體" w:hAnsi="微軟正黑體" w:eastAsia="微軟正黑體" w:hint="eastAsia"/>
                <w:sz w:val="24"/>
              </w:rPr>
            </w:pPr>
            <w:r>
              <w:rPr>
                <w:rFonts w:ascii="微軟正黑體" w:hAnsi="微軟正黑體" w:eastAsia="微軟正黑體" w:hint="eastAsia"/>
                <w:sz w:val="24"/>
              </w:rPr>
              <w:t>※ 施測後 48-72 小時間進行判讀</w:t>
            </w:r>
          </w:p>
          <w:p>
            <w:pPr>
              <w:pStyle w:val="TableParagraph"/>
              <w:numPr>
                <w:ilvl w:val="0"/>
                <w:numId w:val="29"/>
              </w:numPr>
              <w:tabs>
                <w:tab w:pos="465" w:val="left" w:leader="none"/>
              </w:tabs>
              <w:spacing w:line="445" w:lineRule="exact" w:before="0" w:after="0"/>
              <w:ind w:left="464" w:right="497" w:hanging="465"/>
              <w:jc w:val="left"/>
              <w:rPr>
                <w:rFonts w:ascii="微軟正黑體" w:hAnsi="微軟正黑體" w:eastAsia="微軟正黑體" w:hint="eastAsia"/>
                <w:sz w:val="24"/>
              </w:rPr>
            </w:pPr>
            <w:r>
              <w:rPr>
                <w:rFonts w:ascii="微軟正黑體" w:hAnsi="微軟正黑體" w:eastAsia="微軟正黑體" w:hint="eastAsia"/>
                <w:position w:val="3"/>
                <w:sz w:val="24"/>
              </w:rPr>
              <w:t>陽性</w:t>
            </w:r>
            <w:r>
              <w:rPr>
                <w:rFonts w:ascii="微軟正黑體" w:hAnsi="微軟正黑體" w:eastAsia="微軟正黑體" w:hint="eastAsia"/>
                <w:spacing w:val="-1"/>
                <w:sz w:val="24"/>
              </w:rPr>
              <w:t>：轉介 </w:t>
            </w:r>
            <w:r>
              <w:rPr>
                <w:rFonts w:ascii="微軟正黑體" w:hAnsi="微軟正黑體" w:eastAsia="微軟正黑體" w:hint="eastAsia"/>
                <w:sz w:val="24"/>
              </w:rPr>
              <w:t>LTBI</w:t>
            </w:r>
            <w:r>
              <w:rPr>
                <w:rFonts w:ascii="微軟正黑體" w:hAnsi="微軟正黑體" w:eastAsia="微軟正黑體" w:hint="eastAsia"/>
                <w:spacing w:val="-1"/>
                <w:sz w:val="24"/>
              </w:rPr>
              <w:t> 治療評估</w:t>
            </w:r>
          </w:p>
          <w:p>
            <w:pPr>
              <w:pStyle w:val="TableParagraph"/>
              <w:numPr>
                <w:ilvl w:val="0"/>
                <w:numId w:val="29"/>
              </w:numPr>
              <w:tabs>
                <w:tab w:pos="465" w:val="left" w:leader="none"/>
              </w:tabs>
              <w:spacing w:line="415" w:lineRule="exact" w:before="0" w:after="0"/>
              <w:ind w:left="464" w:right="1088" w:hanging="465"/>
              <w:jc w:val="left"/>
              <w:rPr>
                <w:rFonts w:ascii="微軟正黑體" w:hAnsi="微軟正黑體" w:eastAsia="微軟正黑體" w:hint="eastAsia"/>
                <w:sz w:val="24"/>
              </w:rPr>
            </w:pPr>
            <w:r>
              <w:rPr>
                <w:rFonts w:ascii="微軟正黑體" w:hAnsi="微軟正黑體" w:eastAsia="微軟正黑體" w:hint="eastAsia"/>
                <w:sz w:val="24"/>
              </w:rPr>
              <w:t>陰性：衛教症狀監測</w:t>
            </w:r>
          </w:p>
          <w:p>
            <w:pPr>
              <w:pStyle w:val="TableParagraph"/>
              <w:spacing w:line="225" w:lineRule="auto" w:before="4"/>
              <w:ind w:left="244" w:right="119" w:hanging="240"/>
              <w:jc w:val="both"/>
              <w:rPr>
                <w:rFonts w:ascii="微軟正黑體" w:hAnsi="微軟正黑體" w:eastAsia="微軟正黑體" w:hint="eastAsia"/>
                <w:sz w:val="24"/>
              </w:rPr>
            </w:pPr>
            <w:r>
              <w:rPr>
                <w:rFonts w:ascii="微軟正黑體" w:hAnsi="微軟正黑體" w:eastAsia="微軟正黑體" w:hint="eastAsia"/>
                <w:sz w:val="24"/>
              </w:rPr>
              <w:t>※ </w:t>
            </w:r>
            <w:r>
              <w:rPr>
                <w:rFonts w:ascii="微軟正黑體" w:hAnsi="微軟正黑體" w:eastAsia="微軟正黑體" w:hint="eastAsia"/>
                <w:position w:val="-2"/>
                <w:sz w:val="24"/>
              </w:rPr>
              <w:t>陽性判定標</w:t>
            </w:r>
            <w:r>
              <w:rPr>
                <w:rFonts w:ascii="微軟正黑體" w:hAnsi="微軟正黑體" w:eastAsia="微軟正黑體" w:hint="eastAsia"/>
                <w:sz w:val="24"/>
              </w:rPr>
              <w:t>準： ≧ 5mm 對象</w:t>
            </w:r>
            <w:r>
              <w:rPr>
                <w:rFonts w:ascii="微軟正黑體" w:hAnsi="微軟正黑體" w:eastAsia="微軟正黑體" w:hint="eastAsia"/>
                <w:position w:val="-2"/>
                <w:sz w:val="24"/>
              </w:rPr>
              <w:t>： </w:t>
            </w:r>
            <w:r>
              <w:rPr>
                <w:rFonts w:ascii="微軟正黑體" w:hAnsi="微軟正黑體" w:eastAsia="微軟正黑體" w:hint="eastAsia"/>
                <w:sz w:val="24"/>
              </w:rPr>
              <w:t>HIV、TNF-α inhibito</w:t>
            </w:r>
            <w:r>
              <w:rPr>
                <w:rFonts w:ascii="微軟正黑體" w:hAnsi="微軟正黑體" w:eastAsia="微軟正黑體" w:hint="eastAsia"/>
                <w:position w:val="3"/>
                <w:sz w:val="24"/>
              </w:rPr>
              <w:t>r、免疫不</w:t>
            </w:r>
            <w:r>
              <w:rPr>
                <w:rFonts w:ascii="微軟正黑體" w:hAnsi="微軟正黑體" w:eastAsia="微軟正黑體" w:hint="eastAsia"/>
                <w:sz w:val="24"/>
              </w:rPr>
              <w:t>全、惡性腫瘤化療、器官移植、未接種卡介苗者；非上述對象者以 ≧ 10mm 為判定標準</w:t>
            </w:r>
          </w:p>
        </w:tc>
        <w:tc>
          <w:tcPr>
            <w:tcW w:w="4329" w:type="dxa"/>
            <w:tcBorders>
              <w:left w:val="single" w:sz="4" w:space="0" w:color="000000"/>
            </w:tcBorders>
          </w:tcPr>
          <w:p>
            <w:pPr>
              <w:pStyle w:val="TableParagraph"/>
              <w:spacing w:line="413" w:lineRule="exact"/>
              <w:ind w:left="-31"/>
              <w:rPr>
                <w:rFonts w:ascii="微軟正黑體" w:hAnsi="微軟正黑體" w:eastAsia="微軟正黑體" w:hint="eastAsia"/>
                <w:sz w:val="24"/>
              </w:rPr>
            </w:pPr>
            <w:r>
              <w:rPr>
                <w:rFonts w:ascii="微軟正黑體" w:hAnsi="微軟正黑體" w:eastAsia="微軟正黑體" w:hint="eastAsia"/>
                <w:sz w:val="24"/>
              </w:rPr>
              <w:t>※檢驗結果及後續措施</w:t>
            </w:r>
          </w:p>
          <w:p>
            <w:pPr>
              <w:pStyle w:val="TableParagraph"/>
              <w:numPr>
                <w:ilvl w:val="0"/>
                <w:numId w:val="30"/>
              </w:numPr>
              <w:tabs>
                <w:tab w:pos="430" w:val="left" w:leader="none"/>
              </w:tabs>
              <w:spacing w:line="416" w:lineRule="exact" w:before="0" w:after="0"/>
              <w:ind w:left="429" w:right="0" w:hanging="241"/>
              <w:jc w:val="left"/>
              <w:rPr>
                <w:rFonts w:ascii="微軟正黑體" w:hAnsi="微軟正黑體" w:eastAsia="微軟正黑體" w:hint="eastAsia"/>
                <w:sz w:val="24"/>
              </w:rPr>
            </w:pPr>
            <w:r>
              <w:rPr>
                <w:rFonts w:ascii="微軟正黑體" w:hAnsi="微軟正黑體" w:eastAsia="微軟正黑體" w:hint="eastAsia"/>
                <w:spacing w:val="-1"/>
                <w:sz w:val="24"/>
              </w:rPr>
              <w:t>陽性：轉介 </w:t>
            </w:r>
            <w:r>
              <w:rPr>
                <w:rFonts w:ascii="微軟正黑體" w:hAnsi="微軟正黑體" w:eastAsia="微軟正黑體" w:hint="eastAsia"/>
                <w:sz w:val="24"/>
              </w:rPr>
              <w:t>LTBI 治療評估</w:t>
            </w:r>
          </w:p>
          <w:p>
            <w:pPr>
              <w:pStyle w:val="TableParagraph"/>
              <w:numPr>
                <w:ilvl w:val="0"/>
                <w:numId w:val="30"/>
              </w:numPr>
              <w:tabs>
                <w:tab w:pos="430" w:val="left" w:leader="none"/>
              </w:tabs>
              <w:spacing w:line="415" w:lineRule="exact" w:before="0" w:after="0"/>
              <w:ind w:left="429" w:right="0" w:hanging="241"/>
              <w:jc w:val="left"/>
              <w:rPr>
                <w:rFonts w:ascii="微軟正黑體" w:hAnsi="微軟正黑體" w:eastAsia="微軟正黑體" w:hint="eastAsia"/>
                <w:sz w:val="24"/>
              </w:rPr>
            </w:pPr>
            <w:r>
              <w:rPr>
                <w:rFonts w:ascii="微軟正黑體" w:hAnsi="微軟正黑體" w:eastAsia="微軟正黑體" w:hint="eastAsia"/>
                <w:sz w:val="24"/>
              </w:rPr>
              <w:t>陰性：衛教自我症狀監測</w:t>
            </w:r>
          </w:p>
          <w:p>
            <w:pPr>
              <w:pStyle w:val="TableParagraph"/>
              <w:numPr>
                <w:ilvl w:val="0"/>
                <w:numId w:val="30"/>
              </w:numPr>
              <w:tabs>
                <w:tab w:pos="430" w:val="left" w:leader="none"/>
              </w:tabs>
              <w:spacing w:line="225" w:lineRule="auto" w:before="6" w:after="0"/>
              <w:ind w:left="429" w:right="100" w:hanging="240"/>
              <w:jc w:val="both"/>
              <w:rPr>
                <w:rFonts w:ascii="微軟正黑體" w:hAnsi="微軟正黑體" w:eastAsia="微軟正黑體" w:hint="eastAsia"/>
                <w:sz w:val="24"/>
              </w:rPr>
            </w:pPr>
            <w:r>
              <w:rPr>
                <w:rFonts w:ascii="微軟正黑體" w:hAnsi="微軟正黑體" w:eastAsia="微軟正黑體" w:hint="eastAsia"/>
                <w:spacing w:val="3"/>
                <w:sz w:val="24"/>
              </w:rPr>
              <w:t>不確定</w:t>
            </w:r>
            <w:r>
              <w:rPr>
                <w:rFonts w:ascii="微軟正黑體" w:hAnsi="微軟正黑體" w:eastAsia="微軟正黑體" w:hint="eastAsia"/>
                <w:sz w:val="24"/>
              </w:rPr>
              <w:t>（indeterminate）：可能因</w:t>
            </w:r>
            <w:r>
              <w:rPr>
                <w:rFonts w:ascii="微軟正黑體" w:hAnsi="微軟正黑體" w:eastAsia="微軟正黑體" w:hint="eastAsia"/>
                <w:spacing w:val="3"/>
                <w:sz w:val="24"/>
              </w:rPr>
              <w:t>免疫力低造成，轉介 </w:t>
            </w:r>
            <w:r>
              <w:rPr>
                <w:rFonts w:ascii="微軟正黑體" w:hAnsi="微軟正黑體" w:eastAsia="微軟正黑體" w:hint="eastAsia"/>
                <w:sz w:val="24"/>
              </w:rPr>
              <w:t>LTBI</w:t>
            </w:r>
            <w:r>
              <w:rPr>
                <w:rFonts w:ascii="微軟正黑體" w:hAnsi="微軟正黑體" w:eastAsia="微軟正黑體" w:hint="eastAsia"/>
                <w:spacing w:val="3"/>
                <w:sz w:val="24"/>
              </w:rPr>
              <w:t> 合作醫師</w:t>
            </w:r>
            <w:r>
              <w:rPr>
                <w:rFonts w:ascii="微軟正黑體" w:hAnsi="微軟正黑體" w:eastAsia="微軟正黑體" w:hint="eastAsia"/>
                <w:sz w:val="24"/>
              </w:rPr>
              <w:t>評估治療</w:t>
            </w:r>
          </w:p>
          <w:p>
            <w:pPr>
              <w:pStyle w:val="TableParagraph"/>
              <w:numPr>
                <w:ilvl w:val="0"/>
                <w:numId w:val="30"/>
              </w:numPr>
              <w:tabs>
                <w:tab w:pos="430" w:val="left" w:leader="none"/>
              </w:tabs>
              <w:spacing w:line="225" w:lineRule="auto" w:before="0" w:after="0"/>
              <w:ind w:left="429" w:right="101" w:hanging="240"/>
              <w:jc w:val="both"/>
              <w:rPr>
                <w:rFonts w:ascii="微軟正黑體" w:hAnsi="微軟正黑體" w:eastAsia="微軟正黑體" w:hint="eastAsia"/>
                <w:sz w:val="24"/>
              </w:rPr>
            </w:pPr>
            <w:r>
              <w:rPr>
                <w:rFonts w:ascii="微軟正黑體" w:hAnsi="微軟正黑體" w:eastAsia="微軟正黑體" w:hint="eastAsia"/>
                <w:position w:val="1"/>
                <w:sz w:val="24"/>
              </w:rPr>
              <w:t>不確定（</w:t>
            </w:r>
            <w:r>
              <w:rPr>
                <w:rFonts w:ascii="Microsoft JhengHei UI" w:hAnsi="Microsoft JhengHei UI" w:eastAsia="Microsoft JhengHei UI" w:hint="eastAsia"/>
                <w:sz w:val="24"/>
              </w:rPr>
              <w:t>nil 值&gt;8.0</w:t>
            </w:r>
            <w:r>
              <w:rPr>
                <w:rFonts w:ascii="Microsoft JhengHei UI" w:hAnsi="Microsoft JhengHei UI" w:eastAsia="Microsoft JhengHei UI" w:hint="eastAsia"/>
                <w:spacing w:val="26"/>
                <w:sz w:val="24"/>
              </w:rPr>
              <w:t> </w:t>
            </w:r>
            <w:r>
              <w:rPr>
                <w:rFonts w:ascii="Microsoft JhengHei UI" w:hAnsi="Microsoft JhengHei UI" w:eastAsia="Microsoft JhengHei UI" w:hint="eastAsia"/>
                <w:sz w:val="24"/>
              </w:rPr>
              <w:t>IU/mL</w:t>
            </w:r>
            <w:r>
              <w:rPr>
                <w:rFonts w:ascii="微軟正黑體" w:hAnsi="微軟正黑體" w:eastAsia="微軟正黑體" w:hint="eastAsia"/>
                <w:position w:val="1"/>
                <w:sz w:val="24"/>
              </w:rPr>
              <w:t>）：若為</w:t>
            </w:r>
            <w:r>
              <w:rPr>
                <w:rFonts w:ascii="微軟正黑體" w:hAnsi="微軟正黑體" w:eastAsia="微軟正黑體" w:hint="eastAsia"/>
                <w:sz w:val="24"/>
              </w:rPr>
              <w:t>採檢操作問題，考慮重新採檢</w:t>
            </w:r>
          </w:p>
          <w:p>
            <w:pPr>
              <w:pStyle w:val="TableParagraph"/>
              <w:spacing w:line="225" w:lineRule="auto"/>
              <w:ind w:left="-31" w:right="99"/>
              <w:jc w:val="both"/>
              <w:rPr>
                <w:rFonts w:ascii="微軟正黑體" w:hAnsi="微軟正黑體" w:eastAsia="微軟正黑體" w:hint="eastAsia"/>
                <w:sz w:val="24"/>
              </w:rPr>
            </w:pPr>
            <w:r>
              <w:rPr>
                <w:rFonts w:ascii="微軟正黑體" w:hAnsi="微軟正黑體" w:eastAsia="微軟正黑體" w:hint="eastAsia"/>
                <w:position w:val="2"/>
                <w:sz w:val="24"/>
              </w:rPr>
              <w:t>※ </w:t>
            </w:r>
            <w:r>
              <w:rPr>
                <w:rFonts w:ascii="微軟正黑體" w:hAnsi="微軟正黑體" w:eastAsia="微軟正黑體" w:hint="eastAsia"/>
                <w:sz w:val="24"/>
              </w:rPr>
              <w:t>檢驗結果出現異常疑義，應主動釐清是否人為/ 實驗室造成( 溫度、時間…等)</w:t>
            </w:r>
          </w:p>
        </w:tc>
      </w:tr>
      <w:tr>
        <w:trPr>
          <w:trHeight w:val="837" w:hRule="atLeast"/>
        </w:trPr>
        <w:tc>
          <w:tcPr>
            <w:tcW w:w="9126" w:type="dxa"/>
            <w:gridSpan w:val="3"/>
          </w:tcPr>
          <w:p>
            <w:pPr>
              <w:pStyle w:val="TableParagraph"/>
              <w:spacing w:line="223" w:lineRule="auto" w:before="4"/>
              <w:ind w:left="4"/>
              <w:rPr>
                <w:rFonts w:ascii="Microsoft JhengHei UI" w:eastAsia="Microsoft JhengHei UI" w:hint="eastAsia"/>
                <w:sz w:val="24"/>
              </w:rPr>
            </w:pPr>
            <w:r>
              <w:rPr>
                <w:rFonts w:ascii="Microsoft JhengHei UI" w:eastAsia="Microsoft JhengHei UI" w:hint="eastAsia"/>
                <w:sz w:val="24"/>
              </w:rPr>
              <w:t>*</w:t>
            </w:r>
            <w:r>
              <w:rPr>
                <w:rFonts w:ascii="Microsoft JhengHei UI" w:eastAsia="Microsoft JhengHei UI" w:hint="eastAsia"/>
                <w:spacing w:val="23"/>
                <w:sz w:val="24"/>
              </w:rPr>
              <w:t> 目前有醫療器材許可證之 </w:t>
            </w:r>
            <w:r>
              <w:rPr>
                <w:rFonts w:ascii="Microsoft JhengHei UI" w:eastAsia="Microsoft JhengHei UI" w:hint="eastAsia"/>
                <w:sz w:val="24"/>
              </w:rPr>
              <w:t>IGRA</w:t>
            </w:r>
            <w:r>
              <w:rPr>
                <w:rFonts w:ascii="Microsoft JhengHei UI" w:eastAsia="Microsoft JhengHei UI" w:hint="eastAsia"/>
                <w:spacing w:val="26"/>
                <w:sz w:val="24"/>
              </w:rPr>
              <w:t> 產品包括 </w:t>
            </w:r>
            <w:r>
              <w:rPr>
                <w:rFonts w:ascii="Microsoft JhengHei UI" w:eastAsia="Microsoft JhengHei UI" w:hint="eastAsia"/>
                <w:sz w:val="24"/>
              </w:rPr>
              <w:t>QuantiFERON-TB</w:t>
            </w:r>
            <w:r>
              <w:rPr>
                <w:rFonts w:ascii="Microsoft JhengHei UI" w:eastAsia="Microsoft JhengHei UI" w:hint="eastAsia"/>
                <w:spacing w:val="57"/>
                <w:sz w:val="24"/>
              </w:rPr>
              <w:t> </w:t>
            </w:r>
            <w:r>
              <w:rPr>
                <w:rFonts w:ascii="Microsoft JhengHei UI" w:eastAsia="Microsoft JhengHei UI" w:hint="eastAsia"/>
                <w:sz w:val="24"/>
              </w:rPr>
              <w:t>Gold</w:t>
            </w:r>
            <w:r>
              <w:rPr>
                <w:rFonts w:ascii="Microsoft JhengHei UI" w:eastAsia="Microsoft JhengHei UI" w:hint="eastAsia"/>
                <w:spacing w:val="58"/>
                <w:sz w:val="24"/>
              </w:rPr>
              <w:t> </w:t>
            </w:r>
            <w:r>
              <w:rPr>
                <w:rFonts w:ascii="Microsoft JhengHei UI" w:eastAsia="Microsoft JhengHei UI" w:hint="eastAsia"/>
                <w:sz w:val="24"/>
              </w:rPr>
              <w:t>Plus（QFT- Plus）</w:t>
            </w:r>
            <w:r>
              <w:rPr>
                <w:rFonts w:ascii="Microsoft JhengHei UI" w:eastAsia="Microsoft JhengHei UI" w:hint="eastAsia"/>
                <w:spacing w:val="-1"/>
                <w:sz w:val="24"/>
              </w:rPr>
              <w:t>及 </w:t>
            </w:r>
            <w:r>
              <w:rPr>
                <w:rFonts w:ascii="Microsoft JhengHei UI" w:eastAsia="Microsoft JhengHei UI" w:hint="eastAsia"/>
                <w:spacing w:val="-6"/>
                <w:sz w:val="24"/>
              </w:rPr>
              <w:t>T-SPOT</w:t>
            </w:r>
            <w:r>
              <w:rPr>
                <w:rFonts w:ascii="Microsoft JhengHei UI" w:eastAsia="Microsoft JhengHei UI" w:hint="eastAsia"/>
                <w:spacing w:val="-4"/>
                <w:sz w:val="24"/>
              </w:rPr>
              <w:t>. </w:t>
            </w:r>
            <w:r>
              <w:rPr>
                <w:rFonts w:ascii="Microsoft JhengHei UI" w:eastAsia="Microsoft JhengHei UI" w:hint="eastAsia"/>
                <w:sz w:val="24"/>
              </w:rPr>
              <w:t>TB，依產品的標準來判斷陽性或不確定（indeterminate）</w:t>
            </w:r>
          </w:p>
        </w:tc>
      </w:tr>
    </w:tbl>
    <w:p>
      <w:pPr>
        <w:spacing w:before="235"/>
        <w:ind w:left="0" w:right="189" w:firstLine="0"/>
        <w:jc w:val="right"/>
        <w:rPr>
          <w:rFonts w:ascii="Arial"/>
          <w:sz w:val="16"/>
        </w:rPr>
      </w:pPr>
      <w:r>
        <w:rPr>
          <w:rFonts w:ascii="Arial"/>
          <w:color w:val="221F1F"/>
          <w:w w:val="99"/>
          <w:sz w:val="16"/>
        </w:rPr>
        <w:t>3</w:t>
      </w:r>
    </w:p>
    <w:p>
      <w:pPr>
        <w:spacing w:after="0"/>
        <w:jc w:val="right"/>
        <w:rPr>
          <w:rFonts w:ascii="Arial"/>
          <w:sz w:val="16"/>
        </w:rPr>
        <w:sectPr>
          <w:pgSz w:w="11920" w:h="16840"/>
          <w:pgMar w:top="1040" w:bottom="280" w:left="200" w:right="220"/>
        </w:sectPr>
      </w:pPr>
    </w:p>
    <w:p>
      <w:pPr>
        <w:pStyle w:val="Heading2"/>
        <w:spacing w:line="392" w:lineRule="exact" w:before="28"/>
        <w:ind w:left="820"/>
        <w:rPr>
          <w:rFonts w:ascii="Microsoft JhengHei UI" w:eastAsia="Microsoft JhengHei UI" w:hint="eastAsia"/>
        </w:rPr>
      </w:pPr>
      <w:r>
        <w:rPr>
          <w:rFonts w:ascii="Microsoft JhengHei UI" w:eastAsia="Microsoft JhengHei UI" w:hint="eastAsia"/>
          <w:color w:val="221F1F"/>
        </w:rPr>
        <w:t>陸、治療評估：</w:t>
      </w:r>
    </w:p>
    <w:p>
      <w:pPr>
        <w:pStyle w:val="BodyText"/>
        <w:spacing w:line="379" w:lineRule="exact"/>
        <w:ind w:left="1171"/>
        <w:rPr>
          <w:rFonts w:ascii="Microsoft JhengHei UI" w:eastAsia="Microsoft JhengHei UI" w:hint="eastAsia"/>
        </w:rPr>
      </w:pPr>
      <w:r>
        <w:rPr>
          <w:rFonts w:ascii="Microsoft JhengHei UI" w:eastAsia="Microsoft JhengHei UI" w:hint="eastAsia"/>
          <w:color w:val="221F1F"/>
        </w:rPr>
        <w:t>一、LTBI </w:t>
      </w:r>
      <w:r>
        <w:rPr>
          <w:rFonts w:ascii="Microsoft JhengHei UI" w:eastAsia="Microsoft JhengHei UI" w:hint="eastAsia"/>
        </w:rPr>
        <w:t>檢驗結果陽性或不確定（indeterminate）者，應併同下列資訊，轉介予合作醫</w:t>
      </w:r>
    </w:p>
    <w:p>
      <w:pPr>
        <w:pStyle w:val="BodyText"/>
        <w:spacing w:line="401" w:lineRule="exact"/>
        <w:ind w:left="1660"/>
        <w:rPr>
          <w:rFonts w:ascii="Microsoft JhengHei UI" w:eastAsia="Microsoft JhengHei UI" w:hint="eastAsia"/>
        </w:rPr>
      </w:pPr>
      <w:r>
        <w:rPr>
          <w:rFonts w:ascii="Microsoft JhengHei UI" w:eastAsia="Microsoft JhengHei UI" w:hint="eastAsia"/>
        </w:rPr>
        <w:t>師進行綜合性治療評估：</w:t>
      </w:r>
    </w:p>
    <w:p>
      <w:pPr>
        <w:pStyle w:val="BodyText"/>
        <w:spacing w:line="225" w:lineRule="auto" w:before="6"/>
        <w:ind w:left="2130" w:right="833" w:hanging="721"/>
        <w:rPr>
          <w:rFonts w:ascii="Microsoft JhengHei UI" w:eastAsia="Microsoft JhengHei UI" w:hint="eastAsia"/>
        </w:rPr>
      </w:pPr>
      <w:r>
        <w:rPr>
          <w:rFonts w:ascii="Microsoft JhengHei UI" w:eastAsia="Microsoft JhengHei UI" w:hint="eastAsia"/>
        </w:rPr>
        <w:t>( 一 ) 指標個案藥敏，包含曾為 isoniazid（INH）或 rifampin（RMP）抗藥或為多重抗藥性結核病（MDR-TB）。</w:t>
      </w:r>
    </w:p>
    <w:p>
      <w:pPr>
        <w:pStyle w:val="BodyText"/>
        <w:spacing w:line="225" w:lineRule="auto" w:before="2"/>
        <w:ind w:left="2130" w:right="835" w:hanging="721"/>
        <w:jc w:val="both"/>
        <w:rPr>
          <w:rFonts w:ascii="Microsoft JhengHei UI" w:eastAsia="Microsoft JhengHei UI" w:hint="eastAsia"/>
        </w:rPr>
      </w:pPr>
      <w:r>
        <w:rPr>
          <w:rFonts w:ascii="Microsoft JhengHei UI" w:eastAsia="Microsoft JhengHei UI" w:hint="eastAsia"/>
        </w:rPr>
        <w:t>( 二 ) 接觸者併有其他高發病風險因子，請參見工作手冊第十一章 ｢ 結核病接觸者追蹤管理 ｣ 附件 11-1｢ 決定結核病接觸者檢查優先順序參考事項 ｣。</w:t>
      </w:r>
    </w:p>
    <w:p>
      <w:pPr>
        <w:pStyle w:val="BodyText"/>
        <w:spacing w:line="223" w:lineRule="auto" w:before="3"/>
        <w:ind w:left="2130" w:right="925" w:hanging="721"/>
        <w:jc w:val="both"/>
        <w:rPr>
          <w:rFonts w:ascii="Microsoft JhengHei UI" w:eastAsia="Microsoft JhengHei UI" w:hint="eastAsia"/>
        </w:rPr>
      </w:pPr>
      <w:r>
        <w:rPr/>
        <w:pict>
          <v:line style="position:absolute;mso-position-horizontal-relative:page;mso-position-vertical-relative:paragraph;z-index:-266355712" from="140.539993pt,31.423416pt" to="152.539993pt,31.423416pt" stroked="true" strokeweight=".600010pt" strokecolor="#000000">
            <v:stroke dashstyle="solid"/>
            <w10:wrap type="none"/>
          </v:line>
        </w:pict>
      </w:r>
      <w:r>
        <w:rPr>
          <w:rFonts w:ascii="Microsoft JhengHei UI" w:eastAsia="Microsoft JhengHei UI" w:hint="eastAsia"/>
        </w:rPr>
        <w:t>( 三 ) 不論是否為接觸者，LTBI 個案之身體健康狀況、目前用藥情形、過去結核病治療情形或、LTBI 治療情形，以及病人對處方的偏好，進行討論後決定。</w:t>
      </w:r>
    </w:p>
    <w:p>
      <w:pPr>
        <w:pStyle w:val="BodyText"/>
        <w:spacing w:line="225" w:lineRule="auto" w:before="1"/>
        <w:ind w:left="1660" w:right="828" w:hanging="489"/>
        <w:jc w:val="both"/>
        <w:rPr>
          <w:rFonts w:ascii="Microsoft JhengHei UI" w:eastAsia="Microsoft JhengHei UI" w:hint="eastAsia"/>
        </w:rPr>
      </w:pPr>
      <w:r>
        <w:rPr>
          <w:rFonts w:ascii="Microsoft JhengHei UI" w:eastAsia="Microsoft JhengHei UI" w:hint="eastAsia"/>
        </w:rPr>
        <w:t>二、LTBI 治療評估時應有最近 1 個月內胸部 X 光檢查結果，胸部 X 光異常疑似結核病者應留痰送細菌學檢</w:t>
      </w:r>
      <w:r>
        <w:rPr>
          <w:rFonts w:ascii="Microsoft JhengHei UI" w:eastAsia="Microsoft JhengHei UI" w:hint="eastAsia"/>
          <w:strike/>
        </w:rPr>
        <w:t>查</w:t>
      </w:r>
      <w:r>
        <w:rPr>
          <w:rFonts w:ascii="Microsoft JhengHei UI" w:eastAsia="Microsoft JhengHei UI" w:hint="eastAsia"/>
          <w:strike w:val="0"/>
        </w:rPr>
        <w:t>驗（無痰可抽胃液或將糞便檢體送檢）；若有疑似肺外結核應盡力完成檢體送驗，於排除結核病後，再給予 LTBI 治療。 避免 LTBI 治療期間結核病發病，導致結核病治療處方不足，造成可能產生之抗藥性。</w:t>
      </w:r>
    </w:p>
    <w:p>
      <w:pPr>
        <w:pStyle w:val="BodyText"/>
        <w:spacing w:line="225" w:lineRule="auto" w:before="1"/>
        <w:ind w:left="1660" w:right="827" w:hanging="489"/>
        <w:jc w:val="both"/>
        <w:rPr>
          <w:rFonts w:ascii="Microsoft JhengHei UI" w:eastAsia="Microsoft JhengHei UI" w:hint="eastAsia"/>
        </w:rPr>
      </w:pPr>
      <w:r>
        <w:rPr>
          <w:rFonts w:ascii="Microsoft JhengHei UI" w:eastAsia="Microsoft JhengHei UI" w:hint="eastAsia"/>
        </w:rPr>
        <w:t>三、曾接受 LTBI 治療者倘疑似發病轉為結核病個案，務必及早進行抗藥性結核菌快速分子檢測，以早期偵測可能之抗藥性。</w:t>
      </w:r>
    </w:p>
    <w:p>
      <w:pPr>
        <w:pStyle w:val="BodyText"/>
        <w:spacing w:before="7"/>
        <w:rPr>
          <w:rFonts w:ascii="Microsoft JhengHei UI"/>
          <w:sz w:val="21"/>
        </w:rPr>
      </w:pPr>
    </w:p>
    <w:p>
      <w:pPr>
        <w:pStyle w:val="BodyText"/>
        <w:spacing w:before="1"/>
        <w:ind w:left="2230"/>
        <w:rPr>
          <w:rFonts w:ascii="Microsoft JhengHei UI" w:eastAsia="Microsoft JhengHei UI" w:hint="eastAsia"/>
        </w:rPr>
      </w:pPr>
      <w:r>
        <w:rPr/>
        <w:pict>
          <v:group style="position:absolute;margin-left:72.75pt;margin-top:26.277248pt;width:466.05pt;height:351.8pt;mso-position-horizontal-relative:page;mso-position-vertical-relative:paragraph;z-index:-251615232;mso-wrap-distance-left:0;mso-wrap-distance-right:0" coordorigin="1455,526" coordsize="9321,7036">
            <v:shape style="position:absolute;left:1455;top:525;width:9321;height:7036" type="#_x0000_t75" stroked="false">
              <v:imagedata r:id="rId26" o:title=""/>
            </v:shape>
            <v:shape style="position:absolute;left:10252;top:1316;width:130;height:220" type="#_x0000_t202" filled="false" stroked="false">
              <v:textbox inset="0,0,0,0">
                <w:txbxContent>
                  <w:p>
                    <w:pPr>
                      <w:spacing w:line="220" w:lineRule="exact" w:before="0"/>
                      <w:ind w:left="0" w:right="0" w:firstLine="0"/>
                      <w:jc w:val="left"/>
                      <w:rPr>
                        <w:rFonts w:ascii="Calibri"/>
                        <w:i/>
                        <w:sz w:val="22"/>
                      </w:rPr>
                    </w:pPr>
                    <w:r>
                      <w:rPr>
                        <w:rFonts w:ascii="Calibri"/>
                        <w:i/>
                        <w:w w:val="99"/>
                        <w:sz w:val="22"/>
                      </w:rPr>
                      <w:t>#</w:t>
                    </w:r>
                  </w:p>
                </w:txbxContent>
              </v:textbox>
              <w10:wrap type="none"/>
            </v:shape>
            <v:shape style="position:absolute;left:10328;top:6181;width:130;height:220" type="#_x0000_t202" filled="false" stroked="false">
              <v:textbox inset="0,0,0,0">
                <w:txbxContent>
                  <w:p>
                    <w:pPr>
                      <w:spacing w:line="220" w:lineRule="exact" w:before="0"/>
                      <w:ind w:left="0" w:right="0" w:firstLine="0"/>
                      <w:jc w:val="left"/>
                      <w:rPr>
                        <w:rFonts w:ascii="Calibri"/>
                        <w:i/>
                        <w:sz w:val="22"/>
                      </w:rPr>
                    </w:pPr>
                    <w:r>
                      <w:rPr>
                        <w:rFonts w:ascii="Calibri"/>
                        <w:i/>
                        <w:w w:val="99"/>
                        <w:sz w:val="22"/>
                      </w:rPr>
                      <w:t>#</w:t>
                    </w:r>
                  </w:p>
                </w:txbxContent>
              </v:textbox>
              <w10:wrap type="none"/>
            </v:shape>
            <w10:wrap type="topAndBottom"/>
          </v:group>
        </w:pict>
      </w:r>
      <w:r>
        <w:rPr>
          <w:rFonts w:ascii="Microsoft JhengHei UI" w:eastAsia="Microsoft JhengHei UI" w:hint="eastAsia"/>
        </w:rPr>
        <w:t>圖 1、「接觸者」 LTBI 檢驗與治療流程</w:t>
      </w:r>
    </w:p>
    <w:p>
      <w:pPr>
        <w:pStyle w:val="BodyText"/>
        <w:spacing w:line="223" w:lineRule="auto"/>
        <w:ind w:left="1840" w:right="1076" w:hanging="360"/>
        <w:rPr>
          <w:rFonts w:ascii="Microsoft JhengHei UI" w:eastAsia="Microsoft JhengHei UI" w:hint="eastAsia"/>
        </w:rPr>
      </w:pPr>
      <w:r>
        <w:rPr>
          <w:rFonts w:ascii="Microsoft JhengHei UI" w:eastAsia="Microsoft JhengHei UI" w:hint="eastAsia"/>
        </w:rPr>
        <w:t>#：指標個案若為 MDR-TB，此類接觸者應每隔半年進行 1 次胸部 X 光檢查，且持續追蹤至與指標個案停止接觸後 2 年或指標個案痰培養陰轉後 2 年。</w:t>
      </w:r>
    </w:p>
    <w:p>
      <w:pPr>
        <w:pStyle w:val="BodyText"/>
        <w:spacing w:before="5"/>
        <w:rPr>
          <w:rFonts w:ascii="Microsoft JhengHei UI"/>
          <w:sz w:val="22"/>
        </w:rPr>
      </w:pPr>
    </w:p>
    <w:p>
      <w:pPr>
        <w:spacing w:before="95"/>
        <w:ind w:left="110" w:right="0" w:firstLine="0"/>
        <w:jc w:val="left"/>
        <w:rPr>
          <w:rFonts w:ascii="Arial"/>
          <w:sz w:val="16"/>
        </w:rPr>
      </w:pPr>
      <w:r>
        <w:rPr>
          <w:rFonts w:ascii="Arial"/>
          <w:color w:val="221F1F"/>
          <w:w w:val="99"/>
          <w:sz w:val="16"/>
        </w:rPr>
        <w:t>4</w:t>
      </w:r>
    </w:p>
    <w:p>
      <w:pPr>
        <w:spacing w:after="0"/>
        <w:jc w:val="left"/>
        <w:rPr>
          <w:rFonts w:ascii="Arial"/>
          <w:sz w:val="16"/>
        </w:rPr>
        <w:sectPr>
          <w:pgSz w:w="11920" w:h="16840"/>
          <w:pgMar w:top="980" w:bottom="280" w:left="200" w:right="220"/>
        </w:sectPr>
      </w:pPr>
    </w:p>
    <w:p>
      <w:pPr>
        <w:pStyle w:val="BodyText"/>
        <w:spacing w:before="22"/>
        <w:ind w:left="1410"/>
        <w:rPr>
          <w:rFonts w:ascii="Microsoft JhengHei UI" w:eastAsia="Microsoft JhengHei UI" w:hint="eastAsia"/>
        </w:rPr>
      </w:pPr>
      <w:r>
        <w:rPr>
          <w:rFonts w:ascii="Microsoft JhengHei UI" w:eastAsia="Microsoft JhengHei UI" w:hint="eastAsia"/>
        </w:rPr>
        <w:t>圖 2、「非接觸者之風險族群」LTBI 檢驗與治療流程</w:t>
      </w:r>
    </w:p>
    <w:p>
      <w:pPr>
        <w:pStyle w:val="BodyText"/>
        <w:spacing w:before="15"/>
        <w:rPr>
          <w:rFonts w:ascii="Microsoft JhengHei UI"/>
          <w:sz w:val="5"/>
        </w:rPr>
      </w:pPr>
      <w:r>
        <w:rPr/>
        <w:drawing>
          <wp:anchor distT="0" distB="0" distL="0" distR="0" allowOverlap="1" layoutInCell="1" locked="0" behindDoc="0" simplePos="0" relativeHeight="44">
            <wp:simplePos x="0" y="0"/>
            <wp:positionH relativeFrom="page">
              <wp:posOffset>741044</wp:posOffset>
            </wp:positionH>
            <wp:positionV relativeFrom="paragraph">
              <wp:posOffset>91113</wp:posOffset>
            </wp:positionV>
            <wp:extent cx="6140442" cy="4652295"/>
            <wp:effectExtent l="0" t="0" r="0" b="0"/>
            <wp:wrapTopAndBottom/>
            <wp:docPr id="9" name="image23.jpeg"/>
            <wp:cNvGraphicFramePr>
              <a:graphicFrameLocks noChangeAspect="1"/>
            </wp:cNvGraphicFramePr>
            <a:graphic>
              <a:graphicData uri="http://schemas.openxmlformats.org/drawingml/2006/picture">
                <pic:pic>
                  <pic:nvPicPr>
                    <pic:cNvPr id="10" name="image23.jpeg"/>
                    <pic:cNvPicPr/>
                  </pic:nvPicPr>
                  <pic:blipFill>
                    <a:blip r:embed="rId27" cstate="print"/>
                    <a:stretch>
                      <a:fillRect/>
                    </a:stretch>
                  </pic:blipFill>
                  <pic:spPr>
                    <a:xfrm>
                      <a:off x="0" y="0"/>
                      <a:ext cx="6140442" cy="4652295"/>
                    </a:xfrm>
                    <a:prstGeom prst="rect">
                      <a:avLst/>
                    </a:prstGeom>
                  </pic:spPr>
                </pic:pic>
              </a:graphicData>
            </a:graphic>
          </wp:anchor>
        </w:drawing>
      </w:r>
    </w:p>
    <w:p>
      <w:pPr>
        <w:pStyle w:val="BodyText"/>
        <w:spacing w:before="10"/>
        <w:rPr>
          <w:rFonts w:ascii="Microsoft JhengHei UI"/>
          <w:sz w:val="15"/>
        </w:rPr>
      </w:pPr>
    </w:p>
    <w:p>
      <w:pPr>
        <w:pStyle w:val="Heading2"/>
        <w:spacing w:line="414" w:lineRule="exact" w:before="39"/>
        <w:ind w:left="934"/>
        <w:rPr>
          <w:rFonts w:ascii="Microsoft JhengHei UI" w:eastAsia="Microsoft JhengHei UI" w:hint="eastAsia"/>
        </w:rPr>
      </w:pPr>
      <w:r>
        <w:rPr>
          <w:rFonts w:ascii="Microsoft JhengHei UI" w:eastAsia="Microsoft JhengHei UI" w:hint="eastAsia"/>
          <w:color w:val="221F1F"/>
        </w:rPr>
        <w:t>柒、LTBI 治療</w:t>
      </w:r>
      <w:r>
        <w:rPr>
          <w:rFonts w:ascii="Microsoft JhengHei UI" w:eastAsia="Microsoft JhengHei UI" w:hint="eastAsia"/>
        </w:rPr>
        <w:t>處方：</w:t>
      </w:r>
    </w:p>
    <w:p>
      <w:pPr>
        <w:pStyle w:val="BodyText"/>
        <w:spacing w:line="225" w:lineRule="auto" w:before="6"/>
        <w:ind w:left="1882" w:right="974" w:hanging="489"/>
        <w:rPr>
          <w:rFonts w:ascii="Microsoft JhengHei UI" w:eastAsia="Microsoft JhengHei UI" w:hint="eastAsia"/>
        </w:rPr>
      </w:pPr>
      <w:r>
        <w:rPr>
          <w:rFonts w:ascii="Microsoft JhengHei UI" w:eastAsia="Microsoft JhengHei UI" w:hint="eastAsia"/>
        </w:rPr>
        <w:t>一、目前主要治療處方有 7 種，請參見結核病診治指引第十章｢潛伏結核感染（LTBI） 診斷與治療｣。短程處方安全、有效且完治率較高，除指標個案具抗藥或有其他 限制外，應優先考慮使用短程處方（如表 4）。</w:t>
      </w:r>
    </w:p>
    <w:p>
      <w:pPr>
        <w:pStyle w:val="BodyText"/>
        <w:spacing w:line="389" w:lineRule="exact"/>
        <w:ind w:left="1980"/>
        <w:rPr>
          <w:rFonts w:ascii="Microsoft JhengHei UI" w:eastAsia="Microsoft JhengHei UI" w:hint="eastAsia"/>
        </w:rPr>
      </w:pPr>
      <w:r>
        <w:rPr>
          <w:rFonts w:ascii="Microsoft JhengHei UI" w:eastAsia="Microsoft JhengHei UI" w:hint="eastAsia"/>
        </w:rPr>
        <w:t>( 一 ) 1 個 月 isoniazid + rifapentine 處 方 （1HP）： 每 日 合 併 服 用</w:t>
      </w:r>
    </w:p>
    <w:p>
      <w:pPr>
        <w:pStyle w:val="BodyText"/>
        <w:spacing w:line="399" w:lineRule="exact"/>
        <w:ind w:left="2700"/>
        <w:rPr>
          <w:rFonts w:ascii="Microsoft JhengHei UI" w:eastAsia="Microsoft JhengHei UI" w:hint="eastAsia"/>
        </w:rPr>
      </w:pPr>
      <w:r>
        <w:rPr>
          <w:rFonts w:ascii="Microsoft JhengHei UI" w:eastAsia="Microsoft JhengHei UI" w:hint="eastAsia"/>
        </w:rPr>
        <w:t>isoniazid 及 rifapentine 一次，持續 28 天，計 28 個劑次之處方。</w:t>
      </w:r>
    </w:p>
    <w:p>
      <w:pPr>
        <w:pStyle w:val="BodyText"/>
        <w:spacing w:line="399" w:lineRule="exact"/>
        <w:ind w:left="1980"/>
        <w:rPr>
          <w:rFonts w:ascii="Microsoft JhengHei UI" w:eastAsia="Microsoft JhengHei UI" w:hint="eastAsia"/>
        </w:rPr>
      </w:pPr>
      <w:r>
        <w:rPr>
          <w:rFonts w:ascii="Microsoft JhengHei UI" w:eastAsia="Microsoft JhengHei UI" w:hint="eastAsia"/>
        </w:rPr>
        <w:t>( 二 ) 3 個月 isoniazid + rifapentine 處方（3HP）： 每週合併服用高劑量</w:t>
      </w:r>
    </w:p>
    <w:p>
      <w:pPr>
        <w:pStyle w:val="BodyText"/>
        <w:spacing w:line="399" w:lineRule="exact"/>
        <w:ind w:left="2700"/>
        <w:rPr>
          <w:rFonts w:ascii="Microsoft JhengHei UI" w:eastAsia="Microsoft JhengHei UI" w:hint="eastAsia"/>
        </w:rPr>
      </w:pPr>
      <w:r>
        <w:rPr>
          <w:rFonts w:ascii="Microsoft JhengHei UI" w:eastAsia="Microsoft JhengHei UI" w:hint="eastAsia"/>
        </w:rPr>
        <w:t>isoniazid 及 rifapentine 一次，持續 3 個月，計 12 個劑次之處方。</w:t>
      </w:r>
    </w:p>
    <w:p>
      <w:pPr>
        <w:pStyle w:val="BodyText"/>
        <w:spacing w:line="225" w:lineRule="auto" w:before="6"/>
        <w:ind w:left="2700" w:right="1217" w:hanging="720"/>
        <w:jc w:val="both"/>
        <w:rPr>
          <w:rFonts w:ascii="Microsoft JhengHei UI" w:eastAsia="Microsoft JhengHei UI" w:hint="eastAsia"/>
        </w:rPr>
      </w:pPr>
      <w:r>
        <w:rPr>
          <w:rFonts w:ascii="Microsoft JhengHei UI" w:eastAsia="Microsoft JhengHei UI" w:hint="eastAsia"/>
        </w:rPr>
        <w:t>( 三) 4 個月 rifampin 處方（4R）：每日服用 rifampin 一次，持續 4 個月， 計 120 個劑次之處方。</w:t>
      </w:r>
    </w:p>
    <w:p>
      <w:pPr>
        <w:pStyle w:val="BodyText"/>
        <w:spacing w:line="225" w:lineRule="auto" w:before="1"/>
        <w:ind w:left="2700" w:right="1217" w:hanging="720"/>
        <w:jc w:val="both"/>
        <w:rPr>
          <w:rFonts w:ascii="Microsoft JhengHei UI" w:eastAsia="Microsoft JhengHei UI" w:hint="eastAsia"/>
        </w:rPr>
      </w:pPr>
      <w:r>
        <w:rPr>
          <w:rFonts w:ascii="Microsoft JhengHei UI" w:eastAsia="Microsoft JhengHei UI" w:hint="eastAsia"/>
          <w:spacing w:val="14"/>
        </w:rPr>
        <w:t>( 四) </w:t>
      </w:r>
      <w:r>
        <w:rPr>
          <w:rFonts w:ascii="Microsoft JhengHei UI" w:eastAsia="Microsoft JhengHei UI" w:hint="eastAsia"/>
        </w:rPr>
        <w:t>3</w:t>
      </w:r>
      <w:r>
        <w:rPr>
          <w:rFonts w:ascii="Microsoft JhengHei UI" w:eastAsia="Microsoft JhengHei UI" w:hint="eastAsia"/>
          <w:spacing w:val="1"/>
        </w:rPr>
        <w:t> 個月</w:t>
      </w:r>
      <w:r>
        <w:rPr>
          <w:rFonts w:ascii="Microsoft JhengHei UI" w:eastAsia="Microsoft JhengHei UI" w:hint="eastAsia"/>
        </w:rPr>
        <w:t>isoniazid</w:t>
      </w:r>
      <w:r>
        <w:rPr>
          <w:rFonts w:ascii="Microsoft JhengHei UI" w:eastAsia="Microsoft JhengHei UI" w:hint="eastAsia"/>
          <w:spacing w:val="-8"/>
        </w:rPr>
        <w:t> + </w:t>
      </w:r>
      <w:r>
        <w:rPr>
          <w:rFonts w:ascii="Microsoft JhengHei UI" w:eastAsia="Microsoft JhengHei UI" w:hint="eastAsia"/>
        </w:rPr>
        <w:t>rifampin</w:t>
      </w:r>
      <w:r>
        <w:rPr>
          <w:rFonts w:ascii="Microsoft JhengHei UI" w:eastAsia="Microsoft JhengHei UI" w:hint="eastAsia"/>
          <w:spacing w:val="-23"/>
        </w:rPr>
        <w:t> 處方</w:t>
      </w:r>
      <w:r>
        <w:rPr>
          <w:rFonts w:ascii="Microsoft JhengHei UI" w:eastAsia="Microsoft JhengHei UI" w:hint="eastAsia"/>
          <w:spacing w:val="-21"/>
        </w:rPr>
        <w:t>（3HR）</w:t>
      </w:r>
      <w:r>
        <w:rPr>
          <w:rFonts w:ascii="Microsoft JhengHei UI" w:eastAsia="Microsoft JhengHei UI" w:hint="eastAsia"/>
          <w:spacing w:val="1"/>
        </w:rPr>
        <w:t>：每日服用</w:t>
      </w:r>
      <w:r>
        <w:rPr>
          <w:rFonts w:ascii="Microsoft JhengHei UI" w:eastAsia="Microsoft JhengHei UI" w:hint="eastAsia"/>
        </w:rPr>
        <w:t>isoniazid</w:t>
      </w:r>
      <w:r>
        <w:rPr>
          <w:rFonts w:ascii="Microsoft JhengHei UI" w:eastAsia="Microsoft JhengHei UI" w:hint="eastAsia"/>
          <w:spacing w:val="3"/>
        </w:rPr>
        <w:t> 及</w:t>
      </w:r>
      <w:r>
        <w:rPr>
          <w:rFonts w:ascii="Microsoft JhengHei UI" w:eastAsia="Microsoft JhengHei UI" w:hint="eastAsia"/>
        </w:rPr>
        <w:t>rifampin </w:t>
      </w:r>
      <w:r>
        <w:rPr>
          <w:rFonts w:ascii="Microsoft JhengHei UI" w:eastAsia="Microsoft JhengHei UI" w:hint="eastAsia"/>
          <w:spacing w:val="1"/>
        </w:rPr>
        <w:t>一次， 持續 </w:t>
      </w:r>
      <w:r>
        <w:rPr>
          <w:rFonts w:ascii="Microsoft JhengHei UI" w:eastAsia="Microsoft JhengHei UI" w:hint="eastAsia"/>
        </w:rPr>
        <w:t>3</w:t>
      </w:r>
      <w:r>
        <w:rPr>
          <w:rFonts w:ascii="Microsoft JhengHei UI" w:eastAsia="Microsoft JhengHei UI" w:hint="eastAsia"/>
          <w:spacing w:val="1"/>
        </w:rPr>
        <w:t> 個月，計 </w:t>
      </w:r>
      <w:r>
        <w:rPr>
          <w:rFonts w:ascii="Microsoft JhengHei UI" w:eastAsia="Microsoft JhengHei UI" w:hint="eastAsia"/>
        </w:rPr>
        <w:t>90 個劑次，可依體重使用 INH+RMP 二合一劑型。</w:t>
      </w:r>
    </w:p>
    <w:p>
      <w:pPr>
        <w:pStyle w:val="BodyText"/>
        <w:spacing w:line="225" w:lineRule="auto" w:before="1"/>
        <w:ind w:left="2700" w:right="1229" w:hanging="720"/>
        <w:jc w:val="both"/>
        <w:rPr>
          <w:rFonts w:ascii="Microsoft JhengHei UI" w:eastAsia="Microsoft JhengHei UI" w:hint="eastAsia"/>
        </w:rPr>
      </w:pPr>
      <w:r>
        <w:rPr>
          <w:rFonts w:ascii="Microsoft JhengHei UI" w:eastAsia="Microsoft JhengHei UI" w:hint="eastAsia"/>
          <w:spacing w:val="19"/>
        </w:rPr>
        <w:t>( 五) </w:t>
      </w:r>
      <w:r>
        <w:rPr>
          <w:rFonts w:ascii="Microsoft JhengHei UI" w:eastAsia="Microsoft JhengHei UI" w:hint="eastAsia"/>
        </w:rPr>
        <w:t>6 個月 isoniazid</w:t>
      </w:r>
      <w:r>
        <w:rPr>
          <w:rFonts w:ascii="Microsoft JhengHei UI" w:eastAsia="Microsoft JhengHei UI" w:hint="eastAsia"/>
          <w:spacing w:val="3"/>
        </w:rPr>
        <w:t> 處方</w:t>
      </w:r>
      <w:r>
        <w:rPr>
          <w:rFonts w:ascii="Microsoft JhengHei UI" w:eastAsia="Microsoft JhengHei UI" w:hint="eastAsia"/>
        </w:rPr>
        <w:t>（6H）</w:t>
      </w:r>
      <w:r>
        <w:rPr>
          <w:rFonts w:ascii="Microsoft JhengHei UI" w:eastAsia="Microsoft JhengHei UI" w:hint="eastAsia"/>
          <w:spacing w:val="5"/>
        </w:rPr>
        <w:t>：每日服用 </w:t>
      </w:r>
      <w:r>
        <w:rPr>
          <w:rFonts w:ascii="Microsoft JhengHei UI" w:eastAsia="Microsoft JhengHei UI" w:hint="eastAsia"/>
        </w:rPr>
        <w:t>isoniazid</w:t>
      </w:r>
      <w:r>
        <w:rPr>
          <w:rFonts w:ascii="Microsoft JhengHei UI" w:eastAsia="Microsoft JhengHei UI" w:hint="eastAsia"/>
          <w:spacing w:val="3"/>
        </w:rPr>
        <w:t> 一次，持續 </w:t>
      </w:r>
      <w:r>
        <w:rPr>
          <w:rFonts w:ascii="Microsoft JhengHei UI" w:eastAsia="Microsoft JhengHei UI" w:hint="eastAsia"/>
        </w:rPr>
        <w:t>6</w:t>
      </w:r>
      <w:r>
        <w:rPr>
          <w:rFonts w:ascii="Microsoft JhengHei UI" w:eastAsia="Microsoft JhengHei UI" w:hint="eastAsia"/>
          <w:spacing w:val="1"/>
        </w:rPr>
        <w:t> 個月， </w:t>
      </w:r>
      <w:r>
        <w:rPr>
          <w:rFonts w:ascii="Microsoft JhengHei UI" w:eastAsia="Microsoft JhengHei UI" w:hint="eastAsia"/>
          <w:spacing w:val="1"/>
          <w:position w:val="1"/>
        </w:rPr>
        <w:t>計 </w:t>
      </w:r>
      <w:r>
        <w:rPr>
          <w:rFonts w:ascii="Microsoft JhengHei UI" w:eastAsia="Microsoft JhengHei UI" w:hint="eastAsia"/>
          <w:position w:val="1"/>
        </w:rPr>
        <w:t>180 </w:t>
      </w:r>
      <w:r>
        <w:rPr>
          <w:rFonts w:ascii="Microsoft JhengHei UI" w:eastAsia="Microsoft JhengHei UI" w:hint="eastAsia"/>
        </w:rPr>
        <w:t>個劑</w:t>
      </w:r>
      <w:r>
        <w:rPr>
          <w:rFonts w:ascii="Microsoft JhengHei UI" w:eastAsia="Microsoft JhengHei UI" w:hint="eastAsia"/>
          <w:position w:val="1"/>
        </w:rPr>
        <w:t>次</w:t>
      </w:r>
      <w:r>
        <w:rPr>
          <w:rFonts w:ascii="Microsoft JhengHei UI" w:eastAsia="Microsoft JhengHei UI" w:hint="eastAsia"/>
        </w:rPr>
        <w:t>之處方。</w:t>
      </w:r>
    </w:p>
    <w:p>
      <w:pPr>
        <w:pStyle w:val="BodyText"/>
        <w:spacing w:line="223" w:lineRule="auto" w:before="8"/>
        <w:ind w:left="2700" w:right="1229" w:hanging="720"/>
        <w:jc w:val="both"/>
        <w:rPr>
          <w:rFonts w:ascii="Microsoft JhengHei UI" w:eastAsia="Microsoft JhengHei UI" w:hint="eastAsia"/>
        </w:rPr>
      </w:pPr>
      <w:r>
        <w:rPr>
          <w:rFonts w:ascii="Microsoft JhengHei UI" w:eastAsia="Microsoft JhengHei UI" w:hint="eastAsia"/>
          <w:spacing w:val="12"/>
        </w:rPr>
        <w:t>( 六) </w:t>
      </w:r>
      <w:r>
        <w:rPr>
          <w:rFonts w:ascii="Microsoft JhengHei UI" w:eastAsia="Microsoft JhengHei UI" w:hint="eastAsia"/>
        </w:rPr>
        <w:t>9</w:t>
      </w:r>
      <w:r>
        <w:rPr>
          <w:rFonts w:ascii="Microsoft JhengHei UI" w:eastAsia="Microsoft JhengHei UI" w:hint="eastAsia"/>
          <w:spacing w:val="-2"/>
        </w:rPr>
        <w:t> 個月 </w:t>
      </w:r>
      <w:r>
        <w:rPr>
          <w:rFonts w:ascii="Microsoft JhengHei UI" w:eastAsia="Microsoft JhengHei UI" w:hint="eastAsia"/>
        </w:rPr>
        <w:t>isoniazid</w:t>
      </w:r>
      <w:r>
        <w:rPr>
          <w:rFonts w:ascii="Microsoft JhengHei UI" w:eastAsia="Microsoft JhengHei UI" w:hint="eastAsia"/>
          <w:spacing w:val="2"/>
        </w:rPr>
        <w:t> 處方</w:t>
      </w:r>
      <w:r>
        <w:rPr>
          <w:rFonts w:ascii="Microsoft JhengHei UI" w:eastAsia="Microsoft JhengHei UI" w:hint="eastAsia"/>
        </w:rPr>
        <w:t>（9H）</w:t>
      </w:r>
      <w:r>
        <w:rPr>
          <w:rFonts w:ascii="Microsoft JhengHei UI" w:eastAsia="Microsoft JhengHei UI" w:hint="eastAsia"/>
          <w:spacing w:val="4"/>
        </w:rPr>
        <w:t>：每日服用 </w:t>
      </w:r>
      <w:r>
        <w:rPr>
          <w:rFonts w:ascii="Microsoft JhengHei UI" w:eastAsia="Microsoft JhengHei UI" w:hint="eastAsia"/>
        </w:rPr>
        <w:t>isoniazid</w:t>
      </w:r>
      <w:r>
        <w:rPr>
          <w:rFonts w:ascii="Microsoft JhengHei UI" w:eastAsia="Microsoft JhengHei UI" w:hint="eastAsia"/>
          <w:spacing w:val="2"/>
        </w:rPr>
        <w:t> 一次，持續 </w:t>
      </w:r>
      <w:r>
        <w:rPr>
          <w:rFonts w:ascii="Microsoft JhengHei UI" w:eastAsia="Microsoft JhengHei UI" w:hint="eastAsia"/>
        </w:rPr>
        <w:t>9</w:t>
      </w:r>
      <w:r>
        <w:rPr>
          <w:rFonts w:ascii="Microsoft JhengHei UI" w:eastAsia="Microsoft JhengHei UI" w:hint="eastAsia"/>
          <w:spacing w:val="1"/>
        </w:rPr>
        <w:t> 個月， 計 </w:t>
      </w:r>
      <w:r>
        <w:rPr>
          <w:rFonts w:ascii="Microsoft JhengHei UI" w:eastAsia="Microsoft JhengHei UI" w:hint="eastAsia"/>
        </w:rPr>
        <w:t>270</w:t>
      </w:r>
      <w:r>
        <w:rPr>
          <w:rFonts w:ascii="Microsoft JhengHei UI" w:eastAsia="Microsoft JhengHei UI" w:hint="eastAsia"/>
          <w:spacing w:val="-1"/>
        </w:rPr>
        <w:t> 個劑次之處方。</w:t>
      </w:r>
    </w:p>
    <w:p>
      <w:pPr>
        <w:spacing w:before="105"/>
        <w:ind w:left="0" w:right="189" w:firstLine="0"/>
        <w:jc w:val="right"/>
        <w:rPr>
          <w:rFonts w:ascii="Arial"/>
          <w:sz w:val="16"/>
        </w:rPr>
      </w:pPr>
      <w:r>
        <w:rPr>
          <w:rFonts w:ascii="Arial"/>
          <w:color w:val="221F1F"/>
          <w:w w:val="99"/>
          <w:sz w:val="16"/>
        </w:rPr>
        <w:t>5</w:t>
      </w:r>
    </w:p>
    <w:p>
      <w:pPr>
        <w:spacing w:after="0"/>
        <w:jc w:val="right"/>
        <w:rPr>
          <w:rFonts w:ascii="Arial"/>
          <w:sz w:val="16"/>
        </w:rPr>
        <w:sectPr>
          <w:pgSz w:w="11920" w:h="16840"/>
          <w:pgMar w:top="1040" w:bottom="280" w:left="200" w:right="220"/>
        </w:sectPr>
      </w:pPr>
    </w:p>
    <w:p>
      <w:pPr>
        <w:pStyle w:val="BodyText"/>
        <w:spacing w:line="223" w:lineRule="auto" w:before="46"/>
        <w:ind w:left="2700" w:right="1217" w:hanging="720"/>
        <w:jc w:val="both"/>
        <w:rPr>
          <w:rFonts w:ascii="Microsoft JhengHei UI" w:eastAsia="Microsoft JhengHei UI" w:hint="eastAsia"/>
        </w:rPr>
      </w:pPr>
      <w:r>
        <w:rPr/>
        <w:pict>
          <v:line style="position:absolute;mso-position-horizontal-relative:page;mso-position-vertical-relative:paragraph;z-index:-266353664" from="368.019989pt,92.993416pt" to="380.019989pt,92.993416pt" stroked="true" strokeweight=".600010pt" strokecolor="#000000">
            <v:stroke dashstyle="solid"/>
            <w10:wrap type="none"/>
          </v:line>
        </w:pict>
      </w:r>
      <w:r>
        <w:rPr>
          <w:rFonts w:ascii="Microsoft JhengHei UI" w:eastAsia="Microsoft JhengHei UI" w:hint="eastAsia"/>
          <w:color w:val="221F1F"/>
          <w:spacing w:val="18"/>
        </w:rPr>
        <w:t>( 七 ) </w:t>
      </w:r>
      <w:r>
        <w:rPr>
          <w:rFonts w:ascii="Microsoft JhengHei UI" w:eastAsia="Microsoft JhengHei UI" w:hint="eastAsia"/>
          <w:color w:val="221F1F"/>
        </w:rPr>
        <w:t>9</w:t>
      </w:r>
      <w:r>
        <w:rPr>
          <w:rFonts w:ascii="Microsoft JhengHei UI" w:eastAsia="Microsoft JhengHei UI" w:hint="eastAsia"/>
          <w:color w:val="221F1F"/>
          <w:spacing w:val="19"/>
        </w:rPr>
        <w:t> 個月 </w:t>
      </w:r>
      <w:r>
        <w:rPr>
          <w:rFonts w:ascii="Microsoft JhengHei UI" w:eastAsia="Microsoft JhengHei UI" w:hint="eastAsia"/>
          <w:color w:val="221F1F"/>
        </w:rPr>
        <w:t>fluoroquinolone</w:t>
      </w:r>
      <w:r>
        <w:rPr>
          <w:rFonts w:ascii="Microsoft JhengHei UI" w:eastAsia="Microsoft JhengHei UI" w:hint="eastAsia"/>
          <w:color w:val="221F1F"/>
          <w:spacing w:val="28"/>
        </w:rPr>
        <w:t> 類藥品處方</w:t>
      </w:r>
      <w:r>
        <w:rPr>
          <w:rFonts w:ascii="Microsoft JhengHei UI" w:eastAsia="Microsoft JhengHei UI" w:hint="eastAsia"/>
          <w:color w:val="221F1F"/>
        </w:rPr>
        <w:t>（ </w:t>
      </w:r>
      <w:r>
        <w:rPr>
          <w:rFonts w:ascii="Microsoft JhengHei UI" w:eastAsia="Microsoft JhengHei UI" w:hint="eastAsia"/>
          <w:color w:val="221F1F"/>
          <w:spacing w:val="8"/>
        </w:rPr>
        <w:t>9FQ </w:t>
      </w:r>
      <w:r>
        <w:rPr>
          <w:rFonts w:ascii="Microsoft JhengHei UI" w:eastAsia="Microsoft JhengHei UI" w:hint="eastAsia"/>
          <w:color w:val="221F1F"/>
          <w:spacing w:val="13"/>
        </w:rPr>
        <w:t>（+/</w:t>
      </w:r>
      <w:r>
        <w:rPr>
          <w:rFonts w:ascii="Microsoft JhengHei UI" w:eastAsia="Microsoft JhengHei UI" w:hint="eastAsia"/>
          <w:color w:val="221F1F"/>
          <w:spacing w:val="43"/>
        </w:rPr>
        <w:t>- </w:t>
      </w:r>
      <w:r>
        <w:rPr>
          <w:rFonts w:ascii="Microsoft JhengHei UI" w:eastAsia="Microsoft JhengHei UI" w:hint="eastAsia"/>
          <w:color w:val="221F1F"/>
          <w:spacing w:val="17"/>
        </w:rPr>
        <w:t>EMB</w:t>
      </w:r>
      <w:r>
        <w:rPr>
          <w:rFonts w:ascii="Microsoft JhengHei UI" w:eastAsia="Microsoft JhengHei UI" w:hint="eastAsia"/>
          <w:color w:val="221F1F"/>
          <w:spacing w:val="30"/>
        </w:rPr>
        <w:t>、</w:t>
      </w:r>
      <w:r>
        <w:rPr>
          <w:rFonts w:ascii="Microsoft JhengHei UI" w:eastAsia="Microsoft JhengHei UI" w:hint="eastAsia"/>
          <w:color w:val="221F1F"/>
          <w:spacing w:val="8"/>
        </w:rPr>
        <w:t>PTO</w:t>
      </w:r>
      <w:r>
        <w:rPr>
          <w:rFonts w:ascii="Microsoft JhengHei UI" w:eastAsia="Microsoft JhengHei UI" w:hint="eastAsia"/>
          <w:color w:val="221F1F"/>
          <w:spacing w:val="73"/>
        </w:rPr>
        <w:t> </w:t>
      </w:r>
      <w:r>
        <w:rPr>
          <w:rFonts w:ascii="Microsoft JhengHei UI" w:eastAsia="Microsoft JhengHei UI" w:hint="eastAsia"/>
          <w:color w:val="221F1F"/>
          <w:spacing w:val="6"/>
        </w:rPr>
        <w:t>or </w:t>
      </w:r>
      <w:r>
        <w:rPr>
          <w:rFonts w:ascii="Microsoft JhengHei UI" w:eastAsia="Microsoft JhengHei UI" w:hint="eastAsia"/>
          <w:color w:val="221F1F"/>
          <w:spacing w:val="12"/>
        </w:rPr>
        <w:t>CS））</w:t>
      </w:r>
      <w:r>
        <w:rPr>
          <w:rFonts w:ascii="Microsoft JhengHei UI" w:eastAsia="Microsoft JhengHei UI" w:hint="eastAsia"/>
          <w:color w:val="221F1F"/>
          <w:spacing w:val="3"/>
        </w:rPr>
        <w:t>： 每 日 服 用 </w:t>
      </w:r>
      <w:r>
        <w:rPr>
          <w:rFonts w:ascii="Microsoft JhengHei UI" w:eastAsia="Microsoft JhengHei UI" w:hint="eastAsia"/>
          <w:spacing w:val="11"/>
        </w:rPr>
        <w:t>fluoroquinolone</w:t>
      </w:r>
      <w:r>
        <w:rPr>
          <w:rFonts w:ascii="Microsoft JhengHei UI" w:eastAsia="Microsoft JhengHei UI" w:hint="eastAsia"/>
          <w:spacing w:val="4"/>
        </w:rPr>
        <w:t> 類 藥 物 </w:t>
      </w:r>
      <w:r>
        <w:rPr>
          <w:rFonts w:ascii="Microsoft JhengHei UI" w:eastAsia="Microsoft JhengHei UI" w:hint="eastAsia"/>
          <w:spacing w:val="11"/>
        </w:rPr>
        <w:t>（levofloxacin</w:t>
      </w:r>
      <w:r>
        <w:rPr>
          <w:rFonts w:ascii="Microsoft JhengHei UI" w:eastAsia="Microsoft JhengHei UI" w:hint="eastAsia"/>
          <w:spacing w:val="6"/>
        </w:rPr>
        <w:t> 或</w:t>
      </w:r>
      <w:r>
        <w:rPr>
          <w:rFonts w:ascii="Microsoft JhengHei UI" w:eastAsia="Microsoft JhengHei UI" w:hint="eastAsia"/>
          <w:spacing w:val="11"/>
        </w:rPr>
        <w:t>moxifloxacin </w:t>
      </w:r>
      <w:r>
        <w:rPr>
          <w:rFonts w:ascii="Microsoft JhengHei UI" w:eastAsia="Microsoft JhengHei UI" w:hint="eastAsia"/>
        </w:rPr>
        <w:t>）</w:t>
      </w:r>
      <w:r>
        <w:rPr>
          <w:rFonts w:ascii="Microsoft JhengHei UI" w:eastAsia="Microsoft JhengHei UI" w:hint="eastAsia"/>
          <w:spacing w:val="25"/>
        </w:rPr>
        <w:t> 單 方 或 合 併其他一種藥品</w:t>
      </w:r>
      <w:r>
        <w:rPr>
          <w:rFonts w:ascii="Microsoft JhengHei UI" w:eastAsia="Microsoft JhengHei UI" w:hint="eastAsia"/>
        </w:rPr>
        <w:t>（ </w:t>
      </w:r>
      <w:r>
        <w:rPr>
          <w:rFonts w:ascii="Microsoft JhengHei UI" w:eastAsia="Microsoft JhengHei UI" w:hint="eastAsia"/>
          <w:spacing w:val="11"/>
        </w:rPr>
        <w:t>ethambutol</w:t>
      </w:r>
      <w:r>
        <w:rPr>
          <w:rFonts w:ascii="Microsoft JhengHei UI" w:eastAsia="Microsoft JhengHei UI" w:hint="eastAsia"/>
          <w:spacing w:val="-11"/>
        </w:rPr>
        <w:t> 、</w:t>
      </w:r>
      <w:r>
        <w:rPr>
          <w:rFonts w:ascii="Microsoft JhengHei UI" w:eastAsia="Microsoft JhengHei UI" w:hint="eastAsia"/>
          <w:spacing w:val="12"/>
        </w:rPr>
        <w:t>prothionamide、</w:t>
      </w:r>
      <w:r>
        <w:rPr>
          <w:rFonts w:ascii="Microsoft JhengHei UI" w:eastAsia="Microsoft JhengHei UI" w:hint="eastAsia"/>
          <w:spacing w:val="11"/>
        </w:rPr>
        <w:t>cycloserine）</w:t>
      </w:r>
      <w:r>
        <w:rPr>
          <w:rFonts w:ascii="Microsoft JhengHei UI" w:eastAsia="Microsoft JhengHei UI" w:hint="eastAsia"/>
          <w:spacing w:val="22"/>
        </w:rPr>
        <w:t>， 持續 </w:t>
      </w:r>
      <w:r>
        <w:rPr>
          <w:rFonts w:ascii="Microsoft JhengHei UI" w:eastAsia="Microsoft JhengHei UI" w:hint="eastAsia"/>
        </w:rPr>
        <w:t>9</w:t>
      </w:r>
      <w:r>
        <w:rPr>
          <w:rFonts w:ascii="Microsoft JhengHei UI" w:eastAsia="Microsoft JhengHei UI" w:hint="eastAsia"/>
          <w:spacing w:val="17"/>
        </w:rPr>
        <w:t> 個月， 計 </w:t>
      </w:r>
      <w:r>
        <w:rPr>
          <w:rFonts w:ascii="Microsoft JhengHei UI" w:eastAsia="Microsoft JhengHei UI" w:hint="eastAsia"/>
        </w:rPr>
        <w:t>270</w:t>
      </w:r>
      <w:r>
        <w:rPr>
          <w:rFonts w:ascii="Microsoft JhengHei UI" w:eastAsia="Microsoft JhengHei UI" w:hint="eastAsia"/>
          <w:spacing w:val="5"/>
        </w:rPr>
        <w:t> 個劑次之</w:t>
      </w:r>
      <w:r>
        <w:rPr>
          <w:rFonts w:ascii="Microsoft JhengHei UI" w:eastAsia="Microsoft JhengHei UI" w:hint="eastAsia"/>
          <w:spacing w:val="-1"/>
        </w:rPr>
        <w:t>處方；限 </w:t>
      </w:r>
      <w:r>
        <w:rPr>
          <w:rFonts w:ascii="Microsoft JhengHei UI" w:eastAsia="Microsoft JhengHei UI" w:hint="eastAsia"/>
        </w:rPr>
        <w:t>MDR-TB 個案之接觸者，轉介至於抗藥性結核病醫療照護體系</w:t>
      </w:r>
    </w:p>
    <w:p>
      <w:pPr>
        <w:pStyle w:val="BodyText"/>
        <w:spacing w:line="223" w:lineRule="auto"/>
        <w:ind w:left="2700" w:right="1217"/>
        <w:jc w:val="both"/>
        <w:rPr>
          <w:rFonts w:ascii="Microsoft JhengHei UI" w:eastAsia="Microsoft JhengHei UI" w:hint="eastAsia"/>
        </w:rPr>
      </w:pPr>
      <w:r>
        <w:rPr>
          <w:rFonts w:ascii="Microsoft JhengHei UI" w:eastAsia="Microsoft JhengHei UI" w:hint="eastAsia"/>
        </w:rPr>
        <w:t>（TMTC）團隊或約定院所評估使用。有關 9FQ 使用準則及參考資料， 請參見結核病診治指引第十章「潛伏結核感染（LTBI）診斷與治療」。</w:t>
      </w:r>
    </w:p>
    <w:p>
      <w:pPr>
        <w:pStyle w:val="BodyText"/>
        <w:spacing w:before="15"/>
        <w:rPr>
          <w:rFonts w:ascii="Microsoft JhengHei UI"/>
          <w:sz w:val="20"/>
        </w:rPr>
      </w:pPr>
    </w:p>
    <w:p>
      <w:pPr>
        <w:pStyle w:val="BodyText"/>
        <w:ind w:left="2363"/>
        <w:rPr>
          <w:rFonts w:ascii="Microsoft JhengHei UI" w:eastAsia="Microsoft JhengHei UI" w:hint="eastAsia"/>
        </w:rPr>
      </w:pPr>
      <w:r>
        <w:rPr>
          <w:rFonts w:ascii="Microsoft JhengHei UI" w:eastAsia="Microsoft JhengHei UI" w:hint="eastAsia"/>
        </w:rPr>
        <w:t>表 4、LTBI 治療處方及期限建議</w:t>
      </w:r>
    </w:p>
    <w:p>
      <w:pPr>
        <w:pStyle w:val="BodyText"/>
        <w:spacing w:before="5"/>
        <w:rPr>
          <w:rFonts w:ascii="Microsoft JhengHei UI"/>
          <w:sz w:val="8"/>
        </w:rPr>
      </w:pPr>
    </w:p>
    <w:tbl>
      <w:tblPr>
        <w:tblW w:w="0" w:type="auto"/>
        <w:jc w:val="left"/>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9"/>
        <w:gridCol w:w="3754"/>
        <w:gridCol w:w="1196"/>
        <w:gridCol w:w="1303"/>
        <w:gridCol w:w="1254"/>
      </w:tblGrid>
      <w:tr>
        <w:trPr>
          <w:trHeight w:val="850" w:hRule="atLeast"/>
        </w:trPr>
        <w:tc>
          <w:tcPr>
            <w:tcW w:w="1169" w:type="dxa"/>
            <w:shd w:val="clear" w:color="auto" w:fill="E6E7E8"/>
          </w:tcPr>
          <w:p>
            <w:pPr>
              <w:pStyle w:val="TableParagraph"/>
              <w:spacing w:before="21"/>
              <w:ind w:left="325" w:right="314"/>
              <w:jc w:val="center"/>
              <w:rPr>
                <w:rFonts w:ascii="Microsoft JhengHei UI" w:eastAsia="Microsoft JhengHei UI" w:hint="eastAsia"/>
                <w:b/>
                <w:sz w:val="24"/>
              </w:rPr>
            </w:pPr>
            <w:r>
              <w:rPr>
                <w:rFonts w:ascii="Microsoft JhengHei UI" w:eastAsia="Microsoft JhengHei UI" w:hint="eastAsia"/>
                <w:b/>
                <w:sz w:val="24"/>
              </w:rPr>
              <w:t>處方</w:t>
            </w:r>
          </w:p>
        </w:tc>
        <w:tc>
          <w:tcPr>
            <w:tcW w:w="3754" w:type="dxa"/>
            <w:shd w:val="clear" w:color="auto" w:fill="E6E7E8"/>
          </w:tcPr>
          <w:p>
            <w:pPr>
              <w:pStyle w:val="TableParagraph"/>
              <w:spacing w:before="21"/>
              <w:ind w:left="1034"/>
              <w:rPr>
                <w:rFonts w:ascii="Microsoft JhengHei UI" w:eastAsia="Microsoft JhengHei UI" w:hint="eastAsia"/>
                <w:b/>
                <w:sz w:val="24"/>
              </w:rPr>
            </w:pPr>
            <w:r>
              <w:rPr>
                <w:rFonts w:ascii="Microsoft JhengHei UI" w:eastAsia="Microsoft JhengHei UI" w:hint="eastAsia"/>
                <w:b/>
                <w:sz w:val="24"/>
              </w:rPr>
              <w:t>使用對象或限制</w:t>
            </w:r>
          </w:p>
        </w:tc>
        <w:tc>
          <w:tcPr>
            <w:tcW w:w="1196" w:type="dxa"/>
            <w:shd w:val="clear" w:color="auto" w:fill="E6E7E8"/>
          </w:tcPr>
          <w:p>
            <w:pPr>
              <w:pStyle w:val="TableParagraph"/>
              <w:spacing w:before="21"/>
              <w:ind w:left="234" w:right="228"/>
              <w:jc w:val="center"/>
              <w:rPr>
                <w:rFonts w:ascii="Microsoft JhengHei UI" w:eastAsia="Microsoft JhengHei UI" w:hint="eastAsia"/>
                <w:b/>
                <w:sz w:val="24"/>
              </w:rPr>
            </w:pPr>
            <w:r>
              <w:rPr>
                <w:rFonts w:ascii="Microsoft JhengHei UI" w:eastAsia="Microsoft JhengHei UI" w:hint="eastAsia"/>
                <w:b/>
                <w:sz w:val="24"/>
              </w:rPr>
              <w:t>療程</w:t>
            </w:r>
          </w:p>
        </w:tc>
        <w:tc>
          <w:tcPr>
            <w:tcW w:w="1303" w:type="dxa"/>
            <w:shd w:val="clear" w:color="auto" w:fill="E6E7E8"/>
          </w:tcPr>
          <w:p>
            <w:pPr>
              <w:pStyle w:val="TableParagraph"/>
              <w:spacing w:before="21"/>
              <w:ind w:left="410"/>
              <w:rPr>
                <w:rFonts w:ascii="Microsoft JhengHei UI" w:eastAsia="Microsoft JhengHei UI" w:hint="eastAsia"/>
                <w:b/>
                <w:sz w:val="24"/>
              </w:rPr>
            </w:pPr>
            <w:r>
              <w:rPr>
                <w:rFonts w:ascii="Microsoft JhengHei UI" w:eastAsia="Microsoft JhengHei UI" w:hint="eastAsia"/>
                <w:b/>
                <w:sz w:val="24"/>
              </w:rPr>
              <w:t>劑次</w:t>
            </w:r>
          </w:p>
        </w:tc>
        <w:tc>
          <w:tcPr>
            <w:tcW w:w="1254" w:type="dxa"/>
            <w:shd w:val="clear" w:color="auto" w:fill="E6E7E8"/>
          </w:tcPr>
          <w:p>
            <w:pPr>
              <w:pStyle w:val="TableParagraph"/>
              <w:spacing w:line="213" w:lineRule="auto" w:before="55"/>
              <w:ind w:left="228" w:right="53" w:firstLine="240"/>
              <w:rPr>
                <w:rFonts w:ascii="Microsoft JhengHei UI" w:eastAsia="Microsoft JhengHei UI" w:hint="eastAsia"/>
                <w:b/>
                <w:sz w:val="24"/>
              </w:rPr>
            </w:pPr>
            <w:r>
              <w:rPr>
                <w:rFonts w:ascii="Microsoft JhengHei UI" w:eastAsia="Microsoft JhengHei UI" w:hint="eastAsia"/>
                <w:b/>
                <w:sz w:val="24"/>
              </w:rPr>
              <w:t>最 適 完治期限</w:t>
            </w:r>
          </w:p>
        </w:tc>
      </w:tr>
      <w:tr>
        <w:trPr>
          <w:trHeight w:val="724" w:hRule="atLeast"/>
        </w:trPr>
        <w:tc>
          <w:tcPr>
            <w:tcW w:w="1169" w:type="dxa"/>
          </w:tcPr>
          <w:p>
            <w:pPr>
              <w:pStyle w:val="TableParagraph"/>
              <w:spacing w:before="4"/>
              <w:ind w:left="324" w:right="314"/>
              <w:jc w:val="center"/>
              <w:rPr>
                <w:rFonts w:ascii="Microsoft JhengHei UI"/>
                <w:sz w:val="24"/>
              </w:rPr>
            </w:pPr>
            <w:r>
              <w:rPr>
                <w:rFonts w:ascii="Microsoft JhengHei UI"/>
                <w:sz w:val="24"/>
              </w:rPr>
              <w:t>1HP</w:t>
            </w:r>
          </w:p>
        </w:tc>
        <w:tc>
          <w:tcPr>
            <w:tcW w:w="3754" w:type="dxa"/>
          </w:tcPr>
          <w:p>
            <w:pPr>
              <w:pStyle w:val="TableParagraph"/>
              <w:spacing w:line="360" w:lineRule="exact" w:before="1"/>
              <w:ind w:left="111" w:right="102"/>
              <w:rPr>
                <w:rFonts w:ascii="Microsoft JhengHei UI" w:eastAsia="Microsoft JhengHei UI" w:hint="eastAsia"/>
                <w:sz w:val="24"/>
              </w:rPr>
            </w:pPr>
            <w:r>
              <w:rPr>
                <w:rFonts w:ascii="Microsoft JhengHei UI" w:eastAsia="Microsoft JhengHei UI" w:hint="eastAsia"/>
                <w:sz w:val="24"/>
              </w:rPr>
              <w:t>不適用：未滿 13 歲、孕婦或指標具 INH 或 RMP 抗藥</w:t>
            </w:r>
          </w:p>
        </w:tc>
        <w:tc>
          <w:tcPr>
            <w:tcW w:w="1196" w:type="dxa"/>
          </w:tcPr>
          <w:p>
            <w:pPr>
              <w:pStyle w:val="TableParagraph"/>
              <w:spacing w:before="4"/>
              <w:ind w:left="234" w:right="231"/>
              <w:jc w:val="center"/>
              <w:rPr>
                <w:rFonts w:ascii="Microsoft JhengHei UI" w:eastAsia="Microsoft JhengHei UI" w:hint="eastAsia"/>
                <w:sz w:val="24"/>
              </w:rPr>
            </w:pPr>
            <w:r>
              <w:rPr>
                <w:rFonts w:ascii="Microsoft JhengHei UI" w:eastAsia="Microsoft JhengHei UI" w:hint="eastAsia"/>
                <w:sz w:val="24"/>
              </w:rPr>
              <w:t>1 個月</w:t>
            </w:r>
          </w:p>
        </w:tc>
        <w:tc>
          <w:tcPr>
            <w:tcW w:w="1303" w:type="dxa"/>
          </w:tcPr>
          <w:p>
            <w:pPr>
              <w:pStyle w:val="TableParagraph"/>
              <w:spacing w:before="4"/>
              <w:ind w:right="231"/>
              <w:jc w:val="right"/>
              <w:rPr>
                <w:rFonts w:ascii="Microsoft JhengHei UI" w:eastAsia="Microsoft JhengHei UI" w:hint="eastAsia"/>
                <w:sz w:val="24"/>
              </w:rPr>
            </w:pPr>
            <w:r>
              <w:rPr>
                <w:rFonts w:ascii="Microsoft JhengHei UI" w:eastAsia="Microsoft JhengHei UI" w:hint="eastAsia"/>
                <w:sz w:val="24"/>
              </w:rPr>
              <w:t>28 劑次</w:t>
            </w:r>
          </w:p>
        </w:tc>
        <w:tc>
          <w:tcPr>
            <w:tcW w:w="1254" w:type="dxa"/>
          </w:tcPr>
          <w:p>
            <w:pPr>
              <w:pStyle w:val="TableParagraph"/>
              <w:spacing w:before="4"/>
              <w:ind w:right="326"/>
              <w:jc w:val="right"/>
              <w:rPr>
                <w:rFonts w:ascii="Microsoft JhengHei UI" w:eastAsia="Microsoft JhengHei UI" w:hint="eastAsia"/>
                <w:sz w:val="24"/>
              </w:rPr>
            </w:pPr>
            <w:r>
              <w:rPr>
                <w:rFonts w:ascii="Microsoft JhengHei UI" w:eastAsia="Microsoft JhengHei UI" w:hint="eastAsia"/>
                <w:sz w:val="24"/>
              </w:rPr>
              <w:t>40 天</w:t>
            </w:r>
          </w:p>
        </w:tc>
      </w:tr>
      <w:tr>
        <w:trPr>
          <w:trHeight w:val="693" w:hRule="atLeast"/>
        </w:trPr>
        <w:tc>
          <w:tcPr>
            <w:tcW w:w="1169" w:type="dxa"/>
          </w:tcPr>
          <w:p>
            <w:pPr>
              <w:pStyle w:val="TableParagraph"/>
              <w:spacing w:before="3"/>
              <w:ind w:left="324" w:right="314"/>
              <w:jc w:val="center"/>
              <w:rPr>
                <w:rFonts w:ascii="Microsoft JhengHei UI"/>
                <w:sz w:val="24"/>
              </w:rPr>
            </w:pPr>
            <w:r>
              <w:rPr>
                <w:rFonts w:ascii="Microsoft JhengHei UI"/>
                <w:sz w:val="24"/>
              </w:rPr>
              <w:t>3HP</w:t>
            </w:r>
          </w:p>
        </w:tc>
        <w:tc>
          <w:tcPr>
            <w:tcW w:w="3754" w:type="dxa"/>
          </w:tcPr>
          <w:p>
            <w:pPr>
              <w:pStyle w:val="TableParagraph"/>
              <w:spacing w:line="360" w:lineRule="exact"/>
              <w:ind w:left="111" w:right="119"/>
              <w:rPr>
                <w:rFonts w:ascii="Microsoft JhengHei UI" w:eastAsia="Microsoft JhengHei UI" w:hint="eastAsia"/>
                <w:sz w:val="24"/>
              </w:rPr>
            </w:pPr>
            <w:r>
              <w:rPr>
                <w:rFonts w:ascii="Microsoft JhengHei UI" w:eastAsia="Microsoft JhengHei UI" w:hint="eastAsia"/>
                <w:sz w:val="24"/>
              </w:rPr>
              <w:t>不適用：未滿 2 歲、孕婦或指標具INH 或 RMP 抗藥</w:t>
            </w:r>
          </w:p>
        </w:tc>
        <w:tc>
          <w:tcPr>
            <w:tcW w:w="1196" w:type="dxa"/>
          </w:tcPr>
          <w:p>
            <w:pPr>
              <w:pStyle w:val="TableParagraph"/>
              <w:spacing w:before="3"/>
              <w:ind w:left="234" w:right="231"/>
              <w:jc w:val="center"/>
              <w:rPr>
                <w:rFonts w:ascii="Microsoft JhengHei UI" w:eastAsia="Microsoft JhengHei UI" w:hint="eastAsia"/>
                <w:sz w:val="24"/>
              </w:rPr>
            </w:pPr>
            <w:r>
              <w:rPr>
                <w:rFonts w:ascii="Microsoft JhengHei UI" w:eastAsia="Microsoft JhengHei UI" w:hint="eastAsia"/>
                <w:sz w:val="24"/>
              </w:rPr>
              <w:t>3 個月</w:t>
            </w:r>
          </w:p>
        </w:tc>
        <w:tc>
          <w:tcPr>
            <w:tcW w:w="1303" w:type="dxa"/>
          </w:tcPr>
          <w:p>
            <w:pPr>
              <w:pStyle w:val="TableParagraph"/>
              <w:spacing w:before="3"/>
              <w:ind w:right="231"/>
              <w:jc w:val="right"/>
              <w:rPr>
                <w:rFonts w:ascii="Microsoft JhengHei UI" w:eastAsia="Microsoft JhengHei UI" w:hint="eastAsia"/>
                <w:sz w:val="24"/>
              </w:rPr>
            </w:pPr>
            <w:r>
              <w:rPr>
                <w:rFonts w:ascii="Microsoft JhengHei UI" w:eastAsia="Microsoft JhengHei UI" w:hint="eastAsia"/>
                <w:sz w:val="24"/>
              </w:rPr>
              <w:t>12 劑次</w:t>
            </w:r>
          </w:p>
        </w:tc>
        <w:tc>
          <w:tcPr>
            <w:tcW w:w="1254" w:type="dxa"/>
          </w:tcPr>
          <w:p>
            <w:pPr>
              <w:pStyle w:val="TableParagraph"/>
              <w:spacing w:before="3"/>
              <w:ind w:right="256"/>
              <w:jc w:val="right"/>
              <w:rPr>
                <w:rFonts w:ascii="Microsoft JhengHei UI" w:eastAsia="Microsoft JhengHei UI" w:hint="eastAsia"/>
                <w:sz w:val="24"/>
              </w:rPr>
            </w:pPr>
            <w:r>
              <w:rPr>
                <w:rFonts w:ascii="Microsoft JhengHei UI" w:eastAsia="Microsoft JhengHei UI" w:hint="eastAsia"/>
                <w:sz w:val="24"/>
              </w:rPr>
              <w:t>120 天</w:t>
            </w:r>
          </w:p>
        </w:tc>
      </w:tr>
      <w:tr>
        <w:trPr>
          <w:trHeight w:val="348" w:hRule="atLeast"/>
        </w:trPr>
        <w:tc>
          <w:tcPr>
            <w:tcW w:w="1169" w:type="dxa"/>
          </w:tcPr>
          <w:p>
            <w:pPr>
              <w:pStyle w:val="TableParagraph"/>
              <w:spacing w:line="328" w:lineRule="exact"/>
              <w:ind w:left="325" w:right="313"/>
              <w:jc w:val="center"/>
              <w:rPr>
                <w:rFonts w:ascii="Microsoft JhengHei UI"/>
                <w:sz w:val="24"/>
              </w:rPr>
            </w:pPr>
            <w:r>
              <w:rPr>
                <w:rFonts w:ascii="Microsoft JhengHei UI"/>
                <w:sz w:val="24"/>
              </w:rPr>
              <w:t>4R</w:t>
            </w:r>
          </w:p>
        </w:tc>
        <w:tc>
          <w:tcPr>
            <w:tcW w:w="3754" w:type="dxa"/>
          </w:tcPr>
          <w:p>
            <w:pPr>
              <w:pStyle w:val="TableParagraph"/>
              <w:spacing w:line="328" w:lineRule="exact"/>
              <w:ind w:left="111"/>
              <w:rPr>
                <w:rFonts w:ascii="Microsoft JhengHei UI" w:eastAsia="Microsoft JhengHei UI" w:hint="eastAsia"/>
                <w:sz w:val="24"/>
              </w:rPr>
            </w:pPr>
            <w:r>
              <w:rPr>
                <w:rFonts w:ascii="Microsoft JhengHei UI" w:eastAsia="Microsoft JhengHei UI" w:hint="eastAsia"/>
                <w:sz w:val="24"/>
              </w:rPr>
              <w:t>不適用：指標 RMP 抗藥</w:t>
            </w:r>
          </w:p>
        </w:tc>
        <w:tc>
          <w:tcPr>
            <w:tcW w:w="1196" w:type="dxa"/>
          </w:tcPr>
          <w:p>
            <w:pPr>
              <w:pStyle w:val="TableParagraph"/>
              <w:spacing w:line="328" w:lineRule="exact"/>
              <w:ind w:left="234" w:right="231"/>
              <w:jc w:val="center"/>
              <w:rPr>
                <w:rFonts w:ascii="Microsoft JhengHei UI" w:eastAsia="Microsoft JhengHei UI" w:hint="eastAsia"/>
                <w:sz w:val="24"/>
              </w:rPr>
            </w:pPr>
            <w:r>
              <w:rPr>
                <w:rFonts w:ascii="Microsoft JhengHei UI" w:eastAsia="Microsoft JhengHei UI" w:hint="eastAsia"/>
                <w:sz w:val="24"/>
              </w:rPr>
              <w:t>4 個月</w:t>
            </w:r>
          </w:p>
        </w:tc>
        <w:tc>
          <w:tcPr>
            <w:tcW w:w="1303" w:type="dxa"/>
          </w:tcPr>
          <w:p>
            <w:pPr>
              <w:pStyle w:val="TableParagraph"/>
              <w:spacing w:line="328" w:lineRule="exact"/>
              <w:ind w:right="164"/>
              <w:jc w:val="right"/>
              <w:rPr>
                <w:rFonts w:ascii="Microsoft JhengHei UI" w:eastAsia="Microsoft JhengHei UI" w:hint="eastAsia"/>
                <w:sz w:val="24"/>
              </w:rPr>
            </w:pPr>
            <w:r>
              <w:rPr>
                <w:rFonts w:ascii="Microsoft JhengHei UI" w:eastAsia="Microsoft JhengHei UI" w:hint="eastAsia"/>
                <w:sz w:val="24"/>
              </w:rPr>
              <w:t>120 劑次</w:t>
            </w:r>
          </w:p>
        </w:tc>
        <w:tc>
          <w:tcPr>
            <w:tcW w:w="1254" w:type="dxa"/>
          </w:tcPr>
          <w:p>
            <w:pPr>
              <w:pStyle w:val="TableParagraph"/>
              <w:spacing w:line="328" w:lineRule="exact"/>
              <w:ind w:right="256"/>
              <w:jc w:val="right"/>
              <w:rPr>
                <w:rFonts w:ascii="Microsoft JhengHei UI" w:eastAsia="Microsoft JhengHei UI" w:hint="eastAsia"/>
                <w:sz w:val="24"/>
              </w:rPr>
            </w:pPr>
            <w:r>
              <w:rPr>
                <w:rFonts w:ascii="Microsoft JhengHei UI" w:eastAsia="Microsoft JhengHei UI" w:hint="eastAsia"/>
                <w:sz w:val="24"/>
              </w:rPr>
              <w:t>160 天</w:t>
            </w:r>
          </w:p>
        </w:tc>
      </w:tr>
      <w:tr>
        <w:trPr>
          <w:trHeight w:val="417" w:hRule="atLeast"/>
        </w:trPr>
        <w:tc>
          <w:tcPr>
            <w:tcW w:w="1169" w:type="dxa"/>
          </w:tcPr>
          <w:p>
            <w:pPr>
              <w:pStyle w:val="TableParagraph"/>
              <w:spacing w:line="394" w:lineRule="exact" w:before="3"/>
              <w:ind w:left="324" w:right="314"/>
              <w:jc w:val="center"/>
              <w:rPr>
                <w:rFonts w:ascii="Microsoft JhengHei UI"/>
                <w:sz w:val="24"/>
              </w:rPr>
            </w:pPr>
            <w:r>
              <w:rPr>
                <w:rFonts w:ascii="Microsoft JhengHei UI"/>
                <w:sz w:val="24"/>
              </w:rPr>
              <w:t>3HR</w:t>
            </w:r>
          </w:p>
        </w:tc>
        <w:tc>
          <w:tcPr>
            <w:tcW w:w="3754" w:type="dxa"/>
          </w:tcPr>
          <w:p>
            <w:pPr>
              <w:pStyle w:val="TableParagraph"/>
              <w:spacing w:line="394" w:lineRule="exact" w:before="3"/>
              <w:ind w:left="111"/>
              <w:rPr>
                <w:rFonts w:ascii="Microsoft JhengHei UI" w:eastAsia="Microsoft JhengHei UI" w:hint="eastAsia"/>
                <w:sz w:val="24"/>
              </w:rPr>
            </w:pPr>
            <w:r>
              <w:rPr>
                <w:rFonts w:ascii="Microsoft JhengHei UI" w:eastAsia="Microsoft JhengHei UI" w:hint="eastAsia"/>
                <w:sz w:val="24"/>
              </w:rPr>
              <w:t>不適用：指標 INH 或 RMP 抗藥</w:t>
            </w:r>
          </w:p>
        </w:tc>
        <w:tc>
          <w:tcPr>
            <w:tcW w:w="1196" w:type="dxa"/>
          </w:tcPr>
          <w:p>
            <w:pPr>
              <w:pStyle w:val="TableParagraph"/>
              <w:spacing w:line="394" w:lineRule="exact" w:before="3"/>
              <w:ind w:left="234" w:right="231"/>
              <w:jc w:val="center"/>
              <w:rPr>
                <w:rFonts w:ascii="Microsoft JhengHei UI" w:eastAsia="Microsoft JhengHei UI" w:hint="eastAsia"/>
                <w:sz w:val="24"/>
              </w:rPr>
            </w:pPr>
            <w:r>
              <w:rPr>
                <w:rFonts w:ascii="Microsoft JhengHei UI" w:eastAsia="Microsoft JhengHei UI" w:hint="eastAsia"/>
                <w:sz w:val="24"/>
              </w:rPr>
              <w:t>3 個月</w:t>
            </w:r>
          </w:p>
        </w:tc>
        <w:tc>
          <w:tcPr>
            <w:tcW w:w="1303" w:type="dxa"/>
          </w:tcPr>
          <w:p>
            <w:pPr>
              <w:pStyle w:val="TableParagraph"/>
              <w:spacing w:line="394" w:lineRule="exact" w:before="3"/>
              <w:ind w:right="231"/>
              <w:jc w:val="right"/>
              <w:rPr>
                <w:rFonts w:ascii="Microsoft JhengHei UI" w:eastAsia="Microsoft JhengHei UI" w:hint="eastAsia"/>
                <w:sz w:val="24"/>
              </w:rPr>
            </w:pPr>
            <w:r>
              <w:rPr>
                <w:rFonts w:ascii="Microsoft JhengHei UI" w:eastAsia="Microsoft JhengHei UI" w:hint="eastAsia"/>
                <w:sz w:val="24"/>
              </w:rPr>
              <w:t>90 劑次</w:t>
            </w:r>
          </w:p>
        </w:tc>
        <w:tc>
          <w:tcPr>
            <w:tcW w:w="1254" w:type="dxa"/>
          </w:tcPr>
          <w:p>
            <w:pPr>
              <w:pStyle w:val="TableParagraph"/>
              <w:spacing w:line="394" w:lineRule="exact" w:before="3"/>
              <w:ind w:right="256"/>
              <w:jc w:val="right"/>
              <w:rPr>
                <w:rFonts w:ascii="Microsoft JhengHei UI" w:eastAsia="Microsoft JhengHei UI" w:hint="eastAsia"/>
                <w:sz w:val="24"/>
              </w:rPr>
            </w:pPr>
            <w:r>
              <w:rPr>
                <w:rFonts w:ascii="Microsoft JhengHei UI" w:eastAsia="Microsoft JhengHei UI" w:hint="eastAsia"/>
                <w:sz w:val="24"/>
              </w:rPr>
              <w:t>120 天</w:t>
            </w:r>
          </w:p>
        </w:tc>
      </w:tr>
      <w:tr>
        <w:trPr>
          <w:trHeight w:val="373" w:hRule="atLeast"/>
        </w:trPr>
        <w:tc>
          <w:tcPr>
            <w:tcW w:w="1169" w:type="dxa"/>
          </w:tcPr>
          <w:p>
            <w:pPr>
              <w:pStyle w:val="TableParagraph"/>
              <w:spacing w:line="351" w:lineRule="exact" w:before="3"/>
              <w:ind w:left="325" w:right="313"/>
              <w:jc w:val="center"/>
              <w:rPr>
                <w:rFonts w:ascii="Microsoft JhengHei UI"/>
                <w:sz w:val="24"/>
              </w:rPr>
            </w:pPr>
            <w:r>
              <w:rPr>
                <w:rFonts w:ascii="Microsoft JhengHei UI"/>
                <w:sz w:val="24"/>
              </w:rPr>
              <w:t>6H</w:t>
            </w:r>
          </w:p>
        </w:tc>
        <w:tc>
          <w:tcPr>
            <w:tcW w:w="3754" w:type="dxa"/>
          </w:tcPr>
          <w:p>
            <w:pPr>
              <w:pStyle w:val="TableParagraph"/>
              <w:spacing w:line="351" w:lineRule="exact" w:before="3"/>
              <w:ind w:left="111"/>
              <w:rPr>
                <w:rFonts w:ascii="Microsoft JhengHei UI" w:eastAsia="Microsoft JhengHei UI" w:hint="eastAsia"/>
                <w:sz w:val="24"/>
              </w:rPr>
            </w:pPr>
            <w:r>
              <w:rPr>
                <w:rFonts w:ascii="Microsoft JhengHei UI" w:eastAsia="Microsoft JhengHei UI" w:hint="eastAsia"/>
                <w:sz w:val="24"/>
              </w:rPr>
              <w:t>不適用：指標 INH 抗藥</w:t>
            </w:r>
          </w:p>
        </w:tc>
        <w:tc>
          <w:tcPr>
            <w:tcW w:w="1196" w:type="dxa"/>
          </w:tcPr>
          <w:p>
            <w:pPr>
              <w:pStyle w:val="TableParagraph"/>
              <w:spacing w:line="351" w:lineRule="exact" w:before="3"/>
              <w:ind w:left="234" w:right="231"/>
              <w:jc w:val="center"/>
              <w:rPr>
                <w:rFonts w:ascii="Microsoft JhengHei UI" w:eastAsia="Microsoft JhengHei UI" w:hint="eastAsia"/>
                <w:sz w:val="24"/>
              </w:rPr>
            </w:pPr>
            <w:r>
              <w:rPr>
                <w:rFonts w:ascii="Microsoft JhengHei UI" w:eastAsia="Microsoft JhengHei UI" w:hint="eastAsia"/>
                <w:sz w:val="24"/>
              </w:rPr>
              <w:t>6 個月</w:t>
            </w:r>
          </w:p>
        </w:tc>
        <w:tc>
          <w:tcPr>
            <w:tcW w:w="1303" w:type="dxa"/>
          </w:tcPr>
          <w:p>
            <w:pPr>
              <w:pStyle w:val="TableParagraph"/>
              <w:spacing w:line="351" w:lineRule="exact" w:before="3"/>
              <w:ind w:right="164"/>
              <w:jc w:val="right"/>
              <w:rPr>
                <w:rFonts w:ascii="Microsoft JhengHei UI" w:eastAsia="Microsoft JhengHei UI" w:hint="eastAsia"/>
                <w:sz w:val="24"/>
              </w:rPr>
            </w:pPr>
            <w:r>
              <w:rPr>
                <w:rFonts w:ascii="Microsoft JhengHei UI" w:eastAsia="Microsoft JhengHei UI" w:hint="eastAsia"/>
                <w:sz w:val="24"/>
              </w:rPr>
              <w:t>180 劑次</w:t>
            </w:r>
          </w:p>
        </w:tc>
        <w:tc>
          <w:tcPr>
            <w:tcW w:w="1254" w:type="dxa"/>
          </w:tcPr>
          <w:p>
            <w:pPr>
              <w:pStyle w:val="TableParagraph"/>
              <w:spacing w:line="351" w:lineRule="exact" w:before="3"/>
              <w:ind w:right="256"/>
              <w:jc w:val="right"/>
              <w:rPr>
                <w:rFonts w:ascii="Microsoft JhengHei UI" w:eastAsia="Microsoft JhengHei UI" w:hint="eastAsia"/>
                <w:sz w:val="24"/>
              </w:rPr>
            </w:pPr>
            <w:r>
              <w:rPr>
                <w:rFonts w:ascii="Microsoft JhengHei UI" w:eastAsia="Microsoft JhengHei UI" w:hint="eastAsia"/>
                <w:sz w:val="24"/>
              </w:rPr>
              <w:t>240 天</w:t>
            </w:r>
          </w:p>
        </w:tc>
      </w:tr>
      <w:tr>
        <w:trPr>
          <w:trHeight w:val="403" w:hRule="atLeast"/>
        </w:trPr>
        <w:tc>
          <w:tcPr>
            <w:tcW w:w="1169" w:type="dxa"/>
          </w:tcPr>
          <w:p>
            <w:pPr>
              <w:pStyle w:val="TableParagraph"/>
              <w:spacing w:line="379" w:lineRule="exact" w:before="4"/>
              <w:ind w:left="325" w:right="313"/>
              <w:jc w:val="center"/>
              <w:rPr>
                <w:rFonts w:ascii="Microsoft JhengHei UI"/>
                <w:sz w:val="24"/>
              </w:rPr>
            </w:pPr>
            <w:r>
              <w:rPr>
                <w:rFonts w:ascii="Microsoft JhengHei UI"/>
                <w:sz w:val="24"/>
              </w:rPr>
              <w:t>9H</w:t>
            </w:r>
          </w:p>
        </w:tc>
        <w:tc>
          <w:tcPr>
            <w:tcW w:w="3754" w:type="dxa"/>
          </w:tcPr>
          <w:p>
            <w:pPr>
              <w:pStyle w:val="TableParagraph"/>
              <w:spacing w:line="379" w:lineRule="exact" w:before="4"/>
              <w:ind w:left="111"/>
              <w:rPr>
                <w:rFonts w:ascii="Microsoft JhengHei UI" w:eastAsia="Microsoft JhengHei UI" w:hint="eastAsia"/>
                <w:sz w:val="24"/>
              </w:rPr>
            </w:pPr>
            <w:r>
              <w:rPr>
                <w:rFonts w:ascii="Microsoft JhengHei UI" w:eastAsia="Microsoft JhengHei UI" w:hint="eastAsia"/>
                <w:sz w:val="24"/>
              </w:rPr>
              <w:t>不適用：指標 INH 抗藥</w:t>
            </w:r>
          </w:p>
        </w:tc>
        <w:tc>
          <w:tcPr>
            <w:tcW w:w="1196" w:type="dxa"/>
          </w:tcPr>
          <w:p>
            <w:pPr>
              <w:pStyle w:val="TableParagraph"/>
              <w:spacing w:line="379" w:lineRule="exact" w:before="4"/>
              <w:ind w:left="234" w:right="231"/>
              <w:jc w:val="center"/>
              <w:rPr>
                <w:rFonts w:ascii="Microsoft JhengHei UI" w:eastAsia="Microsoft JhengHei UI" w:hint="eastAsia"/>
                <w:sz w:val="24"/>
              </w:rPr>
            </w:pPr>
            <w:r>
              <w:rPr>
                <w:rFonts w:ascii="Microsoft JhengHei UI" w:eastAsia="Microsoft JhengHei UI" w:hint="eastAsia"/>
                <w:sz w:val="24"/>
              </w:rPr>
              <w:t>9 個月</w:t>
            </w:r>
          </w:p>
        </w:tc>
        <w:tc>
          <w:tcPr>
            <w:tcW w:w="1303" w:type="dxa"/>
          </w:tcPr>
          <w:p>
            <w:pPr>
              <w:pStyle w:val="TableParagraph"/>
              <w:spacing w:line="379" w:lineRule="exact" w:before="4"/>
              <w:ind w:right="164"/>
              <w:jc w:val="right"/>
              <w:rPr>
                <w:rFonts w:ascii="Microsoft JhengHei UI" w:eastAsia="Microsoft JhengHei UI" w:hint="eastAsia"/>
                <w:sz w:val="24"/>
              </w:rPr>
            </w:pPr>
            <w:r>
              <w:rPr>
                <w:rFonts w:ascii="Microsoft JhengHei UI" w:eastAsia="Microsoft JhengHei UI" w:hint="eastAsia"/>
                <w:sz w:val="24"/>
              </w:rPr>
              <w:t>270 劑次</w:t>
            </w:r>
          </w:p>
        </w:tc>
        <w:tc>
          <w:tcPr>
            <w:tcW w:w="1254" w:type="dxa"/>
          </w:tcPr>
          <w:p>
            <w:pPr>
              <w:pStyle w:val="TableParagraph"/>
              <w:spacing w:line="379" w:lineRule="exact" w:before="4"/>
              <w:ind w:right="256"/>
              <w:jc w:val="right"/>
              <w:rPr>
                <w:rFonts w:ascii="Microsoft JhengHei UI" w:eastAsia="Microsoft JhengHei UI" w:hint="eastAsia"/>
                <w:sz w:val="24"/>
              </w:rPr>
            </w:pPr>
            <w:r>
              <w:rPr>
                <w:rFonts w:ascii="Microsoft JhengHei UI" w:eastAsia="Microsoft JhengHei UI" w:hint="eastAsia"/>
                <w:sz w:val="24"/>
              </w:rPr>
              <w:t>365 天</w:t>
            </w:r>
          </w:p>
        </w:tc>
      </w:tr>
      <w:tr>
        <w:trPr>
          <w:trHeight w:val="747" w:hRule="atLeast"/>
        </w:trPr>
        <w:tc>
          <w:tcPr>
            <w:tcW w:w="1169" w:type="dxa"/>
          </w:tcPr>
          <w:p>
            <w:pPr>
              <w:pStyle w:val="TableParagraph"/>
              <w:spacing w:before="3"/>
              <w:ind w:left="325" w:right="314"/>
              <w:jc w:val="center"/>
              <w:rPr>
                <w:rFonts w:ascii="Microsoft JhengHei UI"/>
                <w:sz w:val="24"/>
              </w:rPr>
            </w:pPr>
            <w:r>
              <w:rPr>
                <w:rFonts w:ascii="Microsoft JhengHei UI"/>
                <w:sz w:val="24"/>
              </w:rPr>
              <w:t>9FQ</w:t>
            </w:r>
          </w:p>
        </w:tc>
        <w:tc>
          <w:tcPr>
            <w:tcW w:w="3754" w:type="dxa"/>
          </w:tcPr>
          <w:p>
            <w:pPr>
              <w:pStyle w:val="TableParagraph"/>
              <w:spacing w:line="360" w:lineRule="exact" w:before="20"/>
              <w:ind w:left="111" w:right="196"/>
              <w:rPr>
                <w:rFonts w:ascii="Microsoft JhengHei UI" w:eastAsia="Microsoft JhengHei UI" w:hint="eastAsia"/>
                <w:sz w:val="24"/>
              </w:rPr>
            </w:pPr>
            <w:r>
              <w:rPr>
                <w:rFonts w:ascii="Microsoft JhengHei UI" w:eastAsia="Microsoft JhengHei UI" w:hint="eastAsia"/>
                <w:sz w:val="24"/>
              </w:rPr>
              <w:t>限非 FQ 抗藥 MDR-TB 個案之接觸者使用</w:t>
            </w:r>
          </w:p>
        </w:tc>
        <w:tc>
          <w:tcPr>
            <w:tcW w:w="1196" w:type="dxa"/>
          </w:tcPr>
          <w:p>
            <w:pPr>
              <w:pStyle w:val="TableParagraph"/>
              <w:spacing w:before="3"/>
              <w:ind w:left="234" w:right="231"/>
              <w:jc w:val="center"/>
              <w:rPr>
                <w:rFonts w:ascii="Microsoft JhengHei UI" w:eastAsia="Microsoft JhengHei UI" w:hint="eastAsia"/>
                <w:sz w:val="24"/>
              </w:rPr>
            </w:pPr>
            <w:r>
              <w:rPr>
                <w:rFonts w:ascii="Microsoft JhengHei UI" w:eastAsia="Microsoft JhengHei UI" w:hint="eastAsia"/>
                <w:sz w:val="24"/>
              </w:rPr>
              <w:t>9 個月</w:t>
            </w:r>
          </w:p>
        </w:tc>
        <w:tc>
          <w:tcPr>
            <w:tcW w:w="1303" w:type="dxa"/>
          </w:tcPr>
          <w:p>
            <w:pPr>
              <w:pStyle w:val="TableParagraph"/>
              <w:spacing w:before="3"/>
              <w:ind w:right="164"/>
              <w:jc w:val="right"/>
              <w:rPr>
                <w:rFonts w:ascii="Microsoft JhengHei UI" w:eastAsia="Microsoft JhengHei UI" w:hint="eastAsia"/>
                <w:sz w:val="24"/>
              </w:rPr>
            </w:pPr>
            <w:r>
              <w:rPr>
                <w:rFonts w:ascii="Microsoft JhengHei UI" w:eastAsia="Microsoft JhengHei UI" w:hint="eastAsia"/>
                <w:sz w:val="24"/>
              </w:rPr>
              <w:t>270 劑次</w:t>
            </w:r>
          </w:p>
        </w:tc>
        <w:tc>
          <w:tcPr>
            <w:tcW w:w="1254" w:type="dxa"/>
          </w:tcPr>
          <w:p>
            <w:pPr>
              <w:pStyle w:val="TableParagraph"/>
              <w:spacing w:before="3"/>
              <w:ind w:right="256"/>
              <w:jc w:val="right"/>
              <w:rPr>
                <w:rFonts w:ascii="Microsoft JhengHei UI" w:eastAsia="Microsoft JhengHei UI" w:hint="eastAsia"/>
                <w:sz w:val="24"/>
              </w:rPr>
            </w:pPr>
            <w:r>
              <w:rPr>
                <w:rFonts w:ascii="Microsoft JhengHei UI" w:eastAsia="Microsoft JhengHei UI" w:hint="eastAsia"/>
                <w:sz w:val="24"/>
              </w:rPr>
              <w:t>365 天</w:t>
            </w:r>
          </w:p>
        </w:tc>
      </w:tr>
    </w:tbl>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spacing w:before="2"/>
        <w:rPr>
          <w:rFonts w:ascii="Microsoft JhengHei UI"/>
          <w:sz w:val="20"/>
        </w:rPr>
      </w:pPr>
    </w:p>
    <w:p>
      <w:pPr>
        <w:spacing w:before="1"/>
        <w:ind w:left="110" w:right="0" w:firstLine="0"/>
        <w:jc w:val="left"/>
        <w:rPr>
          <w:rFonts w:ascii="Arial"/>
          <w:sz w:val="16"/>
        </w:rPr>
      </w:pPr>
      <w:r>
        <w:rPr>
          <w:rFonts w:ascii="Arial"/>
          <w:color w:val="221F1F"/>
          <w:w w:val="99"/>
          <w:sz w:val="16"/>
        </w:rPr>
        <w:t>6</w:t>
      </w:r>
    </w:p>
    <w:p>
      <w:pPr>
        <w:spacing w:after="0"/>
        <w:jc w:val="left"/>
        <w:rPr>
          <w:rFonts w:ascii="Arial"/>
          <w:sz w:val="16"/>
        </w:rPr>
        <w:sectPr>
          <w:pgSz w:w="11920" w:h="16840"/>
          <w:pgMar w:top="1040" w:bottom="280" w:left="200" w:right="220"/>
        </w:sectPr>
      </w:pPr>
    </w:p>
    <w:p>
      <w:pPr>
        <w:pStyle w:val="BodyText"/>
        <w:spacing w:line="223" w:lineRule="auto" w:before="46"/>
        <w:ind w:left="1580" w:right="776" w:hanging="480"/>
        <w:jc w:val="both"/>
        <w:rPr>
          <w:rFonts w:ascii="Microsoft JhengHei UI" w:eastAsia="Microsoft JhengHei UI" w:hint="eastAsia"/>
        </w:rPr>
      </w:pPr>
      <w:r>
        <w:rPr>
          <w:rFonts w:ascii="Microsoft JhengHei UI" w:eastAsia="Microsoft JhengHei UI" w:hint="eastAsia"/>
        </w:rPr>
        <w:t>二、若 LTBI 個案為接觸者， LTBI 治療過程與其指標個案抗藥性報告檢出的時序，會影響LTBI 治療處方的選擇。若 LTBI 治療中（或完成治療）發現指標個案抗藥新事證、LTBI 治療中（含非接觸者之其他 LTBI 治療專案）重複暴露，需再次進行 LTBI 治療評估，並依指標藥敏情形調整為具療效之處方（表 5），重新計算 LTBI 療程以確保治療效果。</w:t>
      </w:r>
    </w:p>
    <w:p>
      <w:pPr>
        <w:pStyle w:val="BodyText"/>
        <w:rPr>
          <w:rFonts w:ascii="Microsoft JhengHei UI"/>
          <w:sz w:val="21"/>
        </w:rPr>
      </w:pPr>
    </w:p>
    <w:p>
      <w:pPr>
        <w:pStyle w:val="BodyText"/>
        <w:ind w:left="1540"/>
        <w:jc w:val="both"/>
        <w:rPr>
          <w:rFonts w:ascii="Microsoft JhengHei UI" w:eastAsia="Microsoft JhengHei UI" w:hint="eastAsia"/>
        </w:rPr>
      </w:pPr>
      <w:r>
        <w:rPr>
          <w:rFonts w:ascii="Microsoft JhengHei UI" w:eastAsia="Microsoft JhengHei UI" w:hint="eastAsia"/>
        </w:rPr>
        <w:t>表 5、依指標藥敏情形選用之 LTBI 治療處方表</w:t>
      </w:r>
    </w:p>
    <w:tbl>
      <w:tblPr>
        <w:tblW w:w="0" w:type="auto"/>
        <w:jc w:val="left"/>
        <w:tblInd w:w="14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0"/>
        <w:gridCol w:w="1801"/>
        <w:gridCol w:w="2128"/>
        <w:gridCol w:w="3119"/>
      </w:tblGrid>
      <w:tr>
        <w:trPr>
          <w:trHeight w:val="792" w:hRule="atLeast"/>
        </w:trPr>
        <w:tc>
          <w:tcPr>
            <w:tcW w:w="2180" w:type="dxa"/>
            <w:tcBorders>
              <w:bottom w:val="single" w:sz="4" w:space="0" w:color="000000"/>
              <w:right w:val="single" w:sz="4" w:space="0" w:color="000000"/>
            </w:tcBorders>
            <w:shd w:val="clear" w:color="auto" w:fill="F1F1F1"/>
          </w:tcPr>
          <w:p>
            <w:pPr>
              <w:pStyle w:val="TableParagraph"/>
              <w:spacing w:line="383" w:lineRule="exact"/>
              <w:ind w:left="530"/>
              <w:rPr>
                <w:rFonts w:ascii="Microsoft JhengHei UI" w:eastAsia="Microsoft JhengHei UI" w:hint="eastAsia"/>
                <w:sz w:val="24"/>
              </w:rPr>
            </w:pPr>
            <w:r>
              <w:rPr>
                <w:rFonts w:ascii="Microsoft JhengHei UI" w:eastAsia="Microsoft JhengHei UI" w:hint="eastAsia"/>
                <w:sz w:val="24"/>
              </w:rPr>
              <w:t>開立(調整)</w:t>
            </w:r>
          </w:p>
          <w:p>
            <w:pPr>
              <w:pStyle w:val="TableParagraph"/>
              <w:spacing w:line="390" w:lineRule="exact"/>
              <w:ind w:left="581"/>
              <w:rPr>
                <w:rFonts w:ascii="Microsoft JhengHei UI" w:eastAsia="Microsoft JhengHei UI" w:hint="eastAsia"/>
                <w:sz w:val="24"/>
              </w:rPr>
            </w:pPr>
            <w:r>
              <w:rPr>
                <w:rFonts w:ascii="Microsoft JhengHei UI" w:eastAsia="Microsoft JhengHei UI" w:hint="eastAsia"/>
                <w:sz w:val="24"/>
              </w:rPr>
              <w:t>LTBI 治療</w:t>
            </w:r>
          </w:p>
        </w:tc>
        <w:tc>
          <w:tcPr>
            <w:tcW w:w="1801" w:type="dxa"/>
            <w:tcBorders>
              <w:left w:val="single" w:sz="4" w:space="0" w:color="000000"/>
              <w:bottom w:val="single" w:sz="4" w:space="0" w:color="000000"/>
              <w:right w:val="single" w:sz="4" w:space="0" w:color="000000"/>
            </w:tcBorders>
            <w:shd w:val="clear" w:color="auto" w:fill="F1F1F1"/>
          </w:tcPr>
          <w:p>
            <w:pPr>
              <w:pStyle w:val="TableParagraph"/>
              <w:spacing w:line="383" w:lineRule="exact"/>
              <w:ind w:left="181"/>
              <w:rPr>
                <w:rFonts w:ascii="Microsoft JhengHei UI" w:eastAsia="Microsoft JhengHei UI" w:hint="eastAsia"/>
                <w:sz w:val="24"/>
              </w:rPr>
            </w:pPr>
            <w:r>
              <w:rPr>
                <w:rFonts w:ascii="Microsoft JhengHei UI" w:eastAsia="Microsoft JhengHei UI" w:hint="eastAsia"/>
                <w:sz w:val="24"/>
              </w:rPr>
              <w:t>指標藥敏情形</w:t>
            </w:r>
          </w:p>
          <w:p>
            <w:pPr>
              <w:pStyle w:val="TableParagraph"/>
              <w:spacing w:line="390" w:lineRule="exact"/>
              <w:ind w:left="225"/>
              <w:rPr>
                <w:rFonts w:ascii="Microsoft JhengHei UI" w:eastAsia="Microsoft JhengHei UI" w:hint="eastAsia"/>
                <w:sz w:val="24"/>
              </w:rPr>
            </w:pPr>
            <w:r>
              <w:rPr>
                <w:rFonts w:ascii="Microsoft JhengHei UI" w:eastAsia="Microsoft JhengHei UI" w:hint="eastAsia"/>
                <w:spacing w:val="-1"/>
                <w:sz w:val="24"/>
              </w:rPr>
              <w:t>(含重複暴露)</w:t>
            </w:r>
          </w:p>
        </w:tc>
        <w:tc>
          <w:tcPr>
            <w:tcW w:w="2128" w:type="dxa"/>
            <w:tcBorders>
              <w:left w:val="single" w:sz="4" w:space="0" w:color="000000"/>
              <w:bottom w:val="single" w:sz="4" w:space="0" w:color="000000"/>
              <w:right w:val="single" w:sz="4" w:space="0" w:color="000000"/>
            </w:tcBorders>
            <w:shd w:val="clear" w:color="auto" w:fill="F1F1F1"/>
          </w:tcPr>
          <w:p>
            <w:pPr>
              <w:pStyle w:val="TableParagraph"/>
              <w:spacing w:before="68"/>
              <w:ind w:left="806" w:right="792"/>
              <w:jc w:val="center"/>
              <w:rPr>
                <w:rFonts w:ascii="Microsoft JhengHei UI" w:eastAsia="Microsoft JhengHei UI" w:hint="eastAsia"/>
                <w:sz w:val="24"/>
              </w:rPr>
            </w:pPr>
            <w:r>
              <w:rPr>
                <w:rFonts w:ascii="Microsoft JhengHei UI" w:eastAsia="Microsoft JhengHei UI" w:hint="eastAsia"/>
                <w:sz w:val="24"/>
              </w:rPr>
              <w:t>處方</w:t>
            </w:r>
          </w:p>
        </w:tc>
        <w:tc>
          <w:tcPr>
            <w:tcW w:w="3119" w:type="dxa"/>
            <w:tcBorders>
              <w:left w:val="single" w:sz="4" w:space="0" w:color="000000"/>
              <w:bottom w:val="single" w:sz="4" w:space="0" w:color="000000"/>
            </w:tcBorders>
            <w:shd w:val="clear" w:color="auto" w:fill="F1F1F1"/>
          </w:tcPr>
          <w:p>
            <w:pPr>
              <w:pStyle w:val="TableParagraph"/>
              <w:spacing w:before="68"/>
              <w:ind w:left="1302" w:right="1282"/>
              <w:jc w:val="center"/>
              <w:rPr>
                <w:rFonts w:ascii="Microsoft JhengHei UI" w:eastAsia="Microsoft JhengHei UI" w:hint="eastAsia"/>
                <w:sz w:val="24"/>
              </w:rPr>
            </w:pPr>
            <w:r>
              <w:rPr>
                <w:rFonts w:ascii="Microsoft JhengHei UI" w:eastAsia="Microsoft JhengHei UI" w:hint="eastAsia"/>
                <w:sz w:val="24"/>
              </w:rPr>
              <w:t>療程</w:t>
            </w:r>
          </w:p>
        </w:tc>
      </w:tr>
      <w:tr>
        <w:trPr>
          <w:trHeight w:val="1187" w:hRule="atLeast"/>
        </w:trPr>
        <w:tc>
          <w:tcPr>
            <w:tcW w:w="2180" w:type="dxa"/>
            <w:vMerge w:val="restart"/>
            <w:tcBorders>
              <w:top w:val="single" w:sz="4" w:space="0" w:color="000000"/>
              <w:right w:val="single" w:sz="4" w:space="0" w:color="000000"/>
            </w:tcBorders>
          </w:tcPr>
          <w:p>
            <w:pPr>
              <w:pStyle w:val="TableParagraph"/>
              <w:spacing w:before="11"/>
              <w:rPr>
                <w:rFonts w:ascii="Microsoft JhengHei UI"/>
                <w:sz w:val="19"/>
              </w:rPr>
            </w:pPr>
          </w:p>
          <w:p>
            <w:pPr>
              <w:pStyle w:val="TableParagraph"/>
              <w:spacing w:line="223" w:lineRule="auto"/>
              <w:ind w:left="28" w:right="-29"/>
              <w:jc w:val="both"/>
              <w:rPr>
                <w:rFonts w:ascii="Microsoft JhengHei UI" w:eastAsia="Microsoft JhengHei UI" w:hint="eastAsia"/>
                <w:sz w:val="24"/>
              </w:rPr>
            </w:pPr>
            <w:r>
              <w:rPr>
                <w:rFonts w:ascii="Microsoft JhengHei UI" w:eastAsia="Microsoft JhengHei UI" w:hint="eastAsia"/>
                <w:sz w:val="24"/>
              </w:rPr>
              <w:t>開立 LTBI 治療當下為首次 LTBI 治療者；或曾完成 TB 治療；或曾完成 LTBI 治療；或前次 LTBI 治療中斷*</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269"/>
              <w:ind w:left="28"/>
              <w:rPr>
                <w:rFonts w:ascii="Microsoft JhengHei UI" w:eastAsia="Microsoft JhengHei UI" w:hint="eastAsia"/>
                <w:sz w:val="24"/>
              </w:rPr>
            </w:pPr>
            <w:r>
              <w:rPr>
                <w:rFonts w:ascii="Microsoft JhengHei UI" w:eastAsia="Microsoft JhengHei UI" w:hint="eastAsia"/>
                <w:sz w:val="24"/>
              </w:rPr>
              <w:t>全敏感</w:t>
            </w:r>
          </w:p>
        </w:tc>
        <w:tc>
          <w:tcPr>
            <w:tcW w:w="2128" w:type="dxa"/>
            <w:tcBorders>
              <w:top w:val="single" w:sz="4" w:space="0" w:color="000000"/>
              <w:left w:val="single" w:sz="4" w:space="0" w:color="000000"/>
              <w:bottom w:val="single" w:sz="4" w:space="0" w:color="000000"/>
              <w:right w:val="single" w:sz="4" w:space="0" w:color="000000"/>
            </w:tcBorders>
          </w:tcPr>
          <w:p>
            <w:pPr>
              <w:pStyle w:val="TableParagraph"/>
              <w:spacing w:line="397" w:lineRule="exact"/>
              <w:ind w:left="32"/>
              <w:rPr>
                <w:rFonts w:ascii="Microsoft JhengHei UI"/>
                <w:sz w:val="24"/>
              </w:rPr>
            </w:pPr>
            <w:r>
              <w:rPr>
                <w:rFonts w:ascii="Microsoft JhengHei UI"/>
                <w:sz w:val="24"/>
              </w:rPr>
              <w:t>1HP/3HP/4R/</w:t>
            </w:r>
          </w:p>
          <w:p>
            <w:pPr>
              <w:pStyle w:val="TableParagraph"/>
              <w:spacing w:before="169"/>
              <w:ind w:left="32"/>
              <w:rPr>
                <w:rFonts w:ascii="Microsoft JhengHei UI"/>
                <w:sz w:val="24"/>
              </w:rPr>
            </w:pPr>
            <w:r>
              <w:rPr>
                <w:rFonts w:ascii="Microsoft JhengHei UI"/>
                <w:sz w:val="24"/>
              </w:rPr>
              <w:t>3HR/6H/9H</w:t>
            </w:r>
          </w:p>
        </w:tc>
        <w:tc>
          <w:tcPr>
            <w:tcW w:w="3119" w:type="dxa"/>
            <w:tcBorders>
              <w:top w:val="single" w:sz="4" w:space="0" w:color="000000"/>
              <w:left w:val="single" w:sz="4" w:space="0" w:color="000000"/>
              <w:bottom w:val="single" w:sz="4" w:space="0" w:color="000000"/>
            </w:tcBorders>
          </w:tcPr>
          <w:p>
            <w:pPr>
              <w:pStyle w:val="TableParagraph"/>
              <w:spacing w:before="269"/>
              <w:ind w:left="30"/>
              <w:rPr>
                <w:rFonts w:ascii="Microsoft JhengHei UI" w:eastAsia="Microsoft JhengHei UI" w:hint="eastAsia"/>
                <w:sz w:val="24"/>
              </w:rPr>
            </w:pPr>
            <w:r>
              <w:rPr>
                <w:rFonts w:ascii="Microsoft JhengHei UI" w:eastAsia="Microsoft JhengHei UI" w:hint="eastAsia"/>
                <w:sz w:val="24"/>
              </w:rPr>
              <w:t>依處方而定</w:t>
            </w:r>
          </w:p>
        </w:tc>
      </w:tr>
      <w:tr>
        <w:trPr>
          <w:trHeight w:val="660" w:hRule="atLeast"/>
        </w:trPr>
        <w:tc>
          <w:tcPr>
            <w:tcW w:w="2180" w:type="dxa"/>
            <w:vMerge/>
            <w:tcBorders>
              <w:top w:val="nil"/>
              <w:right w:val="single" w:sz="4" w:space="0" w:color="000000"/>
            </w:tcBorders>
          </w:tcPr>
          <w:p>
            <w:pPr>
              <w:rPr>
                <w:sz w:val="2"/>
                <w:szCs w:val="2"/>
              </w:rPr>
            </w:pP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7"/>
              <w:ind w:left="28"/>
              <w:rPr>
                <w:rFonts w:ascii="Microsoft JhengHei UI" w:eastAsia="Microsoft JhengHei UI" w:hint="eastAsia"/>
                <w:sz w:val="24"/>
              </w:rPr>
            </w:pPr>
            <w:r>
              <w:rPr>
                <w:rFonts w:ascii="Microsoft JhengHei UI" w:eastAsia="Microsoft JhengHei UI" w:hint="eastAsia"/>
                <w:sz w:val="24"/>
              </w:rPr>
              <w:t>單一 INH 抗藥</w:t>
            </w:r>
          </w:p>
        </w:tc>
        <w:tc>
          <w:tcPr>
            <w:tcW w:w="2128" w:type="dxa"/>
            <w:tcBorders>
              <w:top w:val="single" w:sz="4" w:space="0" w:color="000000"/>
              <w:left w:val="single" w:sz="4" w:space="0" w:color="000000"/>
              <w:bottom w:val="single" w:sz="4" w:space="0" w:color="000000"/>
              <w:right w:val="single" w:sz="4" w:space="0" w:color="000000"/>
            </w:tcBorders>
          </w:tcPr>
          <w:p>
            <w:pPr>
              <w:pStyle w:val="TableParagraph"/>
              <w:spacing w:before="7"/>
              <w:ind w:left="32"/>
              <w:rPr>
                <w:rFonts w:ascii="Microsoft JhengHei UI"/>
                <w:sz w:val="24"/>
              </w:rPr>
            </w:pPr>
            <w:r>
              <w:rPr>
                <w:rFonts w:ascii="Microsoft JhengHei UI"/>
                <w:sz w:val="24"/>
              </w:rPr>
              <w:t>4R</w:t>
            </w:r>
          </w:p>
        </w:tc>
        <w:tc>
          <w:tcPr>
            <w:tcW w:w="3119" w:type="dxa"/>
            <w:tcBorders>
              <w:top w:val="single" w:sz="4" w:space="0" w:color="000000"/>
              <w:left w:val="single" w:sz="4" w:space="0" w:color="000000"/>
              <w:bottom w:val="single" w:sz="4" w:space="0" w:color="000000"/>
            </w:tcBorders>
          </w:tcPr>
          <w:p>
            <w:pPr>
              <w:pStyle w:val="TableParagraph"/>
              <w:spacing w:before="7"/>
              <w:ind w:left="30"/>
              <w:rPr>
                <w:rFonts w:ascii="Microsoft JhengHei UI" w:eastAsia="Microsoft JhengHei UI" w:hint="eastAsia"/>
                <w:sz w:val="24"/>
              </w:rPr>
            </w:pPr>
            <w:r>
              <w:rPr>
                <w:rFonts w:ascii="Microsoft JhengHei UI" w:eastAsia="Microsoft JhengHei UI" w:hint="eastAsia"/>
                <w:sz w:val="24"/>
              </w:rPr>
              <w:t>4 個月</w:t>
            </w:r>
          </w:p>
        </w:tc>
      </w:tr>
      <w:tr>
        <w:trPr>
          <w:trHeight w:val="659" w:hRule="atLeast"/>
        </w:trPr>
        <w:tc>
          <w:tcPr>
            <w:tcW w:w="2180" w:type="dxa"/>
            <w:vMerge/>
            <w:tcBorders>
              <w:top w:val="nil"/>
              <w:right w:val="single" w:sz="4" w:space="0" w:color="000000"/>
            </w:tcBorders>
          </w:tcPr>
          <w:p>
            <w:pPr>
              <w:rPr>
                <w:sz w:val="2"/>
                <w:szCs w:val="2"/>
              </w:rPr>
            </w:pP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7"/>
              <w:ind w:left="28"/>
              <w:rPr>
                <w:rFonts w:ascii="Microsoft JhengHei UI" w:eastAsia="Microsoft JhengHei UI" w:hint="eastAsia"/>
                <w:sz w:val="24"/>
              </w:rPr>
            </w:pPr>
            <w:r>
              <w:rPr>
                <w:rFonts w:ascii="Microsoft JhengHei UI" w:eastAsia="Microsoft JhengHei UI" w:hint="eastAsia"/>
                <w:sz w:val="24"/>
              </w:rPr>
              <w:t>單一 RMP 抗藥</w:t>
            </w:r>
          </w:p>
        </w:tc>
        <w:tc>
          <w:tcPr>
            <w:tcW w:w="2128" w:type="dxa"/>
            <w:tcBorders>
              <w:top w:val="single" w:sz="4" w:space="0" w:color="000000"/>
              <w:left w:val="single" w:sz="4" w:space="0" w:color="000000"/>
              <w:bottom w:val="single" w:sz="4" w:space="0" w:color="000000"/>
              <w:right w:val="single" w:sz="4" w:space="0" w:color="000000"/>
            </w:tcBorders>
          </w:tcPr>
          <w:p>
            <w:pPr>
              <w:pStyle w:val="TableParagraph"/>
              <w:spacing w:before="7"/>
              <w:ind w:left="32"/>
              <w:rPr>
                <w:rFonts w:ascii="Microsoft JhengHei UI"/>
                <w:sz w:val="24"/>
              </w:rPr>
            </w:pPr>
            <w:r>
              <w:rPr>
                <w:rFonts w:ascii="Microsoft JhengHei UI"/>
                <w:sz w:val="24"/>
              </w:rPr>
              <w:t>6H/9H</w:t>
            </w:r>
          </w:p>
        </w:tc>
        <w:tc>
          <w:tcPr>
            <w:tcW w:w="3119" w:type="dxa"/>
            <w:tcBorders>
              <w:top w:val="single" w:sz="4" w:space="0" w:color="000000"/>
              <w:left w:val="single" w:sz="4" w:space="0" w:color="000000"/>
              <w:bottom w:val="single" w:sz="4" w:space="0" w:color="000000"/>
            </w:tcBorders>
          </w:tcPr>
          <w:p>
            <w:pPr>
              <w:pStyle w:val="TableParagraph"/>
              <w:spacing w:before="7"/>
              <w:ind w:left="30"/>
              <w:rPr>
                <w:rFonts w:ascii="Microsoft JhengHei UI" w:eastAsia="Microsoft JhengHei UI" w:hint="eastAsia"/>
                <w:sz w:val="24"/>
              </w:rPr>
            </w:pPr>
            <w:r>
              <w:rPr>
                <w:rFonts w:ascii="Microsoft JhengHei UI" w:eastAsia="Microsoft JhengHei UI" w:hint="eastAsia"/>
                <w:sz w:val="24"/>
              </w:rPr>
              <w:t>6/9 個月</w:t>
            </w:r>
          </w:p>
        </w:tc>
      </w:tr>
      <w:tr>
        <w:trPr>
          <w:trHeight w:val="725" w:hRule="atLeast"/>
        </w:trPr>
        <w:tc>
          <w:tcPr>
            <w:tcW w:w="2180" w:type="dxa"/>
            <w:vMerge/>
            <w:tcBorders>
              <w:top w:val="nil"/>
              <w:right w:val="single" w:sz="4" w:space="0" w:color="000000"/>
            </w:tcBorders>
          </w:tcPr>
          <w:p>
            <w:pPr>
              <w:rPr>
                <w:sz w:val="2"/>
                <w:szCs w:val="2"/>
              </w:rPr>
            </w:pPr>
          </w:p>
        </w:tc>
        <w:tc>
          <w:tcPr>
            <w:tcW w:w="1801" w:type="dxa"/>
            <w:tcBorders>
              <w:top w:val="single" w:sz="4" w:space="0" w:color="000000"/>
              <w:left w:val="single" w:sz="4" w:space="0" w:color="000000"/>
              <w:right w:val="single" w:sz="4" w:space="0" w:color="000000"/>
            </w:tcBorders>
          </w:tcPr>
          <w:p>
            <w:pPr>
              <w:pStyle w:val="TableParagraph"/>
              <w:spacing w:line="369" w:lineRule="exact"/>
              <w:ind w:left="28"/>
              <w:rPr>
                <w:rFonts w:ascii="Microsoft JhengHei UI"/>
                <w:sz w:val="24"/>
              </w:rPr>
            </w:pPr>
            <w:r>
              <w:rPr>
                <w:rFonts w:ascii="Microsoft JhengHei UI"/>
                <w:sz w:val="24"/>
              </w:rPr>
              <w:t>MDR-TB</w:t>
            </w:r>
          </w:p>
          <w:p>
            <w:pPr>
              <w:pStyle w:val="TableParagraph"/>
              <w:spacing w:line="337" w:lineRule="exact"/>
              <w:ind w:left="28"/>
              <w:rPr>
                <w:rFonts w:ascii="Microsoft JhengHei UI" w:eastAsia="Microsoft JhengHei UI" w:hint="eastAsia"/>
                <w:sz w:val="24"/>
              </w:rPr>
            </w:pPr>
            <w:r>
              <w:rPr>
                <w:rFonts w:ascii="Microsoft JhengHei UI" w:eastAsia="Microsoft JhengHei UI" w:hint="eastAsia"/>
                <w:position w:val="2"/>
                <w:sz w:val="24"/>
              </w:rPr>
              <w:t>(</w:t>
            </w:r>
            <w:r>
              <w:rPr>
                <w:rFonts w:ascii="Microsoft JhengHei UI" w:eastAsia="Microsoft JhengHei UI" w:hint="eastAsia"/>
                <w:sz w:val="24"/>
              </w:rPr>
              <w:t>非 FQ 抗藥)</w:t>
            </w:r>
          </w:p>
        </w:tc>
        <w:tc>
          <w:tcPr>
            <w:tcW w:w="2128" w:type="dxa"/>
            <w:tcBorders>
              <w:top w:val="single" w:sz="4" w:space="0" w:color="000000"/>
              <w:left w:val="single" w:sz="4" w:space="0" w:color="000000"/>
              <w:right w:val="single" w:sz="4" w:space="0" w:color="000000"/>
            </w:tcBorders>
          </w:tcPr>
          <w:p>
            <w:pPr>
              <w:pStyle w:val="TableParagraph"/>
              <w:spacing w:before="38"/>
              <w:ind w:left="32"/>
              <w:rPr>
                <w:rFonts w:ascii="Microsoft JhengHei UI"/>
                <w:sz w:val="24"/>
              </w:rPr>
            </w:pPr>
            <w:r>
              <w:rPr>
                <w:rFonts w:ascii="Microsoft JhengHei UI"/>
                <w:sz w:val="24"/>
              </w:rPr>
              <w:t>9FQ</w:t>
            </w:r>
          </w:p>
        </w:tc>
        <w:tc>
          <w:tcPr>
            <w:tcW w:w="3119" w:type="dxa"/>
            <w:tcBorders>
              <w:top w:val="single" w:sz="4" w:space="0" w:color="000000"/>
              <w:left w:val="single" w:sz="4" w:space="0" w:color="000000"/>
            </w:tcBorders>
          </w:tcPr>
          <w:p>
            <w:pPr>
              <w:pStyle w:val="TableParagraph"/>
              <w:spacing w:before="38"/>
              <w:ind w:left="30"/>
              <w:rPr>
                <w:rFonts w:ascii="Microsoft JhengHei UI" w:eastAsia="Microsoft JhengHei UI" w:hint="eastAsia"/>
                <w:sz w:val="24"/>
              </w:rPr>
            </w:pPr>
            <w:r>
              <w:rPr>
                <w:rFonts w:ascii="Microsoft JhengHei UI" w:eastAsia="Microsoft JhengHei UI" w:hint="eastAsia"/>
                <w:sz w:val="24"/>
              </w:rPr>
              <w:t>9 個月</w:t>
            </w:r>
          </w:p>
        </w:tc>
      </w:tr>
      <w:tr>
        <w:trPr>
          <w:trHeight w:val="2373" w:hRule="atLeast"/>
        </w:trPr>
        <w:tc>
          <w:tcPr>
            <w:tcW w:w="2180" w:type="dxa"/>
            <w:vMerge w:val="restart"/>
            <w:tcBorders>
              <w:right w:val="single" w:sz="4" w:space="0" w:color="000000"/>
            </w:tcBorders>
          </w:tcPr>
          <w:p>
            <w:pPr>
              <w:pStyle w:val="TableParagraph"/>
              <w:spacing w:before="8"/>
              <w:rPr>
                <w:rFonts w:ascii="Microsoft JhengHei UI"/>
                <w:sz w:val="43"/>
              </w:rPr>
            </w:pPr>
          </w:p>
          <w:p>
            <w:pPr>
              <w:pStyle w:val="TableParagraph"/>
              <w:spacing w:line="223" w:lineRule="auto"/>
              <w:ind w:left="28" w:right="16"/>
              <w:jc w:val="both"/>
              <w:rPr>
                <w:rFonts w:ascii="Microsoft JhengHei UI" w:eastAsia="Microsoft JhengHei UI" w:hint="eastAsia"/>
                <w:sz w:val="24"/>
              </w:rPr>
            </w:pPr>
            <w:r>
              <w:rPr>
                <w:rFonts w:ascii="Microsoft JhengHei UI" w:eastAsia="Microsoft JhengHei UI" w:hint="eastAsia"/>
                <w:sz w:val="24"/>
              </w:rPr>
              <w:t>LTBI 治療中重複暴露指標個案； 或指標個案藥敏結果於開始 LTBI 治療後才檢出， 均需綜合研判各指標個案藥敏情形**</w:t>
            </w:r>
          </w:p>
        </w:tc>
        <w:tc>
          <w:tcPr>
            <w:tcW w:w="1801" w:type="dxa"/>
            <w:tcBorders>
              <w:left w:val="single" w:sz="4" w:space="0" w:color="000000"/>
              <w:bottom w:val="single" w:sz="4" w:space="0" w:color="000000"/>
              <w:right w:val="single" w:sz="4" w:space="0" w:color="000000"/>
            </w:tcBorders>
          </w:tcPr>
          <w:p>
            <w:pPr>
              <w:pStyle w:val="TableParagraph"/>
              <w:rPr>
                <w:rFonts w:ascii="Microsoft JhengHei UI"/>
                <w:sz w:val="30"/>
              </w:rPr>
            </w:pPr>
          </w:p>
          <w:p>
            <w:pPr>
              <w:pStyle w:val="TableParagraph"/>
              <w:spacing w:before="8"/>
              <w:rPr>
                <w:rFonts w:ascii="Microsoft JhengHei UI"/>
                <w:sz w:val="18"/>
              </w:rPr>
            </w:pPr>
          </w:p>
          <w:p>
            <w:pPr>
              <w:pStyle w:val="TableParagraph"/>
              <w:ind w:left="28"/>
              <w:rPr>
                <w:rFonts w:ascii="Microsoft JhengHei UI" w:eastAsia="Microsoft JhengHei UI" w:hint="eastAsia"/>
                <w:sz w:val="24"/>
              </w:rPr>
            </w:pPr>
            <w:r>
              <w:rPr>
                <w:rFonts w:ascii="Microsoft JhengHei UI" w:eastAsia="Microsoft JhengHei UI" w:hint="eastAsia"/>
                <w:sz w:val="24"/>
              </w:rPr>
              <w:t>全敏感</w:t>
            </w:r>
          </w:p>
        </w:tc>
        <w:tc>
          <w:tcPr>
            <w:tcW w:w="2128" w:type="dxa"/>
            <w:tcBorders>
              <w:left w:val="single" w:sz="4" w:space="0" w:color="000000"/>
              <w:bottom w:val="single" w:sz="4" w:space="0" w:color="000000"/>
              <w:right w:val="single" w:sz="4" w:space="0" w:color="000000"/>
            </w:tcBorders>
          </w:tcPr>
          <w:p>
            <w:pPr>
              <w:pStyle w:val="TableParagraph"/>
              <w:rPr>
                <w:rFonts w:ascii="Microsoft JhengHei UI"/>
                <w:sz w:val="30"/>
              </w:rPr>
            </w:pPr>
          </w:p>
          <w:p>
            <w:pPr>
              <w:pStyle w:val="TableParagraph"/>
              <w:spacing w:before="8"/>
              <w:rPr>
                <w:rFonts w:ascii="Microsoft JhengHei UI"/>
                <w:sz w:val="18"/>
              </w:rPr>
            </w:pPr>
          </w:p>
          <w:p>
            <w:pPr>
              <w:pStyle w:val="TableParagraph"/>
              <w:ind w:left="32"/>
              <w:rPr>
                <w:rFonts w:ascii="Microsoft JhengHei UI" w:eastAsia="Microsoft JhengHei UI" w:hint="eastAsia"/>
                <w:sz w:val="24"/>
              </w:rPr>
            </w:pPr>
            <w:r>
              <w:rPr>
                <w:rFonts w:ascii="Microsoft JhengHei UI" w:eastAsia="Microsoft JhengHei UI" w:hint="eastAsia"/>
                <w:sz w:val="24"/>
              </w:rPr>
              <w:t>得維持原處方</w:t>
            </w:r>
          </w:p>
        </w:tc>
        <w:tc>
          <w:tcPr>
            <w:tcW w:w="3119" w:type="dxa"/>
            <w:tcBorders>
              <w:left w:val="single" w:sz="4" w:space="0" w:color="000000"/>
              <w:bottom w:val="single" w:sz="4" w:space="0" w:color="000000"/>
            </w:tcBorders>
          </w:tcPr>
          <w:p>
            <w:pPr>
              <w:pStyle w:val="TableParagraph"/>
              <w:numPr>
                <w:ilvl w:val="0"/>
                <w:numId w:val="31"/>
              </w:numPr>
              <w:tabs>
                <w:tab w:pos="511" w:val="left" w:leader="none"/>
              </w:tabs>
              <w:spacing w:line="223" w:lineRule="auto" w:before="0" w:after="0"/>
              <w:ind w:left="510" w:right="-44" w:hanging="480"/>
              <w:jc w:val="both"/>
              <w:rPr>
                <w:rFonts w:ascii="Microsoft JhengHei UI" w:eastAsia="Microsoft JhengHei UI" w:hint="eastAsia"/>
                <w:sz w:val="24"/>
              </w:rPr>
            </w:pPr>
            <w:r>
              <w:rPr>
                <w:rFonts w:ascii="Microsoft JhengHei UI" w:eastAsia="Microsoft JhengHei UI" w:hint="eastAsia"/>
                <w:spacing w:val="46"/>
                <w:sz w:val="24"/>
              </w:rPr>
              <w:t>若維持原處方繼續治</w:t>
            </w:r>
            <w:r>
              <w:rPr>
                <w:rFonts w:ascii="Microsoft JhengHei UI" w:eastAsia="Microsoft JhengHei UI" w:hint="eastAsia"/>
                <w:spacing w:val="19"/>
                <w:sz w:val="24"/>
              </w:rPr>
              <w:t>療，則療程起日自重複</w:t>
            </w:r>
            <w:r>
              <w:rPr>
                <w:rFonts w:ascii="Microsoft JhengHei UI" w:eastAsia="Microsoft JhengHei UI" w:hint="eastAsia"/>
                <w:spacing w:val="16"/>
                <w:sz w:val="24"/>
              </w:rPr>
              <w:t>暴露之終止有效暴露日重新起算；</w:t>
            </w:r>
          </w:p>
          <w:p>
            <w:pPr>
              <w:pStyle w:val="TableParagraph"/>
              <w:numPr>
                <w:ilvl w:val="0"/>
                <w:numId w:val="31"/>
              </w:numPr>
              <w:tabs>
                <w:tab w:pos="511" w:val="left" w:leader="none"/>
              </w:tabs>
              <w:spacing w:line="387" w:lineRule="exact" w:before="0" w:after="0"/>
              <w:ind w:left="510" w:right="0" w:hanging="481"/>
              <w:jc w:val="both"/>
              <w:rPr>
                <w:rFonts w:ascii="Microsoft JhengHei UI" w:eastAsia="Microsoft JhengHei UI" w:hint="eastAsia"/>
                <w:sz w:val="24"/>
              </w:rPr>
            </w:pPr>
            <w:r>
              <w:rPr>
                <w:rFonts w:ascii="Microsoft JhengHei UI" w:eastAsia="Microsoft JhengHei UI" w:hint="eastAsia"/>
                <w:spacing w:val="16"/>
                <w:sz w:val="24"/>
              </w:rPr>
              <w:t>若改處方則療程依各處</w:t>
            </w:r>
          </w:p>
          <w:p>
            <w:pPr>
              <w:pStyle w:val="TableParagraph"/>
              <w:spacing w:line="385" w:lineRule="exact"/>
              <w:ind w:left="510"/>
              <w:rPr>
                <w:rFonts w:ascii="Microsoft JhengHei UI" w:eastAsia="Microsoft JhengHei UI" w:hint="eastAsia"/>
                <w:sz w:val="24"/>
              </w:rPr>
            </w:pPr>
            <w:r>
              <w:rPr>
                <w:rFonts w:ascii="Microsoft JhengHei UI" w:eastAsia="Microsoft JhengHei UI" w:hint="eastAsia"/>
                <w:sz w:val="24"/>
              </w:rPr>
              <w:t>方而定</w:t>
            </w:r>
          </w:p>
        </w:tc>
      </w:tr>
      <w:tr>
        <w:trPr>
          <w:trHeight w:val="659" w:hRule="atLeast"/>
        </w:trPr>
        <w:tc>
          <w:tcPr>
            <w:tcW w:w="2180" w:type="dxa"/>
            <w:vMerge/>
            <w:tcBorders>
              <w:top w:val="nil"/>
              <w:right w:val="single" w:sz="4" w:space="0" w:color="000000"/>
            </w:tcBorders>
          </w:tcPr>
          <w:p>
            <w:pPr>
              <w:rPr>
                <w:sz w:val="2"/>
                <w:szCs w:val="2"/>
              </w:rPr>
            </w:pP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7"/>
              <w:ind w:left="28"/>
              <w:rPr>
                <w:rFonts w:ascii="Microsoft JhengHei UI" w:eastAsia="Microsoft JhengHei UI" w:hint="eastAsia"/>
                <w:sz w:val="24"/>
              </w:rPr>
            </w:pPr>
            <w:r>
              <w:rPr>
                <w:rFonts w:ascii="Microsoft JhengHei UI" w:eastAsia="Microsoft JhengHei UI" w:hint="eastAsia"/>
                <w:sz w:val="24"/>
              </w:rPr>
              <w:t>單一 INH 抗藥</w:t>
            </w:r>
          </w:p>
        </w:tc>
        <w:tc>
          <w:tcPr>
            <w:tcW w:w="2128" w:type="dxa"/>
            <w:tcBorders>
              <w:top w:val="single" w:sz="4" w:space="0" w:color="000000"/>
              <w:left w:val="single" w:sz="4" w:space="0" w:color="000000"/>
              <w:bottom w:val="single" w:sz="4" w:space="0" w:color="000000"/>
              <w:right w:val="single" w:sz="4" w:space="0" w:color="000000"/>
            </w:tcBorders>
          </w:tcPr>
          <w:p>
            <w:pPr>
              <w:pStyle w:val="TableParagraph"/>
              <w:spacing w:before="7"/>
              <w:ind w:left="32"/>
              <w:rPr>
                <w:rFonts w:ascii="Microsoft JhengHei UI"/>
                <w:sz w:val="24"/>
              </w:rPr>
            </w:pPr>
            <w:r>
              <w:rPr>
                <w:rFonts w:ascii="Microsoft JhengHei UI"/>
                <w:sz w:val="24"/>
              </w:rPr>
              <w:t>4R</w:t>
            </w:r>
          </w:p>
        </w:tc>
        <w:tc>
          <w:tcPr>
            <w:tcW w:w="3119" w:type="dxa"/>
            <w:tcBorders>
              <w:top w:val="single" w:sz="4" w:space="0" w:color="000000"/>
              <w:left w:val="single" w:sz="4" w:space="0" w:color="000000"/>
              <w:bottom w:val="single" w:sz="4" w:space="0" w:color="000000"/>
            </w:tcBorders>
          </w:tcPr>
          <w:p>
            <w:pPr>
              <w:pStyle w:val="TableParagraph"/>
              <w:spacing w:before="7"/>
              <w:ind w:left="30"/>
              <w:rPr>
                <w:rFonts w:ascii="Microsoft JhengHei UI" w:eastAsia="Microsoft JhengHei UI" w:hint="eastAsia"/>
                <w:sz w:val="24"/>
              </w:rPr>
            </w:pPr>
            <w:r>
              <w:rPr>
                <w:rFonts w:ascii="Microsoft JhengHei UI" w:eastAsia="Microsoft JhengHei UI" w:hint="eastAsia"/>
                <w:sz w:val="24"/>
              </w:rPr>
              <w:t>改處方後治療 4 個月</w:t>
            </w:r>
          </w:p>
        </w:tc>
      </w:tr>
      <w:tr>
        <w:trPr>
          <w:trHeight w:val="660" w:hRule="atLeast"/>
        </w:trPr>
        <w:tc>
          <w:tcPr>
            <w:tcW w:w="2180" w:type="dxa"/>
            <w:vMerge/>
            <w:tcBorders>
              <w:top w:val="nil"/>
              <w:right w:val="single" w:sz="4" w:space="0" w:color="000000"/>
            </w:tcBorders>
          </w:tcPr>
          <w:p>
            <w:pPr>
              <w:rPr>
                <w:sz w:val="2"/>
                <w:szCs w:val="2"/>
              </w:rPr>
            </w:pP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8"/>
              <w:ind w:left="28"/>
              <w:rPr>
                <w:rFonts w:ascii="Microsoft JhengHei UI" w:eastAsia="Microsoft JhengHei UI" w:hint="eastAsia"/>
                <w:sz w:val="24"/>
              </w:rPr>
            </w:pPr>
            <w:r>
              <w:rPr>
                <w:rFonts w:ascii="Microsoft JhengHei UI" w:eastAsia="Microsoft JhengHei UI" w:hint="eastAsia"/>
                <w:sz w:val="24"/>
              </w:rPr>
              <w:t>單一 RMP 抗藥</w:t>
            </w:r>
          </w:p>
        </w:tc>
        <w:tc>
          <w:tcPr>
            <w:tcW w:w="2128" w:type="dxa"/>
            <w:tcBorders>
              <w:top w:val="single" w:sz="4" w:space="0" w:color="000000"/>
              <w:left w:val="single" w:sz="4" w:space="0" w:color="000000"/>
              <w:bottom w:val="single" w:sz="4" w:space="0" w:color="000000"/>
              <w:right w:val="single" w:sz="4" w:space="0" w:color="000000"/>
            </w:tcBorders>
          </w:tcPr>
          <w:p>
            <w:pPr>
              <w:pStyle w:val="TableParagraph"/>
              <w:spacing w:before="8"/>
              <w:ind w:left="32"/>
              <w:rPr>
                <w:rFonts w:ascii="Microsoft JhengHei UI"/>
                <w:sz w:val="24"/>
              </w:rPr>
            </w:pPr>
            <w:r>
              <w:rPr>
                <w:rFonts w:ascii="Microsoft JhengHei UI"/>
                <w:sz w:val="24"/>
              </w:rPr>
              <w:t>6H/9H</w:t>
            </w:r>
          </w:p>
        </w:tc>
        <w:tc>
          <w:tcPr>
            <w:tcW w:w="3119" w:type="dxa"/>
            <w:tcBorders>
              <w:top w:val="single" w:sz="4" w:space="0" w:color="000000"/>
              <w:left w:val="single" w:sz="4" w:space="0" w:color="000000"/>
              <w:bottom w:val="single" w:sz="4" w:space="0" w:color="000000"/>
            </w:tcBorders>
          </w:tcPr>
          <w:p>
            <w:pPr>
              <w:pStyle w:val="TableParagraph"/>
              <w:spacing w:before="8"/>
              <w:ind w:left="30"/>
              <w:rPr>
                <w:rFonts w:ascii="Microsoft JhengHei UI" w:eastAsia="Microsoft JhengHei UI" w:hint="eastAsia"/>
                <w:sz w:val="24"/>
              </w:rPr>
            </w:pPr>
            <w:r>
              <w:rPr>
                <w:rFonts w:ascii="Microsoft JhengHei UI" w:eastAsia="Microsoft JhengHei UI" w:hint="eastAsia"/>
                <w:sz w:val="24"/>
              </w:rPr>
              <w:t>改處方後治療 6/9 個月</w:t>
            </w:r>
          </w:p>
        </w:tc>
      </w:tr>
      <w:tr>
        <w:trPr>
          <w:trHeight w:val="781" w:hRule="atLeast"/>
        </w:trPr>
        <w:tc>
          <w:tcPr>
            <w:tcW w:w="2180" w:type="dxa"/>
            <w:vMerge/>
            <w:tcBorders>
              <w:top w:val="nil"/>
              <w:right w:val="single" w:sz="4" w:space="0" w:color="000000"/>
            </w:tcBorders>
          </w:tcPr>
          <w:p>
            <w:pPr>
              <w:rPr>
                <w:sz w:val="2"/>
                <w:szCs w:val="2"/>
              </w:rPr>
            </w:pPr>
          </w:p>
        </w:tc>
        <w:tc>
          <w:tcPr>
            <w:tcW w:w="1801" w:type="dxa"/>
            <w:tcBorders>
              <w:top w:val="single" w:sz="4" w:space="0" w:color="000000"/>
              <w:left w:val="single" w:sz="4" w:space="0" w:color="000000"/>
              <w:right w:val="single" w:sz="4" w:space="0" w:color="000000"/>
            </w:tcBorders>
          </w:tcPr>
          <w:p>
            <w:pPr>
              <w:pStyle w:val="TableParagraph"/>
              <w:spacing w:line="369" w:lineRule="exact"/>
              <w:ind w:left="28"/>
              <w:rPr>
                <w:rFonts w:ascii="Microsoft JhengHei UI"/>
                <w:sz w:val="24"/>
              </w:rPr>
            </w:pPr>
            <w:r>
              <w:rPr>
                <w:rFonts w:ascii="Microsoft JhengHei UI"/>
                <w:sz w:val="24"/>
              </w:rPr>
              <w:t>MDR-TB</w:t>
            </w:r>
          </w:p>
          <w:p>
            <w:pPr>
              <w:pStyle w:val="TableParagraph"/>
              <w:spacing w:line="392" w:lineRule="exact"/>
              <w:ind w:left="28"/>
              <w:rPr>
                <w:rFonts w:ascii="Microsoft JhengHei UI" w:eastAsia="Microsoft JhengHei UI" w:hint="eastAsia"/>
                <w:sz w:val="24"/>
              </w:rPr>
            </w:pPr>
            <w:r>
              <w:rPr>
                <w:rFonts w:ascii="Microsoft JhengHei UI" w:eastAsia="Microsoft JhengHei UI" w:hint="eastAsia"/>
                <w:position w:val="2"/>
                <w:sz w:val="24"/>
              </w:rPr>
              <w:t>(</w:t>
            </w:r>
            <w:r>
              <w:rPr>
                <w:rFonts w:ascii="Microsoft JhengHei UI" w:eastAsia="Microsoft JhengHei UI" w:hint="eastAsia"/>
                <w:sz w:val="24"/>
              </w:rPr>
              <w:t>非 FQ 抗藥)</w:t>
            </w:r>
          </w:p>
        </w:tc>
        <w:tc>
          <w:tcPr>
            <w:tcW w:w="2128" w:type="dxa"/>
            <w:tcBorders>
              <w:top w:val="single" w:sz="4" w:space="0" w:color="000000"/>
              <w:left w:val="single" w:sz="4" w:space="0" w:color="000000"/>
              <w:right w:val="single" w:sz="4" w:space="0" w:color="000000"/>
            </w:tcBorders>
          </w:tcPr>
          <w:p>
            <w:pPr>
              <w:pStyle w:val="TableParagraph"/>
              <w:spacing w:before="66"/>
              <w:ind w:left="32"/>
              <w:rPr>
                <w:rFonts w:ascii="Microsoft JhengHei UI"/>
                <w:sz w:val="24"/>
              </w:rPr>
            </w:pPr>
            <w:r>
              <w:rPr>
                <w:rFonts w:ascii="Microsoft JhengHei UI"/>
                <w:sz w:val="24"/>
              </w:rPr>
              <w:t>9FQ</w:t>
            </w:r>
          </w:p>
        </w:tc>
        <w:tc>
          <w:tcPr>
            <w:tcW w:w="3119" w:type="dxa"/>
            <w:tcBorders>
              <w:top w:val="single" w:sz="4" w:space="0" w:color="000000"/>
              <w:left w:val="single" w:sz="4" w:space="0" w:color="000000"/>
            </w:tcBorders>
          </w:tcPr>
          <w:p>
            <w:pPr>
              <w:pStyle w:val="TableParagraph"/>
              <w:spacing w:before="66"/>
              <w:ind w:left="30"/>
              <w:rPr>
                <w:rFonts w:ascii="Microsoft JhengHei UI" w:eastAsia="Microsoft JhengHei UI" w:hint="eastAsia"/>
                <w:sz w:val="24"/>
              </w:rPr>
            </w:pPr>
            <w:r>
              <w:rPr>
                <w:rFonts w:ascii="Microsoft JhengHei UI" w:eastAsia="Microsoft JhengHei UI" w:hint="eastAsia"/>
                <w:sz w:val="24"/>
              </w:rPr>
              <w:t>9 個月</w:t>
            </w:r>
          </w:p>
        </w:tc>
      </w:tr>
    </w:tbl>
    <w:p>
      <w:pPr>
        <w:pStyle w:val="ListParagraph"/>
        <w:numPr>
          <w:ilvl w:val="0"/>
          <w:numId w:val="32"/>
        </w:numPr>
        <w:tabs>
          <w:tab w:pos="1677" w:val="left" w:leader="none"/>
        </w:tabs>
        <w:spacing w:line="362" w:lineRule="exact" w:before="0" w:after="0"/>
        <w:ind w:left="1676" w:right="0" w:hanging="167"/>
        <w:jc w:val="both"/>
        <w:rPr>
          <w:rFonts w:ascii="Microsoft JhengHei UI" w:hAnsi="Microsoft JhengHei UI" w:eastAsia="Microsoft JhengHei UI" w:hint="eastAsia"/>
          <w:sz w:val="24"/>
        </w:rPr>
      </w:pPr>
      <w:r>
        <w:rPr>
          <w:rFonts w:ascii="Microsoft JhengHei UI" w:hAnsi="Microsoft JhengHei UI" w:eastAsia="Microsoft JhengHei UI" w:hint="eastAsia"/>
          <w:spacing w:val="-1"/>
          <w:sz w:val="24"/>
        </w:rPr>
        <w:t>接續原 </w:t>
      </w:r>
      <w:r>
        <w:rPr>
          <w:rFonts w:ascii="Microsoft JhengHei UI" w:hAnsi="Microsoft JhengHei UI" w:eastAsia="Microsoft JhengHei UI" w:hint="eastAsia"/>
          <w:sz w:val="24"/>
        </w:rPr>
        <w:t>LTBI 治療處方以完成療程為原則，接續治療前需排除活動性結核病。</w:t>
      </w:r>
    </w:p>
    <w:p>
      <w:pPr>
        <w:pStyle w:val="BodyText"/>
        <w:spacing w:line="201" w:lineRule="auto" w:before="15"/>
        <w:ind w:left="1750" w:right="821" w:hanging="240"/>
        <w:jc w:val="both"/>
        <w:rPr>
          <w:rFonts w:ascii="Microsoft JhengHei UI" w:eastAsia="Microsoft JhengHei UI" w:hint="eastAsia"/>
        </w:rPr>
      </w:pPr>
      <w:r>
        <w:rPr>
          <w:rFonts w:ascii="Microsoft JhengHei UI" w:eastAsia="Microsoft JhengHei UI" w:hint="eastAsia"/>
        </w:rPr>
        <w:t>**倘指標個案痰培養持續未陰轉且亦無新的抗藥事證，已進行LTBI 治療中之接觸者因屬同一次結核菌暴露，目前尚無實證研究需延長 LTBI 治療期程，故仍以完成當次 LTBI 治療療程為原則。</w:t>
      </w: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spacing w:before="11"/>
        <w:rPr>
          <w:rFonts w:ascii="Microsoft JhengHei UI"/>
          <w:sz w:val="22"/>
        </w:rPr>
      </w:pPr>
    </w:p>
    <w:p>
      <w:pPr>
        <w:spacing w:before="95"/>
        <w:ind w:left="0" w:right="189" w:firstLine="0"/>
        <w:jc w:val="right"/>
        <w:rPr>
          <w:rFonts w:ascii="Arial"/>
          <w:sz w:val="16"/>
        </w:rPr>
      </w:pPr>
      <w:r>
        <w:rPr>
          <w:rFonts w:ascii="Arial"/>
          <w:color w:val="221F1F"/>
          <w:w w:val="99"/>
          <w:sz w:val="16"/>
        </w:rPr>
        <w:t>7</w:t>
      </w:r>
    </w:p>
    <w:p>
      <w:pPr>
        <w:spacing w:after="0"/>
        <w:jc w:val="right"/>
        <w:rPr>
          <w:rFonts w:ascii="Arial"/>
          <w:sz w:val="16"/>
        </w:rPr>
        <w:sectPr>
          <w:pgSz w:w="11920" w:h="16840"/>
          <w:pgMar w:top="1040" w:bottom="280" w:left="200" w:right="220"/>
        </w:sectPr>
      </w:pPr>
    </w:p>
    <w:p>
      <w:pPr>
        <w:pStyle w:val="BodyText"/>
        <w:spacing w:line="414" w:lineRule="exact" w:before="26"/>
        <w:ind w:left="1232"/>
        <w:rPr>
          <w:rFonts w:ascii="Microsoft JhengHei UI" w:eastAsia="Microsoft JhengHei UI" w:hint="eastAsia"/>
        </w:rPr>
      </w:pPr>
      <w:r>
        <w:rPr>
          <w:rFonts w:ascii="Microsoft JhengHei UI" w:eastAsia="Microsoft JhengHei UI" w:hint="eastAsia"/>
        </w:rPr>
        <w:t>三、衛教治療者瞭解以下重點：</w:t>
      </w:r>
    </w:p>
    <w:p>
      <w:pPr>
        <w:pStyle w:val="BodyText"/>
        <w:spacing w:line="225" w:lineRule="auto" w:before="6"/>
        <w:ind w:left="2410" w:right="1625" w:hanging="721"/>
        <w:jc w:val="both"/>
        <w:rPr>
          <w:rFonts w:ascii="Microsoft JhengHei UI" w:eastAsia="Microsoft JhengHei UI" w:hint="eastAsia"/>
        </w:rPr>
      </w:pPr>
      <w:r>
        <w:rPr>
          <w:rFonts w:ascii="Microsoft JhengHei UI" w:eastAsia="Microsoft JhengHei UI" w:hint="eastAsia"/>
        </w:rPr>
        <w:t>( 一) 接觸者有可能在 LTBI 治療期間結核病發病，應每月回診評估；另，兒童生長發展快速，每月回診時應測量體重，體重增加應及時調整治療劑量，體重下降或增加遲緩可能為結核病發病之早期徵候。</w:t>
      </w:r>
    </w:p>
    <w:p>
      <w:pPr>
        <w:pStyle w:val="BodyText"/>
        <w:tabs>
          <w:tab w:pos="2410" w:val="left" w:leader="none"/>
        </w:tabs>
        <w:spacing w:line="405" w:lineRule="exact"/>
        <w:ind w:left="1690"/>
        <w:rPr>
          <w:rFonts w:ascii="Microsoft JhengHei UI" w:eastAsia="Microsoft JhengHei UI" w:hint="eastAsia"/>
        </w:rPr>
      </w:pPr>
      <w:r>
        <w:rPr>
          <w:rFonts w:ascii="Microsoft JhengHei UI" w:eastAsia="Microsoft JhengHei UI" w:hint="eastAsia"/>
        </w:rPr>
        <w:t>(</w:t>
      </w:r>
      <w:r>
        <w:rPr>
          <w:rFonts w:ascii="Microsoft JhengHei UI" w:eastAsia="Microsoft JhengHei UI" w:hint="eastAsia"/>
          <w:spacing w:val="-1"/>
        </w:rPr>
        <w:t> </w:t>
      </w:r>
      <w:r>
        <w:rPr>
          <w:rFonts w:ascii="Microsoft JhengHei UI" w:eastAsia="Microsoft JhengHei UI" w:hint="eastAsia"/>
        </w:rPr>
        <w:t>二 )</w:t>
        <w:tab/>
      </w:r>
      <w:r>
        <w:rPr>
          <w:rFonts w:ascii="Microsoft JhengHei UI" w:eastAsia="Microsoft JhengHei UI" w:hint="eastAsia"/>
          <w:spacing w:val="-4"/>
        </w:rPr>
        <w:t>LTBI</w:t>
      </w:r>
      <w:r>
        <w:rPr>
          <w:rFonts w:ascii="Microsoft JhengHei UI" w:eastAsia="Microsoft JhengHei UI" w:hint="eastAsia"/>
          <w:spacing w:val="-1"/>
        </w:rPr>
        <w:t> </w:t>
      </w:r>
      <w:r>
        <w:rPr>
          <w:rFonts w:ascii="Microsoft JhengHei UI" w:eastAsia="Microsoft JhengHei UI" w:hint="eastAsia"/>
        </w:rPr>
        <w:t>治療的好處，完成治療可提供 90% 以上保護力，避免結核病發。</w:t>
      </w:r>
    </w:p>
    <w:p>
      <w:pPr>
        <w:pStyle w:val="BodyText"/>
        <w:tabs>
          <w:tab w:pos="2410" w:val="left" w:leader="none"/>
        </w:tabs>
        <w:spacing w:line="407" w:lineRule="exact"/>
        <w:ind w:left="1690"/>
        <w:rPr>
          <w:rFonts w:ascii="Microsoft JhengHei UI" w:eastAsia="Microsoft JhengHei UI" w:hint="eastAsia"/>
        </w:rPr>
      </w:pPr>
      <w:r>
        <w:rPr>
          <w:rFonts w:ascii="Microsoft JhengHei UI" w:eastAsia="Microsoft JhengHei UI" w:hint="eastAsia"/>
        </w:rPr>
        <w:t>(</w:t>
      </w:r>
      <w:r>
        <w:rPr>
          <w:rFonts w:ascii="Microsoft JhengHei UI" w:eastAsia="Microsoft JhengHei UI" w:hint="eastAsia"/>
          <w:spacing w:val="-1"/>
        </w:rPr>
        <w:t> </w:t>
      </w:r>
      <w:r>
        <w:rPr>
          <w:rFonts w:ascii="Microsoft JhengHei UI" w:eastAsia="Microsoft JhengHei UI" w:hint="eastAsia"/>
        </w:rPr>
        <w:t>三 )</w:t>
        <w:tab/>
        <w:t>服藥順從性的重要，以提供完整的保護力。</w:t>
      </w:r>
    </w:p>
    <w:p>
      <w:pPr>
        <w:pStyle w:val="BodyText"/>
        <w:tabs>
          <w:tab w:pos="2410" w:val="left" w:leader="none"/>
        </w:tabs>
        <w:spacing w:line="407" w:lineRule="exact"/>
        <w:ind w:left="1690"/>
        <w:rPr>
          <w:rFonts w:ascii="Microsoft JhengHei UI" w:eastAsia="Microsoft JhengHei UI" w:hint="eastAsia"/>
        </w:rPr>
      </w:pPr>
      <w:r>
        <w:rPr>
          <w:rFonts w:ascii="Microsoft JhengHei UI" w:eastAsia="Microsoft JhengHei UI" w:hint="eastAsia"/>
        </w:rPr>
        <w:t>(</w:t>
      </w:r>
      <w:r>
        <w:rPr>
          <w:rFonts w:ascii="Microsoft JhengHei UI" w:eastAsia="Microsoft JhengHei UI" w:hint="eastAsia"/>
          <w:spacing w:val="-1"/>
        </w:rPr>
        <w:t> </w:t>
      </w:r>
      <w:r>
        <w:rPr>
          <w:rFonts w:ascii="Microsoft JhengHei UI" w:eastAsia="Microsoft JhengHei UI" w:hint="eastAsia"/>
        </w:rPr>
        <w:t>四 )</w:t>
        <w:tab/>
        <w:t>治療處方可能產生的副作用及處理方式。</w:t>
      </w:r>
    </w:p>
    <w:p>
      <w:pPr>
        <w:pStyle w:val="BodyText"/>
        <w:tabs>
          <w:tab w:pos="2410" w:val="left" w:leader="none"/>
        </w:tabs>
        <w:spacing w:line="405" w:lineRule="exact"/>
        <w:ind w:left="1690"/>
        <w:rPr>
          <w:rFonts w:ascii="Microsoft JhengHei UI" w:eastAsia="Microsoft JhengHei UI" w:hint="eastAsia"/>
        </w:rPr>
      </w:pPr>
      <w:r>
        <w:rPr>
          <w:rFonts w:ascii="Microsoft JhengHei UI" w:eastAsia="Microsoft JhengHei UI" w:hint="eastAsia"/>
        </w:rPr>
        <w:t>(</w:t>
      </w:r>
      <w:r>
        <w:rPr>
          <w:rFonts w:ascii="Microsoft JhengHei UI" w:eastAsia="Microsoft JhengHei UI" w:hint="eastAsia"/>
          <w:spacing w:val="-1"/>
        </w:rPr>
        <w:t> </w:t>
      </w:r>
      <w:r>
        <w:rPr>
          <w:rFonts w:ascii="Microsoft JhengHei UI" w:eastAsia="Microsoft JhengHei UI" w:hint="eastAsia"/>
        </w:rPr>
        <w:t>五 )</w:t>
        <w:tab/>
        <w:t>配合公衛單位安排的都治服務。</w:t>
      </w:r>
    </w:p>
    <w:p>
      <w:pPr>
        <w:pStyle w:val="BodyText"/>
        <w:spacing w:line="223" w:lineRule="auto" w:before="9"/>
        <w:ind w:left="1712" w:right="1391" w:hanging="480"/>
        <w:rPr>
          <w:rFonts w:ascii="Microsoft JhengHei UI" w:eastAsia="Microsoft JhengHei UI" w:hint="eastAsia"/>
        </w:rPr>
      </w:pPr>
      <w:r>
        <w:rPr>
          <w:rFonts w:ascii="Microsoft JhengHei UI" w:eastAsia="Microsoft JhengHei UI" w:hint="eastAsia"/>
          <w:spacing w:val="4"/>
        </w:rPr>
        <w:t>四、為使國內潛伏結核感染治療藥品供應順利，部分潛伏結核感染治療藥品，例 </w:t>
      </w:r>
      <w:r>
        <w:rPr>
          <w:rFonts w:ascii="Microsoft JhengHei UI" w:eastAsia="Microsoft JhengHei UI" w:hint="eastAsia"/>
          <w:spacing w:val="3"/>
        </w:rPr>
        <w:t>如：〔</w:t>
      </w:r>
      <w:r>
        <w:rPr>
          <w:rFonts w:ascii="Microsoft JhengHei UI" w:eastAsia="Microsoft JhengHei UI" w:hint="eastAsia"/>
          <w:spacing w:val="2"/>
        </w:rPr>
        <w:t>isoniazid</w:t>
      </w:r>
      <w:r>
        <w:rPr>
          <w:rFonts w:ascii="Microsoft JhengHei UI" w:eastAsia="Microsoft JhengHei UI" w:hint="eastAsia"/>
          <w:spacing w:val="45"/>
        </w:rPr>
        <w:t> </w:t>
      </w:r>
      <w:r>
        <w:rPr>
          <w:rFonts w:ascii="Microsoft JhengHei UI" w:eastAsia="Microsoft JhengHei UI" w:hint="eastAsia"/>
          <w:spacing w:val="2"/>
        </w:rPr>
        <w:t>300</w:t>
      </w:r>
      <w:r>
        <w:rPr>
          <w:rFonts w:ascii="Microsoft JhengHei UI" w:eastAsia="Microsoft JhengHei UI" w:hint="eastAsia"/>
          <w:spacing w:val="47"/>
        </w:rPr>
        <w:t> </w:t>
      </w:r>
      <w:r>
        <w:rPr>
          <w:rFonts w:ascii="Microsoft JhengHei UI" w:eastAsia="Microsoft JhengHei UI" w:hint="eastAsia"/>
          <w:spacing w:val="4"/>
        </w:rPr>
        <w:t>mg/tab（INH）</w:t>
      </w:r>
      <w:r>
        <w:rPr>
          <w:rFonts w:ascii="Microsoft JhengHei UI" w:eastAsia="Microsoft JhengHei UI" w:hint="eastAsia"/>
          <w:spacing w:val="8"/>
        </w:rPr>
        <w:t>、</w:t>
      </w:r>
      <w:r>
        <w:rPr>
          <w:rFonts w:ascii="Microsoft JhengHei UI" w:eastAsia="Microsoft JhengHei UI" w:hint="eastAsia"/>
          <w:spacing w:val="3"/>
        </w:rPr>
        <w:t>rifapentine</w:t>
      </w:r>
      <w:r>
        <w:rPr>
          <w:rFonts w:ascii="Microsoft JhengHei UI" w:eastAsia="Microsoft JhengHei UI" w:hint="eastAsia"/>
          <w:spacing w:val="45"/>
        </w:rPr>
        <w:t> </w:t>
      </w:r>
      <w:r>
        <w:rPr>
          <w:rFonts w:ascii="Microsoft JhengHei UI" w:eastAsia="Microsoft JhengHei UI" w:hint="eastAsia"/>
        </w:rPr>
        <w:t>150</w:t>
      </w:r>
      <w:r>
        <w:rPr>
          <w:rFonts w:ascii="Microsoft JhengHei UI" w:eastAsia="Microsoft JhengHei UI" w:hint="eastAsia"/>
          <w:spacing w:val="47"/>
        </w:rPr>
        <w:t> </w:t>
      </w:r>
      <w:r>
        <w:rPr>
          <w:rFonts w:ascii="Microsoft JhengHei UI" w:eastAsia="Microsoft JhengHei UI" w:hint="eastAsia"/>
          <w:spacing w:val="4"/>
        </w:rPr>
        <w:t>mg/tab（RPT）</w:t>
      </w:r>
      <w:r>
        <w:rPr>
          <w:rFonts w:ascii="Microsoft JhengHei UI" w:eastAsia="Microsoft JhengHei UI" w:hint="eastAsia"/>
        </w:rPr>
        <w:t>、</w:t>
      </w:r>
      <w:r>
        <w:rPr>
          <w:rFonts w:ascii="Microsoft JhengHei UI" w:eastAsia="Microsoft JhengHei UI" w:hint="eastAsia"/>
          <w:spacing w:val="3"/>
        </w:rPr>
        <w:t>isoniazid/rifapentine</w:t>
      </w:r>
      <w:r>
        <w:rPr>
          <w:rFonts w:ascii="Microsoft JhengHei UI" w:eastAsia="Microsoft JhengHei UI" w:hint="eastAsia"/>
          <w:spacing w:val="6"/>
        </w:rPr>
        <w:t> </w:t>
      </w:r>
      <w:r>
        <w:rPr>
          <w:rFonts w:ascii="Microsoft JhengHei UI" w:eastAsia="Microsoft JhengHei UI" w:hint="eastAsia"/>
          <w:spacing w:val="2"/>
        </w:rPr>
        <w:t>Coated</w:t>
      </w:r>
      <w:r>
        <w:rPr>
          <w:rFonts w:ascii="Microsoft JhengHei UI" w:eastAsia="Microsoft JhengHei UI" w:hint="eastAsia"/>
          <w:spacing w:val="7"/>
        </w:rPr>
        <w:t> </w:t>
      </w:r>
      <w:r>
        <w:rPr>
          <w:rFonts w:ascii="Microsoft JhengHei UI" w:eastAsia="Microsoft JhengHei UI" w:hint="eastAsia"/>
          <w:spacing w:val="3"/>
        </w:rPr>
        <w:t>Tablets</w:t>
      </w:r>
      <w:r>
        <w:rPr>
          <w:rFonts w:ascii="Microsoft JhengHei UI" w:eastAsia="Microsoft JhengHei UI" w:hint="eastAsia"/>
          <w:spacing w:val="7"/>
        </w:rPr>
        <w:t> </w:t>
      </w:r>
      <w:r>
        <w:rPr>
          <w:rFonts w:ascii="Microsoft JhengHei UI" w:eastAsia="Microsoft JhengHei UI" w:hint="eastAsia"/>
        </w:rPr>
        <w:t>300</w:t>
      </w:r>
      <w:r>
        <w:rPr>
          <w:rFonts w:ascii="Microsoft JhengHei UI" w:eastAsia="Microsoft JhengHei UI" w:hint="eastAsia"/>
          <w:spacing w:val="7"/>
        </w:rPr>
        <w:t> </w:t>
      </w:r>
      <w:r>
        <w:rPr>
          <w:rFonts w:ascii="Microsoft JhengHei UI" w:eastAsia="Microsoft JhengHei UI" w:hint="eastAsia"/>
        </w:rPr>
        <w:t>mg</w:t>
      </w:r>
      <w:r>
        <w:rPr>
          <w:rFonts w:ascii="Microsoft JhengHei UI" w:eastAsia="Microsoft JhengHei UI" w:hint="eastAsia"/>
          <w:spacing w:val="8"/>
        </w:rPr>
        <w:t> </w:t>
      </w:r>
      <w:r>
        <w:rPr>
          <w:rFonts w:ascii="Microsoft JhengHei UI" w:eastAsia="Microsoft JhengHei UI" w:hint="eastAsia"/>
        </w:rPr>
        <w:t>/</w:t>
      </w:r>
      <w:r>
        <w:rPr>
          <w:rFonts w:ascii="Microsoft JhengHei UI" w:eastAsia="Microsoft JhengHei UI" w:hint="eastAsia"/>
          <w:spacing w:val="6"/>
        </w:rPr>
        <w:t> </w:t>
      </w:r>
      <w:r>
        <w:rPr>
          <w:rFonts w:ascii="Microsoft JhengHei UI" w:eastAsia="Microsoft JhengHei UI" w:hint="eastAsia"/>
          <w:spacing w:val="2"/>
        </w:rPr>
        <w:t>300</w:t>
      </w:r>
      <w:r>
        <w:rPr>
          <w:rFonts w:ascii="Microsoft JhengHei UI" w:eastAsia="Microsoft JhengHei UI" w:hint="eastAsia"/>
          <w:spacing w:val="7"/>
        </w:rPr>
        <w:t> </w:t>
      </w:r>
      <w:r>
        <w:rPr>
          <w:rFonts w:ascii="Microsoft JhengHei UI" w:eastAsia="Microsoft JhengHei UI" w:hint="eastAsia"/>
        </w:rPr>
        <w:t>mg</w:t>
      </w:r>
      <w:r>
        <w:rPr>
          <w:rFonts w:ascii="Microsoft JhengHei UI" w:eastAsia="Microsoft JhengHei UI" w:hint="eastAsia"/>
          <w:spacing w:val="7"/>
        </w:rPr>
        <w:t> 複方錠</w:t>
      </w:r>
      <w:r>
        <w:rPr>
          <w:rFonts w:ascii="Microsoft JhengHei UI" w:eastAsia="Microsoft JhengHei UI" w:hint="eastAsia"/>
        </w:rPr>
        <w:t>（HP</w:t>
      </w:r>
      <w:r>
        <w:rPr>
          <w:rFonts w:ascii="Microsoft JhengHei UI" w:eastAsia="Microsoft JhengHei UI" w:hint="eastAsia"/>
          <w:spacing w:val="6"/>
        </w:rPr>
        <w:t> </w:t>
      </w:r>
      <w:r>
        <w:rPr>
          <w:rFonts w:ascii="Microsoft JhengHei UI" w:eastAsia="Microsoft JhengHei UI" w:hint="eastAsia"/>
          <w:spacing w:val="3"/>
        </w:rPr>
        <w:t>FDC） </w:t>
      </w:r>
      <w:r>
        <w:rPr>
          <w:rFonts w:ascii="Microsoft JhengHei UI" w:eastAsia="Microsoft JhengHei UI" w:hint="eastAsia"/>
        </w:rPr>
        <w:t>等〕需透過專案進口方式，向世界衛生組織（WHO）委託之全球藥品購置機 </w:t>
      </w:r>
      <w:r>
        <w:rPr>
          <w:rFonts w:ascii="Microsoft JhengHei UI" w:eastAsia="Microsoft JhengHei UI" w:hint="eastAsia"/>
          <w:spacing w:val="17"/>
        </w:rPr>
        <w:t>構</w:t>
      </w:r>
      <w:r>
        <w:rPr>
          <w:rFonts w:ascii="Microsoft JhengHei UI" w:eastAsia="Microsoft JhengHei UI" w:hint="eastAsia"/>
          <w:spacing w:val="2"/>
        </w:rPr>
        <w:t>（Global</w:t>
      </w:r>
      <w:r>
        <w:rPr>
          <w:rFonts w:ascii="Microsoft JhengHei UI" w:eastAsia="Microsoft JhengHei UI" w:hint="eastAsia"/>
          <w:spacing w:val="42"/>
        </w:rPr>
        <w:t> </w:t>
      </w:r>
      <w:r>
        <w:rPr>
          <w:rFonts w:ascii="Microsoft JhengHei UI" w:eastAsia="Microsoft JhengHei UI" w:hint="eastAsia"/>
        </w:rPr>
        <w:t>Drug</w:t>
      </w:r>
      <w:r>
        <w:rPr>
          <w:rFonts w:ascii="Microsoft JhengHei UI" w:eastAsia="Microsoft JhengHei UI" w:hint="eastAsia"/>
          <w:spacing w:val="44"/>
        </w:rPr>
        <w:t> </w:t>
      </w:r>
      <w:r>
        <w:rPr>
          <w:rFonts w:ascii="Microsoft JhengHei UI" w:eastAsia="Microsoft JhengHei UI" w:hint="eastAsia"/>
        </w:rPr>
        <w:t>Facility,</w:t>
      </w:r>
      <w:r>
        <w:rPr>
          <w:rFonts w:ascii="Microsoft JhengHei UI" w:eastAsia="Microsoft JhengHei UI" w:hint="eastAsia"/>
          <w:spacing w:val="44"/>
        </w:rPr>
        <w:t> </w:t>
      </w:r>
      <w:r>
        <w:rPr>
          <w:rFonts w:ascii="Microsoft JhengHei UI" w:eastAsia="Microsoft JhengHei UI" w:hint="eastAsia"/>
          <w:spacing w:val="7"/>
        </w:rPr>
        <w:t>GDF）</w:t>
      </w:r>
      <w:r>
        <w:rPr>
          <w:rFonts w:ascii="Microsoft JhengHei UI" w:eastAsia="Microsoft JhengHei UI" w:hint="eastAsia"/>
          <w:spacing w:val="14"/>
        </w:rPr>
        <w:t>購買，此類藥品通過 </w:t>
      </w:r>
      <w:r>
        <w:rPr>
          <w:rFonts w:ascii="Microsoft JhengHei UI" w:eastAsia="Microsoft JhengHei UI" w:hint="eastAsia"/>
        </w:rPr>
        <w:t>WHO</w:t>
      </w:r>
      <w:r>
        <w:rPr>
          <w:rFonts w:ascii="Microsoft JhengHei UI" w:eastAsia="Microsoft JhengHei UI" w:hint="eastAsia"/>
          <w:spacing w:val="15"/>
        </w:rPr>
        <w:t> 認證</w:t>
      </w:r>
      <w:r>
        <w:rPr>
          <w:rFonts w:ascii="Microsoft JhengHei UI" w:eastAsia="Microsoft JhengHei UI" w:hint="eastAsia"/>
          <w:spacing w:val="3"/>
        </w:rPr>
        <w:t>（pre- </w:t>
      </w:r>
      <w:r>
        <w:rPr>
          <w:rFonts w:ascii="Microsoft JhengHei UI" w:eastAsia="Microsoft JhengHei UI" w:hint="eastAsia"/>
        </w:rPr>
        <w:t>qualification）或在其產製國均具有藥品許可證並使用多年，並由衛生局提供 </w:t>
      </w:r>
      <w:r>
        <w:rPr>
          <w:rFonts w:ascii="Microsoft JhengHei UI" w:eastAsia="Microsoft JhengHei UI" w:hint="eastAsia"/>
          <w:spacing w:val="7"/>
        </w:rPr>
        <w:t>都治關懷送藥服務，協助民眾按時服藥，於關懷服藥時亦會瞭解是否產生藥品不良反應，以聯繫或轉介醫療團隊適時提供醫療處理；疾管署亦主動監測 </w:t>
      </w:r>
      <w:r>
        <w:rPr>
          <w:rFonts w:ascii="Microsoft JhengHei UI" w:eastAsia="Microsoft JhengHei UI" w:hint="eastAsia"/>
          <w:spacing w:val="4"/>
        </w:rPr>
        <w:t>不良反應樣態及發生率，共同為潛伏結核感染治療安全把關。使用專案進口 </w:t>
      </w:r>
      <w:r>
        <w:rPr>
          <w:rFonts w:ascii="Microsoft JhengHei UI" w:eastAsia="Microsoft JhengHei UI" w:hint="eastAsia"/>
          <w:spacing w:val="3"/>
        </w:rPr>
        <w:t>公費藥品治療前，合作院所須向個案說明解釋清楚，並請個案填寫使用同意 書，併同病歷備查。</w:t>
      </w:r>
    </w:p>
    <w:p>
      <w:pPr>
        <w:pStyle w:val="BodyText"/>
        <w:spacing w:line="385" w:lineRule="exact"/>
        <w:ind w:left="2178"/>
        <w:rPr>
          <w:rFonts w:ascii="Microsoft JhengHei UI" w:eastAsia="Microsoft JhengHei UI" w:hint="eastAsia"/>
        </w:rPr>
      </w:pPr>
      <w:r>
        <w:rPr>
          <w:rFonts w:ascii="Microsoft JhengHei UI" w:eastAsia="Microsoft JhengHei UI" w:hint="eastAsia"/>
        </w:rPr>
        <w:t>參考附件 3-1 1HP 處方用藥須知、附件 3-2 3HP 處方用藥須知、附件 3-</w:t>
      </w:r>
    </w:p>
    <w:p>
      <w:pPr>
        <w:pStyle w:val="BodyText"/>
        <w:spacing w:line="401" w:lineRule="exact"/>
        <w:ind w:left="1696"/>
        <w:rPr>
          <w:rFonts w:ascii="Microsoft JhengHei UI" w:eastAsia="Microsoft JhengHei UI" w:hint="eastAsia"/>
        </w:rPr>
      </w:pPr>
      <w:r>
        <w:rPr>
          <w:rFonts w:ascii="Microsoft JhengHei UI" w:eastAsia="Microsoft JhengHei UI" w:hint="eastAsia"/>
        </w:rPr>
        <w:t>3 潛伏結核感染治療公費藥品使用同意書。</w:t>
      </w:r>
    </w:p>
    <w:p>
      <w:pPr>
        <w:pStyle w:val="BodyText"/>
        <w:spacing w:line="223" w:lineRule="auto" w:before="9"/>
        <w:ind w:left="1690" w:right="1632" w:hanging="480"/>
        <w:jc w:val="both"/>
        <w:rPr>
          <w:rFonts w:ascii="Microsoft JhengHei UI" w:eastAsia="Microsoft JhengHei UI" w:hint="eastAsia"/>
        </w:rPr>
      </w:pPr>
      <w:r>
        <w:rPr>
          <w:rFonts w:ascii="Microsoft JhengHei UI" w:eastAsia="Microsoft JhengHei UI" w:hint="eastAsia"/>
        </w:rPr>
        <w:t>五、若 LTBI 治療過程因藥品不良反應或藥品交互作用等因素需轉換藥品，轉換後處方所需治療劑次，請參見疾管署｢潛伏結核感染專區｣轉換處方建議表，並下載試算表計算，並於 TB 系統詳實維護。</w:t>
      </w:r>
    </w:p>
    <w:p>
      <w:pPr>
        <w:pStyle w:val="Heading2"/>
        <w:spacing w:line="414" w:lineRule="exact" w:before="176"/>
        <w:ind w:left="994"/>
        <w:rPr>
          <w:rFonts w:ascii="Microsoft JhengHei UI" w:eastAsia="Microsoft JhengHei UI" w:hint="eastAsia"/>
        </w:rPr>
      </w:pPr>
      <w:r>
        <w:rPr>
          <w:rFonts w:ascii="Microsoft JhengHei UI" w:eastAsia="Microsoft JhengHei UI" w:hint="eastAsia"/>
        </w:rPr>
        <w:t>捌、LTBI 治療個案管理：</w:t>
      </w:r>
    </w:p>
    <w:p>
      <w:pPr>
        <w:pStyle w:val="BodyText"/>
        <w:spacing w:line="225" w:lineRule="auto" w:before="6"/>
        <w:ind w:left="1690" w:right="1614" w:hanging="420"/>
        <w:jc w:val="both"/>
        <w:rPr>
          <w:rFonts w:ascii="Microsoft JhengHei UI" w:eastAsia="Microsoft JhengHei UI" w:hint="eastAsia"/>
        </w:rPr>
      </w:pPr>
      <w:r>
        <w:rPr>
          <w:rFonts w:ascii="Microsoft JhengHei UI" w:eastAsia="Microsoft JhengHei UI" w:hint="eastAsia"/>
        </w:rPr>
        <w:t>一、公衛管理人員應追蹤瞭解合作醫師治療評估之結果，經合作醫師評估而加入治療者，公衛管理人員於收案時提供相關衛教，另依其身分別提供智慧關懷卡，並依「衛生福部法定傳染病醫療服務費用支付作業規範」向個案說明是否為符合減免部分負擔費用之對象。</w:t>
      </w:r>
    </w:p>
    <w:p>
      <w:pPr>
        <w:pStyle w:val="BodyText"/>
        <w:spacing w:line="225" w:lineRule="auto"/>
        <w:ind w:left="1690" w:right="1620" w:hanging="480"/>
        <w:jc w:val="both"/>
        <w:rPr>
          <w:rFonts w:ascii="Microsoft JhengHei UI" w:eastAsia="Microsoft JhengHei UI" w:hint="eastAsia"/>
        </w:rPr>
      </w:pPr>
      <w:r>
        <w:rPr>
          <w:rFonts w:ascii="Microsoft JhengHei UI" w:eastAsia="Microsoft JhengHei UI" w:hint="eastAsia"/>
        </w:rPr>
        <w:t>二、對於接觸者 LTBI 治療個案，管理期程自建檔日起，應至少每個月訪視個案 1 次；其餘 LTBI 專案訪視頻率無需比照接觸者。訪視時均需瞭解個案服藥順從性及進行副作用評估，惟若 LTBI 治療個案有特殊狀況時（例如：藥品不良反應、藥品交互作用等），應增加訪視頻率並將個案狀況維護於 TB 系統之地段訪視日誌，直至該特殊狀況緩解、個案停止治療或完成治療。</w:t>
      </w:r>
    </w:p>
    <w:p>
      <w:pPr>
        <w:pStyle w:val="BodyText"/>
        <w:spacing w:line="386" w:lineRule="exact"/>
        <w:ind w:left="1210"/>
        <w:jc w:val="both"/>
        <w:rPr>
          <w:rFonts w:ascii="Microsoft JhengHei UI" w:eastAsia="Microsoft JhengHei UI" w:hint="eastAsia"/>
        </w:rPr>
      </w:pPr>
      <w:r>
        <w:rPr>
          <w:rFonts w:ascii="Microsoft JhengHei UI" w:eastAsia="Microsoft JhengHei UI" w:hint="eastAsia"/>
          <w:spacing w:val="16"/>
        </w:rPr>
        <w:t>三、</w:t>
      </w:r>
      <w:r>
        <w:rPr>
          <w:rFonts w:ascii="Microsoft JhengHei UI" w:eastAsia="Microsoft JhengHei UI" w:hint="eastAsia"/>
          <w:spacing w:val="-4"/>
        </w:rPr>
        <w:t>LTBI</w:t>
      </w:r>
      <w:r>
        <w:rPr>
          <w:rFonts w:ascii="Microsoft JhengHei UI" w:eastAsia="Microsoft JhengHei UI" w:hint="eastAsia"/>
          <w:spacing w:val="25"/>
        </w:rPr>
        <w:t>  治療之關懷服藥也是都治計畫的一環， 稱為直接觀察預防治療</w:t>
      </w:r>
    </w:p>
    <w:p>
      <w:pPr>
        <w:pStyle w:val="BodyText"/>
        <w:spacing w:line="225" w:lineRule="auto" w:before="4"/>
        <w:ind w:left="1690" w:right="1620"/>
        <w:jc w:val="both"/>
        <w:rPr>
          <w:rFonts w:ascii="Microsoft JhengHei UI" w:eastAsia="Microsoft JhengHei UI" w:hint="eastAsia"/>
        </w:rPr>
      </w:pPr>
      <w:r>
        <w:rPr>
          <w:rFonts w:ascii="Microsoft JhengHei UI" w:eastAsia="Microsoft JhengHei UI" w:hint="eastAsia"/>
        </w:rPr>
        <w:t>（</w:t>
      </w:r>
      <w:r>
        <w:rPr>
          <w:rFonts w:ascii="Microsoft JhengHei UI" w:eastAsia="Microsoft JhengHei UI" w:hint="eastAsia"/>
          <w:spacing w:val="-36"/>
        </w:rPr>
        <w:t> </w:t>
      </w:r>
      <w:r>
        <w:rPr>
          <w:rFonts w:ascii="Microsoft JhengHei UI" w:eastAsia="Microsoft JhengHei UI" w:hint="eastAsia"/>
          <w:spacing w:val="20"/>
        </w:rPr>
        <w:t>directly</w:t>
      </w:r>
      <w:r>
        <w:rPr>
          <w:rFonts w:ascii="Microsoft JhengHei UI" w:eastAsia="Microsoft JhengHei UI" w:hint="eastAsia"/>
          <w:spacing w:val="78"/>
        </w:rPr>
        <w:t> </w:t>
      </w:r>
      <w:r>
        <w:rPr>
          <w:rFonts w:ascii="Microsoft JhengHei UI" w:eastAsia="Microsoft JhengHei UI" w:hint="eastAsia"/>
          <w:spacing w:val="20"/>
        </w:rPr>
        <w:t>observed</w:t>
      </w:r>
      <w:r>
        <w:rPr>
          <w:rFonts w:ascii="Microsoft JhengHei UI" w:eastAsia="Microsoft JhengHei UI" w:hint="eastAsia"/>
          <w:spacing w:val="78"/>
        </w:rPr>
        <w:t> </w:t>
      </w:r>
      <w:r>
        <w:rPr>
          <w:rFonts w:ascii="Microsoft JhengHei UI" w:eastAsia="Microsoft JhengHei UI" w:hint="eastAsia"/>
          <w:spacing w:val="21"/>
        </w:rPr>
        <w:t>preventive</w:t>
      </w:r>
      <w:r>
        <w:rPr>
          <w:rFonts w:ascii="Microsoft JhengHei UI" w:eastAsia="Microsoft JhengHei UI" w:hint="eastAsia"/>
          <w:spacing w:val="77"/>
        </w:rPr>
        <w:t> </w:t>
      </w:r>
      <w:r>
        <w:rPr>
          <w:rFonts w:ascii="Microsoft JhengHei UI" w:eastAsia="Microsoft JhengHei UI" w:hint="eastAsia"/>
          <w:spacing w:val="20"/>
        </w:rPr>
        <w:t>therapy</w:t>
      </w:r>
      <w:r>
        <w:rPr>
          <w:rFonts w:ascii="Microsoft JhengHei UI" w:eastAsia="Microsoft JhengHei UI" w:hint="eastAsia"/>
          <w:spacing w:val="-21"/>
        </w:rPr>
        <w:t> ， </w:t>
      </w:r>
      <w:r>
        <w:rPr>
          <w:rFonts w:ascii="Microsoft JhengHei UI" w:eastAsia="Microsoft JhengHei UI" w:hint="eastAsia"/>
          <w:spacing w:val="23"/>
        </w:rPr>
        <w:t>DOP</w:t>
      </w:r>
      <w:r>
        <w:rPr>
          <w:rFonts w:ascii="Microsoft JhengHei UI" w:eastAsia="Microsoft JhengHei UI" w:hint="eastAsia"/>
          <w:color w:val="221F1F"/>
          <w:spacing w:val="23"/>
        </w:rPr>
        <w:t>T），</w:t>
      </w:r>
      <w:r>
        <w:rPr>
          <w:rFonts w:ascii="Microsoft JhengHei UI" w:eastAsia="Microsoft JhengHei UI" w:hint="eastAsia"/>
          <w:color w:val="221F1F"/>
          <w:spacing w:val="24"/>
        </w:rPr>
        <w:t>由關懷員目</w:t>
      </w:r>
      <w:r>
        <w:rPr>
          <w:rFonts w:ascii="Microsoft JhengHei UI" w:eastAsia="Microsoft JhengHei UI" w:hint="eastAsia"/>
          <w:color w:val="221F1F"/>
          <w:spacing w:val="11"/>
        </w:rPr>
        <w:t>視關懷服藥， 觀察副作用並及時介入處理， </w:t>
      </w:r>
      <w:r>
        <w:rPr>
          <w:rFonts w:ascii="Microsoft JhengHei UI" w:eastAsia="Microsoft JhengHei UI" w:hint="eastAsia"/>
        </w:rPr>
        <w:t>輔導個案加入直接觀察預防治</w:t>
      </w:r>
    </w:p>
    <w:p>
      <w:pPr>
        <w:pStyle w:val="BodyText"/>
        <w:spacing w:before="11"/>
        <w:rPr>
          <w:rFonts w:ascii="Microsoft JhengHei UI"/>
          <w:sz w:val="9"/>
        </w:rPr>
      </w:pPr>
    </w:p>
    <w:p>
      <w:pPr>
        <w:spacing w:before="0"/>
        <w:ind w:left="110" w:right="0" w:firstLine="0"/>
        <w:jc w:val="left"/>
        <w:rPr>
          <w:rFonts w:ascii="Arial"/>
          <w:sz w:val="16"/>
        </w:rPr>
      </w:pPr>
      <w:r>
        <w:rPr>
          <w:rFonts w:ascii="Arial"/>
          <w:color w:val="221F1F"/>
          <w:w w:val="99"/>
          <w:sz w:val="16"/>
        </w:rPr>
        <w:t>8</w:t>
      </w:r>
    </w:p>
    <w:p>
      <w:pPr>
        <w:spacing w:after="0"/>
        <w:jc w:val="left"/>
        <w:rPr>
          <w:rFonts w:ascii="Arial"/>
          <w:sz w:val="16"/>
        </w:rPr>
        <w:sectPr>
          <w:pgSz w:w="11920" w:h="16840"/>
          <w:pgMar w:top="1040" w:bottom="280" w:left="200" w:right="220"/>
        </w:sectPr>
      </w:pPr>
    </w:p>
    <w:p>
      <w:pPr>
        <w:pStyle w:val="BodyText"/>
        <w:spacing w:line="225" w:lineRule="auto" w:before="43"/>
        <w:ind w:left="1690" w:right="1569"/>
        <w:rPr>
          <w:rFonts w:ascii="Microsoft JhengHei UI" w:eastAsia="Microsoft JhengHei UI" w:hint="eastAsia"/>
        </w:rPr>
      </w:pPr>
      <w:r>
        <w:rPr>
          <w:rFonts w:ascii="Microsoft JhengHei UI" w:eastAsia="Microsoft JhengHei UI" w:hint="eastAsia"/>
        </w:rPr>
        <w:t>療（附件 3-4 A 潛伏結核感染治療衛教及 DOPT 同意書、附件 3-4 B 多重抗藥性結核病之潛伏結核感染治療衛教及 DOPT 同意書）。</w:t>
      </w:r>
    </w:p>
    <w:p>
      <w:pPr>
        <w:pStyle w:val="ListParagraph"/>
        <w:numPr>
          <w:ilvl w:val="1"/>
          <w:numId w:val="32"/>
        </w:numPr>
        <w:tabs>
          <w:tab w:pos="1932" w:val="left" w:leader="none"/>
        </w:tabs>
        <w:spacing w:line="390" w:lineRule="exact" w:before="0" w:after="0"/>
        <w:ind w:left="1931" w:right="0" w:hanging="242"/>
        <w:jc w:val="left"/>
        <w:rPr>
          <w:rFonts w:ascii="Microsoft JhengHei UI" w:hAnsi="Microsoft JhengHei UI" w:eastAsia="Microsoft JhengHei UI" w:hint="eastAsia"/>
          <w:color w:val="221F1F"/>
          <w:sz w:val="16"/>
        </w:rPr>
      </w:pPr>
      <w:r>
        <w:rPr>
          <w:rFonts w:ascii="Microsoft JhengHei UI" w:hAnsi="Microsoft JhengHei UI" w:eastAsia="Microsoft JhengHei UI" w:hint="eastAsia"/>
          <w:color w:val="221F1F"/>
          <w:sz w:val="24"/>
        </w:rPr>
        <w:t>目的：關懷個案服藥情形，提升服藥順從性及完成治療比率。</w:t>
      </w:r>
    </w:p>
    <w:p>
      <w:pPr>
        <w:pStyle w:val="ListParagraph"/>
        <w:numPr>
          <w:ilvl w:val="1"/>
          <w:numId w:val="32"/>
        </w:numPr>
        <w:tabs>
          <w:tab w:pos="1914" w:val="left" w:leader="none"/>
        </w:tabs>
        <w:spacing w:line="223" w:lineRule="auto" w:before="6" w:after="0"/>
        <w:ind w:left="1890" w:right="1381" w:hanging="201"/>
        <w:jc w:val="left"/>
        <w:rPr>
          <w:rFonts w:ascii="Microsoft JhengHei UI" w:hAnsi="Microsoft JhengHei UI" w:eastAsia="Microsoft JhengHei UI" w:hint="eastAsia"/>
          <w:color w:val="221F1F"/>
          <w:sz w:val="16"/>
        </w:rPr>
      </w:pPr>
      <w:r>
        <w:rPr>
          <w:rFonts w:ascii="Microsoft JhengHei UI" w:hAnsi="Microsoft JhengHei UI" w:eastAsia="Microsoft JhengHei UI" w:hint="eastAsia"/>
          <w:color w:val="221F1F"/>
          <w:spacing w:val="11"/>
          <w:sz w:val="24"/>
        </w:rPr>
        <w:t>對象：符合政策對象接受 </w:t>
      </w:r>
      <w:r>
        <w:rPr>
          <w:rFonts w:ascii="Microsoft JhengHei UI" w:hAnsi="Microsoft JhengHei UI" w:eastAsia="Microsoft JhengHei UI" w:hint="eastAsia"/>
          <w:color w:val="221F1F"/>
          <w:spacing w:val="-4"/>
          <w:sz w:val="24"/>
        </w:rPr>
        <w:t>LTBI</w:t>
      </w:r>
      <w:r>
        <w:rPr>
          <w:rFonts w:ascii="Microsoft JhengHei UI" w:hAnsi="Microsoft JhengHei UI" w:eastAsia="Microsoft JhengHei UI" w:hint="eastAsia"/>
          <w:color w:val="221F1F"/>
          <w:spacing w:val="10"/>
          <w:sz w:val="24"/>
        </w:rPr>
        <w:t> 治療且使用短程處方者，應加入都治計畫； </w:t>
      </w:r>
      <w:r>
        <w:rPr>
          <w:rFonts w:ascii="Microsoft JhengHei UI" w:hAnsi="Microsoft JhengHei UI" w:eastAsia="Microsoft JhengHei UI" w:hint="eastAsia"/>
          <w:color w:val="221F1F"/>
          <w:spacing w:val="3"/>
          <w:position w:val="1"/>
          <w:sz w:val="24"/>
        </w:rPr>
        <w:t>使用 </w:t>
      </w:r>
      <w:r>
        <w:rPr>
          <w:rFonts w:ascii="Microsoft JhengHei UI" w:hAnsi="Microsoft JhengHei UI" w:eastAsia="Microsoft JhengHei UI" w:hint="eastAsia"/>
          <w:color w:val="221F1F"/>
          <w:position w:val="1"/>
          <w:sz w:val="24"/>
        </w:rPr>
        <w:t>6H </w:t>
      </w:r>
      <w:r>
        <w:rPr>
          <w:rFonts w:ascii="Microsoft JhengHei UI" w:hAnsi="Microsoft JhengHei UI" w:eastAsia="Microsoft JhengHei UI" w:hint="eastAsia"/>
          <w:color w:val="221F1F"/>
          <w:spacing w:val="-1"/>
          <w:sz w:val="24"/>
        </w:rPr>
        <w:t>或 </w:t>
      </w:r>
      <w:r>
        <w:rPr>
          <w:rFonts w:ascii="Microsoft JhengHei UI" w:hAnsi="Microsoft JhengHei UI" w:eastAsia="Microsoft JhengHei UI" w:hint="eastAsia"/>
          <w:color w:val="221F1F"/>
          <w:sz w:val="24"/>
        </w:rPr>
        <w:t>9H 處方者建議加入。</w:t>
      </w:r>
    </w:p>
    <w:p>
      <w:pPr>
        <w:pStyle w:val="ListParagraph"/>
        <w:numPr>
          <w:ilvl w:val="1"/>
          <w:numId w:val="32"/>
        </w:numPr>
        <w:tabs>
          <w:tab w:pos="1890" w:val="left" w:leader="none"/>
        </w:tabs>
        <w:spacing w:line="225" w:lineRule="auto" w:before="0" w:after="0"/>
        <w:ind w:left="1874" w:right="1622" w:hanging="206"/>
        <w:jc w:val="left"/>
        <w:rPr>
          <w:rFonts w:ascii="Microsoft JhengHei UI" w:hAnsi="Microsoft JhengHei UI" w:eastAsia="Microsoft JhengHei UI" w:hint="eastAsia"/>
          <w:color w:val="221F1F"/>
          <w:sz w:val="16"/>
        </w:rPr>
      </w:pPr>
      <w:r>
        <w:rPr>
          <w:rFonts w:ascii="Microsoft JhengHei UI" w:hAnsi="Microsoft JhengHei UI" w:eastAsia="Microsoft JhengHei UI" w:hint="eastAsia"/>
          <w:color w:val="221F1F"/>
          <w:sz w:val="24"/>
        </w:rPr>
        <w:t>方式：關懷員親</w:t>
      </w:r>
      <w:r>
        <w:rPr>
          <w:rFonts w:ascii="Microsoft JhengHei UI" w:hAnsi="Microsoft JhengHei UI" w:eastAsia="Microsoft JhengHei UI" w:hint="eastAsia"/>
          <w:sz w:val="24"/>
        </w:rPr>
        <w:t>自送藥或採視訊方式（雲端都治）；有關都治之執行請參見工作手冊 第八章「都治策略」。</w:t>
      </w:r>
    </w:p>
    <w:p>
      <w:pPr>
        <w:pStyle w:val="ListParagraph"/>
        <w:numPr>
          <w:ilvl w:val="1"/>
          <w:numId w:val="32"/>
        </w:numPr>
        <w:tabs>
          <w:tab w:pos="1890" w:val="left" w:leader="none"/>
        </w:tabs>
        <w:spacing w:line="225" w:lineRule="auto" w:before="0" w:after="0"/>
        <w:ind w:left="1874" w:right="1622" w:hanging="206"/>
        <w:jc w:val="left"/>
        <w:rPr>
          <w:rFonts w:ascii="Microsoft JhengHei UI" w:hAnsi="Microsoft JhengHei UI" w:eastAsia="Microsoft JhengHei UI" w:hint="eastAsia"/>
          <w:sz w:val="16"/>
        </w:rPr>
      </w:pPr>
      <w:r>
        <w:rPr>
          <w:rFonts w:ascii="Microsoft JhengHei UI" w:hAnsi="Microsoft JhengHei UI" w:eastAsia="Microsoft JhengHei UI" w:hint="eastAsia"/>
          <w:sz w:val="24"/>
        </w:rPr>
        <w:t>重點：關懷員每次關懷給藥，應監測個案服藥副作用情形，如有發生副作用應立即告知公衛管理人員，並詳實記錄於都治日誌，以及時介入處理。</w:t>
      </w:r>
    </w:p>
    <w:p>
      <w:pPr>
        <w:pStyle w:val="BodyText"/>
        <w:spacing w:line="225" w:lineRule="auto"/>
        <w:ind w:left="2130" w:right="1646" w:hanging="721"/>
        <w:rPr>
          <w:rFonts w:ascii="Microsoft JhengHei UI" w:eastAsia="Microsoft JhengHei UI" w:hint="eastAsia"/>
        </w:rPr>
      </w:pPr>
      <w:r>
        <w:rPr>
          <w:rFonts w:ascii="Microsoft JhengHei UI" w:eastAsia="Microsoft JhengHei UI" w:hint="eastAsia"/>
        </w:rPr>
        <w:t>四、管理內容（詳細內容請見附件 3-5 潛伏結核感染個案管理及附件 3-6 遷出入作業須知）：</w:t>
      </w:r>
    </w:p>
    <w:p>
      <w:pPr>
        <w:pStyle w:val="ListParagraph"/>
        <w:numPr>
          <w:ilvl w:val="1"/>
          <w:numId w:val="16"/>
        </w:numPr>
        <w:tabs>
          <w:tab w:pos="2132" w:val="left" w:leader="none"/>
        </w:tabs>
        <w:spacing w:line="392" w:lineRule="exact" w:before="0" w:after="0"/>
        <w:ind w:left="2132" w:right="0" w:hanging="256"/>
        <w:jc w:val="left"/>
        <w:rPr>
          <w:rFonts w:ascii="Microsoft JhengHei UI" w:eastAsia="Microsoft JhengHei UI" w:hint="eastAsia"/>
          <w:sz w:val="24"/>
        </w:rPr>
      </w:pPr>
      <w:r>
        <w:rPr>
          <w:rFonts w:ascii="Microsoft JhengHei UI" w:eastAsia="Microsoft JhengHei UI" w:hint="eastAsia"/>
          <w:sz w:val="24"/>
        </w:rPr>
        <w:t>管理資料之建立：收案管理，完成個案相關資料之登錄及銷案品管。</w:t>
      </w:r>
    </w:p>
    <w:p>
      <w:pPr>
        <w:pStyle w:val="ListParagraph"/>
        <w:numPr>
          <w:ilvl w:val="1"/>
          <w:numId w:val="16"/>
        </w:numPr>
        <w:tabs>
          <w:tab w:pos="2132" w:val="left" w:leader="none"/>
        </w:tabs>
        <w:spacing w:line="397" w:lineRule="exact" w:before="0" w:after="0"/>
        <w:ind w:left="2132" w:right="0" w:hanging="256"/>
        <w:jc w:val="left"/>
        <w:rPr>
          <w:rFonts w:ascii="Microsoft JhengHei UI" w:eastAsia="Microsoft JhengHei UI" w:hint="eastAsia"/>
          <w:sz w:val="24"/>
        </w:rPr>
      </w:pPr>
      <w:r>
        <w:rPr>
          <w:rFonts w:ascii="Microsoft JhengHei UI" w:eastAsia="Microsoft JhengHei UI" w:hint="eastAsia"/>
          <w:sz w:val="24"/>
        </w:rPr>
        <w:t>管理服務：</w:t>
      </w:r>
    </w:p>
    <w:p>
      <w:pPr>
        <w:pStyle w:val="ListParagraph"/>
        <w:numPr>
          <w:ilvl w:val="2"/>
          <w:numId w:val="16"/>
        </w:numPr>
        <w:tabs>
          <w:tab w:pos="2404" w:val="left" w:leader="none"/>
        </w:tabs>
        <w:spacing w:line="225" w:lineRule="auto" w:before="0" w:after="0"/>
        <w:ind w:left="2373" w:right="1381" w:hanging="354"/>
        <w:jc w:val="left"/>
        <w:rPr>
          <w:rFonts w:ascii="Microsoft JhengHei UI" w:eastAsia="Microsoft JhengHei UI" w:hint="eastAsia"/>
          <w:sz w:val="24"/>
        </w:rPr>
      </w:pPr>
      <w:r>
        <w:rPr>
          <w:rFonts w:ascii="Microsoft JhengHei UI" w:eastAsia="Microsoft JhengHei UI" w:hint="eastAsia"/>
          <w:sz w:val="24"/>
        </w:rPr>
        <w:t>指導個案及家屬目前有潛伏結核感染，但並非結核病發病，個案及家屬 </w:t>
      </w:r>
      <w:r>
        <w:rPr>
          <w:rFonts w:ascii="Microsoft JhengHei UI" w:eastAsia="Microsoft JhengHei UI" w:hint="eastAsia"/>
          <w:spacing w:val="1"/>
          <w:sz w:val="24"/>
        </w:rPr>
        <w:t>無需因此而擔心傳染給他人，潛伏結核感染者應早期</w:t>
      </w:r>
      <w:r>
        <w:rPr>
          <w:rFonts w:ascii="Microsoft JhengHei UI" w:eastAsia="Microsoft JhengHei UI" w:hint="eastAsia"/>
          <w:spacing w:val="-4"/>
          <w:sz w:val="24"/>
        </w:rPr>
        <w:t>LTBI</w:t>
      </w:r>
      <w:r>
        <w:rPr>
          <w:rFonts w:ascii="Microsoft JhengHei UI" w:eastAsia="Microsoft JhengHei UI" w:hint="eastAsia"/>
          <w:spacing w:val="-6"/>
          <w:sz w:val="24"/>
        </w:rPr>
        <w:t> 治療避免發病。</w:t>
      </w:r>
    </w:p>
    <w:p>
      <w:pPr>
        <w:pStyle w:val="ListParagraph"/>
        <w:numPr>
          <w:ilvl w:val="2"/>
          <w:numId w:val="16"/>
        </w:numPr>
        <w:tabs>
          <w:tab w:pos="2374" w:val="left" w:leader="none"/>
        </w:tabs>
        <w:spacing w:line="392" w:lineRule="exact" w:before="0" w:after="0"/>
        <w:ind w:left="2373" w:right="0" w:hanging="355"/>
        <w:jc w:val="left"/>
        <w:rPr>
          <w:rFonts w:ascii="Microsoft JhengHei UI" w:eastAsia="Microsoft JhengHei UI" w:hint="eastAsia"/>
          <w:sz w:val="24"/>
        </w:rPr>
      </w:pPr>
      <w:r>
        <w:rPr>
          <w:rFonts w:ascii="Microsoft JhengHei UI" w:eastAsia="Microsoft JhengHei UI" w:hint="eastAsia"/>
          <w:sz w:val="24"/>
        </w:rPr>
        <w:t>指導遵從醫囑服藥的重要性。</w:t>
      </w:r>
    </w:p>
    <w:p>
      <w:pPr>
        <w:pStyle w:val="ListParagraph"/>
        <w:numPr>
          <w:ilvl w:val="2"/>
          <w:numId w:val="16"/>
        </w:numPr>
        <w:tabs>
          <w:tab w:pos="2374" w:val="left" w:leader="none"/>
        </w:tabs>
        <w:spacing w:line="396" w:lineRule="exact" w:before="0" w:after="0"/>
        <w:ind w:left="2373" w:right="0" w:hanging="355"/>
        <w:jc w:val="left"/>
        <w:rPr>
          <w:rFonts w:ascii="Microsoft JhengHei UI" w:eastAsia="Microsoft JhengHei UI" w:hint="eastAsia"/>
          <w:sz w:val="24"/>
        </w:rPr>
      </w:pPr>
      <w:r>
        <w:rPr>
          <w:rFonts w:ascii="Microsoft JhengHei UI" w:eastAsia="Microsoft JhengHei UI" w:hint="eastAsia"/>
          <w:sz w:val="24"/>
        </w:rPr>
        <w:t>指導按時回診，觀察並評估個案有無服藥不適或副作用。</w:t>
      </w:r>
    </w:p>
    <w:p>
      <w:pPr>
        <w:pStyle w:val="ListParagraph"/>
        <w:numPr>
          <w:ilvl w:val="2"/>
          <w:numId w:val="16"/>
        </w:numPr>
        <w:tabs>
          <w:tab w:pos="2342" w:val="left" w:leader="none"/>
        </w:tabs>
        <w:spacing w:line="223" w:lineRule="auto" w:before="5" w:after="0"/>
        <w:ind w:left="2340" w:right="1710" w:hanging="360"/>
        <w:jc w:val="both"/>
        <w:rPr>
          <w:rFonts w:ascii="Microsoft JhengHei UI" w:eastAsia="Microsoft JhengHei UI" w:hint="eastAsia"/>
          <w:sz w:val="24"/>
        </w:rPr>
      </w:pPr>
      <w:r>
        <w:rPr>
          <w:rFonts w:ascii="Microsoft JhengHei UI" w:eastAsia="Microsoft JhengHei UI" w:hint="eastAsia"/>
          <w:spacing w:val="6"/>
          <w:sz w:val="24"/>
        </w:rPr>
        <w:t>未加入 </w:t>
      </w:r>
      <w:r>
        <w:rPr>
          <w:rFonts w:ascii="Microsoft JhengHei UI" w:eastAsia="Microsoft JhengHei UI" w:hint="eastAsia"/>
          <w:spacing w:val="5"/>
          <w:sz w:val="24"/>
        </w:rPr>
        <w:t>LTBI</w:t>
      </w:r>
      <w:r>
        <w:rPr>
          <w:rFonts w:ascii="Microsoft JhengHei UI" w:eastAsia="Microsoft JhengHei UI" w:hint="eastAsia"/>
          <w:spacing w:val="7"/>
          <w:sz w:val="24"/>
        </w:rPr>
        <w:t> 治療之 </w:t>
      </w:r>
      <w:r>
        <w:rPr>
          <w:rFonts w:ascii="Microsoft JhengHei UI" w:eastAsia="Microsoft JhengHei UI" w:hint="eastAsia"/>
          <w:spacing w:val="5"/>
          <w:sz w:val="24"/>
        </w:rPr>
        <w:t>LTBI 個案，請告知其結核病發病風險，加強衛教及症狀監測；如有症狀就醫時，請依實際暴露情形告知診療醫師曾為</w:t>
      </w:r>
      <w:r>
        <w:rPr>
          <w:rFonts w:ascii="Microsoft JhengHei UI" w:eastAsia="Microsoft JhengHei UI" w:hint="eastAsia"/>
          <w:spacing w:val="4"/>
          <w:sz w:val="24"/>
        </w:rPr>
        <w:t>TB</w:t>
      </w:r>
      <w:r>
        <w:rPr>
          <w:rFonts w:ascii="Microsoft JhengHei UI" w:eastAsia="Microsoft JhengHei UI" w:hint="eastAsia"/>
          <w:spacing w:val="5"/>
          <w:sz w:val="24"/>
        </w:rPr>
        <w:t> 個案的接觸者，或曾 LTBI 檢驗陽性但未接受 LTBI</w:t>
      </w:r>
      <w:r>
        <w:rPr>
          <w:rFonts w:ascii="Microsoft JhengHei UI" w:eastAsia="Microsoft JhengHei UI" w:hint="eastAsia"/>
          <w:spacing w:val="7"/>
          <w:sz w:val="24"/>
        </w:rPr>
        <w:t> 治療(或未完成</w:t>
      </w:r>
      <w:r>
        <w:rPr>
          <w:rFonts w:ascii="Microsoft JhengHei UI" w:eastAsia="Microsoft JhengHei UI" w:hint="eastAsia"/>
          <w:spacing w:val="5"/>
          <w:sz w:val="24"/>
        </w:rPr>
        <w:t>LTBI 治療)。</w:t>
      </w:r>
    </w:p>
    <w:p>
      <w:pPr>
        <w:pStyle w:val="ListParagraph"/>
        <w:numPr>
          <w:ilvl w:val="1"/>
          <w:numId w:val="16"/>
        </w:numPr>
        <w:tabs>
          <w:tab w:pos="2161" w:val="left" w:leader="none"/>
        </w:tabs>
        <w:spacing w:line="225" w:lineRule="auto" w:before="0" w:after="0"/>
        <w:ind w:left="2130" w:right="1620" w:hanging="255"/>
        <w:jc w:val="left"/>
        <w:rPr>
          <w:rFonts w:ascii="Microsoft JhengHei UI" w:eastAsia="Microsoft JhengHei UI" w:hint="eastAsia"/>
          <w:sz w:val="24"/>
        </w:rPr>
      </w:pPr>
      <w:r>
        <w:rPr>
          <w:rFonts w:ascii="Microsoft JhengHei UI" w:eastAsia="Microsoft JhengHei UI" w:hint="eastAsia"/>
          <w:sz w:val="24"/>
        </w:rPr>
        <w:t>指導符合政策對象加入都治計畫；使用短程處方未加入都治計畫者，不提供減免部分負擔以及疾管署提供之公費藥品。</w:t>
      </w:r>
    </w:p>
    <w:p>
      <w:pPr>
        <w:pStyle w:val="ListParagraph"/>
        <w:numPr>
          <w:ilvl w:val="1"/>
          <w:numId w:val="16"/>
        </w:numPr>
        <w:tabs>
          <w:tab w:pos="2161" w:val="left" w:leader="none"/>
        </w:tabs>
        <w:spacing w:line="225" w:lineRule="auto" w:before="0" w:after="0"/>
        <w:ind w:left="2130" w:right="1621" w:hanging="255"/>
        <w:jc w:val="left"/>
        <w:rPr>
          <w:rFonts w:ascii="Microsoft JhengHei UI" w:eastAsia="Microsoft JhengHei UI" w:hint="eastAsia"/>
          <w:sz w:val="24"/>
        </w:rPr>
      </w:pPr>
      <w:r>
        <w:rPr>
          <w:rFonts w:ascii="Microsoft JhengHei UI" w:eastAsia="Microsoft JhengHei UI" w:hint="eastAsia"/>
          <w:sz w:val="24"/>
        </w:rPr>
        <w:t>針對「LTBI</w:t>
      </w:r>
      <w:r>
        <w:rPr>
          <w:rFonts w:ascii="Microsoft JhengHei UI" w:eastAsia="Microsoft JhengHei UI" w:hint="eastAsia"/>
          <w:spacing w:val="1"/>
          <w:sz w:val="24"/>
        </w:rPr>
        <w:t> 治療中」重複暴露之接觸者，依再次 </w:t>
      </w:r>
      <w:r>
        <w:rPr>
          <w:rFonts w:ascii="Microsoft JhengHei UI" w:eastAsia="Microsoft JhengHei UI" w:hint="eastAsia"/>
          <w:sz w:val="24"/>
        </w:rPr>
        <w:t>LTBI</w:t>
      </w:r>
      <w:r>
        <w:rPr>
          <w:rFonts w:ascii="Microsoft JhengHei UI" w:eastAsia="Microsoft JhengHei UI" w:hint="eastAsia"/>
          <w:spacing w:val="2"/>
          <w:sz w:val="24"/>
        </w:rPr>
        <w:t> 治療評估結果辦理下列事項：</w:t>
      </w:r>
    </w:p>
    <w:p>
      <w:pPr>
        <w:pStyle w:val="ListParagraph"/>
        <w:numPr>
          <w:ilvl w:val="2"/>
          <w:numId w:val="16"/>
        </w:numPr>
        <w:tabs>
          <w:tab w:pos="2389" w:val="left" w:leader="none"/>
        </w:tabs>
        <w:spacing w:line="225" w:lineRule="auto" w:before="0" w:after="0"/>
        <w:ind w:left="2349" w:right="1383" w:hanging="255"/>
        <w:jc w:val="left"/>
        <w:rPr>
          <w:rFonts w:ascii="Microsoft JhengHei UI" w:eastAsia="Microsoft JhengHei UI" w:hint="eastAsia"/>
          <w:sz w:val="24"/>
        </w:rPr>
      </w:pPr>
      <w:r>
        <w:rPr>
          <w:rFonts w:ascii="Microsoft JhengHei UI" w:eastAsia="Microsoft JhengHei UI" w:hint="eastAsia"/>
          <w:spacing w:val="7"/>
          <w:sz w:val="24"/>
        </w:rPr>
        <w:t>重啟 </w:t>
      </w:r>
      <w:r>
        <w:rPr>
          <w:rFonts w:ascii="Microsoft JhengHei UI" w:eastAsia="Microsoft JhengHei UI" w:hint="eastAsia"/>
          <w:sz w:val="24"/>
        </w:rPr>
        <w:t>LTBI</w:t>
      </w:r>
      <w:r>
        <w:rPr>
          <w:rFonts w:ascii="Microsoft JhengHei UI" w:eastAsia="Microsoft JhengHei UI" w:hint="eastAsia"/>
          <w:spacing w:val="1"/>
          <w:sz w:val="24"/>
        </w:rPr>
        <w:t> 治療：通知合作院所儘速於 </w:t>
      </w:r>
      <w:r>
        <w:rPr>
          <w:rFonts w:ascii="Microsoft JhengHei UI" w:eastAsia="Microsoft JhengHei UI" w:hint="eastAsia"/>
          <w:sz w:val="24"/>
        </w:rPr>
        <w:t>TB</w:t>
      </w:r>
      <w:r>
        <w:rPr>
          <w:rFonts w:ascii="Microsoft JhengHei UI" w:eastAsia="Microsoft JhengHei UI" w:hint="eastAsia"/>
          <w:spacing w:val="3"/>
          <w:sz w:val="24"/>
        </w:rPr>
        <w:t> 系統完成個案之 </w:t>
      </w:r>
      <w:r>
        <w:rPr>
          <w:rFonts w:ascii="Microsoft JhengHei UI" w:eastAsia="Microsoft JhengHei UI" w:hint="eastAsia"/>
          <w:sz w:val="24"/>
        </w:rPr>
        <w:t>LTBI</w:t>
      </w:r>
      <w:r>
        <w:rPr>
          <w:rFonts w:ascii="Microsoft JhengHei UI" w:eastAsia="Microsoft JhengHei UI" w:hint="eastAsia"/>
          <w:spacing w:val="4"/>
          <w:sz w:val="24"/>
        </w:rPr>
        <w:t> 治療品質</w:t>
      </w:r>
      <w:r>
        <w:rPr>
          <w:rFonts w:ascii="Microsoft JhengHei UI" w:eastAsia="Microsoft JhengHei UI" w:hint="eastAsia"/>
          <w:sz w:val="24"/>
        </w:rPr>
        <w:t>支付服務計畫資料登錄。經確認合作院所已完成前述事項後，由公衛 端</w:t>
      </w:r>
      <w:r>
        <w:rPr>
          <w:rFonts w:ascii="Microsoft JhengHei UI" w:eastAsia="Microsoft JhengHei UI" w:hint="eastAsia"/>
          <w:spacing w:val="6"/>
          <w:sz w:val="24"/>
        </w:rPr>
        <w:t>至  </w:t>
      </w:r>
      <w:r>
        <w:rPr>
          <w:rFonts w:ascii="Microsoft JhengHei UI" w:eastAsia="Microsoft JhengHei UI" w:hint="eastAsia"/>
          <w:sz w:val="24"/>
        </w:rPr>
        <w:t>TB  系統「銷案原因」點選「中斷治療」；另「中斷治療原因」點選「</w:t>
      </w:r>
      <w:r>
        <w:rPr>
          <w:rFonts w:ascii="Microsoft JhengHei UI" w:eastAsia="Microsoft JhengHei UI" w:hint="eastAsia"/>
          <w:spacing w:val="2"/>
          <w:sz w:val="24"/>
        </w:rPr>
        <w:t>重複暴露，重啟 </w:t>
      </w:r>
      <w:r>
        <w:rPr>
          <w:rFonts w:ascii="Microsoft JhengHei UI" w:eastAsia="Microsoft JhengHei UI" w:hint="eastAsia"/>
          <w:sz w:val="24"/>
        </w:rPr>
        <w:t>LTBI</w:t>
      </w:r>
      <w:r>
        <w:rPr>
          <w:rFonts w:ascii="Microsoft JhengHei UI" w:eastAsia="Microsoft JhengHei UI" w:hint="eastAsia"/>
          <w:spacing w:val="2"/>
          <w:sz w:val="24"/>
        </w:rPr>
        <w:t> 治療」；並辦理再次 </w:t>
      </w:r>
      <w:r>
        <w:rPr>
          <w:rFonts w:ascii="Microsoft JhengHei UI" w:eastAsia="Microsoft JhengHei UI" w:hint="eastAsia"/>
          <w:sz w:val="24"/>
        </w:rPr>
        <w:t>LTBI 治療「重開作業」、智慧關懷卡製卡(若有舊卡請回收)及都治宣告等作業。</w:t>
      </w:r>
    </w:p>
    <w:p>
      <w:pPr>
        <w:pStyle w:val="ListParagraph"/>
        <w:numPr>
          <w:ilvl w:val="2"/>
          <w:numId w:val="16"/>
        </w:numPr>
        <w:tabs>
          <w:tab w:pos="2389" w:val="left" w:leader="none"/>
        </w:tabs>
        <w:spacing w:line="396" w:lineRule="exact" w:before="0" w:after="0"/>
        <w:ind w:left="2388" w:right="0" w:hanging="295"/>
        <w:jc w:val="left"/>
        <w:rPr>
          <w:rFonts w:ascii="Microsoft JhengHei UI" w:eastAsia="Microsoft JhengHei UI" w:hint="eastAsia"/>
          <w:sz w:val="24"/>
        </w:rPr>
      </w:pPr>
      <w:r>
        <w:rPr>
          <w:rFonts w:ascii="Microsoft JhengHei UI" w:eastAsia="Microsoft JhengHei UI" w:hint="eastAsia"/>
          <w:spacing w:val="9"/>
          <w:sz w:val="24"/>
        </w:rPr>
        <w:t>接續原 </w:t>
      </w:r>
      <w:r>
        <w:rPr>
          <w:rFonts w:ascii="Microsoft JhengHei UI" w:eastAsia="Microsoft JhengHei UI" w:hint="eastAsia"/>
          <w:sz w:val="24"/>
        </w:rPr>
        <w:t>LTBI</w:t>
      </w:r>
      <w:r>
        <w:rPr>
          <w:rFonts w:ascii="Microsoft JhengHei UI" w:eastAsia="Microsoft JhengHei UI" w:hint="eastAsia"/>
          <w:spacing w:val="12"/>
          <w:sz w:val="24"/>
        </w:rPr>
        <w:t> 治療：於 </w:t>
      </w:r>
      <w:r>
        <w:rPr>
          <w:rFonts w:ascii="Microsoft JhengHei UI" w:eastAsia="Microsoft JhengHei UI" w:hint="eastAsia"/>
          <w:sz w:val="24"/>
        </w:rPr>
        <w:t>TB</w:t>
      </w:r>
      <w:r>
        <w:rPr>
          <w:rFonts w:ascii="Microsoft JhengHei UI" w:eastAsia="Microsoft JhengHei UI" w:hint="eastAsia"/>
          <w:spacing w:val="2"/>
          <w:sz w:val="24"/>
        </w:rPr>
        <w:t> 系統針對重複暴露接觸者維護「未重啟 </w:t>
      </w:r>
      <w:r>
        <w:rPr>
          <w:rFonts w:ascii="Microsoft JhengHei UI" w:eastAsia="Microsoft JhengHei UI" w:hint="eastAsia"/>
          <w:sz w:val="24"/>
        </w:rPr>
        <w:t>LTBI</w:t>
      </w:r>
    </w:p>
    <w:p>
      <w:pPr>
        <w:pStyle w:val="BodyText"/>
        <w:spacing w:line="401" w:lineRule="exact"/>
        <w:ind w:left="2349"/>
        <w:rPr>
          <w:rFonts w:ascii="Microsoft JhengHei UI" w:eastAsia="Microsoft JhengHei UI" w:hint="eastAsia"/>
        </w:rPr>
      </w:pPr>
      <w:r>
        <w:rPr>
          <w:rFonts w:ascii="Microsoft JhengHei UI" w:eastAsia="Microsoft JhengHei UI" w:hint="eastAsia"/>
        </w:rPr>
        <w:t>治療原因」，並持續管理照護至個案停止治療或完成治療。</w:t>
      </w:r>
    </w:p>
    <w:p>
      <w:pPr>
        <w:pStyle w:val="ListParagraph"/>
        <w:numPr>
          <w:ilvl w:val="1"/>
          <w:numId w:val="16"/>
        </w:numPr>
        <w:tabs>
          <w:tab w:pos="2131" w:val="left" w:leader="none"/>
        </w:tabs>
        <w:spacing w:line="401" w:lineRule="exact" w:before="0" w:after="0"/>
        <w:ind w:left="2130" w:right="0" w:hanging="255"/>
        <w:jc w:val="left"/>
        <w:rPr>
          <w:rFonts w:ascii="Microsoft JhengHei UI" w:eastAsia="Microsoft JhengHei UI" w:hint="eastAsia"/>
          <w:sz w:val="24"/>
        </w:rPr>
      </w:pPr>
      <w:r>
        <w:rPr>
          <w:rFonts w:ascii="Microsoft JhengHei UI" w:eastAsia="Microsoft JhengHei UI" w:hint="eastAsia"/>
          <w:spacing w:val="3"/>
          <w:sz w:val="24"/>
        </w:rPr>
        <w:t>銷案作業：</w:t>
      </w:r>
    </w:p>
    <w:p>
      <w:pPr>
        <w:pStyle w:val="ListParagraph"/>
        <w:numPr>
          <w:ilvl w:val="2"/>
          <w:numId w:val="16"/>
        </w:numPr>
        <w:tabs>
          <w:tab w:pos="2393" w:val="left" w:leader="none"/>
        </w:tabs>
        <w:spacing w:line="225" w:lineRule="auto" w:before="0" w:after="0"/>
        <w:ind w:left="2458" w:right="1622" w:hanging="360"/>
        <w:jc w:val="left"/>
        <w:rPr>
          <w:rFonts w:ascii="Microsoft JhengHei UI" w:eastAsia="Microsoft JhengHei UI" w:hint="eastAsia"/>
          <w:sz w:val="24"/>
        </w:rPr>
      </w:pPr>
      <w:r>
        <w:rPr>
          <w:rFonts w:ascii="Microsoft JhengHei UI" w:eastAsia="Microsoft JhengHei UI" w:hint="eastAsia"/>
          <w:spacing w:val="8"/>
          <w:sz w:val="24"/>
        </w:rPr>
        <w:t>規則及正確處方的 </w:t>
      </w:r>
      <w:r>
        <w:rPr>
          <w:rFonts w:ascii="Microsoft JhengHei UI" w:eastAsia="Microsoft JhengHei UI" w:hint="eastAsia"/>
          <w:spacing w:val="-4"/>
          <w:sz w:val="24"/>
        </w:rPr>
        <w:t>LTBI</w:t>
      </w:r>
      <w:r>
        <w:rPr>
          <w:rFonts w:ascii="Microsoft JhengHei UI" w:eastAsia="Microsoft JhengHei UI" w:hint="eastAsia"/>
          <w:sz w:val="24"/>
        </w:rPr>
        <w:t> 治療可提供最佳的保護效果，依據指標個案藥敏情形及處方種類於最適完治期限內完成治療，以達治療最佳效果。</w:t>
      </w:r>
    </w:p>
    <w:p>
      <w:pPr>
        <w:pStyle w:val="ListParagraph"/>
        <w:numPr>
          <w:ilvl w:val="2"/>
          <w:numId w:val="16"/>
        </w:numPr>
        <w:tabs>
          <w:tab w:pos="2484" w:val="left" w:leader="none"/>
        </w:tabs>
        <w:spacing w:line="390" w:lineRule="exact" w:before="0" w:after="0"/>
        <w:ind w:left="2483" w:right="0" w:hanging="386"/>
        <w:jc w:val="left"/>
        <w:rPr>
          <w:rFonts w:ascii="Microsoft JhengHei UI" w:eastAsia="Microsoft JhengHei UI" w:hint="eastAsia"/>
          <w:sz w:val="24"/>
        </w:rPr>
      </w:pPr>
      <w:r>
        <w:rPr>
          <w:rFonts w:ascii="Microsoft JhengHei UI" w:eastAsia="Microsoft JhengHei UI" w:hint="eastAsia"/>
          <w:spacing w:val="5"/>
          <w:sz w:val="24"/>
        </w:rPr>
        <w:t>銷案期限：應於銷案原因發生（如完成治療、中斷治療、死亡或轉出</w:t>
      </w:r>
      <w:r>
        <w:rPr>
          <w:rFonts w:ascii="Microsoft JhengHei UI" w:eastAsia="Microsoft JhengHei UI" w:hint="eastAsia"/>
          <w:sz w:val="24"/>
        </w:rPr>
        <w:t>）</w:t>
      </w:r>
    </w:p>
    <w:p>
      <w:pPr>
        <w:pStyle w:val="BodyText"/>
        <w:spacing w:line="411" w:lineRule="exact"/>
        <w:ind w:left="2458"/>
        <w:rPr>
          <w:rFonts w:ascii="Microsoft JhengHei UI" w:eastAsia="Microsoft JhengHei UI" w:hint="eastAsia"/>
        </w:rPr>
      </w:pPr>
      <w:r>
        <w:rPr>
          <w:rFonts w:ascii="Microsoft JhengHei UI" w:eastAsia="Microsoft JhengHei UI" w:hint="eastAsia"/>
        </w:rPr>
        <w:t>30 個日曆天內完成銷案作業。</w:t>
      </w:r>
    </w:p>
    <w:p>
      <w:pPr>
        <w:pStyle w:val="BodyText"/>
        <w:spacing w:before="7"/>
        <w:rPr>
          <w:rFonts w:ascii="Microsoft JhengHei UI"/>
          <w:sz w:val="15"/>
        </w:rPr>
      </w:pPr>
    </w:p>
    <w:p>
      <w:pPr>
        <w:spacing w:before="94"/>
        <w:ind w:left="0" w:right="189" w:firstLine="0"/>
        <w:jc w:val="right"/>
        <w:rPr>
          <w:rFonts w:ascii="Arial"/>
          <w:sz w:val="16"/>
        </w:rPr>
      </w:pPr>
      <w:r>
        <w:rPr>
          <w:rFonts w:ascii="Arial"/>
          <w:color w:val="221F1F"/>
          <w:w w:val="99"/>
          <w:sz w:val="16"/>
        </w:rPr>
        <w:t>9</w:t>
      </w:r>
    </w:p>
    <w:p>
      <w:pPr>
        <w:spacing w:after="0"/>
        <w:jc w:val="right"/>
        <w:rPr>
          <w:rFonts w:ascii="Arial"/>
          <w:sz w:val="16"/>
        </w:rPr>
        <w:sectPr>
          <w:pgSz w:w="11920" w:h="16840"/>
          <w:pgMar w:top="1040" w:bottom="280" w:left="200" w:right="220"/>
        </w:sectPr>
      </w:pPr>
    </w:p>
    <w:p>
      <w:pPr>
        <w:pStyle w:val="BodyText"/>
        <w:spacing w:line="414" w:lineRule="exact" w:before="25"/>
        <w:ind w:left="990"/>
        <w:rPr>
          <w:rFonts w:ascii="Microsoft JhengHei UI" w:eastAsia="Microsoft JhengHei UI" w:hint="eastAsia"/>
        </w:rPr>
      </w:pPr>
      <w:r>
        <w:rPr>
          <w:rFonts w:ascii="Microsoft JhengHei UI" w:eastAsia="Microsoft JhengHei UI" w:hint="eastAsia"/>
          <w:color w:val="221F1F"/>
        </w:rPr>
        <w:t>( 二 ) LTBI </w:t>
      </w:r>
      <w:r>
        <w:rPr>
          <w:rFonts w:ascii="Microsoft JhengHei UI" w:eastAsia="Microsoft JhengHei UI" w:hint="eastAsia"/>
        </w:rPr>
        <w:t>可能中斷治療情形及執行重點：</w:t>
      </w:r>
    </w:p>
    <w:p>
      <w:pPr>
        <w:pStyle w:val="BodyText"/>
        <w:spacing w:line="414" w:lineRule="exact"/>
        <w:ind w:left="1489"/>
        <w:rPr>
          <w:rFonts w:ascii="Microsoft JhengHei UI" w:eastAsia="Microsoft JhengHei UI" w:hint="eastAsia"/>
        </w:rPr>
      </w:pPr>
      <w:r>
        <w:rPr>
          <w:rFonts w:ascii="Microsoft JhengHei UI" w:eastAsia="Microsoft JhengHei UI" w:hint="eastAsia"/>
        </w:rPr>
        <w:t>表 6、LTBI 可能中斷治療情形及執行重點</w:t>
      </w:r>
    </w:p>
    <w:tbl>
      <w:tblPr>
        <w:tblW w:w="0" w:type="auto"/>
        <w:jc w:val="left"/>
        <w:tblInd w:w="1155"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3560"/>
        <w:gridCol w:w="4869"/>
      </w:tblGrid>
      <w:tr>
        <w:trPr>
          <w:trHeight w:val="451" w:hRule="atLeast"/>
        </w:trPr>
        <w:tc>
          <w:tcPr>
            <w:tcW w:w="3560" w:type="dxa"/>
            <w:shd w:val="clear" w:color="auto" w:fill="E6E7E8"/>
          </w:tcPr>
          <w:p>
            <w:pPr>
              <w:pStyle w:val="TableParagraph"/>
              <w:spacing w:before="5"/>
              <w:ind w:left="1288" w:right="1257"/>
              <w:jc w:val="center"/>
              <w:rPr>
                <w:rFonts w:ascii="Microsoft JhengHei UI" w:eastAsia="Microsoft JhengHei UI" w:hint="eastAsia"/>
                <w:b/>
                <w:sz w:val="24"/>
              </w:rPr>
            </w:pPr>
            <w:r>
              <w:rPr>
                <w:rFonts w:ascii="Microsoft JhengHei UI" w:eastAsia="Microsoft JhengHei UI" w:hint="eastAsia"/>
                <w:b/>
                <w:sz w:val="24"/>
              </w:rPr>
              <w:t>個案情況</w:t>
            </w:r>
          </w:p>
        </w:tc>
        <w:tc>
          <w:tcPr>
            <w:tcW w:w="4869" w:type="dxa"/>
            <w:shd w:val="clear" w:color="auto" w:fill="E6E7E8"/>
          </w:tcPr>
          <w:p>
            <w:pPr>
              <w:pStyle w:val="TableParagraph"/>
              <w:spacing w:before="5"/>
              <w:ind w:left="1942" w:right="1911"/>
              <w:jc w:val="center"/>
              <w:rPr>
                <w:rFonts w:ascii="Microsoft JhengHei UI" w:eastAsia="Microsoft JhengHei UI" w:hint="eastAsia"/>
                <w:b/>
                <w:sz w:val="24"/>
              </w:rPr>
            </w:pPr>
            <w:r>
              <w:rPr>
                <w:rFonts w:ascii="Microsoft JhengHei UI" w:eastAsia="Microsoft JhengHei UI" w:hint="eastAsia"/>
                <w:b/>
                <w:sz w:val="24"/>
              </w:rPr>
              <w:t>執行重點</w:t>
            </w:r>
          </w:p>
        </w:tc>
      </w:tr>
      <w:tr>
        <w:trPr>
          <w:trHeight w:val="3549" w:hRule="atLeast"/>
        </w:trPr>
        <w:tc>
          <w:tcPr>
            <w:tcW w:w="3560" w:type="dxa"/>
          </w:tcPr>
          <w:p>
            <w:pPr>
              <w:pStyle w:val="TableParagraph"/>
              <w:rPr>
                <w:rFonts w:ascii="Microsoft JhengHei UI"/>
                <w:sz w:val="30"/>
              </w:rPr>
            </w:pPr>
          </w:p>
          <w:p>
            <w:pPr>
              <w:pStyle w:val="TableParagraph"/>
              <w:rPr>
                <w:rFonts w:ascii="Microsoft JhengHei UI"/>
                <w:sz w:val="30"/>
              </w:rPr>
            </w:pPr>
          </w:p>
          <w:p>
            <w:pPr>
              <w:pStyle w:val="TableParagraph"/>
              <w:spacing w:before="7"/>
              <w:rPr>
                <w:rFonts w:ascii="Microsoft JhengHei UI"/>
                <w:sz w:val="17"/>
              </w:rPr>
            </w:pPr>
          </w:p>
          <w:p>
            <w:pPr>
              <w:pStyle w:val="TableParagraph"/>
              <w:spacing w:line="223" w:lineRule="auto"/>
              <w:ind w:left="114" w:right="332"/>
              <w:rPr>
                <w:rFonts w:ascii="Microsoft JhengHei UI" w:eastAsia="Microsoft JhengHei UI" w:hint="eastAsia"/>
                <w:sz w:val="24"/>
              </w:rPr>
            </w:pPr>
            <w:r>
              <w:rPr>
                <w:rFonts w:ascii="Microsoft JhengHei UI" w:eastAsia="Microsoft JhengHei UI" w:hint="eastAsia"/>
                <w:sz w:val="24"/>
              </w:rPr>
              <w:t>指標個案為多重抗藥性結核病（MDR-TB）</w:t>
            </w:r>
          </w:p>
        </w:tc>
        <w:tc>
          <w:tcPr>
            <w:tcW w:w="4869" w:type="dxa"/>
          </w:tcPr>
          <w:p>
            <w:pPr>
              <w:pStyle w:val="TableParagraph"/>
              <w:numPr>
                <w:ilvl w:val="0"/>
                <w:numId w:val="33"/>
              </w:numPr>
              <w:tabs>
                <w:tab w:pos="516" w:val="left" w:leader="none"/>
              </w:tabs>
              <w:spacing w:line="208" w:lineRule="auto" w:before="15" w:after="0"/>
              <w:ind w:left="354" w:right="88" w:hanging="240"/>
              <w:jc w:val="both"/>
              <w:rPr>
                <w:rFonts w:ascii="Microsoft JhengHei UI" w:hAnsi="Microsoft JhengHei UI" w:eastAsia="Microsoft JhengHei UI" w:hint="eastAsia"/>
                <w:sz w:val="24"/>
              </w:rPr>
            </w:pPr>
            <w:r>
              <w:rPr>
                <w:rFonts w:ascii="Microsoft JhengHei UI" w:hAnsi="Microsoft JhengHei UI" w:eastAsia="Microsoft JhengHei UI" w:hint="eastAsia"/>
                <w:spacing w:val="39"/>
                <w:sz w:val="24"/>
              </w:rPr>
              <w:t>若指標個案無 </w:t>
            </w:r>
            <w:r>
              <w:rPr>
                <w:rFonts w:ascii="Microsoft JhengHei UI" w:hAnsi="Microsoft JhengHei UI" w:eastAsia="Microsoft JhengHei UI" w:hint="eastAsia"/>
                <w:sz w:val="24"/>
              </w:rPr>
              <w:t>fluoroquinolone</w:t>
            </w:r>
            <w:r>
              <w:rPr>
                <w:rFonts w:ascii="Microsoft JhengHei UI" w:hAnsi="Microsoft JhengHei UI" w:eastAsia="Microsoft JhengHei UI" w:hint="eastAsia"/>
                <w:spacing w:val="26"/>
                <w:sz w:val="24"/>
              </w:rPr>
              <w:t> 類藥</w:t>
            </w:r>
            <w:r>
              <w:rPr>
                <w:rFonts w:ascii="Microsoft JhengHei UI" w:hAnsi="Microsoft JhengHei UI" w:eastAsia="Microsoft JhengHei UI" w:hint="eastAsia"/>
                <w:spacing w:val="20"/>
                <w:position w:val="-1"/>
                <w:sz w:val="24"/>
              </w:rPr>
              <w:t>品 </w:t>
            </w:r>
            <w:r>
              <w:rPr>
                <w:rFonts w:ascii="Microsoft JhengHei UI" w:hAnsi="Microsoft JhengHei UI" w:eastAsia="Microsoft JhengHei UI" w:hint="eastAsia"/>
                <w:sz w:val="24"/>
              </w:rPr>
              <w:t>（</w:t>
            </w:r>
            <w:r>
              <w:rPr>
                <w:rFonts w:ascii="Microsoft JhengHei UI" w:hAnsi="Microsoft JhengHei UI" w:eastAsia="Microsoft JhengHei UI" w:hint="eastAsia"/>
                <w:spacing w:val="6"/>
                <w:sz w:val="24"/>
              </w:rPr>
              <w:t> 例 如 ： </w:t>
            </w:r>
            <w:r>
              <w:rPr>
                <w:rFonts w:ascii="Microsoft JhengHei UI" w:hAnsi="Microsoft JhengHei UI" w:eastAsia="Microsoft JhengHei UI" w:hint="eastAsia"/>
                <w:sz w:val="24"/>
              </w:rPr>
              <w:t>moxifloxacin</w:t>
            </w:r>
            <w:r>
              <w:rPr>
                <w:rFonts w:ascii="Microsoft JhengHei UI" w:hAnsi="Microsoft JhengHei UI" w:eastAsia="Microsoft JhengHei UI" w:hint="eastAsia"/>
                <w:spacing w:val="7"/>
                <w:sz w:val="24"/>
              </w:rPr>
              <w:t> 、levofloxacin）</w:t>
            </w:r>
            <w:r>
              <w:rPr>
                <w:rFonts w:ascii="Microsoft JhengHei UI" w:hAnsi="Microsoft JhengHei UI" w:eastAsia="Microsoft JhengHei UI" w:hint="eastAsia"/>
                <w:spacing w:val="12"/>
                <w:sz w:val="24"/>
              </w:rPr>
              <w:t>抗藥，應轉介至抗藥性結</w:t>
            </w:r>
            <w:r>
              <w:rPr>
                <w:rFonts w:ascii="Microsoft JhengHei UI" w:hAnsi="Microsoft JhengHei UI" w:eastAsia="Microsoft JhengHei UI" w:hint="eastAsia"/>
                <w:spacing w:val="8"/>
                <w:sz w:val="24"/>
              </w:rPr>
              <w:t>核病醫療照護體系</w:t>
            </w:r>
            <w:r>
              <w:rPr>
                <w:rFonts w:ascii="Microsoft JhengHei UI" w:hAnsi="Microsoft JhengHei UI" w:eastAsia="Microsoft JhengHei UI" w:hint="eastAsia"/>
                <w:spacing w:val="4"/>
                <w:sz w:val="24"/>
              </w:rPr>
              <w:t>（TMTC）</w:t>
            </w:r>
            <w:r>
              <w:rPr>
                <w:rFonts w:ascii="Microsoft JhengHei UI" w:hAnsi="Microsoft JhengHei UI" w:eastAsia="Microsoft JhengHei UI" w:hint="eastAsia"/>
                <w:spacing w:val="6"/>
                <w:sz w:val="24"/>
              </w:rPr>
              <w:t>團隊或約定</w:t>
            </w:r>
            <w:r>
              <w:rPr>
                <w:rFonts w:ascii="Microsoft JhengHei UI" w:hAnsi="Microsoft JhengHei UI" w:eastAsia="Microsoft JhengHei UI" w:hint="eastAsia"/>
                <w:spacing w:val="8"/>
                <w:position w:val="2"/>
                <w:sz w:val="24"/>
              </w:rPr>
              <w:t>院所使用 </w:t>
            </w:r>
            <w:r>
              <w:rPr>
                <w:rFonts w:ascii="Microsoft JhengHei UI" w:hAnsi="Microsoft JhengHei UI" w:eastAsia="Microsoft JhengHei UI" w:hint="eastAsia"/>
                <w:sz w:val="24"/>
              </w:rPr>
              <w:t>fluoroquinolone</w:t>
            </w:r>
            <w:r>
              <w:rPr>
                <w:rFonts w:ascii="Microsoft JhengHei UI" w:hAnsi="Microsoft JhengHei UI" w:eastAsia="Microsoft JhengHei UI" w:hint="eastAsia"/>
                <w:spacing w:val="15"/>
                <w:sz w:val="24"/>
              </w:rPr>
              <w:t> 類 藥品治療</w:t>
            </w:r>
          </w:p>
          <w:p>
            <w:pPr>
              <w:pStyle w:val="TableParagraph"/>
              <w:spacing w:line="352" w:lineRule="exact"/>
              <w:ind w:left="354"/>
              <w:jc w:val="both"/>
              <w:rPr>
                <w:rFonts w:ascii="Microsoft JhengHei UI" w:eastAsia="Microsoft JhengHei UI" w:hint="eastAsia"/>
                <w:sz w:val="24"/>
              </w:rPr>
            </w:pPr>
            <w:r>
              <w:rPr>
                <w:rFonts w:ascii="Microsoft JhengHei UI" w:eastAsia="Microsoft JhengHei UI" w:hint="eastAsia"/>
                <w:sz w:val="24"/>
              </w:rPr>
              <w:t>（請先聯繫團隊後再轉介治療）；或接觸</w:t>
            </w:r>
          </w:p>
          <w:p>
            <w:pPr>
              <w:pStyle w:val="TableParagraph"/>
              <w:spacing w:line="213" w:lineRule="auto" w:before="11"/>
              <w:ind w:left="354" w:right="101"/>
              <w:jc w:val="both"/>
              <w:rPr>
                <w:rFonts w:ascii="Microsoft JhengHei UI" w:eastAsia="Microsoft JhengHei UI" w:hint="eastAsia"/>
                <w:sz w:val="24"/>
              </w:rPr>
            </w:pPr>
            <w:r>
              <w:rPr>
                <w:rFonts w:ascii="Microsoft JhengHei UI" w:eastAsia="Microsoft JhengHei UI" w:hint="eastAsia"/>
                <w:sz w:val="24"/>
              </w:rPr>
              <w:t>者已開始 LTBI 治療後，才發現指標個案為 多 重 抗 藥 性 結 核病 ， 仍 應 轉介至TMTC 團隊或約定院所治療。</w:t>
            </w:r>
          </w:p>
        </w:tc>
      </w:tr>
      <w:tr>
        <w:trPr>
          <w:trHeight w:val="3255" w:hRule="atLeast"/>
        </w:trPr>
        <w:tc>
          <w:tcPr>
            <w:tcW w:w="3560" w:type="dxa"/>
          </w:tcPr>
          <w:p>
            <w:pPr>
              <w:pStyle w:val="TableParagraph"/>
              <w:rPr>
                <w:rFonts w:ascii="Microsoft JhengHei UI"/>
                <w:sz w:val="30"/>
              </w:rPr>
            </w:pPr>
          </w:p>
          <w:p>
            <w:pPr>
              <w:pStyle w:val="TableParagraph"/>
              <w:rPr>
                <w:rFonts w:ascii="Microsoft JhengHei UI"/>
                <w:sz w:val="30"/>
              </w:rPr>
            </w:pPr>
          </w:p>
          <w:p>
            <w:pPr>
              <w:pStyle w:val="TableParagraph"/>
              <w:spacing w:before="3"/>
              <w:rPr>
                <w:rFonts w:ascii="Microsoft JhengHei UI"/>
                <w:sz w:val="16"/>
              </w:rPr>
            </w:pPr>
          </w:p>
          <w:p>
            <w:pPr>
              <w:pStyle w:val="TableParagraph"/>
              <w:ind w:left="114"/>
              <w:rPr>
                <w:rFonts w:ascii="Microsoft JhengHei UI" w:eastAsia="Microsoft JhengHei UI" w:hint="eastAsia"/>
                <w:sz w:val="24"/>
              </w:rPr>
            </w:pPr>
            <w:r>
              <w:rPr>
                <w:rFonts w:ascii="Microsoft JhengHei UI" w:eastAsia="Microsoft JhengHei UI" w:hint="eastAsia"/>
                <w:sz w:val="24"/>
              </w:rPr>
              <w:t>接觸者發病成為結核病個案</w:t>
            </w:r>
          </w:p>
        </w:tc>
        <w:tc>
          <w:tcPr>
            <w:tcW w:w="4869" w:type="dxa"/>
          </w:tcPr>
          <w:p>
            <w:pPr>
              <w:pStyle w:val="TableParagraph"/>
              <w:numPr>
                <w:ilvl w:val="0"/>
                <w:numId w:val="34"/>
              </w:numPr>
              <w:tabs>
                <w:tab w:pos="494" w:val="left" w:leader="none"/>
              </w:tabs>
              <w:spacing w:line="213" w:lineRule="auto" w:before="8" w:after="0"/>
              <w:ind w:left="354" w:right="102" w:hanging="240"/>
              <w:jc w:val="both"/>
              <w:rPr>
                <w:rFonts w:ascii="Microsoft JhengHei UI" w:hAnsi="Microsoft JhengHei UI" w:eastAsia="Microsoft JhengHei UI" w:hint="eastAsia"/>
                <w:sz w:val="24"/>
              </w:rPr>
            </w:pP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7"/>
                <w:sz w:val="24"/>
              </w:rPr>
              <w:t> 治療過程中應每月</w:t>
            </w:r>
            <w:r>
              <w:rPr>
                <w:rFonts w:ascii="Microsoft JhengHei UI" w:hAnsi="Microsoft JhengHei UI" w:eastAsia="Microsoft JhengHei UI" w:hint="eastAsia"/>
                <w:spacing w:val="8"/>
                <w:position w:val="2"/>
                <w:sz w:val="24"/>
              </w:rPr>
              <w:t>（</w:t>
            </w:r>
            <w:r>
              <w:rPr>
                <w:rFonts w:ascii="Microsoft JhengHei UI" w:hAnsi="Microsoft JhengHei UI" w:eastAsia="Microsoft JhengHei UI" w:hint="eastAsia"/>
                <w:spacing w:val="7"/>
                <w:position w:val="2"/>
                <w:sz w:val="24"/>
              </w:rPr>
              <w:t>或依醫囑）</w:t>
            </w:r>
            <w:r>
              <w:rPr>
                <w:rFonts w:ascii="Microsoft JhengHei UI" w:hAnsi="Microsoft JhengHei UI" w:eastAsia="Microsoft JhengHei UI" w:hint="eastAsia"/>
                <w:sz w:val="24"/>
              </w:rPr>
              <w:t>回診評估。</w:t>
            </w:r>
          </w:p>
          <w:p>
            <w:pPr>
              <w:pStyle w:val="TableParagraph"/>
              <w:numPr>
                <w:ilvl w:val="0"/>
                <w:numId w:val="34"/>
              </w:numPr>
              <w:tabs>
                <w:tab w:pos="468" w:val="left" w:leader="none"/>
              </w:tabs>
              <w:spacing w:line="382" w:lineRule="exact" w:before="0" w:after="0"/>
              <w:ind w:left="467" w:right="0" w:hanging="354"/>
              <w:jc w:val="left"/>
              <w:rPr>
                <w:rFonts w:ascii="Microsoft JhengHei UI" w:hAnsi="Microsoft JhengHei UI" w:eastAsia="Microsoft JhengHei UI" w:hint="eastAsia"/>
                <w:sz w:val="24"/>
              </w:rPr>
            </w:pPr>
            <w:r>
              <w:rPr>
                <w:rFonts w:ascii="Microsoft JhengHei UI" w:hAnsi="Microsoft JhengHei UI" w:eastAsia="Microsoft JhengHei UI" w:hint="eastAsia"/>
                <w:spacing w:val="25"/>
                <w:sz w:val="24"/>
              </w:rPr>
              <w:t>如發病成為結核病個案，應立即中斷</w:t>
            </w:r>
          </w:p>
          <w:p>
            <w:pPr>
              <w:pStyle w:val="TableParagraph"/>
              <w:spacing w:line="225" w:lineRule="auto" w:before="6"/>
              <w:ind w:left="358" w:right="101"/>
              <w:jc w:val="both"/>
              <w:rPr>
                <w:rFonts w:ascii="Microsoft JhengHei UI" w:eastAsia="Microsoft JhengHei UI" w:hint="eastAsia"/>
                <w:sz w:val="24"/>
              </w:rPr>
            </w:pPr>
            <w:r>
              <w:rPr>
                <w:rFonts w:ascii="Microsoft JhengHei UI" w:eastAsia="Microsoft JhengHei UI" w:hint="eastAsia"/>
                <w:spacing w:val="-4"/>
                <w:sz w:val="24"/>
              </w:rPr>
              <w:t>LTBI</w:t>
            </w:r>
            <w:r>
              <w:rPr>
                <w:rFonts w:ascii="Microsoft JhengHei UI" w:eastAsia="Microsoft JhengHei UI" w:hint="eastAsia"/>
                <w:spacing w:val="-6"/>
                <w:sz w:val="24"/>
              </w:rPr>
              <w:t> 治療，轉 </w:t>
            </w:r>
            <w:r>
              <w:rPr>
                <w:rFonts w:ascii="Microsoft JhengHei UI" w:eastAsia="Microsoft JhengHei UI" w:hint="eastAsia"/>
                <w:sz w:val="24"/>
              </w:rPr>
              <w:t>TB</w:t>
            </w:r>
            <w:r>
              <w:rPr>
                <w:rFonts w:ascii="Microsoft JhengHei UI" w:eastAsia="Microsoft JhengHei UI" w:hint="eastAsia"/>
                <w:spacing w:val="-4"/>
                <w:sz w:val="24"/>
              </w:rPr>
              <w:t> 治療處方，避免 </w:t>
            </w:r>
            <w:r>
              <w:rPr>
                <w:rFonts w:ascii="Microsoft JhengHei UI" w:eastAsia="Microsoft JhengHei UI" w:hint="eastAsia"/>
                <w:sz w:val="24"/>
              </w:rPr>
              <w:t>TB</w:t>
            </w:r>
            <w:r>
              <w:rPr>
                <w:rFonts w:ascii="Microsoft JhengHei UI" w:eastAsia="Microsoft JhengHei UI" w:hint="eastAsia"/>
                <w:spacing w:val="-7"/>
                <w:sz w:val="24"/>
              </w:rPr>
              <w:t> 治療</w:t>
            </w:r>
            <w:r>
              <w:rPr>
                <w:rFonts w:ascii="Microsoft JhengHei UI" w:eastAsia="Microsoft JhengHei UI" w:hint="eastAsia"/>
                <w:sz w:val="24"/>
              </w:rPr>
              <w:t>處方種類不足，導致抗藥性結核病。</w:t>
            </w:r>
          </w:p>
          <w:p>
            <w:pPr>
              <w:pStyle w:val="TableParagraph"/>
              <w:numPr>
                <w:ilvl w:val="0"/>
                <w:numId w:val="34"/>
              </w:numPr>
              <w:tabs>
                <w:tab w:pos="450" w:val="left" w:leader="none"/>
              </w:tabs>
              <w:spacing w:line="225" w:lineRule="auto" w:before="1" w:after="0"/>
              <w:ind w:left="358" w:right="102" w:hanging="244"/>
              <w:jc w:val="both"/>
              <w:rPr>
                <w:rFonts w:ascii="Microsoft JhengHei UI" w:hAnsi="Microsoft JhengHei UI" w:eastAsia="Microsoft JhengHei UI" w:hint="eastAsia"/>
                <w:sz w:val="24"/>
              </w:rPr>
            </w:pPr>
            <w:r>
              <w:rPr>
                <w:rFonts w:ascii="Microsoft JhengHei UI" w:hAnsi="Microsoft JhengHei UI" w:eastAsia="Microsoft JhengHei UI" w:hint="eastAsia"/>
                <w:spacing w:val="11"/>
                <w:sz w:val="24"/>
              </w:rPr>
              <w:t>此類個案應儘速進行抗藥性結核菌快速</w:t>
            </w:r>
            <w:r>
              <w:rPr>
                <w:rFonts w:ascii="Microsoft JhengHei UI" w:hAnsi="Microsoft JhengHei UI" w:eastAsia="Microsoft JhengHei UI" w:hint="eastAsia"/>
                <w:spacing w:val="5"/>
                <w:sz w:val="24"/>
              </w:rPr>
              <w:t>分子檢測，以早期偵測可能之 </w:t>
            </w:r>
            <w:r>
              <w:rPr>
                <w:rFonts w:ascii="Microsoft JhengHei UI" w:hAnsi="Microsoft JhengHei UI" w:eastAsia="Microsoft JhengHei UI" w:hint="eastAsia"/>
                <w:sz w:val="24"/>
              </w:rPr>
              <w:t>INH/RMP 抗藥性。</w:t>
            </w:r>
          </w:p>
        </w:tc>
      </w:tr>
      <w:tr>
        <w:trPr>
          <w:trHeight w:val="1662" w:hRule="atLeast"/>
        </w:trPr>
        <w:tc>
          <w:tcPr>
            <w:tcW w:w="3560" w:type="dxa"/>
          </w:tcPr>
          <w:p>
            <w:pPr>
              <w:pStyle w:val="TableParagraph"/>
              <w:rPr>
                <w:rFonts w:ascii="Microsoft JhengHei UI"/>
                <w:sz w:val="22"/>
              </w:rPr>
            </w:pPr>
          </w:p>
          <w:p>
            <w:pPr>
              <w:pStyle w:val="TableParagraph"/>
              <w:spacing w:line="223" w:lineRule="auto" w:before="1"/>
              <w:ind w:left="114" w:right="338"/>
              <w:rPr>
                <w:rFonts w:ascii="Microsoft JhengHei UI" w:eastAsia="Microsoft JhengHei UI" w:hint="eastAsia"/>
                <w:sz w:val="24"/>
              </w:rPr>
            </w:pPr>
            <w:r>
              <w:rPr>
                <w:rFonts w:ascii="Microsoft JhengHei UI" w:eastAsia="Microsoft JhengHei UI" w:hint="eastAsia"/>
                <w:sz w:val="24"/>
              </w:rPr>
              <w:t>指標個案排除診斷、痰培養結果為陰性、或鑑定為 NTM</w:t>
            </w:r>
          </w:p>
        </w:tc>
        <w:tc>
          <w:tcPr>
            <w:tcW w:w="4869" w:type="dxa"/>
          </w:tcPr>
          <w:p>
            <w:pPr>
              <w:pStyle w:val="TableParagraph"/>
              <w:spacing w:line="223" w:lineRule="auto"/>
              <w:ind w:left="114" w:right="100"/>
              <w:jc w:val="both"/>
              <w:rPr>
                <w:rFonts w:ascii="Microsoft JhengHei UI" w:eastAsia="Microsoft JhengHei UI" w:hint="eastAsia"/>
                <w:sz w:val="24"/>
              </w:rPr>
            </w:pPr>
            <w:r>
              <w:rPr>
                <w:rFonts w:ascii="Microsoft JhengHei UI" w:eastAsia="Microsoft JhengHei UI" w:hint="eastAsia"/>
                <w:sz w:val="24"/>
              </w:rPr>
              <w:t>指標個案雖非目前政策對象，因LTBI 檢驗陽性或不確定（indeterminate）代表遭受結核菌感染，可持續提供智慧關懷卡及都治關懷服務，以協助個案完成 LTBI 治療。</w:t>
            </w:r>
          </w:p>
        </w:tc>
      </w:tr>
    </w:tbl>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spacing w:before="9"/>
        <w:rPr>
          <w:rFonts w:ascii="Microsoft JhengHei UI"/>
          <w:sz w:val="31"/>
        </w:rPr>
      </w:pPr>
    </w:p>
    <w:p>
      <w:pPr>
        <w:spacing w:before="0"/>
        <w:ind w:left="110" w:right="0" w:firstLine="0"/>
        <w:jc w:val="left"/>
        <w:rPr>
          <w:rFonts w:ascii="Arial"/>
          <w:sz w:val="16"/>
        </w:rPr>
      </w:pPr>
      <w:r>
        <w:rPr>
          <w:rFonts w:ascii="Arial"/>
          <w:color w:val="221F1F"/>
          <w:sz w:val="16"/>
        </w:rPr>
        <w:t>10</w:t>
      </w:r>
    </w:p>
    <w:p>
      <w:pPr>
        <w:spacing w:after="0"/>
        <w:jc w:val="left"/>
        <w:rPr>
          <w:rFonts w:ascii="Arial"/>
          <w:sz w:val="16"/>
        </w:rPr>
        <w:sectPr>
          <w:pgSz w:w="11920" w:h="16840"/>
          <w:pgMar w:top="1040" w:bottom="280" w:left="200" w:right="220"/>
        </w:sectPr>
      </w:pPr>
    </w:p>
    <w:tbl>
      <w:tblPr>
        <w:tblW w:w="0" w:type="auto"/>
        <w:jc w:val="left"/>
        <w:tblInd w:w="1315"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3560"/>
        <w:gridCol w:w="4869"/>
      </w:tblGrid>
      <w:tr>
        <w:trPr>
          <w:trHeight w:val="451" w:hRule="atLeast"/>
        </w:trPr>
        <w:tc>
          <w:tcPr>
            <w:tcW w:w="3560" w:type="dxa"/>
            <w:shd w:val="clear" w:color="auto" w:fill="E6E7E8"/>
          </w:tcPr>
          <w:p>
            <w:pPr>
              <w:pStyle w:val="TableParagraph"/>
              <w:spacing w:line="413" w:lineRule="exact" w:before="19"/>
              <w:ind w:left="1288" w:right="1257"/>
              <w:jc w:val="center"/>
              <w:rPr>
                <w:rFonts w:ascii="Microsoft JhengHei UI" w:eastAsia="Microsoft JhengHei UI" w:hint="eastAsia"/>
                <w:b/>
                <w:sz w:val="24"/>
              </w:rPr>
            </w:pPr>
            <w:r>
              <w:rPr>
                <w:rFonts w:ascii="Microsoft JhengHei UI" w:eastAsia="Microsoft JhengHei UI" w:hint="eastAsia"/>
                <w:b/>
                <w:color w:val="221F1F"/>
                <w:sz w:val="24"/>
              </w:rPr>
              <w:t>個案情況</w:t>
            </w:r>
          </w:p>
        </w:tc>
        <w:tc>
          <w:tcPr>
            <w:tcW w:w="4869" w:type="dxa"/>
            <w:shd w:val="clear" w:color="auto" w:fill="E6E7E8"/>
          </w:tcPr>
          <w:p>
            <w:pPr>
              <w:pStyle w:val="TableParagraph"/>
              <w:spacing w:line="413" w:lineRule="exact" w:before="19"/>
              <w:ind w:left="1942" w:right="1911"/>
              <w:jc w:val="center"/>
              <w:rPr>
                <w:rFonts w:ascii="Microsoft JhengHei UI" w:eastAsia="Microsoft JhengHei UI" w:hint="eastAsia"/>
                <w:b/>
                <w:sz w:val="24"/>
              </w:rPr>
            </w:pPr>
            <w:r>
              <w:rPr>
                <w:rFonts w:ascii="Microsoft JhengHei UI" w:eastAsia="Microsoft JhengHei UI" w:hint="eastAsia"/>
                <w:b/>
                <w:color w:val="221F1F"/>
                <w:sz w:val="24"/>
              </w:rPr>
              <w:t>執行重點</w:t>
            </w:r>
          </w:p>
        </w:tc>
      </w:tr>
      <w:tr>
        <w:trPr>
          <w:trHeight w:val="1565" w:hRule="atLeast"/>
        </w:trPr>
        <w:tc>
          <w:tcPr>
            <w:tcW w:w="3560" w:type="dxa"/>
          </w:tcPr>
          <w:p>
            <w:pPr>
              <w:pStyle w:val="TableParagraph"/>
              <w:spacing w:line="223" w:lineRule="auto" w:before="4"/>
              <w:ind w:left="114" w:right="108"/>
              <w:jc w:val="both"/>
              <w:rPr>
                <w:rFonts w:ascii="Microsoft JhengHei UI" w:eastAsia="Microsoft JhengHei UI" w:hint="eastAsia"/>
                <w:sz w:val="24"/>
              </w:rPr>
            </w:pPr>
            <w:r>
              <w:rPr>
                <w:rFonts w:ascii="Microsoft JhengHei UI" w:eastAsia="Microsoft JhengHei UI" w:hint="eastAsia"/>
                <w:sz w:val="24"/>
              </w:rPr>
              <w:t>未滿 5 歲兒童接觸者預防性治療（window prophylaxis）， 與指標個案終止有效暴露滿</w:t>
            </w:r>
          </w:p>
          <w:p>
            <w:pPr>
              <w:pStyle w:val="TableParagraph"/>
              <w:spacing w:line="350" w:lineRule="exact"/>
              <w:ind w:left="114"/>
              <w:jc w:val="both"/>
              <w:rPr>
                <w:rFonts w:ascii="Microsoft JhengHei UI" w:eastAsia="Microsoft JhengHei UI" w:hint="eastAsia"/>
                <w:sz w:val="24"/>
              </w:rPr>
            </w:pPr>
            <w:r>
              <w:rPr>
                <w:rFonts w:ascii="Microsoft JhengHei UI" w:eastAsia="Microsoft JhengHei UI" w:hint="eastAsia"/>
                <w:sz w:val="24"/>
              </w:rPr>
              <w:t>8 週之 LTBI 檢驗結果未陽轉者</w:t>
            </w:r>
          </w:p>
        </w:tc>
        <w:tc>
          <w:tcPr>
            <w:tcW w:w="4869" w:type="dxa"/>
          </w:tcPr>
          <w:p>
            <w:pPr>
              <w:pStyle w:val="TableParagraph"/>
              <w:numPr>
                <w:ilvl w:val="0"/>
                <w:numId w:val="35"/>
              </w:numPr>
              <w:tabs>
                <w:tab w:pos="477" w:val="left" w:leader="none"/>
              </w:tabs>
              <w:spacing w:line="425" w:lineRule="exact" w:before="0" w:after="0"/>
              <w:ind w:left="476" w:right="0" w:hanging="363"/>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未受結核菌感染，無需接受治療。</w:t>
            </w:r>
          </w:p>
          <w:p>
            <w:pPr>
              <w:pStyle w:val="TableParagraph"/>
              <w:numPr>
                <w:ilvl w:val="0"/>
                <w:numId w:val="35"/>
              </w:numPr>
              <w:tabs>
                <w:tab w:pos="539" w:val="left" w:leader="none"/>
              </w:tabs>
              <w:spacing w:line="225" w:lineRule="auto" w:before="3" w:after="0"/>
              <w:ind w:left="354" w:right="107" w:hanging="240"/>
              <w:jc w:val="left"/>
              <w:rPr>
                <w:rFonts w:ascii="Microsoft JhengHei UI" w:hAnsi="Microsoft JhengHei UI" w:eastAsia="Microsoft JhengHei UI" w:hint="eastAsia"/>
                <w:sz w:val="24"/>
              </w:rPr>
            </w:pPr>
            <w:r>
              <w:rPr>
                <w:rFonts w:ascii="Microsoft JhengHei UI" w:hAnsi="Microsoft JhengHei UI" w:eastAsia="Microsoft JhengHei UI" w:hint="eastAsia"/>
                <w:spacing w:val="6"/>
                <w:sz w:val="24"/>
              </w:rPr>
              <w:t>由合作醫師綜合研判暴露風險</w:t>
            </w:r>
            <w:r>
              <w:rPr>
                <w:rFonts w:ascii="Microsoft JhengHei UI" w:hAnsi="Microsoft JhengHei UI" w:eastAsia="Microsoft JhengHei UI" w:hint="eastAsia"/>
                <w:spacing w:val="8"/>
                <w:sz w:val="24"/>
              </w:rPr>
              <w:t>（</w:t>
            </w:r>
            <w:r>
              <w:rPr>
                <w:rFonts w:ascii="Microsoft JhengHei UI" w:hAnsi="Microsoft JhengHei UI" w:eastAsia="Microsoft JhengHei UI" w:hint="eastAsia"/>
                <w:sz w:val="24"/>
              </w:rPr>
              <w:t>如家庭</w:t>
            </w:r>
            <w:r>
              <w:rPr>
                <w:rFonts w:ascii="Microsoft JhengHei UI" w:hAnsi="Microsoft JhengHei UI" w:eastAsia="Microsoft JhengHei UI" w:hint="eastAsia"/>
                <w:spacing w:val="1"/>
                <w:sz w:val="24"/>
              </w:rPr>
              <w:t>接觸史</w:t>
            </w:r>
            <w:r>
              <w:rPr>
                <w:rFonts w:ascii="Microsoft JhengHei UI" w:hAnsi="Microsoft JhengHei UI" w:eastAsia="Microsoft JhengHei UI" w:hint="eastAsia"/>
                <w:sz w:val="24"/>
              </w:rPr>
              <w:t>）評估是否繼續治療。</w:t>
            </w:r>
          </w:p>
        </w:tc>
      </w:tr>
      <w:tr>
        <w:trPr>
          <w:trHeight w:val="2070" w:hRule="atLeast"/>
        </w:trPr>
        <w:tc>
          <w:tcPr>
            <w:tcW w:w="3560" w:type="dxa"/>
          </w:tcPr>
          <w:p>
            <w:pPr>
              <w:pStyle w:val="TableParagraph"/>
              <w:spacing w:line="225" w:lineRule="auto" w:before="32"/>
              <w:ind w:left="114" w:right="85"/>
              <w:rPr>
                <w:rFonts w:ascii="Microsoft JhengHei UI" w:eastAsia="Microsoft JhengHei UI" w:hint="eastAsia"/>
                <w:sz w:val="24"/>
              </w:rPr>
            </w:pPr>
            <w:r>
              <w:rPr>
                <w:rFonts w:ascii="Microsoft JhengHei UI" w:eastAsia="Microsoft JhengHei UI" w:hint="eastAsia"/>
                <w:spacing w:val="35"/>
                <w:sz w:val="24"/>
              </w:rPr>
              <w:t>接觸者因疑似結核病而被通</w:t>
            </w:r>
            <w:r>
              <w:rPr>
                <w:rFonts w:ascii="Microsoft JhengHei UI" w:eastAsia="Microsoft JhengHei UI" w:hint="eastAsia"/>
                <w:spacing w:val="26"/>
                <w:sz w:val="24"/>
              </w:rPr>
              <w:t>報， 後續雖被排除診斷，但</w:t>
            </w:r>
            <w:r>
              <w:rPr>
                <w:rFonts w:ascii="Microsoft JhengHei UI" w:eastAsia="Microsoft JhengHei UI" w:hint="eastAsia"/>
                <w:spacing w:val="3"/>
                <w:sz w:val="24"/>
              </w:rPr>
              <w:t>已服用下列處方組合者： 1.RMP+PZA，</w:t>
            </w:r>
            <w:r>
              <w:rPr>
                <w:rFonts w:ascii="Microsoft JhengHei UI" w:eastAsia="Microsoft JhengHei UI" w:hint="eastAsia"/>
                <w:sz w:val="24"/>
              </w:rPr>
              <w:t>滿 2</w:t>
            </w:r>
            <w:r>
              <w:rPr>
                <w:rFonts w:ascii="Microsoft JhengHei UI" w:eastAsia="Microsoft JhengHei UI" w:hint="eastAsia"/>
                <w:spacing w:val="-1"/>
                <w:sz w:val="24"/>
              </w:rPr>
              <w:t> 個月以上</w:t>
            </w:r>
          </w:p>
          <w:p>
            <w:pPr>
              <w:pStyle w:val="TableParagraph"/>
              <w:spacing w:line="353" w:lineRule="exact"/>
              <w:ind w:left="114"/>
              <w:rPr>
                <w:rFonts w:ascii="Microsoft JhengHei UI" w:eastAsia="Microsoft JhengHei UI" w:hint="eastAsia"/>
                <w:sz w:val="24"/>
              </w:rPr>
            </w:pPr>
            <w:r>
              <w:rPr>
                <w:rFonts w:ascii="Microsoft JhengHei UI" w:eastAsia="Microsoft JhengHei UI" w:hint="eastAsia"/>
                <w:sz w:val="24"/>
              </w:rPr>
              <w:t>2.INH+RMP，</w:t>
            </w:r>
            <w:r>
              <w:rPr>
                <w:rFonts w:ascii="Microsoft JhengHei UI" w:eastAsia="Microsoft JhengHei UI" w:hint="eastAsia"/>
                <w:spacing w:val="-1"/>
                <w:sz w:val="24"/>
              </w:rPr>
              <w:t>滿 </w:t>
            </w:r>
            <w:r>
              <w:rPr>
                <w:rFonts w:ascii="Microsoft JhengHei UI" w:eastAsia="Microsoft JhengHei UI" w:hint="eastAsia"/>
                <w:sz w:val="24"/>
              </w:rPr>
              <w:t>3</w:t>
            </w:r>
            <w:r>
              <w:rPr>
                <w:rFonts w:ascii="Microsoft JhengHei UI" w:eastAsia="Microsoft JhengHei UI" w:hint="eastAsia"/>
                <w:spacing w:val="-1"/>
                <w:sz w:val="24"/>
              </w:rPr>
              <w:t> 個月以上</w:t>
            </w:r>
          </w:p>
        </w:tc>
        <w:tc>
          <w:tcPr>
            <w:tcW w:w="4869" w:type="dxa"/>
          </w:tcPr>
          <w:p>
            <w:pPr>
              <w:pStyle w:val="TableParagraph"/>
              <w:spacing w:line="201" w:lineRule="auto" w:before="30"/>
              <w:ind w:left="114" w:right="101"/>
              <w:rPr>
                <w:rFonts w:ascii="Microsoft JhengHei UI" w:eastAsia="Microsoft JhengHei UI" w:hint="eastAsia"/>
                <w:sz w:val="24"/>
              </w:rPr>
            </w:pPr>
            <w:r>
              <w:rPr>
                <w:rFonts w:ascii="Microsoft JhengHei UI" w:eastAsia="Microsoft JhengHei UI" w:hint="eastAsia"/>
                <w:sz w:val="24"/>
              </w:rPr>
              <w:t>已達 LTBI 治療成效，無需再接受 LTBI 治療。</w:t>
            </w:r>
          </w:p>
        </w:tc>
      </w:tr>
      <w:tr>
        <w:trPr>
          <w:trHeight w:val="1817" w:hRule="atLeast"/>
        </w:trPr>
        <w:tc>
          <w:tcPr>
            <w:tcW w:w="3560" w:type="dxa"/>
          </w:tcPr>
          <w:p>
            <w:pPr>
              <w:pStyle w:val="TableParagraph"/>
              <w:rPr>
                <w:rFonts w:ascii="Arial"/>
                <w:sz w:val="30"/>
              </w:rPr>
            </w:pPr>
          </w:p>
          <w:p>
            <w:pPr>
              <w:pStyle w:val="TableParagraph"/>
              <w:spacing w:before="4"/>
              <w:rPr>
                <w:rFonts w:ascii="Arial"/>
                <w:sz w:val="37"/>
              </w:rPr>
            </w:pPr>
          </w:p>
          <w:p>
            <w:pPr>
              <w:pStyle w:val="TableParagraph"/>
              <w:ind w:left="114"/>
              <w:rPr>
                <w:rFonts w:ascii="Microsoft JhengHei UI" w:eastAsia="Microsoft JhengHei UI" w:hint="eastAsia"/>
                <w:sz w:val="24"/>
              </w:rPr>
            </w:pPr>
            <w:r>
              <w:rPr>
                <w:rFonts w:ascii="Microsoft JhengHei UI" w:eastAsia="Microsoft JhengHei UI" w:hint="eastAsia"/>
                <w:sz w:val="24"/>
              </w:rPr>
              <w:t>LTBI 個案因副作用無法忍受</w:t>
            </w:r>
          </w:p>
        </w:tc>
        <w:tc>
          <w:tcPr>
            <w:tcW w:w="4869" w:type="dxa"/>
          </w:tcPr>
          <w:p>
            <w:pPr>
              <w:pStyle w:val="TableParagraph"/>
              <w:spacing w:line="201" w:lineRule="auto" w:before="30"/>
              <w:ind w:left="114" w:right="101"/>
              <w:jc w:val="both"/>
              <w:rPr>
                <w:rFonts w:ascii="Microsoft JhengHei UI" w:eastAsia="Microsoft JhengHei UI" w:hint="eastAsia"/>
                <w:sz w:val="24"/>
              </w:rPr>
            </w:pPr>
            <w:r>
              <w:rPr>
                <w:rFonts w:ascii="Microsoft JhengHei UI" w:eastAsia="Microsoft JhengHei UI" w:hint="eastAsia"/>
                <w:sz w:val="24"/>
              </w:rPr>
              <w:t>提供都治服務過程，應落實藥品副作用監測與回報，並持續給予關懷與支持。因藥品副作用暫時停止 LTBI 治療，約有一半的 LTBI 個案可於副作用緩解後，藉由更換處方來協</w:t>
            </w:r>
          </w:p>
          <w:p>
            <w:pPr>
              <w:pStyle w:val="TableParagraph"/>
              <w:spacing w:line="333" w:lineRule="exact"/>
              <w:ind w:left="114"/>
              <w:jc w:val="both"/>
              <w:rPr>
                <w:rFonts w:ascii="Microsoft JhengHei UI" w:eastAsia="Microsoft JhengHei UI" w:hint="eastAsia"/>
                <w:sz w:val="24"/>
              </w:rPr>
            </w:pPr>
            <w:r>
              <w:rPr>
                <w:rFonts w:ascii="Microsoft JhengHei UI" w:eastAsia="Microsoft JhengHei UI" w:hint="eastAsia"/>
                <w:sz w:val="24"/>
              </w:rPr>
              <w:t>助其完成 LTBI 治療。</w:t>
            </w:r>
          </w:p>
        </w:tc>
      </w:tr>
      <w:tr>
        <w:trPr>
          <w:trHeight w:val="1831" w:hRule="atLeast"/>
        </w:trPr>
        <w:tc>
          <w:tcPr>
            <w:tcW w:w="3560" w:type="dxa"/>
          </w:tcPr>
          <w:p>
            <w:pPr>
              <w:pStyle w:val="TableParagraph"/>
              <w:spacing w:before="10"/>
              <w:rPr>
                <w:rFonts w:ascii="Arial"/>
                <w:sz w:val="34"/>
              </w:rPr>
            </w:pPr>
          </w:p>
          <w:p>
            <w:pPr>
              <w:pStyle w:val="TableParagraph"/>
              <w:spacing w:line="223" w:lineRule="auto"/>
              <w:ind w:left="114" w:right="215"/>
              <w:rPr>
                <w:rFonts w:ascii="Microsoft JhengHei UI" w:eastAsia="Microsoft JhengHei UI" w:hint="eastAsia"/>
                <w:sz w:val="24"/>
              </w:rPr>
            </w:pPr>
            <w:r>
              <w:rPr>
                <w:rFonts w:ascii="Microsoft JhengHei UI" w:eastAsia="Microsoft JhengHei UI" w:hint="eastAsia"/>
                <w:sz w:val="24"/>
              </w:rPr>
              <w:t>LTBI 個案治療前或開藥當月， 相關檢驗/檢查異常</w:t>
            </w:r>
          </w:p>
        </w:tc>
        <w:tc>
          <w:tcPr>
            <w:tcW w:w="4869" w:type="dxa"/>
          </w:tcPr>
          <w:p>
            <w:pPr>
              <w:pStyle w:val="TableParagraph"/>
              <w:spacing w:line="201" w:lineRule="auto" w:before="30"/>
              <w:ind w:left="114" w:right="100"/>
              <w:jc w:val="both"/>
              <w:rPr>
                <w:rFonts w:ascii="Microsoft JhengHei UI" w:eastAsia="Microsoft JhengHei UI" w:hint="eastAsia"/>
                <w:sz w:val="24"/>
              </w:rPr>
            </w:pPr>
            <w:r>
              <w:rPr>
                <w:rFonts w:ascii="Microsoft JhengHei UI" w:eastAsia="Microsoft JhengHei UI" w:hint="eastAsia"/>
                <w:spacing w:val="37"/>
                <w:sz w:val="24"/>
              </w:rPr>
              <w:t>肝功能 </w:t>
            </w:r>
            <w:r>
              <w:rPr>
                <w:rFonts w:ascii="Microsoft JhengHei UI" w:eastAsia="Microsoft JhengHei UI" w:hint="eastAsia"/>
                <w:sz w:val="24"/>
              </w:rPr>
              <w:t>GPT</w:t>
            </w:r>
            <w:r>
              <w:rPr>
                <w:rFonts w:ascii="Microsoft JhengHei UI" w:eastAsia="Microsoft JhengHei UI" w:hint="eastAsia"/>
                <w:spacing w:val="23"/>
                <w:sz w:val="24"/>
              </w:rPr>
              <w:t>&gt; 正常值 </w:t>
            </w:r>
            <w:r>
              <w:rPr>
                <w:rFonts w:ascii="Microsoft JhengHei UI" w:eastAsia="Microsoft JhengHei UI" w:hint="eastAsia"/>
                <w:sz w:val="24"/>
              </w:rPr>
              <w:t>5</w:t>
            </w:r>
            <w:r>
              <w:rPr>
                <w:rFonts w:ascii="Microsoft JhengHei UI" w:eastAsia="Microsoft JhengHei UI" w:hint="eastAsia"/>
                <w:spacing w:val="23"/>
                <w:sz w:val="24"/>
              </w:rPr>
              <w:t> 倍、 </w:t>
            </w:r>
            <w:r>
              <w:rPr>
                <w:rFonts w:ascii="Microsoft JhengHei UI" w:eastAsia="Microsoft JhengHei UI" w:hint="eastAsia"/>
                <w:sz w:val="24"/>
              </w:rPr>
              <w:t>T.bil</w:t>
            </w:r>
            <w:r>
              <w:rPr>
                <w:rFonts w:ascii="Microsoft JhengHei UI" w:eastAsia="Microsoft JhengHei UI" w:hint="eastAsia"/>
                <w:spacing w:val="12"/>
                <w:sz w:val="24"/>
              </w:rPr>
              <w:t> &gt; </w:t>
            </w:r>
            <w:r>
              <w:rPr>
                <w:rFonts w:ascii="Microsoft JhengHei UI" w:eastAsia="Microsoft JhengHei UI" w:hint="eastAsia"/>
                <w:sz w:val="24"/>
              </w:rPr>
              <w:t>3 mg/mL</w:t>
            </w:r>
            <w:r>
              <w:rPr>
                <w:rFonts w:ascii="Microsoft JhengHei UI" w:eastAsia="Microsoft JhengHei UI" w:hint="eastAsia"/>
                <w:spacing w:val="10"/>
                <w:sz w:val="24"/>
              </w:rPr>
              <w:t>、使用</w:t>
            </w:r>
            <w:r>
              <w:rPr>
                <w:rFonts w:ascii="Microsoft JhengHei UI" w:eastAsia="Microsoft JhengHei UI" w:hint="eastAsia"/>
                <w:sz w:val="24"/>
              </w:rPr>
              <w:t>fluoroquinolone</w:t>
            </w:r>
            <w:r>
              <w:rPr>
                <w:rFonts w:ascii="Microsoft JhengHei UI" w:eastAsia="Microsoft JhengHei UI" w:hint="eastAsia"/>
                <w:spacing w:val="-7"/>
                <w:sz w:val="24"/>
              </w:rPr>
              <w:t> 類藥品個案之心電圖（EKG）</w:t>
            </w:r>
            <w:r>
              <w:rPr>
                <w:rFonts w:ascii="Microsoft JhengHei UI" w:eastAsia="Microsoft JhengHei UI" w:hint="eastAsia"/>
                <w:spacing w:val="1"/>
                <w:sz w:val="24"/>
              </w:rPr>
              <w:t>呈現 </w:t>
            </w:r>
            <w:r>
              <w:rPr>
                <w:rFonts w:ascii="Microsoft JhengHei UI" w:eastAsia="Microsoft JhengHei UI" w:hint="eastAsia"/>
                <w:sz w:val="24"/>
              </w:rPr>
              <w:t>QTc</w:t>
            </w:r>
            <w:r>
              <w:rPr>
                <w:rFonts w:ascii="Microsoft JhengHei UI" w:eastAsia="Microsoft JhengHei UI" w:hint="eastAsia"/>
                <w:spacing w:val="6"/>
                <w:sz w:val="24"/>
              </w:rPr>
              <w:t> 間距</w:t>
            </w:r>
            <w:r>
              <w:rPr>
                <w:rFonts w:ascii="Microsoft JhengHei UI" w:eastAsia="Microsoft JhengHei UI" w:hint="eastAsia"/>
                <w:sz w:val="24"/>
              </w:rPr>
              <w:t>&gt;500</w:t>
            </w:r>
            <w:r>
              <w:rPr>
                <w:rFonts w:ascii="Microsoft JhengHei UI" w:eastAsia="Microsoft JhengHei UI" w:hint="eastAsia"/>
                <w:spacing w:val="8"/>
                <w:sz w:val="24"/>
              </w:rPr>
              <w:t> 毫秒</w:t>
            </w:r>
          </w:p>
          <w:p>
            <w:pPr>
              <w:pStyle w:val="TableParagraph"/>
              <w:spacing w:line="349" w:lineRule="exact"/>
              <w:ind w:left="114"/>
              <w:jc w:val="both"/>
              <w:rPr>
                <w:rFonts w:ascii="Microsoft JhengHei UI" w:eastAsia="Microsoft JhengHei UI" w:hint="eastAsia"/>
                <w:sz w:val="24"/>
              </w:rPr>
            </w:pPr>
            <w:r>
              <w:rPr>
                <w:rFonts w:ascii="Microsoft JhengHei UI" w:eastAsia="Microsoft JhengHei UI" w:hint="eastAsia"/>
                <w:spacing w:val="5"/>
                <w:sz w:val="24"/>
              </w:rPr>
              <w:t>（msec）</w:t>
            </w:r>
            <w:r>
              <w:rPr>
                <w:rFonts w:ascii="Microsoft JhengHei UI" w:eastAsia="Microsoft JhengHei UI" w:hint="eastAsia"/>
                <w:spacing w:val="13"/>
                <w:sz w:val="24"/>
              </w:rPr>
              <w:t>等，提醒臨床醫師要考慮先中斷</w:t>
            </w:r>
          </w:p>
          <w:p>
            <w:pPr>
              <w:pStyle w:val="TableParagraph"/>
              <w:spacing w:line="355" w:lineRule="exact"/>
              <w:ind w:left="114"/>
              <w:jc w:val="both"/>
              <w:rPr>
                <w:rFonts w:ascii="Microsoft JhengHei UI" w:eastAsia="Microsoft JhengHei UI" w:hint="eastAsia"/>
                <w:sz w:val="24"/>
              </w:rPr>
            </w:pPr>
            <w:r>
              <w:rPr>
                <w:rFonts w:ascii="Microsoft JhengHei UI" w:eastAsia="Microsoft JhengHei UI" w:hint="eastAsia"/>
                <w:sz w:val="24"/>
              </w:rPr>
              <w:t>LTBI 治療。</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18"/>
        </w:rPr>
      </w:pPr>
    </w:p>
    <w:p>
      <w:pPr>
        <w:spacing w:before="1"/>
        <w:ind w:left="0" w:right="100" w:firstLine="0"/>
        <w:jc w:val="right"/>
        <w:rPr>
          <w:rFonts w:ascii="Arial"/>
          <w:sz w:val="16"/>
        </w:rPr>
      </w:pPr>
      <w:r>
        <w:rPr>
          <w:rFonts w:ascii="Arial"/>
          <w:color w:val="221F1F"/>
          <w:w w:val="95"/>
          <w:sz w:val="16"/>
        </w:rPr>
        <w:t>11</w:t>
      </w:r>
    </w:p>
    <w:p>
      <w:pPr>
        <w:spacing w:after="0"/>
        <w:jc w:val="right"/>
        <w:rPr>
          <w:rFonts w:ascii="Arial"/>
          <w:sz w:val="16"/>
        </w:rPr>
        <w:sectPr>
          <w:pgSz w:w="11920" w:h="16840"/>
          <w:pgMar w:top="1080" w:bottom="280" w:left="200" w:right="220"/>
        </w:sectPr>
      </w:pPr>
    </w:p>
    <w:p>
      <w:pPr>
        <w:pStyle w:val="BodyText"/>
        <w:spacing w:line="392" w:lineRule="exact" w:before="21"/>
        <w:ind w:left="1410"/>
        <w:rPr>
          <w:rFonts w:ascii="Microsoft JhengHei UI" w:eastAsia="Microsoft JhengHei UI" w:hint="eastAsia"/>
        </w:rPr>
      </w:pPr>
      <w:r>
        <w:rPr>
          <w:rFonts w:ascii="Microsoft JhengHei UI" w:eastAsia="Microsoft JhengHei UI" w:hint="eastAsia"/>
          <w:color w:val="221F1F"/>
        </w:rPr>
        <w:t>( 三 ) 特</w:t>
      </w:r>
      <w:r>
        <w:rPr>
          <w:rFonts w:ascii="Microsoft JhengHei UI" w:eastAsia="Microsoft JhengHei UI" w:hint="eastAsia"/>
        </w:rPr>
        <w:t>殊情況及執行重點：</w:t>
      </w:r>
    </w:p>
    <w:p>
      <w:pPr>
        <w:pStyle w:val="BodyText"/>
        <w:spacing w:line="392" w:lineRule="exact" w:after="8"/>
        <w:ind w:left="2130"/>
        <w:rPr>
          <w:rFonts w:ascii="Microsoft JhengHei UI" w:eastAsia="Microsoft JhengHei UI" w:hint="eastAsia"/>
        </w:rPr>
      </w:pPr>
      <w:r>
        <w:rPr>
          <w:rFonts w:ascii="Microsoft JhengHei UI" w:eastAsia="Microsoft JhengHei UI" w:hint="eastAsia"/>
        </w:rPr>
        <w:t>表 7、LTBI 治療特殊情況及執行重點</w:t>
      </w:r>
    </w:p>
    <w:tbl>
      <w:tblPr>
        <w:tblW w:w="0" w:type="auto"/>
        <w:jc w:val="left"/>
        <w:tblInd w:w="2137"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1915"/>
        <w:gridCol w:w="6514"/>
      </w:tblGrid>
      <w:tr>
        <w:trPr>
          <w:trHeight w:val="451" w:hRule="atLeast"/>
        </w:trPr>
        <w:tc>
          <w:tcPr>
            <w:tcW w:w="1915" w:type="dxa"/>
            <w:shd w:val="clear" w:color="auto" w:fill="E6E7E8"/>
          </w:tcPr>
          <w:p>
            <w:pPr>
              <w:pStyle w:val="TableParagraph"/>
              <w:spacing w:line="413" w:lineRule="exact" w:before="19"/>
              <w:ind w:left="81" w:right="72"/>
              <w:jc w:val="center"/>
              <w:rPr>
                <w:rFonts w:ascii="Microsoft JhengHei UI" w:eastAsia="Microsoft JhengHei UI" w:hint="eastAsia"/>
                <w:b/>
                <w:sz w:val="24"/>
              </w:rPr>
            </w:pPr>
            <w:r>
              <w:rPr>
                <w:rFonts w:ascii="Microsoft JhengHei UI" w:eastAsia="Microsoft JhengHei UI" w:hint="eastAsia"/>
                <w:b/>
                <w:sz w:val="24"/>
              </w:rPr>
              <w:t>特殊情況</w:t>
            </w:r>
          </w:p>
        </w:tc>
        <w:tc>
          <w:tcPr>
            <w:tcW w:w="6514" w:type="dxa"/>
            <w:shd w:val="clear" w:color="auto" w:fill="E6E7E8"/>
          </w:tcPr>
          <w:p>
            <w:pPr>
              <w:pStyle w:val="TableParagraph"/>
              <w:spacing w:line="413" w:lineRule="exact" w:before="19"/>
              <w:ind w:left="2765" w:right="2733"/>
              <w:jc w:val="center"/>
              <w:rPr>
                <w:rFonts w:ascii="Microsoft JhengHei UI" w:eastAsia="Microsoft JhengHei UI" w:hint="eastAsia"/>
                <w:b/>
                <w:sz w:val="24"/>
              </w:rPr>
            </w:pPr>
            <w:r>
              <w:rPr>
                <w:rFonts w:ascii="Microsoft JhengHei UI" w:eastAsia="Microsoft JhengHei UI" w:hint="eastAsia"/>
                <w:b/>
                <w:sz w:val="24"/>
              </w:rPr>
              <w:t>執行重點</w:t>
            </w:r>
          </w:p>
        </w:tc>
      </w:tr>
      <w:tr>
        <w:trPr>
          <w:trHeight w:val="4052" w:hRule="atLeast"/>
        </w:trPr>
        <w:tc>
          <w:tcPr>
            <w:tcW w:w="1915" w:type="dxa"/>
          </w:tcPr>
          <w:p>
            <w:pPr>
              <w:pStyle w:val="TableParagraph"/>
              <w:rPr>
                <w:rFonts w:ascii="Microsoft JhengHei UI"/>
                <w:sz w:val="30"/>
              </w:rPr>
            </w:pPr>
          </w:p>
          <w:p>
            <w:pPr>
              <w:pStyle w:val="TableParagraph"/>
              <w:rPr>
                <w:rFonts w:ascii="Microsoft JhengHei UI"/>
                <w:sz w:val="30"/>
              </w:rPr>
            </w:pPr>
          </w:p>
          <w:p>
            <w:pPr>
              <w:pStyle w:val="TableParagraph"/>
              <w:spacing w:before="9"/>
              <w:rPr>
                <w:rFonts w:ascii="Microsoft JhengHei UI"/>
                <w:sz w:val="39"/>
              </w:rPr>
            </w:pPr>
          </w:p>
          <w:p>
            <w:pPr>
              <w:pStyle w:val="TableParagraph"/>
              <w:ind w:left="72" w:right="72"/>
              <w:jc w:val="center"/>
              <w:rPr>
                <w:rFonts w:ascii="Microsoft JhengHei UI" w:eastAsia="Microsoft JhengHei UI" w:hint="eastAsia"/>
                <w:sz w:val="24"/>
              </w:rPr>
            </w:pPr>
            <w:r>
              <w:rPr>
                <w:rFonts w:ascii="Microsoft JhengHei UI" w:eastAsia="Microsoft JhengHei UI" w:hint="eastAsia"/>
                <w:sz w:val="24"/>
              </w:rPr>
              <w:t>接觸者為新生兒</w:t>
            </w:r>
          </w:p>
        </w:tc>
        <w:tc>
          <w:tcPr>
            <w:tcW w:w="6514" w:type="dxa"/>
          </w:tcPr>
          <w:p>
            <w:pPr>
              <w:pStyle w:val="TableParagraph"/>
              <w:numPr>
                <w:ilvl w:val="0"/>
                <w:numId w:val="36"/>
              </w:numPr>
              <w:tabs>
                <w:tab w:pos="347" w:val="left" w:leader="none"/>
              </w:tabs>
              <w:spacing w:line="225" w:lineRule="auto" w:before="32" w:after="0"/>
              <w:ind w:left="356" w:right="100" w:hanging="244"/>
              <w:jc w:val="both"/>
              <w:rPr>
                <w:rFonts w:ascii="Microsoft JhengHei UI" w:hAnsi="Microsoft JhengHei UI" w:eastAsia="Microsoft JhengHei UI" w:hint="eastAsia"/>
                <w:sz w:val="24"/>
              </w:rPr>
            </w:pPr>
            <w:r>
              <w:rPr>
                <w:rFonts w:ascii="Microsoft JhengHei UI" w:hAnsi="Microsoft JhengHei UI" w:eastAsia="Microsoft JhengHei UI" w:hint="eastAsia"/>
                <w:sz w:val="24"/>
              </w:rPr>
              <w:t>若為新生兒時期暴露，意即指標個案可傳染期涵蓋出生未</w:t>
            </w:r>
            <w:r>
              <w:rPr>
                <w:rFonts w:ascii="Microsoft JhengHei UI" w:hAnsi="Microsoft JhengHei UI" w:eastAsia="Microsoft JhengHei UI" w:hint="eastAsia"/>
                <w:spacing w:val="-1"/>
                <w:sz w:val="24"/>
              </w:rPr>
              <w:t>滿 </w:t>
            </w:r>
            <w:r>
              <w:rPr>
                <w:rFonts w:ascii="Microsoft JhengHei UI" w:hAnsi="Microsoft JhengHei UI" w:eastAsia="Microsoft JhengHei UI" w:hint="eastAsia"/>
                <w:sz w:val="24"/>
              </w:rPr>
              <w:t>1</w:t>
            </w:r>
            <w:r>
              <w:rPr>
                <w:rFonts w:ascii="Microsoft JhengHei UI" w:hAnsi="Microsoft JhengHei UI" w:eastAsia="Microsoft JhengHei UI" w:hint="eastAsia"/>
                <w:spacing w:val="2"/>
                <w:sz w:val="24"/>
              </w:rPr>
              <w:t> 個月</w:t>
            </w:r>
            <w:r>
              <w:rPr>
                <w:rFonts w:ascii="Microsoft JhengHei UI" w:hAnsi="Microsoft JhengHei UI" w:eastAsia="Microsoft JhengHei UI" w:hint="eastAsia"/>
                <w:sz w:val="24"/>
              </w:rPr>
              <w:t>（30</w:t>
            </w:r>
            <w:r>
              <w:rPr>
                <w:rFonts w:ascii="Microsoft JhengHei UI" w:hAnsi="Microsoft JhengHei UI" w:eastAsia="Microsoft JhengHei UI" w:hint="eastAsia"/>
                <w:spacing w:val="4"/>
                <w:sz w:val="24"/>
              </w:rPr>
              <w:t> 日</w:t>
            </w:r>
            <w:r>
              <w:rPr>
                <w:rFonts w:ascii="Microsoft JhengHei UI" w:hAnsi="Microsoft JhengHei UI" w:eastAsia="Microsoft JhengHei UI" w:hint="eastAsia"/>
                <w:spacing w:val="8"/>
                <w:sz w:val="24"/>
              </w:rPr>
              <w:t>）</w:t>
            </w:r>
            <w:r>
              <w:rPr>
                <w:rFonts w:ascii="Microsoft JhengHei UI" w:hAnsi="Microsoft JhengHei UI" w:eastAsia="Microsoft JhengHei UI" w:hint="eastAsia"/>
                <w:spacing w:val="5"/>
                <w:sz w:val="24"/>
              </w:rPr>
              <w:t>的新生兒，則執行診斷與治療方式略</w:t>
            </w:r>
            <w:r>
              <w:rPr>
                <w:rFonts w:ascii="Microsoft JhengHei UI" w:hAnsi="Microsoft JhengHei UI" w:eastAsia="Microsoft JhengHei UI" w:hint="eastAsia"/>
                <w:spacing w:val="9"/>
                <w:sz w:val="24"/>
              </w:rPr>
              <w:t>有不同，注意事項請參見工作手冊第十一章「結核病接觸者追蹤管理」、附件 </w:t>
            </w:r>
            <w:r>
              <w:rPr>
                <w:rFonts w:ascii="Microsoft JhengHei UI" w:hAnsi="Microsoft JhengHei UI" w:eastAsia="Microsoft JhengHei UI" w:hint="eastAsia"/>
                <w:sz w:val="24"/>
              </w:rPr>
              <w:t>11-8｢</w:t>
            </w:r>
            <w:r>
              <w:rPr>
                <w:rFonts w:ascii="Microsoft JhengHei UI" w:hAnsi="Microsoft JhengHei UI" w:eastAsia="Microsoft JhengHei UI" w:hint="eastAsia"/>
                <w:spacing w:val="1"/>
                <w:sz w:val="24"/>
              </w:rPr>
              <w:t> 嬰幼兒接觸者之處置建議 </w:t>
            </w:r>
            <w:r>
              <w:rPr>
                <w:rFonts w:ascii="Microsoft JhengHei UI" w:hAnsi="Microsoft JhengHei UI" w:eastAsia="Microsoft JhengHei UI" w:hint="eastAsia"/>
                <w:spacing w:val="-14"/>
                <w:sz w:val="24"/>
              </w:rPr>
              <w:t>｣ </w:t>
            </w:r>
            <w:r>
              <w:rPr>
                <w:rFonts w:ascii="Microsoft JhengHei UI" w:hAnsi="Microsoft JhengHei UI" w:eastAsia="Microsoft JhengHei UI" w:hint="eastAsia"/>
                <w:sz w:val="24"/>
              </w:rPr>
              <w:t>及第四章「卡介苗預防接種」</w:t>
            </w:r>
          </w:p>
          <w:p>
            <w:pPr>
              <w:pStyle w:val="TableParagraph"/>
              <w:numPr>
                <w:ilvl w:val="0"/>
                <w:numId w:val="36"/>
              </w:numPr>
              <w:tabs>
                <w:tab w:pos="347" w:val="left" w:leader="none"/>
              </w:tabs>
              <w:spacing w:line="225" w:lineRule="auto" w:before="0" w:after="0"/>
              <w:ind w:left="356" w:right="100" w:hanging="244"/>
              <w:jc w:val="both"/>
              <w:rPr>
                <w:rFonts w:ascii="Microsoft JhengHei UI" w:hAnsi="Microsoft JhengHei UI" w:eastAsia="Microsoft JhengHei UI" w:hint="eastAsia"/>
                <w:sz w:val="24"/>
              </w:rPr>
            </w:pPr>
            <w:r>
              <w:rPr>
                <w:rFonts w:ascii="Microsoft JhengHei UI" w:hAnsi="Microsoft JhengHei UI" w:eastAsia="Microsoft JhengHei UI" w:hint="eastAsia"/>
                <w:sz w:val="24"/>
              </w:rPr>
              <w:t>如新生兒之指標個案為其母親，母親在懷孕期間或產後診</w:t>
            </w:r>
            <w:r>
              <w:rPr>
                <w:rFonts w:ascii="Microsoft JhengHei UI" w:hAnsi="Microsoft JhengHei UI" w:eastAsia="Microsoft JhengHei UI" w:hint="eastAsia"/>
                <w:spacing w:val="10"/>
                <w:sz w:val="24"/>
              </w:rPr>
              <w:t>斷為結核病，不論母親是否具傳染性，考量該嬰兒在周產期可能已經透過胎盤感染，無須執行</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3"/>
                <w:sz w:val="24"/>
              </w:rPr>
              <w:t> 檢驗，建議</w:t>
            </w:r>
            <w:r>
              <w:rPr>
                <w:rFonts w:ascii="Microsoft JhengHei UI" w:hAnsi="Microsoft JhengHei UI" w:eastAsia="Microsoft JhengHei UI" w:hint="eastAsia"/>
                <w:spacing w:val="2"/>
                <w:sz w:val="24"/>
              </w:rPr>
              <w:t>於排除先天性結核病</w:t>
            </w:r>
            <w:r>
              <w:rPr>
                <w:rFonts w:ascii="Microsoft JhengHei UI" w:hAnsi="Microsoft JhengHei UI" w:eastAsia="Microsoft JhengHei UI" w:hint="eastAsia"/>
                <w:sz w:val="24"/>
              </w:rPr>
              <w:t>（congenital</w:t>
            </w:r>
            <w:r>
              <w:rPr>
                <w:rFonts w:ascii="Microsoft JhengHei UI" w:hAnsi="Microsoft JhengHei UI" w:eastAsia="Microsoft JhengHei UI" w:hint="eastAsia"/>
                <w:spacing w:val="15"/>
                <w:sz w:val="24"/>
              </w:rPr>
              <w:t> </w:t>
            </w:r>
            <w:r>
              <w:rPr>
                <w:rFonts w:ascii="Microsoft JhengHei UI" w:hAnsi="Microsoft JhengHei UI" w:eastAsia="Microsoft JhengHei UI" w:hint="eastAsia"/>
                <w:sz w:val="24"/>
              </w:rPr>
              <w:t>tuberculosis）</w:t>
            </w:r>
            <w:r>
              <w:rPr>
                <w:rFonts w:ascii="Microsoft JhengHei UI" w:hAnsi="Microsoft JhengHei UI" w:eastAsia="Microsoft JhengHei UI" w:hint="eastAsia"/>
                <w:spacing w:val="1"/>
                <w:sz w:val="24"/>
              </w:rPr>
              <w:t>後，進</w:t>
            </w:r>
          </w:p>
          <w:p>
            <w:pPr>
              <w:pStyle w:val="TableParagraph"/>
              <w:spacing w:line="395" w:lineRule="exact"/>
              <w:ind w:left="356"/>
              <w:rPr>
                <w:rFonts w:ascii="Microsoft JhengHei UI" w:eastAsia="Microsoft JhengHei UI" w:hint="eastAsia"/>
                <w:sz w:val="24"/>
              </w:rPr>
            </w:pPr>
            <w:r>
              <w:rPr>
                <w:rFonts w:ascii="Microsoft JhengHei UI" w:eastAsia="Microsoft JhengHei UI" w:hint="eastAsia"/>
                <w:sz w:val="24"/>
              </w:rPr>
              <w:t>行完整之預防性治療（Prophylaxis）</w:t>
            </w:r>
          </w:p>
        </w:tc>
      </w:tr>
      <w:tr>
        <w:trPr>
          <w:trHeight w:val="3977" w:hRule="atLeast"/>
        </w:trPr>
        <w:tc>
          <w:tcPr>
            <w:tcW w:w="1915" w:type="dxa"/>
          </w:tcPr>
          <w:p>
            <w:pPr>
              <w:pStyle w:val="TableParagraph"/>
              <w:rPr>
                <w:rFonts w:ascii="Microsoft JhengHei UI"/>
                <w:sz w:val="30"/>
              </w:rPr>
            </w:pPr>
          </w:p>
          <w:p>
            <w:pPr>
              <w:pStyle w:val="TableParagraph"/>
              <w:spacing w:before="11"/>
              <w:rPr>
                <w:rFonts w:ascii="Microsoft JhengHei UI"/>
                <w:sz w:val="25"/>
              </w:rPr>
            </w:pPr>
          </w:p>
          <w:p>
            <w:pPr>
              <w:pStyle w:val="TableParagraph"/>
              <w:spacing w:line="225" w:lineRule="auto"/>
              <w:ind w:left="110" w:right="15"/>
              <w:jc w:val="both"/>
              <w:rPr>
                <w:rFonts w:ascii="Microsoft JhengHei UI" w:eastAsia="Microsoft JhengHei UI" w:hint="eastAsia"/>
                <w:sz w:val="24"/>
              </w:rPr>
            </w:pPr>
            <w:r>
              <w:rPr>
                <w:rFonts w:ascii="Microsoft JhengHei UI" w:eastAsia="Microsoft JhengHei UI" w:hint="eastAsia"/>
                <w:color w:val="221F1F"/>
                <w:spacing w:val="11"/>
                <w:sz w:val="24"/>
              </w:rPr>
              <w:t>未滿 </w:t>
            </w:r>
            <w:r>
              <w:rPr>
                <w:rFonts w:ascii="Microsoft JhengHei UI" w:eastAsia="Microsoft JhengHei UI" w:hint="eastAsia"/>
                <w:color w:val="221F1F"/>
                <w:sz w:val="24"/>
              </w:rPr>
              <w:t>5</w:t>
            </w:r>
            <w:r>
              <w:rPr>
                <w:rFonts w:ascii="Microsoft JhengHei UI" w:eastAsia="Microsoft JhengHei UI" w:hint="eastAsia"/>
                <w:color w:val="221F1F"/>
                <w:spacing w:val="3"/>
                <w:sz w:val="24"/>
              </w:rPr>
              <w:t> 歲兒童接</w:t>
            </w:r>
            <w:r>
              <w:rPr>
                <w:rFonts w:ascii="Microsoft JhengHei UI" w:eastAsia="Microsoft JhengHei UI" w:hint="eastAsia"/>
                <w:color w:val="221F1F"/>
                <w:spacing w:val="10"/>
                <w:sz w:val="24"/>
              </w:rPr>
              <w:t>觸者接受預防性</w:t>
            </w:r>
            <w:r>
              <w:rPr>
                <w:rFonts w:ascii="Microsoft JhengHei UI" w:eastAsia="Microsoft JhengHei UI" w:hint="eastAsia"/>
                <w:color w:val="221F1F"/>
                <w:spacing w:val="56"/>
                <w:sz w:val="24"/>
              </w:rPr>
              <w:t>治療</w:t>
            </w:r>
            <w:r>
              <w:rPr>
                <w:rFonts w:ascii="Microsoft JhengHei UI" w:eastAsia="Microsoft JhengHei UI" w:hint="eastAsia"/>
                <w:color w:val="221F1F"/>
                <w:sz w:val="24"/>
              </w:rPr>
              <w:t>（ </w:t>
            </w:r>
            <w:r>
              <w:rPr>
                <w:rFonts w:ascii="Microsoft JhengHei UI" w:eastAsia="Microsoft JhengHei UI" w:hint="eastAsia"/>
                <w:color w:val="221F1F"/>
                <w:spacing w:val="-4"/>
                <w:sz w:val="24"/>
              </w:rPr>
              <w:t>window </w:t>
            </w:r>
            <w:r>
              <w:rPr>
                <w:rFonts w:ascii="Microsoft JhengHei UI" w:eastAsia="Microsoft JhengHei UI" w:hint="eastAsia"/>
                <w:color w:val="221F1F"/>
                <w:sz w:val="24"/>
              </w:rPr>
              <w:t>prophylaxis）</w:t>
            </w:r>
          </w:p>
        </w:tc>
        <w:tc>
          <w:tcPr>
            <w:tcW w:w="6514" w:type="dxa"/>
          </w:tcPr>
          <w:p>
            <w:pPr>
              <w:pStyle w:val="TableParagraph"/>
              <w:numPr>
                <w:ilvl w:val="0"/>
                <w:numId w:val="37"/>
              </w:numPr>
              <w:tabs>
                <w:tab w:pos="357" w:val="left" w:leader="none"/>
              </w:tabs>
              <w:spacing w:line="225" w:lineRule="auto" w:before="32" w:after="0"/>
              <w:ind w:left="356" w:right="97" w:hanging="244"/>
              <w:jc w:val="both"/>
              <w:rPr>
                <w:rFonts w:ascii="Microsoft JhengHei UI" w:hAnsi="Microsoft JhengHei UI" w:eastAsia="Microsoft JhengHei UI" w:hint="eastAsia"/>
                <w:color w:val="221F1F"/>
                <w:sz w:val="17"/>
              </w:rPr>
            </w:pPr>
            <w:r>
              <w:rPr>
                <w:rFonts w:ascii="Microsoft JhengHei UI" w:hAnsi="Microsoft JhengHei UI" w:eastAsia="Microsoft JhengHei UI" w:hint="eastAsia"/>
                <w:color w:val="221F1F"/>
                <w:spacing w:val="-1"/>
                <w:sz w:val="24"/>
              </w:rPr>
              <w:t>指標個案具有高度傳染風險，未滿 </w:t>
            </w:r>
            <w:r>
              <w:rPr>
                <w:rFonts w:ascii="Microsoft JhengHei UI" w:hAnsi="Microsoft JhengHei UI" w:eastAsia="Microsoft JhengHei UI" w:hint="eastAsia"/>
                <w:color w:val="221F1F"/>
                <w:sz w:val="24"/>
              </w:rPr>
              <w:t>5</w:t>
            </w:r>
            <w:r>
              <w:rPr>
                <w:rFonts w:ascii="Microsoft JhengHei UI" w:hAnsi="Microsoft JhengHei UI" w:eastAsia="Microsoft JhengHei UI" w:hint="eastAsia"/>
                <w:color w:val="221F1F"/>
                <w:spacing w:val="-1"/>
                <w:sz w:val="24"/>
              </w:rPr>
              <w:t> 歲兒童接觸者第 </w:t>
            </w:r>
            <w:r>
              <w:rPr>
                <w:rFonts w:ascii="Microsoft JhengHei UI" w:hAnsi="Microsoft JhengHei UI" w:eastAsia="Microsoft JhengHei UI" w:hint="eastAsia"/>
                <w:color w:val="221F1F"/>
                <w:sz w:val="24"/>
              </w:rPr>
              <w:t>1</w:t>
            </w:r>
            <w:r>
              <w:rPr>
                <w:rFonts w:ascii="Microsoft JhengHei UI" w:hAnsi="Microsoft JhengHei UI" w:eastAsia="Microsoft JhengHei UI" w:hint="eastAsia"/>
                <w:color w:val="221F1F"/>
                <w:spacing w:val="-5"/>
                <w:sz w:val="24"/>
              </w:rPr>
              <w:t> 次</w:t>
            </w:r>
            <w:r>
              <w:rPr>
                <w:rFonts w:ascii="Microsoft JhengHei UI" w:hAnsi="Microsoft JhengHei UI" w:eastAsia="Microsoft JhengHei UI" w:hint="eastAsia"/>
                <w:color w:val="221F1F"/>
                <w:spacing w:val="-4"/>
                <w:sz w:val="24"/>
              </w:rPr>
              <w:t>LTBI</w:t>
            </w:r>
            <w:r>
              <w:rPr>
                <w:rFonts w:ascii="Microsoft JhengHei UI" w:hAnsi="Microsoft JhengHei UI" w:eastAsia="Microsoft JhengHei UI" w:hint="eastAsia"/>
                <w:color w:val="221F1F"/>
                <w:spacing w:val="-1"/>
                <w:sz w:val="24"/>
              </w:rPr>
              <w:t> 檢驗陰性者，轉介至合作醫師治療評估，於排除結核</w:t>
            </w:r>
            <w:r>
              <w:rPr>
                <w:rFonts w:ascii="Microsoft JhengHei UI" w:hAnsi="Microsoft JhengHei UI" w:eastAsia="Microsoft JhengHei UI" w:hint="eastAsia"/>
                <w:color w:val="221F1F"/>
                <w:spacing w:val="11"/>
                <w:sz w:val="24"/>
              </w:rPr>
              <w:t>病後，依感</w:t>
            </w:r>
            <w:r>
              <w:rPr>
                <w:rFonts w:ascii="Microsoft JhengHei UI" w:hAnsi="Microsoft JhengHei UI" w:eastAsia="Microsoft JhengHei UI" w:hint="eastAsia"/>
                <w:spacing w:val="9"/>
                <w:sz w:val="24"/>
              </w:rPr>
              <w:t>染風險及接觸者年齡，建議幼童開始預防性</w:t>
            </w:r>
            <w:r>
              <w:rPr>
                <w:rFonts w:ascii="Microsoft JhengHei UI" w:hAnsi="Microsoft JhengHei UI" w:eastAsia="Microsoft JhengHei UI" w:hint="eastAsia"/>
                <w:spacing w:val="2"/>
                <w:sz w:val="24"/>
              </w:rPr>
              <w:t>治療；俟與指標個案終止有效暴露滿 </w:t>
            </w:r>
            <w:r>
              <w:rPr>
                <w:rFonts w:ascii="Microsoft JhengHei UI" w:hAnsi="Microsoft JhengHei UI" w:eastAsia="Microsoft JhengHei UI" w:hint="eastAsia"/>
                <w:sz w:val="24"/>
              </w:rPr>
              <w:t>8</w:t>
            </w:r>
            <w:r>
              <w:rPr>
                <w:rFonts w:ascii="Microsoft JhengHei UI" w:hAnsi="Microsoft JhengHei UI" w:eastAsia="Microsoft JhengHei UI" w:hint="eastAsia"/>
                <w:spacing w:val="15"/>
                <w:sz w:val="24"/>
              </w:rPr>
              <w:t> 週之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9"/>
                <w:sz w:val="24"/>
              </w:rPr>
              <w:t> 檢驗結</w:t>
            </w:r>
            <w:r>
              <w:rPr>
                <w:rFonts w:ascii="Microsoft JhengHei UI" w:hAnsi="Microsoft JhengHei UI" w:eastAsia="Microsoft JhengHei UI" w:hint="eastAsia"/>
                <w:spacing w:val="-1"/>
                <w:sz w:val="24"/>
              </w:rPr>
              <w:t>果， 決定是否接續完成 </w:t>
            </w:r>
            <w:r>
              <w:rPr>
                <w:rFonts w:ascii="Microsoft JhengHei UI" w:hAnsi="Microsoft JhengHei UI" w:eastAsia="Microsoft JhengHei UI" w:hint="eastAsia"/>
                <w:sz w:val="24"/>
              </w:rPr>
              <w:t>LTBI 治療</w:t>
            </w:r>
          </w:p>
          <w:p>
            <w:pPr>
              <w:pStyle w:val="TableParagraph"/>
              <w:numPr>
                <w:ilvl w:val="0"/>
                <w:numId w:val="37"/>
              </w:numPr>
              <w:tabs>
                <w:tab w:pos="357" w:val="left" w:leader="none"/>
              </w:tabs>
              <w:spacing w:line="356" w:lineRule="exact" w:before="0" w:after="0"/>
              <w:ind w:left="356" w:right="0" w:hanging="245"/>
              <w:jc w:val="both"/>
              <w:rPr>
                <w:rFonts w:ascii="Microsoft JhengHei UI" w:hAnsi="Microsoft JhengHei UI" w:eastAsia="Microsoft JhengHei UI" w:hint="eastAsia"/>
                <w:sz w:val="17"/>
              </w:rPr>
            </w:pPr>
            <w:r>
              <w:rPr>
                <w:rFonts w:ascii="Microsoft JhengHei UI" w:hAnsi="Microsoft JhengHei UI" w:eastAsia="Microsoft JhengHei UI" w:hint="eastAsia"/>
                <w:spacing w:val="5"/>
                <w:sz w:val="24"/>
              </w:rPr>
              <w:t>如評估後未接受 </w:t>
            </w:r>
            <w:r>
              <w:rPr>
                <w:rFonts w:ascii="Microsoft JhengHei UI" w:hAnsi="Microsoft JhengHei UI" w:eastAsia="Microsoft JhengHei UI" w:hint="eastAsia"/>
                <w:sz w:val="24"/>
              </w:rPr>
              <w:t>window</w:t>
            </w:r>
            <w:r>
              <w:rPr>
                <w:rFonts w:ascii="Microsoft JhengHei UI" w:hAnsi="Microsoft JhengHei UI" w:eastAsia="Microsoft JhengHei UI" w:hint="eastAsia"/>
                <w:spacing w:val="20"/>
                <w:sz w:val="24"/>
              </w:rPr>
              <w:t> </w:t>
            </w:r>
            <w:r>
              <w:rPr>
                <w:rFonts w:ascii="Microsoft JhengHei UI" w:hAnsi="Microsoft JhengHei UI" w:eastAsia="Microsoft JhengHei UI" w:hint="eastAsia"/>
                <w:sz w:val="24"/>
              </w:rPr>
              <w:t>prophylaxis</w:t>
            </w:r>
            <w:r>
              <w:rPr>
                <w:rFonts w:ascii="Microsoft JhengHei UI" w:hAnsi="Microsoft JhengHei UI" w:eastAsia="Microsoft JhengHei UI" w:hint="eastAsia"/>
                <w:spacing w:val="4"/>
                <w:sz w:val="24"/>
              </w:rPr>
              <w:t>，其與指標個案終</w:t>
            </w:r>
          </w:p>
          <w:p>
            <w:pPr>
              <w:pStyle w:val="TableParagraph"/>
              <w:spacing w:line="223" w:lineRule="auto" w:before="6"/>
              <w:ind w:left="356" w:right="103"/>
              <w:rPr>
                <w:rFonts w:ascii="Microsoft JhengHei UI" w:eastAsia="Microsoft JhengHei UI" w:hint="eastAsia"/>
                <w:sz w:val="24"/>
              </w:rPr>
            </w:pPr>
            <w:r>
              <w:rPr>
                <w:rFonts w:ascii="Microsoft JhengHei UI" w:eastAsia="Microsoft JhengHei UI" w:hint="eastAsia"/>
                <w:spacing w:val="5"/>
                <w:sz w:val="24"/>
              </w:rPr>
              <w:t>止有效暴露滿 </w:t>
            </w:r>
            <w:r>
              <w:rPr>
                <w:rFonts w:ascii="Microsoft JhengHei UI" w:eastAsia="Microsoft JhengHei UI" w:hint="eastAsia"/>
                <w:sz w:val="24"/>
              </w:rPr>
              <w:t>8</w:t>
            </w:r>
            <w:r>
              <w:rPr>
                <w:rFonts w:ascii="Microsoft JhengHei UI" w:eastAsia="Microsoft JhengHei UI" w:hint="eastAsia"/>
                <w:spacing w:val="1"/>
                <w:sz w:val="24"/>
              </w:rPr>
              <w:t> 週之 </w:t>
            </w:r>
            <w:r>
              <w:rPr>
                <w:rFonts w:ascii="Microsoft JhengHei UI" w:eastAsia="Microsoft JhengHei UI" w:hint="eastAsia"/>
                <w:spacing w:val="-4"/>
                <w:sz w:val="24"/>
              </w:rPr>
              <w:t>LTBI</w:t>
            </w:r>
            <w:r>
              <w:rPr>
                <w:rFonts w:ascii="Microsoft JhengHei UI" w:eastAsia="Microsoft JhengHei UI" w:hint="eastAsia"/>
                <w:spacing w:val="3"/>
                <w:sz w:val="24"/>
              </w:rPr>
              <w:t> 檢驗為陰性者，表示幼童未受</w:t>
            </w:r>
            <w:r>
              <w:rPr>
                <w:rFonts w:ascii="Microsoft JhengHei UI" w:eastAsia="Microsoft JhengHei UI" w:hint="eastAsia"/>
                <w:spacing w:val="7"/>
                <w:sz w:val="24"/>
              </w:rPr>
              <w:t>感染， 當次無需再轉介做治療； 惟檢驗陽性或不確定</w:t>
            </w:r>
          </w:p>
          <w:p>
            <w:pPr>
              <w:pStyle w:val="TableParagraph"/>
              <w:spacing w:line="388" w:lineRule="exact"/>
              <w:ind w:left="356"/>
              <w:rPr>
                <w:rFonts w:ascii="Microsoft JhengHei UI" w:eastAsia="Microsoft JhengHei UI" w:hint="eastAsia"/>
                <w:sz w:val="24"/>
              </w:rPr>
            </w:pPr>
            <w:r>
              <w:rPr>
                <w:rFonts w:ascii="Microsoft JhengHei UI" w:eastAsia="Microsoft JhengHei UI" w:hint="eastAsia"/>
                <w:sz w:val="24"/>
              </w:rPr>
              <w:t>（indeterminate）</w:t>
            </w:r>
            <w:r>
              <w:rPr>
                <w:rFonts w:ascii="Microsoft JhengHei UI" w:eastAsia="Microsoft JhengHei UI" w:hint="eastAsia"/>
                <w:spacing w:val="4"/>
                <w:sz w:val="24"/>
              </w:rPr>
              <w:t>者，表示潛伏結核感染，務必轉介進</w:t>
            </w:r>
          </w:p>
          <w:p>
            <w:pPr>
              <w:pStyle w:val="TableParagraph"/>
              <w:spacing w:line="375" w:lineRule="exact"/>
              <w:ind w:left="356"/>
              <w:rPr>
                <w:rFonts w:ascii="Microsoft JhengHei UI" w:eastAsia="Microsoft JhengHei UI" w:hint="eastAsia"/>
                <w:sz w:val="24"/>
              </w:rPr>
            </w:pPr>
            <w:r>
              <w:rPr>
                <w:rFonts w:ascii="Microsoft JhengHei UI" w:eastAsia="Microsoft JhengHei UI" w:hint="eastAsia"/>
                <w:sz w:val="24"/>
              </w:rPr>
              <w:t>行治療評估</w:t>
            </w:r>
          </w:p>
        </w:tc>
      </w:tr>
      <w:tr>
        <w:trPr>
          <w:trHeight w:val="1257" w:hRule="atLeast"/>
        </w:trPr>
        <w:tc>
          <w:tcPr>
            <w:tcW w:w="1915" w:type="dxa"/>
          </w:tcPr>
          <w:p>
            <w:pPr>
              <w:pStyle w:val="TableParagraph"/>
              <w:spacing w:line="223" w:lineRule="auto" w:before="11"/>
              <w:ind w:left="224" w:right="230"/>
              <w:jc w:val="both"/>
              <w:rPr>
                <w:rFonts w:ascii="Microsoft JhengHei UI" w:eastAsia="Microsoft JhengHei UI" w:hint="eastAsia"/>
                <w:sz w:val="24"/>
              </w:rPr>
            </w:pPr>
            <w:r>
              <w:rPr>
                <w:rFonts w:ascii="Microsoft JhengHei UI" w:eastAsia="Microsoft JhengHei UI" w:hint="eastAsia"/>
                <w:color w:val="221F1F"/>
                <w:sz w:val="24"/>
              </w:rPr>
              <w:t>指標個案為單純肺外結核或痰培養陰性</w:t>
            </w:r>
          </w:p>
        </w:tc>
        <w:tc>
          <w:tcPr>
            <w:tcW w:w="6514" w:type="dxa"/>
          </w:tcPr>
          <w:p>
            <w:pPr>
              <w:pStyle w:val="TableParagraph"/>
              <w:spacing w:before="2"/>
              <w:rPr>
                <w:rFonts w:ascii="Microsoft JhengHei UI"/>
                <w:sz w:val="25"/>
              </w:rPr>
            </w:pPr>
          </w:p>
          <w:p>
            <w:pPr>
              <w:pStyle w:val="TableParagraph"/>
              <w:ind w:left="112"/>
              <w:rPr>
                <w:rFonts w:ascii="Microsoft JhengHei UI" w:eastAsia="Microsoft JhengHei UI" w:hint="eastAsia"/>
                <w:sz w:val="24"/>
              </w:rPr>
            </w:pPr>
            <w:r>
              <w:rPr>
                <w:rFonts w:ascii="Microsoft JhengHei UI" w:eastAsia="Microsoft JhengHei UI" w:hint="eastAsia"/>
                <w:color w:val="221F1F"/>
                <w:sz w:val="24"/>
              </w:rPr>
              <w:t>此類接觸者非 LTBI 檢驗政策對象</w:t>
            </w:r>
          </w:p>
        </w:tc>
      </w:tr>
      <w:tr>
        <w:trPr>
          <w:trHeight w:val="2838" w:hRule="atLeast"/>
        </w:trPr>
        <w:tc>
          <w:tcPr>
            <w:tcW w:w="1915" w:type="dxa"/>
          </w:tcPr>
          <w:p>
            <w:pPr>
              <w:pStyle w:val="TableParagraph"/>
              <w:rPr>
                <w:rFonts w:ascii="Microsoft JhengHei UI"/>
                <w:sz w:val="30"/>
              </w:rPr>
            </w:pPr>
          </w:p>
          <w:p>
            <w:pPr>
              <w:pStyle w:val="TableParagraph"/>
              <w:rPr>
                <w:rFonts w:ascii="Microsoft JhengHei UI"/>
                <w:sz w:val="23"/>
              </w:rPr>
            </w:pPr>
          </w:p>
          <w:p>
            <w:pPr>
              <w:pStyle w:val="TableParagraph"/>
              <w:spacing w:line="412" w:lineRule="exact"/>
              <w:ind w:left="82" w:right="72"/>
              <w:jc w:val="center"/>
              <w:rPr>
                <w:rFonts w:ascii="Microsoft JhengHei UI" w:eastAsia="Microsoft JhengHei UI" w:hint="eastAsia"/>
                <w:sz w:val="24"/>
              </w:rPr>
            </w:pPr>
            <w:r>
              <w:rPr>
                <w:rFonts w:ascii="Microsoft JhengHei UI" w:eastAsia="Microsoft JhengHei UI" w:hint="eastAsia"/>
                <w:color w:val="221F1F"/>
                <w:sz w:val="24"/>
              </w:rPr>
              <w:t>指標個案具 INH</w:t>
            </w:r>
          </w:p>
          <w:p>
            <w:pPr>
              <w:pStyle w:val="TableParagraph"/>
              <w:spacing w:line="412" w:lineRule="exact"/>
              <w:ind w:left="82" w:right="69"/>
              <w:jc w:val="center"/>
              <w:rPr>
                <w:rFonts w:ascii="Microsoft JhengHei UI" w:eastAsia="Microsoft JhengHei UI" w:hint="eastAsia"/>
                <w:sz w:val="24"/>
              </w:rPr>
            </w:pPr>
            <w:r>
              <w:rPr>
                <w:rFonts w:ascii="Microsoft JhengHei UI" w:eastAsia="Microsoft JhengHei UI" w:hint="eastAsia"/>
                <w:color w:val="221F1F"/>
                <w:sz w:val="24"/>
              </w:rPr>
              <w:t>或 RMP 抗藥</w:t>
            </w:r>
          </w:p>
        </w:tc>
        <w:tc>
          <w:tcPr>
            <w:tcW w:w="6514" w:type="dxa"/>
          </w:tcPr>
          <w:p>
            <w:pPr>
              <w:pStyle w:val="TableParagraph"/>
              <w:numPr>
                <w:ilvl w:val="0"/>
                <w:numId w:val="38"/>
              </w:numPr>
              <w:tabs>
                <w:tab w:pos="330" w:val="left" w:leader="none"/>
              </w:tabs>
              <w:spacing w:line="223" w:lineRule="auto" w:before="4" w:after="0"/>
              <w:ind w:left="355" w:right="105" w:hanging="245"/>
              <w:jc w:val="both"/>
              <w:rPr>
                <w:rFonts w:ascii="Microsoft JhengHei UI" w:hAnsi="Microsoft JhengHei UI" w:eastAsia="Microsoft JhengHei UI" w:hint="eastAsia"/>
                <w:sz w:val="24"/>
              </w:rPr>
            </w:pPr>
            <w:r>
              <w:rPr>
                <w:rFonts w:ascii="Microsoft JhengHei UI" w:hAnsi="Microsoft JhengHei UI" w:eastAsia="Microsoft JhengHei UI" w:hint="eastAsia"/>
                <w:color w:val="221F1F"/>
                <w:sz w:val="24"/>
              </w:rPr>
              <w:t>轉介治療評估時應提供</w:t>
            </w:r>
            <w:r>
              <w:rPr>
                <w:rFonts w:ascii="Microsoft JhengHei UI" w:hAnsi="Microsoft JhengHei UI" w:eastAsia="Microsoft JhengHei UI" w:hint="eastAsia"/>
                <w:spacing w:val="3"/>
                <w:sz w:val="24"/>
              </w:rPr>
              <w:t>此</w:t>
            </w:r>
            <w:r>
              <w:rPr>
                <w:rFonts w:ascii="Microsoft JhengHei UI" w:hAnsi="Microsoft JhengHei UI" w:eastAsia="Microsoft JhengHei UI" w:hint="eastAsia"/>
                <w:color w:val="221F1F"/>
                <w:spacing w:val="-1"/>
                <w:sz w:val="24"/>
              </w:rPr>
              <w:t>次指標個案抗藥狀況，以利醫師</w:t>
            </w:r>
            <w:r>
              <w:rPr>
                <w:rFonts w:ascii="Microsoft JhengHei UI" w:hAnsi="Microsoft JhengHei UI" w:eastAsia="Microsoft JhengHei UI" w:hint="eastAsia"/>
                <w:color w:val="221F1F"/>
                <w:sz w:val="24"/>
              </w:rPr>
              <w:t>選擇合適之治療處方</w:t>
            </w:r>
          </w:p>
          <w:p>
            <w:pPr>
              <w:pStyle w:val="TableParagraph"/>
              <w:numPr>
                <w:ilvl w:val="0"/>
                <w:numId w:val="38"/>
              </w:numPr>
              <w:tabs>
                <w:tab w:pos="330" w:val="left" w:leader="none"/>
              </w:tabs>
              <w:spacing w:line="223" w:lineRule="auto" w:before="0" w:after="0"/>
              <w:ind w:left="355" w:right="104" w:hanging="245"/>
              <w:jc w:val="both"/>
              <w:rPr>
                <w:rFonts w:ascii="Microsoft JhengHei UI" w:hAnsi="Microsoft JhengHei UI" w:eastAsia="Microsoft JhengHei UI" w:hint="eastAsia"/>
                <w:sz w:val="24"/>
              </w:rPr>
            </w:pPr>
            <w:r>
              <w:rPr>
                <w:rFonts w:ascii="Microsoft JhengHei UI" w:hAnsi="Microsoft JhengHei UI" w:eastAsia="Microsoft JhengHei UI" w:hint="eastAsia"/>
                <w:color w:val="221F1F"/>
                <w:spacing w:val="-1"/>
                <w:sz w:val="24"/>
              </w:rPr>
              <w:t>倘該接觸者曾暴露抗藥的指標個案且未完成治療，轉介時</w:t>
            </w:r>
            <w:r>
              <w:rPr>
                <w:rFonts w:ascii="Microsoft JhengHei UI" w:hAnsi="Microsoft JhengHei UI" w:eastAsia="Microsoft JhengHei UI" w:hint="eastAsia"/>
                <w:color w:val="221F1F"/>
                <w:spacing w:val="10"/>
                <w:sz w:val="24"/>
              </w:rPr>
              <w:t>請一併提供前次指標個案抗藥資料給合作醫師作為治療</w:t>
            </w:r>
            <w:r>
              <w:rPr>
                <w:rFonts w:ascii="Microsoft JhengHei UI" w:hAnsi="Microsoft JhengHei UI" w:eastAsia="Microsoft JhengHei UI" w:hint="eastAsia"/>
                <w:color w:val="221F1F"/>
                <w:sz w:val="24"/>
              </w:rPr>
              <w:t>處方之參考</w:t>
            </w:r>
          </w:p>
          <w:p>
            <w:pPr>
              <w:pStyle w:val="TableParagraph"/>
              <w:numPr>
                <w:ilvl w:val="0"/>
                <w:numId w:val="38"/>
              </w:numPr>
              <w:tabs>
                <w:tab w:pos="300" w:val="left" w:leader="none"/>
              </w:tabs>
              <w:spacing w:line="387" w:lineRule="exact" w:before="0" w:after="0"/>
              <w:ind w:left="299" w:right="0" w:hanging="190"/>
              <w:jc w:val="both"/>
              <w:rPr>
                <w:rFonts w:ascii="Microsoft JhengHei UI" w:hAnsi="Microsoft JhengHei UI" w:eastAsia="Microsoft JhengHei UI" w:hint="eastAsia"/>
                <w:sz w:val="24"/>
              </w:rPr>
            </w:pPr>
            <w:r>
              <w:rPr>
                <w:rFonts w:ascii="Microsoft JhengHei UI" w:hAnsi="Microsoft JhengHei UI" w:eastAsia="Microsoft JhengHei UI" w:hint="eastAsia"/>
                <w:color w:val="221F1F"/>
                <w:sz w:val="24"/>
              </w:rPr>
              <w:t>RMP</w:t>
            </w:r>
            <w:r>
              <w:rPr>
                <w:rFonts w:ascii="Microsoft JhengHei UI" w:hAnsi="Microsoft JhengHei UI" w:eastAsia="Microsoft JhengHei UI" w:hint="eastAsia"/>
                <w:color w:val="221F1F"/>
                <w:spacing w:val="-5"/>
                <w:sz w:val="24"/>
              </w:rPr>
              <w:t> 單一抗藥轉為 </w:t>
            </w:r>
            <w:r>
              <w:rPr>
                <w:rFonts w:ascii="Microsoft JhengHei UI" w:hAnsi="Microsoft JhengHei UI" w:eastAsia="Microsoft JhengHei UI" w:hint="eastAsia"/>
                <w:color w:val="221F1F"/>
                <w:sz w:val="24"/>
              </w:rPr>
              <w:t>6H/9H</w:t>
            </w:r>
            <w:r>
              <w:rPr>
                <w:rFonts w:ascii="Microsoft JhengHei UI" w:hAnsi="Microsoft JhengHei UI" w:eastAsia="Microsoft JhengHei UI" w:hint="eastAsia"/>
                <w:color w:val="221F1F"/>
                <w:spacing w:val="-4"/>
                <w:sz w:val="24"/>
              </w:rPr>
              <w:t> 治療</w:t>
            </w:r>
            <w:r>
              <w:rPr>
                <w:rFonts w:ascii="Microsoft JhengHei UI" w:hAnsi="Microsoft JhengHei UI" w:eastAsia="Microsoft JhengHei UI" w:hint="eastAsia"/>
                <w:color w:val="221F1F"/>
                <w:sz w:val="24"/>
              </w:rPr>
              <w:t>；INH</w:t>
            </w:r>
            <w:r>
              <w:rPr>
                <w:rFonts w:ascii="Microsoft JhengHei UI" w:hAnsi="Microsoft JhengHei UI" w:eastAsia="Microsoft JhengHei UI" w:hint="eastAsia"/>
                <w:color w:val="221F1F"/>
                <w:spacing w:val="-5"/>
                <w:sz w:val="24"/>
              </w:rPr>
              <w:t> 單一抗藥則轉為 </w:t>
            </w:r>
            <w:r>
              <w:rPr>
                <w:rFonts w:ascii="Microsoft JhengHei UI" w:hAnsi="Microsoft JhengHei UI" w:eastAsia="Microsoft JhengHei UI" w:hint="eastAsia"/>
                <w:color w:val="221F1F"/>
                <w:sz w:val="24"/>
              </w:rPr>
              <w:t>4R</w:t>
            </w:r>
          </w:p>
          <w:p>
            <w:pPr>
              <w:pStyle w:val="TableParagraph"/>
              <w:spacing w:line="411" w:lineRule="exact"/>
              <w:ind w:left="355"/>
              <w:rPr>
                <w:rFonts w:ascii="Microsoft JhengHei UI" w:eastAsia="Microsoft JhengHei UI" w:hint="eastAsia"/>
                <w:sz w:val="24"/>
              </w:rPr>
            </w:pPr>
            <w:r>
              <w:rPr>
                <w:rFonts w:ascii="Microsoft JhengHei UI" w:eastAsia="Microsoft JhengHei UI" w:hint="eastAsia"/>
                <w:color w:val="221F1F"/>
                <w:sz w:val="24"/>
              </w:rPr>
              <w:t>治療</w:t>
            </w:r>
          </w:p>
        </w:tc>
      </w:tr>
    </w:tbl>
    <w:p>
      <w:pPr>
        <w:pStyle w:val="BodyText"/>
        <w:rPr>
          <w:rFonts w:ascii="Microsoft JhengHei UI"/>
          <w:sz w:val="30"/>
        </w:rPr>
      </w:pPr>
    </w:p>
    <w:p>
      <w:pPr>
        <w:pStyle w:val="BodyText"/>
        <w:rPr>
          <w:rFonts w:ascii="Microsoft JhengHei UI"/>
          <w:sz w:val="30"/>
        </w:rPr>
      </w:pPr>
    </w:p>
    <w:p>
      <w:pPr>
        <w:pStyle w:val="BodyText"/>
        <w:rPr>
          <w:rFonts w:ascii="Microsoft JhengHei UI"/>
          <w:sz w:val="35"/>
        </w:rPr>
      </w:pPr>
    </w:p>
    <w:p>
      <w:pPr>
        <w:spacing w:before="1"/>
        <w:ind w:left="110" w:right="0" w:firstLine="0"/>
        <w:jc w:val="left"/>
        <w:rPr>
          <w:rFonts w:ascii="Arial"/>
          <w:sz w:val="16"/>
        </w:rPr>
      </w:pPr>
      <w:r>
        <w:rPr>
          <w:rFonts w:ascii="Arial"/>
          <w:color w:val="221F1F"/>
          <w:sz w:val="16"/>
        </w:rPr>
        <w:t>12</w:t>
      </w:r>
    </w:p>
    <w:p>
      <w:pPr>
        <w:spacing w:after="0"/>
        <w:jc w:val="left"/>
        <w:rPr>
          <w:rFonts w:ascii="Arial"/>
          <w:sz w:val="16"/>
        </w:rPr>
        <w:sectPr>
          <w:pgSz w:w="11920" w:h="16840"/>
          <w:pgMar w:top="1080" w:bottom="280" w:left="200" w:right="220"/>
        </w:sectPr>
      </w:pPr>
    </w:p>
    <w:tbl>
      <w:tblPr>
        <w:tblW w:w="0" w:type="auto"/>
        <w:jc w:val="left"/>
        <w:tblInd w:w="2137"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1915"/>
        <w:gridCol w:w="6513"/>
      </w:tblGrid>
      <w:tr>
        <w:trPr>
          <w:trHeight w:val="452" w:hRule="atLeast"/>
        </w:trPr>
        <w:tc>
          <w:tcPr>
            <w:tcW w:w="1915" w:type="dxa"/>
            <w:shd w:val="clear" w:color="auto" w:fill="E6E7E8"/>
          </w:tcPr>
          <w:p>
            <w:pPr>
              <w:pStyle w:val="TableParagraph"/>
              <w:spacing w:line="420" w:lineRule="exact" w:before="13"/>
              <w:ind w:left="474"/>
              <w:rPr>
                <w:rFonts w:ascii="Microsoft JhengHei UI" w:eastAsia="Microsoft JhengHei UI" w:hint="eastAsia"/>
                <w:b/>
                <w:sz w:val="24"/>
              </w:rPr>
            </w:pPr>
            <w:r>
              <w:rPr>
                <w:rFonts w:ascii="Microsoft JhengHei UI" w:eastAsia="Microsoft JhengHei UI" w:hint="eastAsia"/>
                <w:b/>
                <w:color w:val="221F1F"/>
                <w:sz w:val="24"/>
              </w:rPr>
              <w:t>特殊情況</w:t>
            </w:r>
          </w:p>
        </w:tc>
        <w:tc>
          <w:tcPr>
            <w:tcW w:w="6513" w:type="dxa"/>
            <w:shd w:val="clear" w:color="auto" w:fill="E6E7E8"/>
          </w:tcPr>
          <w:p>
            <w:pPr>
              <w:pStyle w:val="TableParagraph"/>
              <w:spacing w:line="420" w:lineRule="exact" w:before="13"/>
              <w:ind w:left="2765" w:right="2732"/>
              <w:jc w:val="center"/>
              <w:rPr>
                <w:rFonts w:ascii="Microsoft JhengHei UI" w:eastAsia="Microsoft JhengHei UI" w:hint="eastAsia"/>
                <w:b/>
                <w:sz w:val="24"/>
              </w:rPr>
            </w:pPr>
            <w:r>
              <w:rPr>
                <w:rFonts w:ascii="Microsoft JhengHei UI" w:eastAsia="Microsoft JhengHei UI" w:hint="eastAsia"/>
                <w:b/>
                <w:color w:val="221F1F"/>
                <w:sz w:val="24"/>
              </w:rPr>
              <w:t>執行重點</w:t>
            </w:r>
          </w:p>
        </w:tc>
      </w:tr>
      <w:tr>
        <w:trPr>
          <w:trHeight w:val="2850" w:hRule="atLeast"/>
        </w:trPr>
        <w:tc>
          <w:tcPr>
            <w:tcW w:w="1915" w:type="dxa"/>
          </w:tcPr>
          <w:p>
            <w:pPr>
              <w:pStyle w:val="TableParagraph"/>
              <w:rPr>
                <w:rFonts w:ascii="Arial"/>
                <w:sz w:val="30"/>
              </w:rPr>
            </w:pPr>
          </w:p>
          <w:p>
            <w:pPr>
              <w:pStyle w:val="TableParagraph"/>
              <w:spacing w:before="4"/>
              <w:rPr>
                <w:rFonts w:ascii="Arial"/>
                <w:sz w:val="31"/>
              </w:rPr>
            </w:pPr>
          </w:p>
          <w:p>
            <w:pPr>
              <w:pStyle w:val="TableParagraph"/>
              <w:spacing w:line="223" w:lineRule="auto"/>
              <w:ind w:left="110" w:right="103"/>
              <w:rPr>
                <w:rFonts w:ascii="Microsoft JhengHei UI" w:eastAsia="Microsoft JhengHei UI" w:hint="eastAsia"/>
                <w:sz w:val="24"/>
              </w:rPr>
            </w:pPr>
            <w:r>
              <w:rPr>
                <w:rFonts w:ascii="Microsoft JhengHei UI" w:eastAsia="Microsoft JhengHei UI" w:hint="eastAsia"/>
                <w:color w:val="221F1F"/>
                <w:sz w:val="24"/>
              </w:rPr>
              <w:t>指標個案為多重抗藥結核病</w:t>
            </w:r>
          </w:p>
          <w:p>
            <w:pPr>
              <w:pStyle w:val="TableParagraph"/>
              <w:spacing w:line="404" w:lineRule="exact"/>
              <w:ind w:left="110"/>
              <w:rPr>
                <w:rFonts w:ascii="Microsoft JhengHei UI" w:eastAsia="Microsoft JhengHei UI" w:hint="eastAsia"/>
                <w:sz w:val="24"/>
              </w:rPr>
            </w:pPr>
            <w:r>
              <w:rPr>
                <w:rFonts w:ascii="Microsoft JhengHei UI" w:eastAsia="Microsoft JhengHei UI" w:hint="eastAsia"/>
                <w:color w:val="221F1F"/>
                <w:sz w:val="24"/>
              </w:rPr>
              <w:t>（MDR-TB）</w:t>
            </w:r>
          </w:p>
        </w:tc>
        <w:tc>
          <w:tcPr>
            <w:tcW w:w="6513" w:type="dxa"/>
          </w:tcPr>
          <w:p>
            <w:pPr>
              <w:pStyle w:val="TableParagraph"/>
              <w:numPr>
                <w:ilvl w:val="0"/>
                <w:numId w:val="39"/>
              </w:numPr>
              <w:tabs>
                <w:tab w:pos="352" w:val="left" w:leader="none"/>
              </w:tabs>
              <w:spacing w:line="223" w:lineRule="auto" w:before="0" w:after="0"/>
              <w:ind w:left="355" w:right="98" w:hanging="245"/>
              <w:jc w:val="both"/>
              <w:rPr>
                <w:rFonts w:ascii="Microsoft JhengHei UI" w:hAnsi="Microsoft JhengHei UI" w:eastAsia="Microsoft JhengHei UI" w:hint="eastAsia"/>
                <w:sz w:val="24"/>
              </w:rPr>
            </w:pPr>
            <w:r>
              <w:rPr>
                <w:rFonts w:ascii="Microsoft JhengHei UI" w:hAnsi="Microsoft JhengHei UI" w:eastAsia="Microsoft JhengHei UI" w:hint="eastAsia"/>
                <w:color w:val="221F1F"/>
                <w:spacing w:val="12"/>
                <w:sz w:val="24"/>
              </w:rPr>
              <w:t>若指標個案無 </w:t>
            </w:r>
            <w:r>
              <w:rPr>
                <w:rFonts w:ascii="Microsoft JhengHei UI" w:hAnsi="Microsoft JhengHei UI" w:eastAsia="Microsoft JhengHei UI" w:hint="eastAsia"/>
                <w:color w:val="221F1F"/>
                <w:sz w:val="24"/>
              </w:rPr>
              <w:t>fluoroquinolon</w:t>
            </w:r>
            <w:r>
              <w:rPr>
                <w:rFonts w:ascii="Microsoft JhengHei UI" w:hAnsi="Microsoft JhengHei UI" w:eastAsia="Microsoft JhengHei UI" w:hint="eastAsia"/>
                <w:sz w:val="24"/>
              </w:rPr>
              <w:t>e</w:t>
            </w:r>
            <w:r>
              <w:rPr>
                <w:rFonts w:ascii="Microsoft JhengHei UI" w:hAnsi="Microsoft JhengHei UI" w:eastAsia="Microsoft JhengHei UI" w:hint="eastAsia"/>
                <w:spacing w:val="10"/>
                <w:sz w:val="24"/>
              </w:rPr>
              <w:t> 類藥品抗藥，應轉介至</w:t>
            </w:r>
            <w:r>
              <w:rPr>
                <w:rFonts w:ascii="Microsoft JhengHei UI" w:hAnsi="Microsoft JhengHei UI" w:eastAsia="Microsoft JhengHei UI" w:hint="eastAsia"/>
                <w:spacing w:val="3"/>
                <w:sz w:val="24"/>
              </w:rPr>
              <w:t>抗藥性結核病醫療照護體系</w:t>
            </w:r>
            <w:r>
              <w:rPr>
                <w:rFonts w:ascii="Microsoft JhengHei UI" w:hAnsi="Microsoft JhengHei UI" w:eastAsia="Microsoft JhengHei UI" w:hint="eastAsia"/>
                <w:spacing w:val="2"/>
                <w:sz w:val="24"/>
              </w:rPr>
              <w:t>（TMTC）團隊或約定院所， </w:t>
            </w:r>
            <w:r>
              <w:rPr>
                <w:rFonts w:ascii="Microsoft JhengHei UI" w:hAnsi="Microsoft JhengHei UI" w:eastAsia="Microsoft JhengHei UI" w:hint="eastAsia"/>
                <w:spacing w:val="1"/>
                <w:position w:val="2"/>
                <w:sz w:val="24"/>
              </w:rPr>
              <w:t>選擇使用 </w:t>
            </w:r>
            <w:r>
              <w:rPr>
                <w:rFonts w:ascii="Microsoft JhengHei UI" w:hAnsi="Microsoft JhengHei UI" w:eastAsia="Microsoft JhengHei UI" w:hint="eastAsia"/>
                <w:sz w:val="24"/>
              </w:rPr>
              <w:t>fluoroquinolone</w:t>
            </w:r>
            <w:r>
              <w:rPr>
                <w:rFonts w:ascii="Microsoft JhengHei UI" w:hAnsi="Microsoft JhengHei UI" w:eastAsia="Microsoft JhengHei UI" w:hint="eastAsia"/>
                <w:spacing w:val="-8"/>
                <w:sz w:val="24"/>
              </w:rPr>
              <w:t> 類</w:t>
            </w:r>
            <w:r>
              <w:rPr>
                <w:rFonts w:ascii="Microsoft JhengHei UI" w:hAnsi="Microsoft JhengHei UI" w:eastAsia="Microsoft JhengHei UI" w:hint="eastAsia"/>
                <w:spacing w:val="6"/>
                <w:position w:val="2"/>
                <w:sz w:val="24"/>
              </w:rPr>
              <w:t>藥品</w:t>
            </w:r>
            <w:r>
              <w:rPr>
                <w:rFonts w:ascii="Microsoft JhengHei UI" w:hAnsi="Microsoft JhengHei UI" w:eastAsia="Microsoft JhengHei UI" w:hint="eastAsia"/>
                <w:sz w:val="24"/>
              </w:rPr>
              <w:t>來治療</w:t>
            </w:r>
            <w:r>
              <w:rPr>
                <w:rFonts w:ascii="Microsoft JhengHei UI" w:hAnsi="Microsoft JhengHei UI" w:eastAsia="Microsoft JhengHei UI" w:hint="eastAsia"/>
                <w:position w:val="2"/>
                <w:sz w:val="24"/>
              </w:rPr>
              <w:t>（應先聯繫團隊</w:t>
            </w:r>
            <w:r>
              <w:rPr>
                <w:rFonts w:ascii="Microsoft JhengHei UI" w:hAnsi="Microsoft JhengHei UI" w:eastAsia="Microsoft JhengHei UI" w:hint="eastAsia"/>
                <w:sz w:val="24"/>
              </w:rPr>
              <w:t>後再行轉介）</w:t>
            </w:r>
          </w:p>
          <w:p>
            <w:pPr>
              <w:pStyle w:val="TableParagraph"/>
              <w:numPr>
                <w:ilvl w:val="0"/>
                <w:numId w:val="39"/>
              </w:numPr>
              <w:tabs>
                <w:tab w:pos="330" w:val="left" w:leader="none"/>
              </w:tabs>
              <w:spacing w:line="223" w:lineRule="auto" w:before="0" w:after="0"/>
              <w:ind w:left="355" w:right="99" w:hanging="245"/>
              <w:jc w:val="both"/>
              <w:rPr>
                <w:rFonts w:ascii="Microsoft JhengHei UI" w:hAnsi="Microsoft JhengHei UI" w:eastAsia="Microsoft JhengHei UI" w:hint="eastAsia"/>
                <w:sz w:val="24"/>
              </w:rPr>
            </w:pPr>
            <w:r>
              <w:rPr>
                <w:rFonts w:ascii="Microsoft JhengHei UI" w:hAnsi="Microsoft JhengHei UI" w:eastAsia="Microsoft JhengHei UI" w:hint="eastAsia"/>
                <w:color w:val="221F1F"/>
                <w:sz w:val="24"/>
              </w:rPr>
              <w:t>未加入治療者，告知發病風險，加強衛教及症狀監測，如</w:t>
            </w:r>
            <w:r>
              <w:rPr>
                <w:rFonts w:ascii="Microsoft JhengHei UI" w:hAnsi="Microsoft JhengHei UI" w:eastAsia="Microsoft JhengHei UI" w:hint="eastAsia"/>
                <w:color w:val="221F1F"/>
                <w:spacing w:val="5"/>
                <w:sz w:val="24"/>
              </w:rPr>
              <w:t>有症狀就醫時，請個案告知診療醫師曾為 </w:t>
            </w:r>
            <w:r>
              <w:rPr>
                <w:rFonts w:ascii="Microsoft JhengHei UI" w:hAnsi="Microsoft JhengHei UI" w:eastAsia="Microsoft JhengHei UI" w:hint="eastAsia"/>
                <w:color w:val="221F1F"/>
                <w:sz w:val="24"/>
              </w:rPr>
              <w:t>MDR-TB</w:t>
            </w:r>
            <w:r>
              <w:rPr>
                <w:rFonts w:ascii="Microsoft JhengHei UI" w:hAnsi="Microsoft JhengHei UI" w:eastAsia="Microsoft JhengHei UI" w:hint="eastAsia"/>
                <w:color w:val="221F1F"/>
                <w:spacing w:val="4"/>
                <w:sz w:val="24"/>
              </w:rPr>
              <w:t> 個案</w:t>
            </w:r>
            <w:r>
              <w:rPr>
                <w:rFonts w:ascii="Microsoft JhengHei UI" w:hAnsi="Microsoft JhengHei UI" w:eastAsia="Microsoft JhengHei UI" w:hint="eastAsia"/>
                <w:color w:val="221F1F"/>
                <w:sz w:val="24"/>
              </w:rPr>
              <w:t>的接觸者及進行接觸者檢查</w:t>
            </w:r>
          </w:p>
        </w:tc>
      </w:tr>
      <w:tr>
        <w:trPr>
          <w:trHeight w:val="3246" w:hRule="atLeast"/>
        </w:trPr>
        <w:tc>
          <w:tcPr>
            <w:tcW w:w="1915" w:type="dxa"/>
          </w:tcPr>
          <w:p>
            <w:pPr>
              <w:pStyle w:val="TableParagraph"/>
              <w:rPr>
                <w:rFonts w:ascii="Arial"/>
                <w:sz w:val="30"/>
              </w:rPr>
            </w:pPr>
          </w:p>
          <w:p>
            <w:pPr>
              <w:pStyle w:val="TableParagraph"/>
              <w:rPr>
                <w:rFonts w:ascii="Arial"/>
                <w:sz w:val="30"/>
              </w:rPr>
            </w:pPr>
          </w:p>
          <w:p>
            <w:pPr>
              <w:pStyle w:val="TableParagraph"/>
              <w:spacing w:line="412" w:lineRule="exact" w:before="237"/>
              <w:ind w:left="110"/>
              <w:rPr>
                <w:rFonts w:ascii="Microsoft JhengHei UI" w:eastAsia="Microsoft JhengHei UI" w:hint="eastAsia"/>
                <w:sz w:val="24"/>
              </w:rPr>
            </w:pPr>
            <w:r>
              <w:rPr>
                <w:rFonts w:ascii="Microsoft JhengHei UI" w:eastAsia="Microsoft JhengHei UI" w:hint="eastAsia"/>
                <w:sz w:val="24"/>
              </w:rPr>
              <w:t>曾中斷 LTBI</w:t>
            </w:r>
          </w:p>
          <w:p>
            <w:pPr>
              <w:pStyle w:val="TableParagraph"/>
              <w:spacing w:line="412" w:lineRule="exact"/>
              <w:ind w:left="110"/>
              <w:rPr>
                <w:rFonts w:ascii="Microsoft JhengHei UI" w:eastAsia="Microsoft JhengHei UI" w:hint="eastAsia"/>
                <w:sz w:val="24"/>
              </w:rPr>
            </w:pPr>
            <w:r>
              <w:rPr>
                <w:rFonts w:ascii="Microsoft JhengHei UI" w:eastAsia="Microsoft JhengHei UI" w:hint="eastAsia"/>
                <w:sz w:val="24"/>
              </w:rPr>
              <w:t>治療者</w:t>
            </w:r>
          </w:p>
        </w:tc>
        <w:tc>
          <w:tcPr>
            <w:tcW w:w="6513" w:type="dxa"/>
          </w:tcPr>
          <w:p>
            <w:pPr>
              <w:pStyle w:val="TableParagraph"/>
              <w:numPr>
                <w:ilvl w:val="0"/>
                <w:numId w:val="40"/>
              </w:numPr>
              <w:tabs>
                <w:tab w:pos="352" w:val="left" w:leader="none"/>
              </w:tabs>
              <w:spacing w:line="223" w:lineRule="auto" w:before="0" w:after="0"/>
              <w:ind w:left="355" w:right="102" w:hanging="245"/>
              <w:jc w:val="left"/>
              <w:rPr>
                <w:rFonts w:ascii="Microsoft JhengHei UI" w:hAnsi="Microsoft JhengHei UI" w:eastAsia="Microsoft JhengHei UI" w:hint="eastAsia"/>
                <w:sz w:val="16"/>
              </w:rPr>
            </w:pPr>
            <w:r>
              <w:rPr>
                <w:rFonts w:ascii="Microsoft JhengHei UI" w:hAnsi="Microsoft JhengHei UI" w:eastAsia="Microsoft JhengHei UI" w:hint="eastAsia"/>
                <w:sz w:val="24"/>
              </w:rPr>
              <w:t>因故中斷者，先瞭解中斷原因，經與個案溝通後，如有意</w:t>
            </w:r>
            <w:r>
              <w:rPr>
                <w:rFonts w:ascii="Microsoft JhengHei UI" w:hAnsi="Microsoft JhengHei UI" w:eastAsia="Microsoft JhengHei UI" w:hint="eastAsia"/>
                <w:spacing w:val="-12"/>
                <w:sz w:val="24"/>
              </w:rPr>
              <w:t>願繼續治療，得於合作醫師評估後，依下列方式辦理：</w:t>
            </w:r>
          </w:p>
          <w:p>
            <w:pPr>
              <w:pStyle w:val="TableParagraph"/>
              <w:numPr>
                <w:ilvl w:val="1"/>
                <w:numId w:val="40"/>
              </w:numPr>
              <w:tabs>
                <w:tab w:pos="629" w:val="left" w:leader="none"/>
              </w:tabs>
              <w:spacing w:line="408" w:lineRule="exact" w:before="0" w:after="0"/>
              <w:ind w:left="628" w:right="0" w:hanging="285"/>
              <w:jc w:val="left"/>
              <w:rPr>
                <w:rFonts w:ascii="Microsoft JhengHei UI" w:hAnsi="Microsoft JhengHei UI" w:eastAsia="Microsoft JhengHei UI" w:hint="eastAsia"/>
                <w:sz w:val="24"/>
              </w:rPr>
            </w:pPr>
            <w:r>
              <w:rPr>
                <w:rFonts w:ascii="Microsoft JhengHei UI" w:hAnsi="Microsoft JhengHei UI" w:eastAsia="Microsoft JhengHei UI" w:hint="eastAsia"/>
                <w:spacing w:val="10"/>
                <w:sz w:val="24"/>
              </w:rPr>
              <w:t>同次暴露：不計中斷治療的時間，繼續治療。</w:t>
            </w:r>
            <w:r>
              <w:rPr>
                <w:rFonts w:ascii="Microsoft JhengHei UI" w:hAnsi="Microsoft JhengHei UI" w:eastAsia="Microsoft JhengHei UI" w:hint="eastAsia"/>
                <w:spacing w:val="7"/>
                <w:position w:val="2"/>
                <w:sz w:val="24"/>
              </w:rPr>
              <w:t>接續原</w:t>
            </w:r>
          </w:p>
          <w:p>
            <w:pPr>
              <w:pStyle w:val="TableParagraph"/>
              <w:spacing w:line="396" w:lineRule="exact"/>
              <w:ind w:left="628"/>
              <w:rPr>
                <w:rFonts w:ascii="Microsoft JhengHei UI" w:eastAsia="Microsoft JhengHei UI" w:hint="eastAsia"/>
                <w:sz w:val="24"/>
              </w:rPr>
            </w:pPr>
            <w:r>
              <w:rPr>
                <w:rFonts w:ascii="Microsoft JhengHei UI" w:eastAsia="Microsoft JhengHei UI" w:hint="eastAsia"/>
                <w:sz w:val="24"/>
              </w:rPr>
              <w:t>LTBI 治療處方以完成療程為原則</w:t>
            </w:r>
          </w:p>
          <w:p>
            <w:pPr>
              <w:pStyle w:val="TableParagraph"/>
              <w:numPr>
                <w:ilvl w:val="1"/>
                <w:numId w:val="40"/>
              </w:numPr>
              <w:tabs>
                <w:tab w:pos="629" w:val="left" w:leader="none"/>
              </w:tabs>
              <w:spacing w:line="397" w:lineRule="exact" w:before="0" w:after="0"/>
              <w:ind w:left="628" w:right="0" w:hanging="285"/>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再次暴露：前次中斷者，本次應重新進行完整療程</w:t>
            </w:r>
          </w:p>
          <w:p>
            <w:pPr>
              <w:pStyle w:val="TableParagraph"/>
              <w:numPr>
                <w:ilvl w:val="0"/>
                <w:numId w:val="40"/>
              </w:numPr>
              <w:tabs>
                <w:tab w:pos="351" w:val="left" w:leader="none"/>
              </w:tabs>
              <w:spacing w:line="223" w:lineRule="auto" w:before="3" w:after="0"/>
              <w:ind w:left="355" w:right="100" w:hanging="245"/>
              <w:jc w:val="left"/>
              <w:rPr>
                <w:rFonts w:ascii="Microsoft JhengHei UI" w:hAnsi="Microsoft JhengHei UI" w:eastAsia="Microsoft JhengHei UI" w:hint="eastAsia"/>
                <w:sz w:val="17"/>
              </w:rPr>
            </w:pPr>
            <w:r>
              <w:rPr>
                <w:rFonts w:ascii="Microsoft JhengHei UI" w:hAnsi="Microsoft JhengHei UI" w:eastAsia="Microsoft JhengHei UI" w:hint="eastAsia"/>
                <w:spacing w:val="-1"/>
                <w:sz w:val="24"/>
              </w:rPr>
              <w:t>中斷治療 </w:t>
            </w:r>
            <w:r>
              <w:rPr>
                <w:rFonts w:ascii="Microsoft JhengHei UI" w:hAnsi="Microsoft JhengHei UI" w:eastAsia="Microsoft JhengHei UI" w:hint="eastAsia"/>
                <w:sz w:val="24"/>
              </w:rPr>
              <w:t>1</w:t>
            </w:r>
            <w:r>
              <w:rPr>
                <w:rFonts w:ascii="Microsoft JhengHei UI" w:hAnsi="Microsoft JhengHei UI" w:eastAsia="Microsoft JhengHei UI" w:hint="eastAsia"/>
                <w:spacing w:val="4"/>
                <w:sz w:val="24"/>
              </w:rPr>
              <w:t> 個月以上者，務必再做胸部</w:t>
            </w:r>
            <w:r>
              <w:rPr>
                <w:rFonts w:ascii="Microsoft JhengHei UI" w:hAnsi="Microsoft JhengHei UI" w:eastAsia="Microsoft JhengHei UI" w:hint="eastAsia"/>
                <w:sz w:val="24"/>
              </w:rPr>
              <w:t>X</w:t>
            </w:r>
            <w:r>
              <w:rPr>
                <w:rFonts w:ascii="Microsoft JhengHei UI" w:hAnsi="Microsoft JhengHei UI" w:eastAsia="Microsoft JhengHei UI" w:hint="eastAsia"/>
                <w:spacing w:val="-4"/>
                <w:sz w:val="24"/>
              </w:rPr>
              <w:t> 光檢查及臨床評</w:t>
            </w:r>
            <w:r>
              <w:rPr>
                <w:rFonts w:ascii="Microsoft JhengHei UI" w:hAnsi="Microsoft JhengHei UI" w:eastAsia="Microsoft JhengHei UI" w:hint="eastAsia"/>
                <w:sz w:val="24"/>
              </w:rPr>
              <w:t>估，排除活動性結核病</w:t>
            </w:r>
          </w:p>
        </w:tc>
      </w:tr>
      <w:tr>
        <w:trPr>
          <w:trHeight w:val="1243" w:hRule="atLeast"/>
        </w:trPr>
        <w:tc>
          <w:tcPr>
            <w:tcW w:w="1915" w:type="dxa"/>
          </w:tcPr>
          <w:p>
            <w:pPr>
              <w:pStyle w:val="TableParagraph"/>
              <w:spacing w:line="223" w:lineRule="auto"/>
              <w:ind w:left="114" w:right="100"/>
              <w:jc w:val="both"/>
              <w:rPr>
                <w:rFonts w:ascii="Microsoft JhengHei UI" w:eastAsia="Microsoft JhengHei UI" w:hint="eastAsia"/>
                <w:sz w:val="24"/>
              </w:rPr>
            </w:pPr>
            <w:r>
              <w:rPr>
                <w:rFonts w:ascii="Microsoft JhengHei UI" w:eastAsia="Microsoft JhengHei UI" w:hint="eastAsia"/>
                <w:sz w:val="24"/>
              </w:rPr>
              <w:t>曾為結核病個案或曾完成 LTBI 治療</w:t>
            </w:r>
          </w:p>
        </w:tc>
        <w:tc>
          <w:tcPr>
            <w:tcW w:w="6513" w:type="dxa"/>
          </w:tcPr>
          <w:p>
            <w:pPr>
              <w:pStyle w:val="TableParagraph"/>
              <w:numPr>
                <w:ilvl w:val="0"/>
                <w:numId w:val="41"/>
              </w:numPr>
              <w:tabs>
                <w:tab w:pos="390" w:val="left" w:leader="none"/>
              </w:tabs>
              <w:spacing w:line="223" w:lineRule="auto" w:before="0" w:after="0"/>
              <w:ind w:left="355" w:right="99" w:hanging="245"/>
              <w:jc w:val="both"/>
              <w:rPr>
                <w:rFonts w:ascii="Microsoft JhengHei UI" w:hAnsi="Microsoft JhengHei UI" w:eastAsia="Microsoft JhengHei UI" w:hint="eastAsia"/>
                <w:sz w:val="24"/>
              </w:rPr>
            </w:pPr>
            <w:r>
              <w:rPr>
                <w:rFonts w:ascii="Microsoft JhengHei UI" w:hAnsi="Microsoft JhengHei UI" w:eastAsia="Microsoft JhengHei UI" w:hint="eastAsia"/>
                <w:spacing w:val="2"/>
                <w:sz w:val="24"/>
              </w:rPr>
              <w:t>重複暴露指標個案，無需辦理 </w:t>
            </w:r>
            <w:r>
              <w:rPr>
                <w:rFonts w:ascii="Microsoft JhengHei UI" w:hAnsi="Microsoft JhengHei UI" w:eastAsia="Microsoft JhengHei UI" w:hint="eastAsia"/>
                <w:sz w:val="24"/>
              </w:rPr>
              <w:t>LTBI</w:t>
            </w:r>
            <w:r>
              <w:rPr>
                <w:rFonts w:ascii="Microsoft JhengHei UI" w:hAnsi="Microsoft JhengHei UI" w:eastAsia="Microsoft JhengHei UI" w:hint="eastAsia"/>
                <w:spacing w:val="7"/>
                <w:sz w:val="24"/>
              </w:rPr>
              <w:t> 檢驗，儘早或至遲於</w:t>
            </w:r>
            <w:r>
              <w:rPr>
                <w:rFonts w:ascii="Microsoft JhengHei UI" w:hAnsi="Microsoft JhengHei UI" w:eastAsia="Microsoft JhengHei UI" w:hint="eastAsia"/>
                <w:spacing w:val="17"/>
                <w:sz w:val="24"/>
              </w:rPr>
              <w:t>第 </w:t>
            </w:r>
            <w:r>
              <w:rPr>
                <w:rFonts w:ascii="Microsoft JhengHei UI" w:hAnsi="Microsoft JhengHei UI" w:eastAsia="Microsoft JhengHei UI" w:hint="eastAsia"/>
                <w:sz w:val="24"/>
              </w:rPr>
              <w:t>1</w:t>
            </w:r>
            <w:r>
              <w:rPr>
                <w:rFonts w:ascii="Microsoft JhengHei UI" w:hAnsi="Microsoft JhengHei UI" w:eastAsia="Microsoft JhengHei UI" w:hint="eastAsia"/>
                <w:spacing w:val="12"/>
                <w:sz w:val="24"/>
              </w:rPr>
              <w:t> 個月胸部 </w:t>
            </w:r>
            <w:r>
              <w:rPr>
                <w:rFonts w:ascii="Microsoft JhengHei UI" w:hAnsi="Microsoft JhengHei UI" w:eastAsia="Microsoft JhengHei UI" w:hint="eastAsia"/>
                <w:sz w:val="24"/>
              </w:rPr>
              <w:t>X</w:t>
            </w:r>
            <w:r>
              <w:rPr>
                <w:rFonts w:ascii="Microsoft JhengHei UI" w:hAnsi="Microsoft JhengHei UI" w:eastAsia="Microsoft JhengHei UI" w:hint="eastAsia"/>
                <w:spacing w:val="1"/>
                <w:sz w:val="24"/>
              </w:rPr>
              <w:t> 光檢查時進行轉介，由合作醫師依本次</w:t>
            </w:r>
            <w:r>
              <w:rPr>
                <w:rFonts w:ascii="Microsoft JhengHei UI" w:hAnsi="Microsoft JhengHei UI" w:eastAsia="Microsoft JhengHei UI" w:hint="eastAsia"/>
                <w:sz w:val="24"/>
              </w:rPr>
              <w:t>暴露之指標個案藥敏情形，評估後進行 LTBI 治療</w:t>
            </w:r>
          </w:p>
        </w:tc>
      </w:tr>
      <w:tr>
        <w:trPr>
          <w:trHeight w:val="4379" w:hRule="atLeast"/>
        </w:trPr>
        <w:tc>
          <w:tcPr>
            <w:tcW w:w="1915" w:type="dxa"/>
          </w:tcPr>
          <w:p>
            <w:pPr>
              <w:pStyle w:val="TableParagraph"/>
              <w:rPr>
                <w:rFonts w:ascii="Arial"/>
                <w:sz w:val="30"/>
              </w:rPr>
            </w:pPr>
          </w:p>
          <w:p>
            <w:pPr>
              <w:pStyle w:val="TableParagraph"/>
              <w:rPr>
                <w:rFonts w:ascii="Arial"/>
                <w:sz w:val="30"/>
              </w:rPr>
            </w:pPr>
          </w:p>
          <w:p>
            <w:pPr>
              <w:pStyle w:val="TableParagraph"/>
              <w:rPr>
                <w:rFonts w:ascii="Arial"/>
                <w:sz w:val="30"/>
              </w:rPr>
            </w:pPr>
          </w:p>
          <w:p>
            <w:pPr>
              <w:pStyle w:val="TableParagraph"/>
              <w:spacing w:before="6"/>
              <w:rPr>
                <w:rFonts w:ascii="Arial"/>
                <w:sz w:val="43"/>
              </w:rPr>
            </w:pPr>
          </w:p>
          <w:p>
            <w:pPr>
              <w:pStyle w:val="TableParagraph"/>
              <w:spacing w:line="223" w:lineRule="auto"/>
              <w:ind w:left="114" w:right="67"/>
              <w:rPr>
                <w:rFonts w:ascii="Microsoft JhengHei UI" w:eastAsia="Microsoft JhengHei UI" w:hint="eastAsia"/>
                <w:sz w:val="24"/>
              </w:rPr>
            </w:pPr>
            <w:r>
              <w:rPr>
                <w:rFonts w:ascii="Microsoft JhengHei UI" w:eastAsia="Microsoft JhengHei UI" w:hint="eastAsia"/>
                <w:sz w:val="24"/>
              </w:rPr>
              <w:t>LTBI 治療期間重複暴露</w:t>
            </w:r>
          </w:p>
        </w:tc>
        <w:tc>
          <w:tcPr>
            <w:tcW w:w="6513" w:type="dxa"/>
          </w:tcPr>
          <w:p>
            <w:pPr>
              <w:pStyle w:val="TableParagraph"/>
              <w:numPr>
                <w:ilvl w:val="0"/>
                <w:numId w:val="42"/>
              </w:numPr>
              <w:tabs>
                <w:tab w:pos="360" w:val="left" w:leader="none"/>
              </w:tabs>
              <w:spacing w:line="223" w:lineRule="auto" w:before="0" w:after="0"/>
              <w:ind w:left="355" w:right="98" w:hanging="245"/>
              <w:jc w:val="both"/>
              <w:rPr>
                <w:rFonts w:ascii="Microsoft JhengHei UI" w:hAnsi="Microsoft JhengHei UI" w:eastAsia="Microsoft JhengHei UI" w:hint="eastAsia"/>
                <w:sz w:val="24"/>
              </w:rPr>
            </w:pPr>
            <w:r>
              <w:rPr>
                <w:rFonts w:ascii="Microsoft JhengHei UI" w:hAnsi="Microsoft JhengHei UI" w:eastAsia="Microsoft JhengHei UI" w:hint="eastAsia"/>
                <w:spacing w:val="2"/>
                <w:sz w:val="24"/>
              </w:rPr>
              <w:t>應轉介 </w:t>
            </w:r>
            <w:r>
              <w:rPr>
                <w:rFonts w:ascii="Microsoft JhengHei UI" w:hAnsi="Microsoft JhengHei UI" w:eastAsia="Microsoft JhengHei UI" w:hint="eastAsia"/>
                <w:sz w:val="24"/>
              </w:rPr>
              <w:t>LTBI</w:t>
            </w:r>
            <w:r>
              <w:rPr>
                <w:rFonts w:ascii="Microsoft JhengHei UI" w:hAnsi="Microsoft JhengHei UI" w:eastAsia="Microsoft JhengHei UI" w:hint="eastAsia"/>
                <w:spacing w:val="1"/>
                <w:sz w:val="24"/>
              </w:rPr>
              <w:t> 診治醫師、再次進行 </w:t>
            </w:r>
            <w:r>
              <w:rPr>
                <w:rFonts w:ascii="Microsoft JhengHei UI" w:hAnsi="Microsoft JhengHei UI" w:eastAsia="Microsoft JhengHei UI" w:hint="eastAsia"/>
                <w:sz w:val="24"/>
              </w:rPr>
              <w:t>LTBI 治療評估，並依指</w:t>
            </w:r>
            <w:r>
              <w:rPr>
                <w:rFonts w:ascii="Microsoft JhengHei UI" w:hAnsi="Microsoft JhengHei UI" w:eastAsia="Microsoft JhengHei UI" w:hint="eastAsia"/>
                <w:spacing w:val="1"/>
                <w:sz w:val="24"/>
              </w:rPr>
              <w:t>標個案藥敏情形調整 </w:t>
            </w:r>
            <w:r>
              <w:rPr>
                <w:rFonts w:ascii="Microsoft JhengHei UI" w:hAnsi="Microsoft JhengHei UI" w:eastAsia="Microsoft JhengHei UI" w:hint="eastAsia"/>
                <w:sz w:val="24"/>
              </w:rPr>
              <w:t>LTBI 治療處方，以確保治療效果， 有效治療起日以接觸者與指標個案終止有效暴露日開始重新計算：</w:t>
            </w:r>
          </w:p>
          <w:p>
            <w:pPr>
              <w:pStyle w:val="TableParagraph"/>
              <w:numPr>
                <w:ilvl w:val="1"/>
                <w:numId w:val="42"/>
              </w:numPr>
              <w:tabs>
                <w:tab w:pos="641" w:val="left" w:leader="none"/>
              </w:tabs>
              <w:spacing w:line="223" w:lineRule="auto" w:before="0" w:after="0"/>
              <w:ind w:left="640" w:right="100" w:hanging="285"/>
              <w:jc w:val="both"/>
              <w:rPr>
                <w:rFonts w:ascii="Microsoft JhengHei UI" w:hAnsi="Microsoft JhengHei UI" w:eastAsia="Microsoft JhengHei UI" w:hint="eastAsia"/>
                <w:sz w:val="24"/>
              </w:rPr>
            </w:pPr>
            <w:r>
              <w:rPr>
                <w:rFonts w:ascii="Microsoft JhengHei UI" w:hAnsi="Microsoft JhengHei UI" w:eastAsia="Microsoft JhengHei UI" w:hint="eastAsia"/>
                <w:spacing w:val="10"/>
                <w:sz w:val="24"/>
              </w:rPr>
              <w:t>重複暴露之指標非抗藥個案：可選用原 </w:t>
            </w:r>
            <w:r>
              <w:rPr>
                <w:rFonts w:ascii="Microsoft JhengHei UI" w:hAnsi="Microsoft JhengHei UI" w:eastAsia="Microsoft JhengHei UI" w:hint="eastAsia"/>
                <w:sz w:val="24"/>
              </w:rPr>
              <w:t>LTBI</w:t>
            </w:r>
            <w:r>
              <w:rPr>
                <w:rFonts w:ascii="Microsoft JhengHei UI" w:hAnsi="Microsoft JhengHei UI" w:eastAsia="Microsoft JhengHei UI" w:hint="eastAsia"/>
                <w:spacing w:val="6"/>
                <w:sz w:val="24"/>
              </w:rPr>
              <w:t> 治療處方；</w:t>
            </w:r>
          </w:p>
          <w:p>
            <w:pPr>
              <w:pStyle w:val="TableParagraph"/>
              <w:numPr>
                <w:ilvl w:val="1"/>
                <w:numId w:val="42"/>
              </w:numPr>
              <w:tabs>
                <w:tab w:pos="641" w:val="left" w:leader="none"/>
              </w:tabs>
              <w:spacing w:line="388" w:lineRule="exact" w:before="0" w:after="0"/>
              <w:ind w:left="640" w:right="0" w:hanging="285"/>
              <w:jc w:val="both"/>
              <w:rPr>
                <w:rFonts w:ascii="Microsoft JhengHei UI" w:hAnsi="Microsoft JhengHei UI" w:eastAsia="Microsoft JhengHei UI" w:hint="eastAsia"/>
                <w:sz w:val="24"/>
              </w:rPr>
            </w:pPr>
            <w:r>
              <w:rPr>
                <w:rFonts w:ascii="Microsoft JhengHei UI" w:hAnsi="Microsoft JhengHei UI" w:eastAsia="Microsoft JhengHei UI" w:hint="eastAsia"/>
                <w:spacing w:val="6"/>
                <w:sz w:val="24"/>
              </w:rPr>
              <w:t>重複暴露之指標為單一抗藥個案：</w:t>
            </w:r>
            <w:r>
              <w:rPr>
                <w:rFonts w:ascii="Microsoft JhengHei UI" w:hAnsi="Microsoft JhengHei UI" w:eastAsia="Microsoft JhengHei UI" w:hint="eastAsia"/>
                <w:sz w:val="24"/>
              </w:rPr>
              <w:t>INH</w:t>
            </w:r>
            <w:r>
              <w:rPr>
                <w:rFonts w:ascii="Microsoft JhengHei UI" w:hAnsi="Microsoft JhengHei UI" w:eastAsia="Microsoft JhengHei UI" w:hint="eastAsia"/>
                <w:spacing w:val="5"/>
                <w:sz w:val="24"/>
              </w:rPr>
              <w:t> 單一抗藥轉為</w:t>
            </w:r>
          </w:p>
          <w:p>
            <w:pPr>
              <w:pStyle w:val="TableParagraph"/>
              <w:spacing w:line="396" w:lineRule="exact"/>
              <w:ind w:left="640"/>
              <w:jc w:val="both"/>
              <w:rPr>
                <w:rFonts w:ascii="Microsoft JhengHei UI" w:eastAsia="Microsoft JhengHei UI" w:hint="eastAsia"/>
                <w:sz w:val="24"/>
              </w:rPr>
            </w:pPr>
            <w:r>
              <w:rPr>
                <w:rFonts w:ascii="Microsoft JhengHei UI" w:eastAsia="Microsoft JhengHei UI" w:hint="eastAsia"/>
                <w:sz w:val="24"/>
              </w:rPr>
              <w:t>4R 治療；RMP 單一抗藥則轉為 6H/9H 治療；</w:t>
            </w:r>
          </w:p>
          <w:p>
            <w:pPr>
              <w:pStyle w:val="TableParagraph"/>
              <w:numPr>
                <w:ilvl w:val="0"/>
                <w:numId w:val="42"/>
              </w:numPr>
              <w:tabs>
                <w:tab w:pos="330" w:val="left" w:leader="none"/>
              </w:tabs>
              <w:spacing w:line="223" w:lineRule="auto" w:before="0" w:after="0"/>
              <w:ind w:left="355" w:right="91" w:hanging="245"/>
              <w:jc w:val="both"/>
              <w:rPr>
                <w:rFonts w:ascii="Microsoft JhengHei UI" w:hAnsi="Microsoft JhengHei UI" w:eastAsia="Microsoft JhengHei UI" w:hint="eastAsia"/>
                <w:sz w:val="24"/>
              </w:rPr>
            </w:pPr>
            <w:r>
              <w:rPr>
                <w:rFonts w:ascii="Microsoft JhengHei UI" w:hAnsi="Microsoft JhengHei UI" w:eastAsia="Microsoft JhengHei UI" w:hint="eastAsia"/>
                <w:spacing w:val="3"/>
                <w:sz w:val="24"/>
              </w:rPr>
              <w:t>重複暴露之指標為 </w:t>
            </w:r>
            <w:r>
              <w:rPr>
                <w:rFonts w:ascii="Microsoft JhengHei UI" w:hAnsi="Microsoft JhengHei UI" w:eastAsia="Microsoft JhengHei UI" w:hint="eastAsia"/>
                <w:sz w:val="24"/>
              </w:rPr>
              <w:t>MDR-TB</w:t>
            </w:r>
            <w:r>
              <w:rPr>
                <w:rFonts w:ascii="Microsoft JhengHei UI" w:hAnsi="Microsoft JhengHei UI" w:eastAsia="Microsoft JhengHei UI" w:hint="eastAsia"/>
                <w:spacing w:val="6"/>
                <w:sz w:val="24"/>
              </w:rPr>
              <w:t> 個案：轉介至 </w:t>
            </w:r>
            <w:r>
              <w:rPr>
                <w:rFonts w:ascii="Microsoft JhengHei UI" w:hAnsi="Microsoft JhengHei UI" w:eastAsia="Microsoft JhengHei UI" w:hint="eastAsia"/>
                <w:sz w:val="24"/>
              </w:rPr>
              <w:t>TMTC</w:t>
            </w:r>
            <w:r>
              <w:rPr>
                <w:rFonts w:ascii="Microsoft JhengHei UI" w:hAnsi="Microsoft JhengHei UI" w:eastAsia="Microsoft JhengHei UI" w:hint="eastAsia"/>
                <w:spacing w:val="7"/>
                <w:sz w:val="24"/>
              </w:rPr>
              <w:t> 團隊或</w:t>
            </w:r>
            <w:r>
              <w:rPr>
                <w:rFonts w:ascii="Microsoft JhengHei UI" w:hAnsi="Microsoft JhengHei UI" w:eastAsia="Microsoft JhengHei UI" w:hint="eastAsia"/>
                <w:spacing w:val="6"/>
                <w:sz w:val="24"/>
              </w:rPr>
              <w:t>約定院所，評估是否使用 </w:t>
            </w:r>
            <w:r>
              <w:rPr>
                <w:rFonts w:ascii="Microsoft JhengHei UI" w:hAnsi="Microsoft JhengHei UI" w:eastAsia="Microsoft JhengHei UI" w:hint="eastAsia"/>
                <w:sz w:val="24"/>
              </w:rPr>
              <w:t>fluoroquinolone</w:t>
            </w:r>
            <w:r>
              <w:rPr>
                <w:rFonts w:ascii="Microsoft JhengHei UI" w:hAnsi="Microsoft JhengHei UI" w:eastAsia="Microsoft JhengHei UI" w:hint="eastAsia"/>
                <w:spacing w:val="6"/>
                <w:sz w:val="24"/>
              </w:rPr>
              <w:t> 類藥品作為</w:t>
            </w:r>
            <w:r>
              <w:rPr>
                <w:rFonts w:ascii="Microsoft JhengHei UI" w:hAnsi="Microsoft JhengHei UI" w:eastAsia="Microsoft JhengHei UI" w:hint="eastAsia"/>
                <w:sz w:val="24"/>
              </w:rPr>
              <w:t>LTBI</w:t>
            </w:r>
            <w:r>
              <w:rPr>
                <w:rFonts w:ascii="Microsoft JhengHei UI" w:hAnsi="Microsoft JhengHei UI" w:eastAsia="Microsoft JhengHei UI" w:hint="eastAsia"/>
                <w:spacing w:val="-1"/>
                <w:sz w:val="24"/>
              </w:rPr>
              <w:t> 治療處方</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
        <w:rPr>
          <w:rFonts w:ascii="Arial"/>
          <w:sz w:val="17"/>
        </w:rPr>
      </w:pPr>
    </w:p>
    <w:p>
      <w:pPr>
        <w:spacing w:before="95"/>
        <w:ind w:left="0" w:right="100" w:firstLine="0"/>
        <w:jc w:val="right"/>
        <w:rPr>
          <w:rFonts w:ascii="Arial"/>
          <w:sz w:val="16"/>
        </w:rPr>
      </w:pPr>
      <w:r>
        <w:rPr>
          <w:rFonts w:ascii="Arial"/>
          <w:color w:val="221F1F"/>
          <w:w w:val="95"/>
          <w:sz w:val="16"/>
        </w:rPr>
        <w:t>13</w:t>
      </w:r>
    </w:p>
    <w:p>
      <w:pPr>
        <w:spacing w:after="0"/>
        <w:jc w:val="right"/>
        <w:rPr>
          <w:rFonts w:ascii="Arial"/>
          <w:sz w:val="16"/>
        </w:rPr>
        <w:sectPr>
          <w:pgSz w:w="11920" w:h="16840"/>
          <w:pgMar w:top="1160" w:bottom="280" w:left="200" w:right="220"/>
        </w:sectPr>
      </w:pPr>
    </w:p>
    <w:tbl>
      <w:tblPr>
        <w:tblW w:w="0" w:type="auto"/>
        <w:jc w:val="left"/>
        <w:tblInd w:w="2109"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1915"/>
        <w:gridCol w:w="6513"/>
      </w:tblGrid>
      <w:tr>
        <w:trPr>
          <w:trHeight w:val="451" w:hRule="atLeast"/>
        </w:trPr>
        <w:tc>
          <w:tcPr>
            <w:tcW w:w="1915" w:type="dxa"/>
            <w:shd w:val="clear" w:color="auto" w:fill="E6E7E8"/>
          </w:tcPr>
          <w:p>
            <w:pPr>
              <w:pStyle w:val="TableParagraph"/>
              <w:spacing w:line="419" w:lineRule="exact" w:before="13"/>
              <w:ind w:left="474"/>
              <w:rPr>
                <w:rFonts w:ascii="Microsoft JhengHei UI" w:eastAsia="Microsoft JhengHei UI" w:hint="eastAsia"/>
                <w:b/>
                <w:sz w:val="24"/>
              </w:rPr>
            </w:pPr>
            <w:r>
              <w:rPr>
                <w:rFonts w:ascii="Microsoft JhengHei UI" w:eastAsia="Microsoft JhengHei UI" w:hint="eastAsia"/>
                <w:b/>
                <w:color w:val="221F1F"/>
                <w:sz w:val="24"/>
              </w:rPr>
              <w:t>特殊情況</w:t>
            </w:r>
          </w:p>
        </w:tc>
        <w:tc>
          <w:tcPr>
            <w:tcW w:w="6513" w:type="dxa"/>
            <w:shd w:val="clear" w:color="auto" w:fill="E6E7E8"/>
          </w:tcPr>
          <w:p>
            <w:pPr>
              <w:pStyle w:val="TableParagraph"/>
              <w:spacing w:line="419" w:lineRule="exact" w:before="13"/>
              <w:ind w:left="2765" w:right="2732"/>
              <w:jc w:val="center"/>
              <w:rPr>
                <w:rFonts w:ascii="Microsoft JhengHei UI" w:eastAsia="Microsoft JhengHei UI" w:hint="eastAsia"/>
                <w:b/>
                <w:sz w:val="24"/>
              </w:rPr>
            </w:pPr>
            <w:r>
              <w:rPr>
                <w:rFonts w:ascii="Microsoft JhengHei UI" w:eastAsia="Microsoft JhengHei UI" w:hint="eastAsia"/>
                <w:b/>
                <w:color w:val="221F1F"/>
                <w:sz w:val="24"/>
              </w:rPr>
              <w:t>執行重點</w:t>
            </w:r>
          </w:p>
        </w:tc>
      </w:tr>
      <w:tr>
        <w:trPr>
          <w:trHeight w:val="2407" w:hRule="atLeast"/>
        </w:trPr>
        <w:tc>
          <w:tcPr>
            <w:tcW w:w="1915" w:type="dxa"/>
          </w:tcPr>
          <w:p>
            <w:pPr>
              <w:pStyle w:val="TableParagraph"/>
              <w:spacing w:before="10"/>
              <w:rPr>
                <w:rFonts w:ascii="Arial"/>
                <w:sz w:val="38"/>
              </w:rPr>
            </w:pPr>
          </w:p>
          <w:p>
            <w:pPr>
              <w:pStyle w:val="TableParagraph"/>
              <w:ind w:left="110"/>
              <w:rPr>
                <w:rFonts w:ascii="Microsoft JhengHei UI" w:eastAsia="Microsoft JhengHei UI" w:hint="eastAsia"/>
                <w:sz w:val="24"/>
              </w:rPr>
            </w:pPr>
            <w:r>
              <w:rPr>
                <w:rFonts w:ascii="Microsoft JhengHei UI" w:eastAsia="Microsoft JhengHei UI" w:hint="eastAsia"/>
                <w:color w:val="221F1F"/>
                <w:sz w:val="24"/>
              </w:rPr>
              <w:t>醫院工作者</w:t>
            </w:r>
          </w:p>
        </w:tc>
        <w:tc>
          <w:tcPr>
            <w:tcW w:w="6513" w:type="dxa"/>
          </w:tcPr>
          <w:p>
            <w:pPr>
              <w:pStyle w:val="TableParagraph"/>
              <w:numPr>
                <w:ilvl w:val="0"/>
                <w:numId w:val="43"/>
              </w:numPr>
              <w:tabs>
                <w:tab w:pos="354" w:val="left" w:leader="none"/>
              </w:tabs>
              <w:spacing w:line="388" w:lineRule="exact" w:before="0" w:after="0"/>
              <w:ind w:left="353" w:right="0" w:hanging="244"/>
              <w:jc w:val="both"/>
              <w:rPr>
                <w:rFonts w:ascii="Microsoft JhengHei UI" w:hAnsi="Microsoft JhengHei UI" w:eastAsia="Microsoft JhengHei UI" w:hint="eastAsia"/>
                <w:sz w:val="24"/>
              </w:rPr>
            </w:pPr>
            <w:r>
              <w:rPr>
                <w:rFonts w:ascii="Microsoft JhengHei UI" w:hAnsi="Microsoft JhengHei UI" w:eastAsia="Microsoft JhengHei UI" w:hint="eastAsia"/>
                <w:sz w:val="24"/>
              </w:rPr>
              <w:t>考量此類對象暴露結核菌後發病風險較高，建議進行 </w:t>
            </w:r>
            <w:r>
              <w:rPr>
                <w:rFonts w:ascii="Microsoft JhengHei UI" w:hAnsi="Microsoft JhengHei UI" w:eastAsia="Microsoft JhengHei UI" w:hint="eastAsia"/>
                <w:spacing w:val="-4"/>
                <w:sz w:val="24"/>
              </w:rPr>
              <w:t>LTBI</w:t>
            </w:r>
          </w:p>
          <w:p>
            <w:pPr>
              <w:pStyle w:val="TableParagraph"/>
              <w:spacing w:line="397" w:lineRule="exact"/>
              <w:ind w:left="355"/>
              <w:jc w:val="both"/>
              <w:rPr>
                <w:rFonts w:ascii="Microsoft JhengHei UI" w:eastAsia="Microsoft JhengHei UI" w:hint="eastAsia"/>
                <w:sz w:val="24"/>
              </w:rPr>
            </w:pPr>
            <w:r>
              <w:rPr>
                <w:rFonts w:ascii="Microsoft JhengHei UI" w:eastAsia="Microsoft JhengHei UI" w:hint="eastAsia"/>
                <w:sz w:val="24"/>
              </w:rPr>
              <w:t>檢 驗 以 瞭 解 其 感 染 情 形 ， 陽 性 或 不 確 定</w:t>
            </w:r>
          </w:p>
          <w:p>
            <w:pPr>
              <w:pStyle w:val="TableParagraph"/>
              <w:spacing w:line="396" w:lineRule="exact"/>
              <w:ind w:left="355"/>
              <w:jc w:val="both"/>
              <w:rPr>
                <w:rFonts w:ascii="Microsoft JhengHei UI" w:eastAsia="Microsoft JhengHei UI" w:hint="eastAsia"/>
                <w:sz w:val="24"/>
              </w:rPr>
            </w:pPr>
            <w:r>
              <w:rPr>
                <w:rFonts w:ascii="Microsoft JhengHei UI" w:eastAsia="Microsoft JhengHei UI" w:hint="eastAsia"/>
                <w:sz w:val="24"/>
              </w:rPr>
              <w:t>（indeterminate）者建議加入 LTBI 治療。</w:t>
            </w:r>
          </w:p>
          <w:p>
            <w:pPr>
              <w:pStyle w:val="TableParagraph"/>
              <w:numPr>
                <w:ilvl w:val="0"/>
                <w:numId w:val="43"/>
              </w:numPr>
              <w:tabs>
                <w:tab w:pos="347" w:val="left" w:leader="none"/>
              </w:tabs>
              <w:spacing w:line="223" w:lineRule="auto" w:before="6" w:after="0"/>
              <w:ind w:left="355" w:right="99" w:hanging="245"/>
              <w:jc w:val="both"/>
              <w:rPr>
                <w:rFonts w:ascii="Microsoft JhengHei UI" w:hAnsi="Microsoft JhengHei UI" w:eastAsia="Microsoft JhengHei UI" w:hint="eastAsia"/>
                <w:sz w:val="24"/>
              </w:rPr>
            </w:pPr>
            <w:r>
              <w:rPr>
                <w:rFonts w:ascii="Microsoft JhengHei UI" w:hAnsi="Microsoft JhengHei UI" w:eastAsia="Microsoft JhengHei UI" w:hint="eastAsia"/>
                <w:sz w:val="24"/>
              </w:rPr>
              <w:t>倘若發生確定聚集事件則依第十二章「疑似結核病聚集事</w:t>
            </w:r>
            <w:r>
              <w:rPr>
                <w:rFonts w:ascii="Microsoft JhengHei UI" w:hAnsi="Microsoft JhengHei UI" w:eastAsia="Microsoft JhengHei UI" w:hint="eastAsia"/>
                <w:spacing w:val="-1"/>
                <w:sz w:val="24"/>
              </w:rPr>
              <w:t>件處理」與第七章「特定職業、身分個案防治重點」進行</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1"/>
                <w:sz w:val="24"/>
              </w:rPr>
              <w:t> 診斷評估。</w:t>
            </w:r>
          </w:p>
        </w:tc>
      </w:tr>
      <w:tr>
        <w:trPr>
          <w:trHeight w:val="2123" w:hRule="atLeast"/>
        </w:trPr>
        <w:tc>
          <w:tcPr>
            <w:tcW w:w="1915" w:type="dxa"/>
          </w:tcPr>
          <w:p>
            <w:pPr>
              <w:pStyle w:val="TableParagraph"/>
              <w:spacing w:line="388" w:lineRule="exact"/>
              <w:ind w:left="110"/>
              <w:rPr>
                <w:rFonts w:ascii="Microsoft JhengHei UI" w:eastAsia="Microsoft JhengHei UI" w:hint="eastAsia"/>
                <w:sz w:val="24"/>
              </w:rPr>
            </w:pPr>
            <w:r>
              <w:rPr>
                <w:rFonts w:ascii="Microsoft JhengHei UI" w:eastAsia="Microsoft JhengHei UI" w:hint="eastAsia"/>
                <w:color w:val="221F1F"/>
                <w:sz w:val="24"/>
              </w:rPr>
              <w:t>大規模團體事件</w:t>
            </w:r>
          </w:p>
          <w:p>
            <w:pPr>
              <w:pStyle w:val="TableParagraph"/>
              <w:spacing w:line="223" w:lineRule="auto" w:before="6"/>
              <w:ind w:left="110" w:right="98"/>
              <w:jc w:val="both"/>
              <w:rPr>
                <w:rFonts w:ascii="Microsoft JhengHei UI" w:eastAsia="Microsoft JhengHei UI" w:hint="eastAsia"/>
                <w:sz w:val="24"/>
              </w:rPr>
            </w:pPr>
            <w:r>
              <w:rPr>
                <w:rFonts w:ascii="Microsoft JhengHei UI" w:eastAsia="Microsoft JhengHei UI" w:hint="eastAsia"/>
                <w:color w:val="221F1F"/>
                <w:sz w:val="24"/>
              </w:rPr>
              <w:t>（ 如 校 園、 職場、人口密集機構等）</w:t>
            </w:r>
          </w:p>
        </w:tc>
        <w:tc>
          <w:tcPr>
            <w:tcW w:w="6513" w:type="dxa"/>
          </w:tcPr>
          <w:p>
            <w:pPr>
              <w:pStyle w:val="TableParagraph"/>
              <w:spacing w:line="223" w:lineRule="auto"/>
              <w:ind w:left="110" w:right="16"/>
              <w:jc w:val="both"/>
              <w:rPr>
                <w:rFonts w:ascii="Microsoft JhengHei UI" w:eastAsia="Microsoft JhengHei UI" w:hint="eastAsia"/>
                <w:sz w:val="24"/>
              </w:rPr>
            </w:pPr>
            <w:r>
              <w:rPr>
                <w:rFonts w:ascii="Microsoft JhengHei UI" w:eastAsia="Microsoft JhengHei UI" w:hint="eastAsia"/>
                <w:sz w:val="24"/>
              </w:rPr>
              <w:t>遇接觸者人數較多之事件時，建議公衛管理人員事先聯絡告知合作醫師指標個案之狀況，協調到診人數及轉介治療評估方式，避免接觸者各自就醫而獲得不一致之資訊及評估結果，影響檢驗陽性或不確定（indeterminate）者納入治療意願</w:t>
            </w:r>
          </w:p>
        </w:tc>
      </w:tr>
      <w:tr>
        <w:trPr>
          <w:trHeight w:val="851" w:hRule="atLeast"/>
        </w:trPr>
        <w:tc>
          <w:tcPr>
            <w:tcW w:w="1915" w:type="dxa"/>
          </w:tcPr>
          <w:p>
            <w:pPr>
              <w:pStyle w:val="TableParagraph"/>
              <w:spacing w:before="209"/>
              <w:ind w:left="124"/>
              <w:rPr>
                <w:rFonts w:ascii="Microsoft JhengHei UI" w:eastAsia="Microsoft JhengHei UI" w:hint="eastAsia"/>
                <w:sz w:val="24"/>
              </w:rPr>
            </w:pPr>
            <w:r>
              <w:rPr>
                <w:rFonts w:ascii="Microsoft JhengHei UI" w:eastAsia="Microsoft JhengHei UI" w:hint="eastAsia"/>
                <w:color w:val="221F1F"/>
                <w:sz w:val="24"/>
              </w:rPr>
              <w:t>聚集事件</w:t>
            </w:r>
          </w:p>
        </w:tc>
        <w:tc>
          <w:tcPr>
            <w:tcW w:w="6513" w:type="dxa"/>
          </w:tcPr>
          <w:p>
            <w:pPr>
              <w:pStyle w:val="TableParagraph"/>
              <w:spacing w:line="223" w:lineRule="auto"/>
              <w:ind w:left="110" w:right="100"/>
              <w:rPr>
                <w:rFonts w:ascii="Microsoft JhengHei UI" w:eastAsia="Microsoft JhengHei UI" w:hint="eastAsia"/>
                <w:sz w:val="24"/>
              </w:rPr>
            </w:pPr>
            <w:r>
              <w:rPr>
                <w:rFonts w:ascii="Microsoft JhengHei UI" w:eastAsia="Microsoft JhengHei UI" w:hint="eastAsia"/>
                <w:sz w:val="24"/>
              </w:rPr>
              <w:t>執行內容請參見工作手冊第十二章「疑似結核病聚集事件處理」</w:t>
            </w:r>
          </w:p>
        </w:tc>
      </w:tr>
      <w:tr>
        <w:trPr>
          <w:trHeight w:val="852" w:hRule="atLeast"/>
        </w:trPr>
        <w:tc>
          <w:tcPr>
            <w:tcW w:w="1915" w:type="dxa"/>
          </w:tcPr>
          <w:p>
            <w:pPr>
              <w:pStyle w:val="TableParagraph"/>
              <w:spacing w:before="163"/>
              <w:ind w:left="110"/>
              <w:rPr>
                <w:rFonts w:ascii="Microsoft JhengHei UI" w:eastAsia="Microsoft JhengHei UI" w:hint="eastAsia"/>
                <w:sz w:val="24"/>
              </w:rPr>
            </w:pPr>
            <w:r>
              <w:rPr>
                <w:rFonts w:ascii="Microsoft JhengHei UI" w:eastAsia="Microsoft JhengHei UI" w:hint="eastAsia"/>
                <w:color w:val="221F1F"/>
                <w:sz w:val="24"/>
              </w:rPr>
              <w:t>航空器接觸者</w:t>
            </w:r>
          </w:p>
        </w:tc>
        <w:tc>
          <w:tcPr>
            <w:tcW w:w="6513" w:type="dxa"/>
          </w:tcPr>
          <w:p>
            <w:pPr>
              <w:pStyle w:val="TableParagraph"/>
              <w:spacing w:line="225" w:lineRule="auto" w:before="25"/>
              <w:ind w:left="110" w:right="98"/>
              <w:rPr>
                <w:rFonts w:ascii="Microsoft JhengHei UI" w:eastAsia="Microsoft JhengHei UI" w:hint="eastAsia"/>
                <w:sz w:val="24"/>
              </w:rPr>
            </w:pPr>
            <w:r>
              <w:rPr>
                <w:rFonts w:ascii="Microsoft JhengHei UI" w:eastAsia="Microsoft JhengHei UI" w:hint="eastAsia"/>
                <w:sz w:val="24"/>
              </w:rPr>
              <w:t>接觸者與指標個案間為單純航空器接觸者，其接觸者無需進行 LTBI 診斷及治療</w:t>
            </w:r>
          </w:p>
        </w:tc>
      </w:tr>
      <w:tr>
        <w:trPr>
          <w:trHeight w:val="2480" w:hRule="atLeast"/>
        </w:trPr>
        <w:tc>
          <w:tcPr>
            <w:tcW w:w="1915" w:type="dxa"/>
          </w:tcPr>
          <w:p>
            <w:pPr>
              <w:pStyle w:val="TableParagraph"/>
              <w:spacing w:before="1"/>
              <w:rPr>
                <w:rFonts w:ascii="Arial"/>
                <w:sz w:val="33"/>
              </w:rPr>
            </w:pPr>
          </w:p>
          <w:p>
            <w:pPr>
              <w:pStyle w:val="TableParagraph"/>
              <w:spacing w:line="225" w:lineRule="auto"/>
              <w:ind w:left="110" w:right="10"/>
              <w:jc w:val="both"/>
              <w:rPr>
                <w:rFonts w:ascii="Microsoft JhengHei UI" w:eastAsia="Microsoft JhengHei UI" w:hint="eastAsia"/>
                <w:sz w:val="24"/>
              </w:rPr>
            </w:pPr>
            <w:r>
              <w:rPr>
                <w:rFonts w:ascii="Microsoft JhengHei UI" w:eastAsia="Microsoft JhengHei UI" w:hint="eastAsia"/>
                <w:color w:val="221F1F"/>
                <w:sz w:val="24"/>
              </w:rPr>
              <w:t>孕婦懷孕時已暴露 rifapentine 處方</w:t>
            </w:r>
          </w:p>
        </w:tc>
        <w:tc>
          <w:tcPr>
            <w:tcW w:w="6513" w:type="dxa"/>
          </w:tcPr>
          <w:p>
            <w:pPr>
              <w:pStyle w:val="TableParagraph"/>
              <w:spacing w:line="225" w:lineRule="auto" w:before="25"/>
              <w:ind w:left="110" w:right="11"/>
              <w:jc w:val="both"/>
              <w:rPr>
                <w:rFonts w:ascii="Microsoft JhengHei UI" w:eastAsia="Microsoft JhengHei UI" w:hint="eastAsia"/>
                <w:sz w:val="24"/>
              </w:rPr>
            </w:pPr>
            <w:r>
              <w:rPr>
                <w:rFonts w:ascii="Microsoft JhengHei UI" w:eastAsia="Microsoft JhengHei UI" w:hint="eastAsia"/>
                <w:sz w:val="24"/>
              </w:rPr>
              <w:t>孕婦若為潛伏結核感染，很可能會因為孕期免疫力下降導致結核病發病，若使用 rifapentine 期間確定懷孕，請安撫衛教孕婦，目前的研究未顯示對孕婦及胎兒有不良影響，由於rifapentine 孕婦的藥品安全性研究正在進行中，引導孕婦改成其他短程處方，例如 4R、3HR 等即可</w:t>
            </w:r>
          </w:p>
        </w:tc>
      </w:tr>
    </w:tbl>
    <w:p>
      <w:pPr>
        <w:pStyle w:val="BodyText"/>
        <w:spacing w:before="10"/>
        <w:rPr>
          <w:rFonts w:ascii="Arial"/>
          <w:sz w:val="22"/>
        </w:rPr>
      </w:pPr>
    </w:p>
    <w:p>
      <w:pPr>
        <w:pStyle w:val="Heading2"/>
        <w:spacing w:line="413" w:lineRule="exact" w:before="40"/>
        <w:ind w:left="820"/>
        <w:rPr>
          <w:rFonts w:ascii="Microsoft JhengHei UI" w:eastAsia="Microsoft JhengHei UI" w:hint="eastAsia"/>
        </w:rPr>
      </w:pPr>
      <w:r>
        <w:rPr>
          <w:rFonts w:ascii="Microsoft JhengHei UI" w:eastAsia="Microsoft JhengHei UI" w:hint="eastAsia"/>
          <w:color w:val="221F1F"/>
        </w:rPr>
        <w:t>玖、潛伏結核感染治療指定醫</w:t>
      </w:r>
      <w:r>
        <w:rPr>
          <w:rFonts w:ascii="Microsoft JhengHei UI" w:eastAsia="Microsoft JhengHei UI" w:hint="eastAsia"/>
        </w:rPr>
        <w:t>療院所（合作院所）：</w:t>
      </w:r>
    </w:p>
    <w:p>
      <w:pPr>
        <w:pStyle w:val="BodyText"/>
        <w:spacing w:line="225" w:lineRule="auto" w:before="4"/>
        <w:ind w:left="1630" w:right="1109" w:hanging="480"/>
        <w:jc w:val="both"/>
        <w:rPr>
          <w:rFonts w:ascii="Microsoft JhengHei UI" w:eastAsia="Microsoft JhengHei UI" w:hint="eastAsia"/>
        </w:rPr>
      </w:pPr>
      <w:r>
        <w:rPr>
          <w:rFonts w:ascii="Microsoft JhengHei UI" w:eastAsia="Microsoft JhengHei UI" w:hint="eastAsia"/>
        </w:rPr>
        <w:t>一、LTBI 檢驗及治療限於指定醫療院所執行及申報費用，公務預算給付依 ｢ 衛生福利部</w:t>
      </w:r>
      <w:r>
        <w:rPr>
          <w:rFonts w:ascii="Microsoft JhengHei UI" w:eastAsia="Microsoft JhengHei UI" w:hint="eastAsia"/>
          <w:position w:val="1"/>
        </w:rPr>
        <w:t>法</w:t>
      </w:r>
      <w:r>
        <w:rPr>
          <w:rFonts w:ascii="Microsoft JhengHei UI" w:eastAsia="Microsoft JhengHei UI" w:hint="eastAsia"/>
        </w:rPr>
        <w:t>定傳染病醫療服務費用支付作業規範 ｣ 辦理；疾管署每年年底調查各縣市衛生局次年</w:t>
      </w:r>
      <w:r>
        <w:rPr>
          <w:rFonts w:ascii="Microsoft JhengHei UI" w:eastAsia="Microsoft JhengHei UI" w:hint="eastAsia"/>
          <w:position w:val="1"/>
        </w:rPr>
        <w:t>度指定醫療院所及合作醫師名單，各縣市衛生局應考量轄內服務需求及民眾就</w:t>
      </w:r>
      <w:r>
        <w:rPr>
          <w:rFonts w:ascii="Microsoft JhengHei UI" w:eastAsia="Microsoft JhengHei UI" w:hint="eastAsia"/>
        </w:rPr>
        <w:t>醫可近性提報合作醫師，以胸腔科、感染科、小兒科及家醫科為優先（但不在此限），並可尋求共病族群診療醫師合作（例如：腎臟科、新陳代謝科等），</w:t>
      </w:r>
      <w:r>
        <w:rPr>
          <w:rFonts w:ascii="Microsoft JhengHei UI" w:eastAsia="Microsoft JhengHei UI" w:hint="eastAsia"/>
          <w:strike/>
        </w:rPr>
        <w:t>且</w:t>
      </w:r>
      <w:r>
        <w:rPr>
          <w:rFonts w:ascii="Microsoft JhengHei UI" w:eastAsia="Microsoft JhengHei UI" w:hint="eastAsia"/>
          <w:strike w:val="0"/>
        </w:rPr>
        <w:t>以熟悉臨床處置且願意配合政策者為宜。</w:t>
      </w:r>
    </w:p>
    <w:p>
      <w:pPr>
        <w:pStyle w:val="BodyText"/>
        <w:spacing w:line="384" w:lineRule="exact"/>
        <w:ind w:left="1150"/>
        <w:jc w:val="both"/>
        <w:rPr>
          <w:rFonts w:ascii="Microsoft JhengHei UI" w:eastAsia="Microsoft JhengHei UI" w:hint="eastAsia"/>
        </w:rPr>
      </w:pPr>
      <w:r>
        <w:rPr>
          <w:rFonts w:ascii="Microsoft JhengHei UI" w:eastAsia="Microsoft JhengHei UI" w:hint="eastAsia"/>
        </w:rPr>
        <w:t>二、衛生局委託執行 IGRA 檢驗之實驗室，須通過財團法人全國認證基金會</w:t>
      </w:r>
    </w:p>
    <w:p>
      <w:pPr>
        <w:pStyle w:val="BodyText"/>
        <w:spacing w:line="225" w:lineRule="auto" w:before="5"/>
        <w:ind w:left="1630" w:right="1108"/>
        <w:jc w:val="both"/>
        <w:rPr>
          <w:rFonts w:ascii="Microsoft JhengHei UI" w:eastAsia="Microsoft JhengHei UI" w:hint="eastAsia"/>
        </w:rPr>
      </w:pPr>
      <w:r>
        <w:rPr>
          <w:rFonts w:ascii="Microsoft JhengHei UI" w:eastAsia="Microsoft JhengHei UI" w:hint="eastAsia"/>
        </w:rPr>
        <w:t>（ Taiwan Accreditation Foundation, TAF ） 或美國病理學會（ College of American Pathologists, CAP）等認證之實驗室執行檢驗，並須將檢驗結果完整上傳 TB 系統， 以維護 IGRA 之 LTBI 檢驗品質。</w:t>
      </w:r>
    </w:p>
    <w:p>
      <w:pPr>
        <w:pStyle w:val="BodyText"/>
        <w:spacing w:line="225" w:lineRule="auto"/>
        <w:ind w:left="1630" w:right="1109" w:hanging="480"/>
        <w:jc w:val="both"/>
        <w:rPr>
          <w:rFonts w:ascii="Microsoft JhengHei UI" w:eastAsia="Microsoft JhengHei UI" w:hint="eastAsia"/>
        </w:rPr>
      </w:pPr>
      <w:r>
        <w:rPr>
          <w:rFonts w:ascii="Microsoft JhengHei UI" w:eastAsia="Microsoft JhengHei UI" w:hint="eastAsia"/>
        </w:rPr>
        <w:t>三、IGRA 檢驗結果倘不確定（含 indeterminate 與 nil 值&gt;8.0 IU/mL）比例偏高（超過當次檢驗人數 5%），或是團體檢驗出現異常情形，應主動釐清並處理(請參見工作手冊第十一章 ｢ 結核病接觸者追蹤管理 ｣ 附件 11-9｢潛伏結核感染檢驗介紹｣)並</w:t>
      </w:r>
    </w:p>
    <w:p>
      <w:pPr>
        <w:spacing w:line="43" w:lineRule="exact" w:before="0"/>
        <w:ind w:left="110" w:right="0" w:firstLine="0"/>
        <w:jc w:val="left"/>
        <w:rPr>
          <w:rFonts w:ascii="Arial"/>
          <w:sz w:val="16"/>
        </w:rPr>
      </w:pPr>
      <w:r>
        <w:rPr>
          <w:rFonts w:ascii="Arial"/>
          <w:color w:val="221F1F"/>
          <w:sz w:val="16"/>
        </w:rPr>
        <w:t>14</w:t>
      </w:r>
    </w:p>
    <w:p>
      <w:pPr>
        <w:spacing w:after="0" w:line="43" w:lineRule="exact"/>
        <w:jc w:val="left"/>
        <w:rPr>
          <w:rFonts w:ascii="Arial"/>
          <w:sz w:val="16"/>
        </w:rPr>
        <w:sectPr>
          <w:pgSz w:w="11920" w:h="16840"/>
          <w:pgMar w:top="1180" w:bottom="280" w:left="200" w:right="220"/>
        </w:sectPr>
      </w:pPr>
    </w:p>
    <w:p>
      <w:pPr>
        <w:pStyle w:val="BodyText"/>
        <w:spacing w:line="413" w:lineRule="exact" w:before="25"/>
        <w:ind w:left="1630"/>
        <w:rPr>
          <w:rFonts w:ascii="Microsoft JhengHei UI" w:eastAsia="Microsoft JhengHei UI" w:hint="eastAsia"/>
        </w:rPr>
      </w:pPr>
      <w:r>
        <w:rPr>
          <w:rFonts w:ascii="Microsoft JhengHei UI" w:eastAsia="Microsoft JhengHei UI" w:hint="eastAsia"/>
        </w:rPr>
        <w:t>由衛生局知會各區管制中心，以聯繫廠商協助評估。</w:t>
      </w:r>
    </w:p>
    <w:p>
      <w:pPr>
        <w:pStyle w:val="BodyText"/>
        <w:spacing w:line="225" w:lineRule="auto" w:before="5"/>
        <w:ind w:left="1630" w:right="1111" w:hanging="480"/>
        <w:jc w:val="both"/>
        <w:rPr>
          <w:rFonts w:ascii="Microsoft JhengHei UI" w:eastAsia="Microsoft JhengHei UI" w:hint="eastAsia"/>
        </w:rPr>
      </w:pPr>
      <w:r>
        <w:rPr>
          <w:rFonts w:ascii="Microsoft JhengHei UI" w:eastAsia="Microsoft JhengHei UI" w:hint="eastAsia"/>
        </w:rPr>
        <w:t>四、使用 rifapentine 的處方（如 1HP、3HP 等）之合作院所必須完成 TB 系統自動介接，於處方開立後須即時上傳用藥資訊，公衛端應隨時掌握院所用藥介接資料之正確性及即時性，如有疑義應及時瞭解及處理，以確保治療個案之安全性。</w:t>
      </w:r>
    </w:p>
    <w:p>
      <w:pPr>
        <w:pStyle w:val="Heading2"/>
        <w:spacing w:line="411" w:lineRule="exact" w:before="250"/>
        <w:ind w:left="820"/>
        <w:rPr>
          <w:rFonts w:ascii="Microsoft JhengHei UI" w:eastAsia="Microsoft JhengHei UI" w:hint="eastAsia"/>
        </w:rPr>
      </w:pPr>
      <w:r>
        <w:rPr>
          <w:rFonts w:ascii="Microsoft JhengHei UI" w:eastAsia="Microsoft JhengHei UI" w:hint="eastAsia"/>
        </w:rPr>
        <w:t>壹拾、TB 系統化管理報表：</w:t>
      </w:r>
    </w:p>
    <w:p>
      <w:pPr>
        <w:pStyle w:val="BodyText"/>
        <w:spacing w:line="411" w:lineRule="exact"/>
        <w:ind w:left="1480"/>
        <w:rPr>
          <w:rFonts w:ascii="Microsoft JhengHei UI" w:eastAsia="Microsoft JhengHei UI" w:hint="eastAsia"/>
        </w:rPr>
      </w:pPr>
      <w:r>
        <w:rPr>
          <w:rFonts w:ascii="Microsoft JhengHei UI" w:eastAsia="Microsoft JhengHei UI" w:hint="eastAsia"/>
        </w:rPr>
        <w:t>為提升接觸者治療成效，TB 系統提供各類報表與清單予公衛人員參考使用。</w:t>
      </w:r>
    </w:p>
    <w:p>
      <w:pPr>
        <w:pStyle w:val="BodyText"/>
        <w:spacing w:before="16"/>
        <w:rPr>
          <w:rFonts w:ascii="Microsoft JhengHei UI"/>
          <w:sz w:val="20"/>
        </w:rPr>
      </w:pPr>
    </w:p>
    <w:p>
      <w:pPr>
        <w:pStyle w:val="Heading2"/>
        <w:spacing w:line="415" w:lineRule="exact" w:before="1"/>
        <w:ind w:left="820"/>
        <w:rPr>
          <w:rFonts w:ascii="Microsoft JhengHei UI" w:eastAsia="Microsoft JhengHei UI" w:hint="eastAsia"/>
        </w:rPr>
      </w:pPr>
      <w:r>
        <w:rPr>
          <w:rFonts w:ascii="Microsoft JhengHei UI" w:eastAsia="Microsoft JhengHei UI" w:hint="eastAsia"/>
          <w:color w:val="221F1F"/>
        </w:rPr>
        <w:t>壹拾壹、相關問答集：</w:t>
      </w:r>
    </w:p>
    <w:p>
      <w:pPr>
        <w:pStyle w:val="BodyText"/>
        <w:spacing w:line="225" w:lineRule="auto" w:before="6"/>
        <w:ind w:left="1195" w:right="1134" w:firstLine="482"/>
        <w:rPr>
          <w:rFonts w:ascii="Microsoft JhengHei UI" w:eastAsia="Microsoft JhengHei UI" w:hint="eastAsia"/>
        </w:rPr>
      </w:pPr>
      <w:r>
        <w:rPr>
          <w:rFonts w:ascii="Microsoft JhengHei UI" w:eastAsia="Microsoft JhengHei UI" w:hint="eastAsia"/>
          <w:color w:val="221F1F"/>
        </w:rPr>
        <w:t>請參閱疾管署全球資訊網（路徑：傳染病與防疫專題 &gt; 傳染病介紹 &gt; 第三類法定傳染病 &gt; 結核病 &gt; 治療照護 &gt; 潛伏結核感染專區）。</w:t>
      </w: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0"/>
        </w:rPr>
      </w:pPr>
    </w:p>
    <w:p>
      <w:pPr>
        <w:pStyle w:val="BodyText"/>
        <w:rPr>
          <w:rFonts w:ascii="Microsoft JhengHei UI"/>
          <w:sz w:val="27"/>
        </w:rPr>
      </w:pPr>
    </w:p>
    <w:p>
      <w:pPr>
        <w:spacing w:before="95"/>
        <w:ind w:left="0" w:right="100" w:firstLine="0"/>
        <w:jc w:val="right"/>
        <w:rPr>
          <w:rFonts w:ascii="Arial"/>
          <w:sz w:val="16"/>
        </w:rPr>
      </w:pPr>
      <w:r>
        <w:rPr>
          <w:rFonts w:ascii="Arial"/>
          <w:color w:val="221F1F"/>
          <w:w w:val="95"/>
          <w:sz w:val="16"/>
        </w:rPr>
        <w:t>15</w:t>
      </w:r>
    </w:p>
    <w:p>
      <w:pPr>
        <w:spacing w:after="0"/>
        <w:jc w:val="right"/>
        <w:rPr>
          <w:rFonts w:ascii="Arial"/>
          <w:sz w:val="16"/>
        </w:rPr>
        <w:sectPr>
          <w:pgSz w:w="11920" w:h="16840"/>
          <w:pgMar w:top="1040" w:bottom="280" w:left="200" w:right="220"/>
        </w:sectPr>
      </w:pPr>
    </w:p>
    <w:p>
      <w:pPr>
        <w:pStyle w:val="Heading2"/>
        <w:spacing w:line="414" w:lineRule="exact" w:before="25"/>
        <w:ind w:left="820"/>
        <w:rPr>
          <w:rFonts w:ascii="Microsoft JhengHei UI" w:eastAsia="Microsoft JhengHei UI" w:hint="eastAsia"/>
        </w:rPr>
      </w:pPr>
      <w:r>
        <w:rPr>
          <w:rFonts w:ascii="Microsoft JhengHei UI" w:eastAsia="Microsoft JhengHei UI" w:hint="eastAsia"/>
          <w:color w:val="221F1F"/>
        </w:rPr>
        <w:t>壹拾貳、潛伏結核感染</w:t>
      </w:r>
      <w:r>
        <w:rPr>
          <w:rFonts w:ascii="Microsoft JhengHei UI" w:eastAsia="Microsoft JhengHei UI" w:hint="eastAsia"/>
        </w:rPr>
        <w:t>之診斷及治療工作項目分層負責表：</w:t>
      </w:r>
    </w:p>
    <w:p>
      <w:pPr>
        <w:pStyle w:val="BodyText"/>
        <w:spacing w:line="414" w:lineRule="exact" w:after="6"/>
        <w:ind w:left="820"/>
        <w:rPr>
          <w:rFonts w:ascii="Microsoft JhengHei UI" w:eastAsia="Microsoft JhengHei UI" w:hint="eastAsia"/>
        </w:rPr>
      </w:pPr>
      <w:r>
        <w:rPr>
          <w:rFonts w:ascii="Microsoft JhengHei UI" w:eastAsia="Microsoft JhengHei UI" w:hint="eastAsia"/>
        </w:rPr>
        <w:t>表 8、工作項目分層負責表</w:t>
      </w:r>
    </w:p>
    <w:tbl>
      <w:tblPr>
        <w:tblW w:w="0" w:type="auto"/>
        <w:jc w:val="left"/>
        <w:tblInd w:w="1423"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1916"/>
        <w:gridCol w:w="7227"/>
      </w:tblGrid>
      <w:tr>
        <w:trPr>
          <w:trHeight w:val="452" w:hRule="atLeast"/>
        </w:trPr>
        <w:tc>
          <w:tcPr>
            <w:tcW w:w="1916" w:type="dxa"/>
            <w:shd w:val="clear" w:color="auto" w:fill="E6E7E8"/>
          </w:tcPr>
          <w:p>
            <w:pPr>
              <w:pStyle w:val="TableParagraph"/>
              <w:spacing w:line="413" w:lineRule="exact" w:before="20"/>
              <w:ind w:left="454" w:right="446"/>
              <w:jc w:val="center"/>
              <w:rPr>
                <w:rFonts w:ascii="Microsoft JhengHei UI" w:eastAsia="Microsoft JhengHei UI" w:hint="eastAsia"/>
                <w:b/>
                <w:sz w:val="24"/>
              </w:rPr>
            </w:pPr>
            <w:r>
              <w:rPr>
                <w:rFonts w:ascii="Microsoft JhengHei UI" w:eastAsia="Microsoft JhengHei UI" w:hint="eastAsia"/>
                <w:b/>
                <w:color w:val="221F1F"/>
                <w:sz w:val="24"/>
              </w:rPr>
              <w:t>主責單位</w:t>
            </w:r>
          </w:p>
        </w:tc>
        <w:tc>
          <w:tcPr>
            <w:tcW w:w="7227" w:type="dxa"/>
            <w:shd w:val="clear" w:color="auto" w:fill="E6E7E8"/>
          </w:tcPr>
          <w:p>
            <w:pPr>
              <w:pStyle w:val="TableParagraph"/>
              <w:spacing w:line="413" w:lineRule="exact" w:before="20"/>
              <w:ind w:left="3121" w:right="3091"/>
              <w:jc w:val="center"/>
              <w:rPr>
                <w:rFonts w:ascii="Microsoft JhengHei UI" w:eastAsia="Microsoft JhengHei UI" w:hint="eastAsia"/>
                <w:b/>
                <w:sz w:val="24"/>
              </w:rPr>
            </w:pPr>
            <w:r>
              <w:rPr>
                <w:rFonts w:ascii="Microsoft JhengHei UI" w:eastAsia="Microsoft JhengHei UI" w:hint="eastAsia"/>
                <w:b/>
                <w:color w:val="221F1F"/>
                <w:sz w:val="24"/>
              </w:rPr>
              <w:t>工作項目</w:t>
            </w:r>
          </w:p>
        </w:tc>
      </w:tr>
      <w:tr>
        <w:trPr>
          <w:trHeight w:val="9630" w:hRule="atLeast"/>
        </w:trPr>
        <w:tc>
          <w:tcPr>
            <w:tcW w:w="1916" w:type="dxa"/>
          </w:tcPr>
          <w:p>
            <w:pPr>
              <w:pStyle w:val="TableParagraph"/>
              <w:rPr>
                <w:rFonts w:ascii="Microsoft JhengHei UI"/>
                <w:sz w:val="30"/>
              </w:rPr>
            </w:pPr>
          </w:p>
          <w:p>
            <w:pPr>
              <w:pStyle w:val="TableParagraph"/>
              <w:rPr>
                <w:rFonts w:ascii="Microsoft JhengHei UI"/>
                <w:sz w:val="30"/>
              </w:rPr>
            </w:pPr>
          </w:p>
          <w:p>
            <w:pPr>
              <w:pStyle w:val="TableParagraph"/>
              <w:rPr>
                <w:rFonts w:ascii="Microsoft JhengHei UI"/>
                <w:sz w:val="30"/>
              </w:rPr>
            </w:pPr>
          </w:p>
          <w:p>
            <w:pPr>
              <w:pStyle w:val="TableParagraph"/>
              <w:rPr>
                <w:rFonts w:ascii="Microsoft JhengHei UI"/>
                <w:sz w:val="30"/>
              </w:rPr>
            </w:pPr>
          </w:p>
          <w:p>
            <w:pPr>
              <w:pStyle w:val="TableParagraph"/>
              <w:rPr>
                <w:rFonts w:ascii="Microsoft JhengHei UI"/>
                <w:sz w:val="30"/>
              </w:rPr>
            </w:pPr>
          </w:p>
          <w:p>
            <w:pPr>
              <w:pStyle w:val="TableParagraph"/>
              <w:rPr>
                <w:rFonts w:ascii="Microsoft JhengHei UI"/>
                <w:sz w:val="30"/>
              </w:rPr>
            </w:pPr>
          </w:p>
          <w:p>
            <w:pPr>
              <w:pStyle w:val="TableParagraph"/>
              <w:rPr>
                <w:rFonts w:ascii="Microsoft JhengHei UI"/>
                <w:sz w:val="30"/>
              </w:rPr>
            </w:pPr>
          </w:p>
          <w:p>
            <w:pPr>
              <w:pStyle w:val="TableParagraph"/>
              <w:rPr>
                <w:rFonts w:ascii="Microsoft JhengHei UI"/>
                <w:sz w:val="30"/>
              </w:rPr>
            </w:pPr>
          </w:p>
          <w:p>
            <w:pPr>
              <w:pStyle w:val="TableParagraph"/>
              <w:spacing w:before="15"/>
              <w:rPr>
                <w:rFonts w:ascii="Microsoft JhengHei UI"/>
                <w:sz w:val="16"/>
              </w:rPr>
            </w:pPr>
          </w:p>
          <w:p>
            <w:pPr>
              <w:pStyle w:val="TableParagraph"/>
              <w:spacing w:before="1"/>
              <w:ind w:left="454" w:right="445"/>
              <w:jc w:val="center"/>
              <w:rPr>
                <w:rFonts w:ascii="Microsoft JhengHei UI" w:eastAsia="Microsoft JhengHei UI" w:hint="eastAsia"/>
                <w:sz w:val="24"/>
              </w:rPr>
            </w:pPr>
            <w:r>
              <w:rPr>
                <w:rFonts w:ascii="Microsoft JhengHei UI" w:eastAsia="Microsoft JhengHei UI" w:hint="eastAsia"/>
                <w:color w:val="221F1F"/>
                <w:sz w:val="24"/>
              </w:rPr>
              <w:t>衛生所</w:t>
            </w:r>
          </w:p>
        </w:tc>
        <w:tc>
          <w:tcPr>
            <w:tcW w:w="7227" w:type="dxa"/>
          </w:tcPr>
          <w:p>
            <w:pPr>
              <w:pStyle w:val="TableParagraph"/>
              <w:numPr>
                <w:ilvl w:val="0"/>
                <w:numId w:val="44"/>
              </w:numPr>
              <w:tabs>
                <w:tab w:pos="354" w:val="left" w:leader="none"/>
              </w:tabs>
              <w:spacing w:line="389" w:lineRule="exact" w:before="19" w:after="0"/>
              <w:ind w:left="353" w:right="0" w:hanging="245"/>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接觸者進行轉介前評估</w:t>
            </w:r>
          </w:p>
          <w:p>
            <w:pPr>
              <w:pStyle w:val="TableParagraph"/>
              <w:numPr>
                <w:ilvl w:val="0"/>
                <w:numId w:val="45"/>
              </w:numPr>
              <w:tabs>
                <w:tab w:pos="415" w:val="left" w:leader="none"/>
              </w:tabs>
              <w:spacing w:line="373" w:lineRule="exact" w:before="0" w:after="0"/>
              <w:ind w:left="414" w:right="0" w:hanging="306"/>
              <w:jc w:val="left"/>
              <w:rPr>
                <w:rFonts w:ascii="Microsoft JhengHei UI" w:eastAsia="Microsoft JhengHei UI" w:hint="eastAsia"/>
                <w:sz w:val="24"/>
              </w:rPr>
            </w:pPr>
            <w:r>
              <w:rPr>
                <w:rFonts w:ascii="Microsoft JhengHei UI" w:eastAsia="Microsoft JhengHei UI" w:hint="eastAsia"/>
                <w:spacing w:val="19"/>
                <w:sz w:val="24"/>
              </w:rPr>
              <w:t>是否曾為結核病個案或曾進行 </w:t>
            </w:r>
            <w:r>
              <w:rPr>
                <w:rFonts w:ascii="Microsoft JhengHei UI" w:eastAsia="Microsoft JhengHei UI" w:hint="eastAsia"/>
                <w:spacing w:val="-4"/>
                <w:sz w:val="24"/>
              </w:rPr>
              <w:t>LTBI</w:t>
            </w:r>
            <w:r>
              <w:rPr>
                <w:rFonts w:ascii="Microsoft JhengHei UI" w:eastAsia="Microsoft JhengHei UI" w:hint="eastAsia"/>
                <w:spacing w:val="19"/>
                <w:sz w:val="24"/>
              </w:rPr>
              <w:t> 檢驗結果陽性或不確定</w:t>
            </w:r>
          </w:p>
          <w:p>
            <w:pPr>
              <w:pStyle w:val="TableParagraph"/>
              <w:spacing w:line="399" w:lineRule="exact"/>
              <w:ind w:left="109"/>
              <w:rPr>
                <w:rFonts w:ascii="Microsoft JhengHei UI" w:eastAsia="Microsoft JhengHei UI" w:hint="eastAsia"/>
                <w:sz w:val="24"/>
              </w:rPr>
            </w:pPr>
            <w:r>
              <w:rPr>
                <w:rFonts w:ascii="Microsoft JhengHei UI" w:eastAsia="Microsoft JhengHei UI" w:hint="eastAsia"/>
                <w:sz w:val="24"/>
              </w:rPr>
              <w:t>（indeterminate）者</w:t>
            </w:r>
          </w:p>
          <w:p>
            <w:pPr>
              <w:pStyle w:val="TableParagraph"/>
              <w:numPr>
                <w:ilvl w:val="0"/>
                <w:numId w:val="45"/>
              </w:numPr>
              <w:tabs>
                <w:tab w:pos="363" w:val="left" w:leader="none"/>
              </w:tabs>
              <w:spacing w:line="225" w:lineRule="auto" w:before="6" w:after="0"/>
              <w:ind w:left="365" w:right="99" w:hanging="256"/>
              <w:jc w:val="both"/>
              <w:rPr>
                <w:rFonts w:ascii="Microsoft JhengHei UI" w:eastAsia="Microsoft JhengHei UI" w:hint="eastAsia"/>
                <w:sz w:val="24"/>
              </w:rPr>
            </w:pPr>
            <w:r>
              <w:rPr>
                <w:rFonts w:ascii="Microsoft JhengHei UI" w:eastAsia="Microsoft JhengHei UI" w:hint="eastAsia"/>
                <w:spacing w:val="4"/>
                <w:sz w:val="24"/>
              </w:rPr>
              <w:t>是否曾完成 </w:t>
            </w:r>
            <w:r>
              <w:rPr>
                <w:rFonts w:ascii="Microsoft JhengHei UI" w:eastAsia="Microsoft JhengHei UI" w:hint="eastAsia"/>
                <w:spacing w:val="-4"/>
                <w:sz w:val="24"/>
              </w:rPr>
              <w:t>LTBI</w:t>
            </w:r>
            <w:r>
              <w:rPr>
                <w:rFonts w:ascii="Microsoft JhengHei UI" w:eastAsia="Microsoft JhengHei UI" w:hint="eastAsia"/>
                <w:spacing w:val="1"/>
                <w:sz w:val="24"/>
              </w:rPr>
              <w:t> 治療、中斷治療者瞭解原因，並設法克服直至完成治療</w:t>
            </w:r>
          </w:p>
          <w:p>
            <w:pPr>
              <w:pStyle w:val="TableParagraph"/>
              <w:numPr>
                <w:ilvl w:val="0"/>
                <w:numId w:val="45"/>
              </w:numPr>
              <w:tabs>
                <w:tab w:pos="362" w:val="left" w:leader="none"/>
              </w:tabs>
              <w:spacing w:line="225" w:lineRule="auto" w:before="1" w:after="0"/>
              <w:ind w:left="365" w:right="99" w:hanging="256"/>
              <w:jc w:val="both"/>
              <w:rPr>
                <w:rFonts w:ascii="Microsoft JhengHei UI" w:eastAsia="Microsoft JhengHei UI" w:hint="eastAsia"/>
                <w:sz w:val="24"/>
              </w:rPr>
            </w:pPr>
            <w:r>
              <w:rPr>
                <w:rFonts w:ascii="Microsoft JhengHei UI" w:eastAsia="Microsoft JhengHei UI" w:hint="eastAsia"/>
                <w:sz w:val="24"/>
              </w:rPr>
              <w:t>倘該接觸者曾暴露抗藥的指標個案且未完成治療，轉介時請一併</w:t>
            </w:r>
            <w:r>
              <w:rPr>
                <w:rFonts w:ascii="Microsoft JhengHei UI" w:eastAsia="Microsoft JhengHei UI" w:hint="eastAsia"/>
                <w:spacing w:val="8"/>
                <w:sz w:val="24"/>
              </w:rPr>
              <w:t>提供前次指標個案藥敏結果給合作醫師作為治療處方之參考、其他高發病風險因子及身體健康狀況等轉介至合作醫師評估治療</w:t>
            </w:r>
          </w:p>
          <w:p>
            <w:pPr>
              <w:pStyle w:val="TableParagraph"/>
              <w:numPr>
                <w:ilvl w:val="0"/>
                <w:numId w:val="46"/>
              </w:numPr>
              <w:tabs>
                <w:tab w:pos="351" w:val="left" w:leader="none"/>
              </w:tabs>
              <w:spacing w:line="389" w:lineRule="exact" w:before="18" w:after="0"/>
              <w:ind w:left="350" w:right="0" w:hanging="242"/>
              <w:jc w:val="both"/>
              <w:rPr>
                <w:rFonts w:ascii="Microsoft JhengHei UI" w:hAnsi="Microsoft JhengHei UI" w:eastAsia="Microsoft JhengHei UI" w:hint="eastAsia"/>
                <w:sz w:val="24"/>
              </w:rPr>
            </w:pPr>
            <w:r>
              <w:rPr>
                <w:rFonts w:ascii="Microsoft JhengHei UI" w:hAnsi="Microsoft JhengHei UI" w:eastAsia="Microsoft JhengHei UI" w:hint="eastAsia"/>
                <w:sz w:val="24"/>
              </w:rPr>
              <w:t>收案管理作業</w:t>
            </w:r>
          </w:p>
          <w:p>
            <w:pPr>
              <w:pStyle w:val="TableParagraph"/>
              <w:numPr>
                <w:ilvl w:val="0"/>
                <w:numId w:val="47"/>
              </w:numPr>
              <w:tabs>
                <w:tab w:pos="366" w:val="left" w:leader="none"/>
              </w:tabs>
              <w:spacing w:line="376" w:lineRule="exact" w:before="0" w:after="0"/>
              <w:ind w:left="365" w:right="0" w:hanging="257"/>
              <w:jc w:val="both"/>
              <w:rPr>
                <w:rFonts w:ascii="Microsoft JhengHei UI" w:eastAsia="Microsoft JhengHei UI" w:hint="eastAsia"/>
                <w:sz w:val="24"/>
              </w:rPr>
            </w:pPr>
            <w:r>
              <w:rPr>
                <w:rFonts w:ascii="Microsoft JhengHei UI" w:eastAsia="Microsoft JhengHei UI" w:hint="eastAsia"/>
                <w:sz w:val="24"/>
              </w:rPr>
              <w:t>追蹤轉介個案就醫情形，加入治療者儘速收案管理</w:t>
            </w:r>
          </w:p>
          <w:p>
            <w:pPr>
              <w:pStyle w:val="TableParagraph"/>
              <w:numPr>
                <w:ilvl w:val="0"/>
                <w:numId w:val="47"/>
              </w:numPr>
              <w:tabs>
                <w:tab w:pos="395" w:val="left" w:leader="none"/>
              </w:tabs>
              <w:spacing w:line="225" w:lineRule="auto" w:before="5" w:after="0"/>
              <w:ind w:left="365" w:right="99" w:hanging="256"/>
              <w:jc w:val="both"/>
              <w:rPr>
                <w:rFonts w:ascii="Microsoft JhengHei UI" w:eastAsia="Microsoft JhengHei UI" w:hint="eastAsia"/>
                <w:sz w:val="24"/>
              </w:rPr>
            </w:pPr>
            <w:r>
              <w:rPr>
                <w:rFonts w:ascii="Microsoft JhengHei UI" w:eastAsia="Microsoft JhengHei UI" w:hint="eastAsia"/>
                <w:spacing w:val="4"/>
                <w:sz w:val="24"/>
              </w:rPr>
              <w:t>確認及維護 </w:t>
            </w:r>
            <w:r>
              <w:rPr>
                <w:rFonts w:ascii="Microsoft JhengHei UI" w:eastAsia="Microsoft JhengHei UI" w:hint="eastAsia"/>
                <w:sz w:val="24"/>
              </w:rPr>
              <w:t>TB 系統，院所用藥介接資料之時效性及正確性；針</w:t>
            </w:r>
            <w:r>
              <w:rPr>
                <w:rFonts w:ascii="Microsoft JhengHei UI" w:eastAsia="Microsoft JhengHei UI" w:hint="eastAsia"/>
                <w:spacing w:val="2"/>
                <w:sz w:val="24"/>
              </w:rPr>
              <w:t>對系統警示已接受 </w:t>
            </w:r>
            <w:r>
              <w:rPr>
                <w:rFonts w:ascii="Microsoft JhengHei UI" w:eastAsia="Microsoft JhengHei UI" w:hint="eastAsia"/>
                <w:spacing w:val="-4"/>
                <w:sz w:val="24"/>
              </w:rPr>
              <w:t>LTBI</w:t>
            </w:r>
            <w:r>
              <w:rPr>
                <w:rFonts w:ascii="Microsoft JhengHei UI" w:eastAsia="Microsoft JhengHei UI" w:hint="eastAsia"/>
                <w:spacing w:val="3"/>
                <w:sz w:val="24"/>
              </w:rPr>
              <w:t> 治療，衛生機關尚未完成收案清單，儘</w:t>
            </w:r>
            <w:r>
              <w:rPr>
                <w:rFonts w:ascii="Microsoft JhengHei UI" w:eastAsia="Microsoft JhengHei UI" w:hint="eastAsia"/>
                <w:sz w:val="24"/>
              </w:rPr>
              <w:t>速收案管理</w:t>
            </w:r>
          </w:p>
          <w:p>
            <w:pPr>
              <w:pStyle w:val="TableParagraph"/>
              <w:numPr>
                <w:ilvl w:val="0"/>
                <w:numId w:val="47"/>
              </w:numPr>
              <w:tabs>
                <w:tab w:pos="366" w:val="left" w:leader="none"/>
              </w:tabs>
              <w:spacing w:line="397" w:lineRule="exact" w:before="0" w:after="0"/>
              <w:ind w:left="365" w:right="0" w:hanging="257"/>
              <w:jc w:val="both"/>
              <w:rPr>
                <w:rFonts w:ascii="Microsoft JhengHei UI" w:eastAsia="Microsoft JhengHei UI" w:hint="eastAsia"/>
                <w:sz w:val="24"/>
              </w:rPr>
            </w:pPr>
            <w:r>
              <w:rPr>
                <w:rFonts w:ascii="Microsoft JhengHei UI" w:eastAsia="Microsoft JhengHei UI" w:hint="eastAsia"/>
                <w:sz w:val="24"/>
              </w:rPr>
              <w:t>衛教 /</w:t>
            </w:r>
            <w:r>
              <w:rPr>
                <w:rFonts w:ascii="Microsoft JhengHei UI" w:eastAsia="Microsoft JhengHei UI" w:hint="eastAsia"/>
                <w:spacing w:val="-1"/>
                <w:sz w:val="24"/>
              </w:rPr>
              <w:t> 處方正確性 </w:t>
            </w:r>
            <w:r>
              <w:rPr>
                <w:rFonts w:ascii="Microsoft JhengHei UI" w:eastAsia="Microsoft JhengHei UI" w:hint="eastAsia"/>
                <w:sz w:val="24"/>
              </w:rPr>
              <w:t>/</w:t>
            </w:r>
            <w:r>
              <w:rPr>
                <w:rFonts w:ascii="Microsoft JhengHei UI" w:eastAsia="Microsoft JhengHei UI" w:hint="eastAsia"/>
                <w:spacing w:val="-1"/>
                <w:sz w:val="24"/>
              </w:rPr>
              <w:t> 副作用評估</w:t>
            </w:r>
          </w:p>
          <w:p>
            <w:pPr>
              <w:pStyle w:val="TableParagraph"/>
              <w:numPr>
                <w:ilvl w:val="0"/>
                <w:numId w:val="47"/>
              </w:numPr>
              <w:tabs>
                <w:tab w:pos="366" w:val="left" w:leader="none"/>
              </w:tabs>
              <w:spacing w:line="402" w:lineRule="exact" w:before="0" w:after="0"/>
              <w:ind w:left="365" w:right="0" w:hanging="257"/>
              <w:jc w:val="both"/>
              <w:rPr>
                <w:rFonts w:ascii="Microsoft JhengHei UI" w:eastAsia="Microsoft JhengHei UI" w:hint="eastAsia"/>
                <w:sz w:val="24"/>
              </w:rPr>
            </w:pPr>
            <w:r>
              <w:rPr>
                <w:rFonts w:ascii="Microsoft JhengHei UI" w:eastAsia="Microsoft JhengHei UI" w:hint="eastAsia"/>
                <w:sz w:val="24"/>
              </w:rPr>
              <w:t>衛教個案加入都治計畫配合事項</w:t>
            </w:r>
          </w:p>
          <w:p>
            <w:pPr>
              <w:pStyle w:val="TableParagraph"/>
              <w:numPr>
                <w:ilvl w:val="0"/>
                <w:numId w:val="47"/>
              </w:numPr>
              <w:tabs>
                <w:tab w:pos="385" w:val="left" w:leader="none"/>
              </w:tabs>
              <w:spacing w:line="223" w:lineRule="auto" w:before="9" w:after="0"/>
              <w:ind w:left="354" w:right="100" w:hanging="240"/>
              <w:jc w:val="both"/>
              <w:rPr>
                <w:rFonts w:ascii="Microsoft JhengHei UI" w:eastAsia="Microsoft JhengHei UI" w:hint="eastAsia"/>
                <w:sz w:val="24"/>
              </w:rPr>
            </w:pPr>
            <w:r>
              <w:rPr>
                <w:rFonts w:ascii="Microsoft JhengHei UI" w:eastAsia="Microsoft JhengHei UI" w:hint="eastAsia"/>
                <w:sz w:val="24"/>
              </w:rPr>
              <w:t>接觸者 </w:t>
            </w:r>
            <w:r>
              <w:rPr>
                <w:rFonts w:ascii="Microsoft JhengHei UI" w:eastAsia="Microsoft JhengHei UI" w:hint="eastAsia"/>
                <w:spacing w:val="-4"/>
                <w:sz w:val="24"/>
              </w:rPr>
              <w:t>LTBI</w:t>
            </w:r>
            <w:r>
              <w:rPr>
                <w:rFonts w:ascii="Microsoft JhengHei UI" w:eastAsia="Microsoft JhengHei UI" w:hint="eastAsia"/>
                <w:spacing w:val="-1"/>
                <w:sz w:val="24"/>
              </w:rPr>
              <w:t> 治療個案應至少每月訪視 </w:t>
            </w:r>
            <w:r>
              <w:rPr>
                <w:rFonts w:ascii="Microsoft JhengHei UI" w:eastAsia="Microsoft JhengHei UI" w:hint="eastAsia"/>
                <w:sz w:val="24"/>
              </w:rPr>
              <w:t>1 次；其餘 LTBI 專案無需</w:t>
            </w:r>
            <w:r>
              <w:rPr>
                <w:rFonts w:ascii="Microsoft JhengHei UI" w:eastAsia="Microsoft JhengHei UI" w:hint="eastAsia"/>
                <w:spacing w:val="-1"/>
                <w:sz w:val="24"/>
              </w:rPr>
              <w:t>比照接觸者，惟若發生藥品不良反應等特殊狀況，應增加訪視頻率。訪視結果均需維護於 </w:t>
            </w:r>
            <w:r>
              <w:rPr>
                <w:rFonts w:ascii="Microsoft JhengHei UI" w:eastAsia="Microsoft JhengHei UI" w:hint="eastAsia"/>
                <w:sz w:val="24"/>
              </w:rPr>
              <w:t>TB 系統</w:t>
            </w:r>
          </w:p>
          <w:p>
            <w:pPr>
              <w:pStyle w:val="TableParagraph"/>
              <w:numPr>
                <w:ilvl w:val="0"/>
                <w:numId w:val="47"/>
              </w:numPr>
              <w:tabs>
                <w:tab w:pos="366" w:val="left" w:leader="none"/>
              </w:tabs>
              <w:spacing w:line="395" w:lineRule="exact" w:before="0" w:after="0"/>
              <w:ind w:left="365" w:right="0" w:hanging="257"/>
              <w:jc w:val="both"/>
              <w:rPr>
                <w:rFonts w:ascii="Microsoft JhengHei UI" w:eastAsia="Microsoft JhengHei UI" w:hint="eastAsia"/>
                <w:sz w:val="24"/>
              </w:rPr>
            </w:pPr>
            <w:r>
              <w:rPr>
                <w:rFonts w:ascii="Microsoft JhengHei UI" w:eastAsia="Microsoft JhengHei UI" w:hint="eastAsia"/>
                <w:spacing w:val="-1"/>
                <w:sz w:val="24"/>
              </w:rPr>
              <w:t>管理至中斷 </w:t>
            </w:r>
            <w:r>
              <w:rPr>
                <w:rFonts w:ascii="Microsoft JhengHei UI" w:eastAsia="Microsoft JhengHei UI" w:hint="eastAsia"/>
                <w:sz w:val="24"/>
              </w:rPr>
              <w:t>/</w:t>
            </w:r>
            <w:r>
              <w:rPr>
                <w:rFonts w:ascii="Microsoft JhengHei UI" w:eastAsia="Microsoft JhengHei UI" w:hint="eastAsia"/>
                <w:spacing w:val="-1"/>
                <w:sz w:val="24"/>
              </w:rPr>
              <w:t> 完成治療並儘速於 </w:t>
            </w:r>
            <w:r>
              <w:rPr>
                <w:rFonts w:ascii="Microsoft JhengHei UI" w:eastAsia="Microsoft JhengHei UI" w:hint="eastAsia"/>
                <w:sz w:val="24"/>
              </w:rPr>
              <w:t>TB 系統維護銷案作業</w:t>
            </w:r>
          </w:p>
          <w:p>
            <w:pPr>
              <w:pStyle w:val="TableParagraph"/>
              <w:numPr>
                <w:ilvl w:val="0"/>
                <w:numId w:val="47"/>
              </w:numPr>
              <w:tabs>
                <w:tab w:pos="368" w:val="left" w:leader="none"/>
              </w:tabs>
              <w:spacing w:line="225" w:lineRule="auto" w:before="4" w:after="0"/>
              <w:ind w:left="365" w:right="99" w:hanging="256"/>
              <w:jc w:val="both"/>
              <w:rPr>
                <w:rFonts w:ascii="Microsoft JhengHei UI" w:eastAsia="Microsoft JhengHei UI" w:hint="eastAsia"/>
                <w:sz w:val="24"/>
              </w:rPr>
            </w:pPr>
            <w:r>
              <w:rPr>
                <w:rFonts w:ascii="Microsoft JhengHei UI" w:eastAsia="Microsoft JhengHei UI" w:hint="eastAsia"/>
                <w:sz w:val="24"/>
              </w:rPr>
              <w:t>未按規完成 </w:t>
            </w:r>
            <w:r>
              <w:rPr>
                <w:rFonts w:ascii="Microsoft JhengHei UI" w:eastAsia="Microsoft JhengHei UI" w:hint="eastAsia"/>
                <w:spacing w:val="-4"/>
                <w:sz w:val="24"/>
              </w:rPr>
              <w:t>LTBI</w:t>
            </w:r>
            <w:r>
              <w:rPr>
                <w:rFonts w:ascii="Microsoft JhengHei UI" w:eastAsia="Microsoft JhengHei UI" w:hint="eastAsia"/>
                <w:sz w:val="24"/>
              </w:rPr>
              <w:t> 檢驗或應接受治療未完成治療者，追蹤第 12</w:t>
            </w:r>
            <w:r>
              <w:rPr>
                <w:rFonts w:ascii="Microsoft JhengHei UI" w:eastAsia="Microsoft JhengHei UI" w:hint="eastAsia"/>
                <w:spacing w:val="-6"/>
                <w:sz w:val="24"/>
              </w:rPr>
              <w:t> 個</w:t>
            </w:r>
            <w:r>
              <w:rPr>
                <w:rFonts w:ascii="Microsoft JhengHei UI" w:eastAsia="Microsoft JhengHei UI" w:hint="eastAsia"/>
                <w:spacing w:val="18"/>
                <w:sz w:val="24"/>
              </w:rPr>
              <w:t>月胸部</w:t>
            </w:r>
            <w:r>
              <w:rPr>
                <w:rFonts w:ascii="Microsoft JhengHei UI" w:eastAsia="Microsoft JhengHei UI" w:hint="eastAsia"/>
                <w:sz w:val="24"/>
              </w:rPr>
              <w:t>X</w:t>
            </w:r>
            <w:r>
              <w:rPr>
                <w:rFonts w:ascii="Microsoft JhengHei UI" w:eastAsia="Microsoft JhengHei UI" w:hint="eastAsia"/>
                <w:spacing w:val="-3"/>
                <w:sz w:val="24"/>
              </w:rPr>
              <w:t> 光檢查時，再次衛教發病風險，鼓勵完成檢查及治療； </w:t>
            </w:r>
            <w:r>
              <w:rPr>
                <w:rFonts w:ascii="Microsoft JhengHei UI" w:eastAsia="Microsoft JhengHei UI" w:hint="eastAsia"/>
                <w:spacing w:val="-1"/>
                <w:sz w:val="24"/>
              </w:rPr>
              <w:t>指標個案若為 </w:t>
            </w:r>
            <w:r>
              <w:rPr>
                <w:rFonts w:ascii="Microsoft JhengHei UI" w:eastAsia="Microsoft JhengHei UI" w:hint="eastAsia"/>
                <w:sz w:val="24"/>
              </w:rPr>
              <w:t>MDR-TB，</w:t>
            </w:r>
            <w:r>
              <w:rPr>
                <w:rFonts w:ascii="Microsoft JhengHei UI" w:eastAsia="Microsoft JhengHei UI" w:hint="eastAsia"/>
                <w:spacing w:val="-1"/>
                <w:sz w:val="24"/>
              </w:rPr>
              <w:t>此類接觸者應每隔半年進行 </w:t>
            </w:r>
            <w:r>
              <w:rPr>
                <w:rFonts w:ascii="Microsoft JhengHei UI" w:eastAsia="Microsoft JhengHei UI" w:hint="eastAsia"/>
                <w:sz w:val="24"/>
              </w:rPr>
              <w:t>1</w:t>
            </w:r>
            <w:r>
              <w:rPr>
                <w:rFonts w:ascii="Microsoft JhengHei UI" w:eastAsia="Microsoft JhengHei UI" w:hint="eastAsia"/>
                <w:spacing w:val="12"/>
                <w:sz w:val="24"/>
              </w:rPr>
              <w:t> 次胸部</w:t>
            </w:r>
            <w:r>
              <w:rPr>
                <w:rFonts w:ascii="Microsoft JhengHei UI" w:eastAsia="Microsoft JhengHei UI" w:hint="eastAsia"/>
                <w:spacing w:val="-12"/>
                <w:sz w:val="24"/>
              </w:rPr>
              <w:t>X </w:t>
            </w:r>
            <w:r>
              <w:rPr>
                <w:rFonts w:ascii="Microsoft JhengHei UI" w:eastAsia="Microsoft JhengHei UI" w:hint="eastAsia"/>
                <w:sz w:val="24"/>
              </w:rPr>
              <w:t>光檢查，且持續追蹤至與指標個案停止接觸後 2</w:t>
            </w:r>
            <w:r>
              <w:rPr>
                <w:rFonts w:ascii="Microsoft JhengHei UI" w:eastAsia="Microsoft JhengHei UI" w:hint="eastAsia"/>
                <w:spacing w:val="-2"/>
                <w:sz w:val="24"/>
              </w:rPr>
              <w:t> 年或指標個案痰</w:t>
            </w:r>
            <w:r>
              <w:rPr>
                <w:rFonts w:ascii="Microsoft JhengHei UI" w:eastAsia="Microsoft JhengHei UI" w:hint="eastAsia"/>
                <w:sz w:val="24"/>
              </w:rPr>
              <w:t>培養陰轉後 2 年</w:t>
            </w:r>
          </w:p>
        </w:tc>
      </w:tr>
    </w:tbl>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rPr>
          <w:rFonts w:ascii="Microsoft JhengHei UI"/>
          <w:sz w:val="30"/>
        </w:rPr>
      </w:pPr>
    </w:p>
    <w:p>
      <w:pPr>
        <w:pStyle w:val="BodyText"/>
        <w:spacing w:before="7"/>
        <w:rPr>
          <w:rFonts w:ascii="Microsoft JhengHei UI"/>
          <w:sz w:val="27"/>
        </w:rPr>
      </w:pPr>
    </w:p>
    <w:p>
      <w:pPr>
        <w:spacing w:before="0"/>
        <w:ind w:left="110" w:right="0" w:firstLine="0"/>
        <w:jc w:val="left"/>
        <w:rPr>
          <w:rFonts w:ascii="Arial"/>
          <w:sz w:val="16"/>
        </w:rPr>
      </w:pPr>
      <w:r>
        <w:rPr>
          <w:rFonts w:ascii="Arial"/>
          <w:color w:val="221F1F"/>
          <w:sz w:val="16"/>
        </w:rPr>
        <w:t>16</w:t>
      </w:r>
    </w:p>
    <w:p>
      <w:pPr>
        <w:spacing w:after="0"/>
        <w:jc w:val="left"/>
        <w:rPr>
          <w:rFonts w:ascii="Arial"/>
          <w:sz w:val="16"/>
        </w:rPr>
        <w:sectPr>
          <w:pgSz w:w="11920" w:h="16840"/>
          <w:pgMar w:top="1040" w:bottom="280" w:left="200" w:right="220"/>
        </w:sectPr>
      </w:pPr>
    </w:p>
    <w:tbl>
      <w:tblPr>
        <w:tblW w:w="0" w:type="auto"/>
        <w:jc w:val="left"/>
        <w:tblInd w:w="1423" w:type="dxa"/>
        <w:tblBorders>
          <w:top w:val="single" w:sz="6" w:space="0" w:color="929497"/>
          <w:left w:val="single" w:sz="6" w:space="0" w:color="929497"/>
          <w:bottom w:val="single" w:sz="6" w:space="0" w:color="929497"/>
          <w:right w:val="single" w:sz="6" w:space="0" w:color="929497"/>
          <w:insideH w:val="single" w:sz="6" w:space="0" w:color="929497"/>
          <w:insideV w:val="single" w:sz="6" w:space="0" w:color="929497"/>
        </w:tblBorders>
        <w:tblLayout w:type="fixed"/>
        <w:tblCellMar>
          <w:top w:w="0" w:type="dxa"/>
          <w:left w:w="0" w:type="dxa"/>
          <w:bottom w:w="0" w:type="dxa"/>
          <w:right w:w="0" w:type="dxa"/>
        </w:tblCellMar>
        <w:tblLook w:val="01E0"/>
      </w:tblPr>
      <w:tblGrid>
        <w:gridCol w:w="1916"/>
        <w:gridCol w:w="7228"/>
      </w:tblGrid>
      <w:tr>
        <w:trPr>
          <w:trHeight w:val="453" w:hRule="atLeast"/>
        </w:trPr>
        <w:tc>
          <w:tcPr>
            <w:tcW w:w="1916" w:type="dxa"/>
            <w:shd w:val="clear" w:color="auto" w:fill="E6E7E8"/>
          </w:tcPr>
          <w:p>
            <w:pPr>
              <w:pStyle w:val="TableParagraph"/>
              <w:spacing w:line="419" w:lineRule="exact" w:before="14"/>
              <w:ind w:left="454" w:right="446"/>
              <w:jc w:val="center"/>
              <w:rPr>
                <w:rFonts w:ascii="Microsoft JhengHei UI" w:eastAsia="Microsoft JhengHei UI" w:hint="eastAsia"/>
                <w:b/>
                <w:sz w:val="24"/>
              </w:rPr>
            </w:pPr>
            <w:r>
              <w:rPr>
                <w:rFonts w:ascii="Microsoft JhengHei UI" w:eastAsia="Microsoft JhengHei UI" w:hint="eastAsia"/>
                <w:b/>
                <w:color w:val="221F1F"/>
                <w:sz w:val="24"/>
              </w:rPr>
              <w:t>主責單位</w:t>
            </w:r>
          </w:p>
        </w:tc>
        <w:tc>
          <w:tcPr>
            <w:tcW w:w="7228" w:type="dxa"/>
            <w:shd w:val="clear" w:color="auto" w:fill="E6E7E8"/>
          </w:tcPr>
          <w:p>
            <w:pPr>
              <w:pStyle w:val="TableParagraph"/>
              <w:spacing w:line="419" w:lineRule="exact" w:before="14"/>
              <w:ind w:left="3121" w:right="3092"/>
              <w:jc w:val="center"/>
              <w:rPr>
                <w:rFonts w:ascii="Microsoft JhengHei UI" w:eastAsia="Microsoft JhengHei UI" w:hint="eastAsia"/>
                <w:b/>
                <w:sz w:val="24"/>
              </w:rPr>
            </w:pPr>
            <w:r>
              <w:rPr>
                <w:rFonts w:ascii="Microsoft JhengHei UI" w:eastAsia="Microsoft JhengHei UI" w:hint="eastAsia"/>
                <w:b/>
                <w:color w:val="221F1F"/>
                <w:sz w:val="24"/>
              </w:rPr>
              <w:t>工作項目</w:t>
            </w:r>
          </w:p>
        </w:tc>
      </w:tr>
      <w:tr>
        <w:trPr>
          <w:trHeight w:val="2411" w:hRule="atLeast"/>
        </w:trPr>
        <w:tc>
          <w:tcPr>
            <w:tcW w:w="1916" w:type="dxa"/>
          </w:tcPr>
          <w:p>
            <w:pPr>
              <w:pStyle w:val="TableParagraph"/>
              <w:rPr>
                <w:rFonts w:ascii="Arial"/>
                <w:sz w:val="30"/>
              </w:rPr>
            </w:pPr>
          </w:p>
          <w:p>
            <w:pPr>
              <w:pStyle w:val="TableParagraph"/>
              <w:rPr>
                <w:rFonts w:ascii="Arial"/>
                <w:sz w:val="30"/>
              </w:rPr>
            </w:pPr>
          </w:p>
          <w:p>
            <w:pPr>
              <w:pStyle w:val="TableParagraph"/>
              <w:spacing w:before="5"/>
              <w:rPr>
                <w:rFonts w:ascii="Arial"/>
                <w:sz w:val="23"/>
              </w:rPr>
            </w:pPr>
          </w:p>
          <w:p>
            <w:pPr>
              <w:pStyle w:val="TableParagraph"/>
              <w:ind w:left="454" w:right="442"/>
              <w:jc w:val="center"/>
              <w:rPr>
                <w:rFonts w:ascii="Microsoft JhengHei UI" w:eastAsia="Microsoft JhengHei UI" w:hint="eastAsia"/>
                <w:sz w:val="24"/>
              </w:rPr>
            </w:pPr>
            <w:r>
              <w:rPr>
                <w:rFonts w:ascii="Microsoft JhengHei UI" w:eastAsia="Microsoft JhengHei UI" w:hint="eastAsia"/>
                <w:color w:val="221F1F"/>
                <w:sz w:val="24"/>
              </w:rPr>
              <w:t>衛生局</w:t>
            </w:r>
          </w:p>
        </w:tc>
        <w:tc>
          <w:tcPr>
            <w:tcW w:w="7228" w:type="dxa"/>
          </w:tcPr>
          <w:p>
            <w:pPr>
              <w:pStyle w:val="TableParagraph"/>
              <w:numPr>
                <w:ilvl w:val="0"/>
                <w:numId w:val="48"/>
              </w:numPr>
              <w:tabs>
                <w:tab w:pos="354" w:val="left" w:leader="none"/>
              </w:tabs>
              <w:spacing w:line="391" w:lineRule="exact" w:before="0" w:after="0"/>
              <w:ind w:left="353" w:right="0" w:hanging="245"/>
              <w:jc w:val="left"/>
              <w:rPr>
                <w:rFonts w:ascii="Microsoft JhengHei UI" w:hAnsi="Microsoft JhengHei UI" w:eastAsia="Microsoft JhengHei UI" w:hint="eastAsia"/>
                <w:sz w:val="17"/>
              </w:rPr>
            </w:pPr>
            <w:r>
              <w:rPr>
                <w:rFonts w:ascii="Microsoft JhengHei UI" w:hAnsi="Microsoft JhengHei UI" w:eastAsia="Microsoft JhengHei UI" w:hint="eastAsia"/>
                <w:spacing w:val="14"/>
                <w:sz w:val="24"/>
              </w:rPr>
              <w:t>督導所轄</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1"/>
                <w:sz w:val="24"/>
              </w:rPr>
              <w:t> 檢驗與治療個案管理執行情形</w:t>
            </w:r>
          </w:p>
          <w:p>
            <w:pPr>
              <w:pStyle w:val="TableParagraph"/>
              <w:numPr>
                <w:ilvl w:val="0"/>
                <w:numId w:val="48"/>
              </w:numPr>
              <w:tabs>
                <w:tab w:pos="351" w:val="left" w:leader="none"/>
              </w:tabs>
              <w:spacing w:line="223" w:lineRule="auto" w:before="9" w:after="0"/>
              <w:ind w:left="354" w:right="90" w:hanging="245"/>
              <w:jc w:val="left"/>
              <w:rPr>
                <w:rFonts w:ascii="Microsoft JhengHei UI" w:hAnsi="Microsoft JhengHei UI" w:eastAsia="Microsoft JhengHei UI" w:hint="eastAsia"/>
                <w:sz w:val="16"/>
              </w:rPr>
            </w:pPr>
            <w:r>
              <w:rPr>
                <w:rFonts w:ascii="Microsoft JhengHei UI" w:hAnsi="Microsoft JhengHei UI" w:eastAsia="Microsoft JhengHei UI" w:hint="eastAsia"/>
                <w:spacing w:val="5"/>
                <w:sz w:val="24"/>
              </w:rPr>
              <w:t>統籌調撥及管理所轄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4"/>
                <w:sz w:val="24"/>
              </w:rPr>
              <w:t> 治療公費藥品，並督導院所智慧防疫</w:t>
            </w:r>
            <w:r>
              <w:rPr>
                <w:rFonts w:ascii="Microsoft JhengHei UI" w:hAnsi="Microsoft JhengHei UI" w:eastAsia="Microsoft JhengHei UI" w:hint="eastAsia"/>
                <w:sz w:val="24"/>
              </w:rPr>
              <w:t>物資管理資訊系統（SMIS）維護之時效性及正確性</w:t>
            </w:r>
          </w:p>
          <w:p>
            <w:pPr>
              <w:pStyle w:val="TableParagraph"/>
              <w:numPr>
                <w:ilvl w:val="0"/>
                <w:numId w:val="48"/>
              </w:numPr>
              <w:tabs>
                <w:tab w:pos="351" w:val="left" w:leader="none"/>
              </w:tabs>
              <w:spacing w:line="390" w:lineRule="exact" w:before="0" w:after="0"/>
              <w:ind w:left="350" w:right="0" w:hanging="242"/>
              <w:jc w:val="left"/>
              <w:rPr>
                <w:rFonts w:ascii="Microsoft JhengHei UI" w:hAnsi="Microsoft JhengHei UI" w:eastAsia="Microsoft JhengHei UI" w:hint="eastAsia"/>
                <w:sz w:val="16"/>
              </w:rPr>
            </w:pPr>
            <w:r>
              <w:rPr>
                <w:rFonts w:ascii="Microsoft JhengHei UI" w:hAnsi="Microsoft JhengHei UI" w:eastAsia="Microsoft JhengHei UI" w:hint="eastAsia"/>
                <w:spacing w:val="2"/>
                <w:sz w:val="24"/>
              </w:rPr>
              <w:t>督導院所 </w:t>
            </w:r>
            <w:r>
              <w:rPr>
                <w:rFonts w:ascii="Microsoft JhengHei UI" w:hAnsi="Microsoft JhengHei UI" w:eastAsia="Microsoft JhengHei UI" w:hint="eastAsia"/>
                <w:sz w:val="24"/>
              </w:rPr>
              <w:t>rifapentine</w:t>
            </w:r>
            <w:r>
              <w:rPr>
                <w:rFonts w:ascii="Microsoft JhengHei UI" w:hAnsi="Microsoft JhengHei UI" w:eastAsia="Microsoft JhengHei UI" w:hint="eastAsia"/>
                <w:spacing w:val="-1"/>
                <w:sz w:val="24"/>
              </w:rPr>
              <w:t> 藥品自動介接之時效性及正確性，及 </w:t>
            </w:r>
            <w:r>
              <w:rPr>
                <w:rFonts w:ascii="Microsoft JhengHei UI" w:hAnsi="Microsoft JhengHei UI" w:eastAsia="Microsoft JhengHei UI" w:hint="eastAsia"/>
                <w:spacing w:val="-4"/>
                <w:sz w:val="24"/>
              </w:rPr>
              <w:t>LTBI</w:t>
            </w:r>
          </w:p>
          <w:p>
            <w:pPr>
              <w:pStyle w:val="TableParagraph"/>
              <w:spacing w:line="396" w:lineRule="exact"/>
              <w:ind w:left="354"/>
              <w:rPr>
                <w:rFonts w:ascii="Microsoft JhengHei UI" w:eastAsia="Microsoft JhengHei UI" w:hint="eastAsia"/>
                <w:sz w:val="24"/>
              </w:rPr>
            </w:pPr>
            <w:r>
              <w:rPr>
                <w:rFonts w:ascii="Microsoft JhengHei UI" w:eastAsia="Microsoft JhengHei UI" w:hint="eastAsia"/>
                <w:sz w:val="24"/>
              </w:rPr>
              <w:t>檢驗結果資料上傳完整性</w:t>
            </w:r>
          </w:p>
          <w:p>
            <w:pPr>
              <w:pStyle w:val="TableParagraph"/>
              <w:numPr>
                <w:ilvl w:val="0"/>
                <w:numId w:val="48"/>
              </w:numPr>
              <w:tabs>
                <w:tab w:pos="351" w:val="left" w:leader="none"/>
              </w:tabs>
              <w:spacing w:line="411" w:lineRule="exact" w:before="0" w:after="0"/>
              <w:ind w:left="350" w:right="0" w:hanging="242"/>
              <w:jc w:val="left"/>
              <w:rPr>
                <w:rFonts w:ascii="Microsoft JhengHei UI" w:hAnsi="Microsoft JhengHei UI" w:eastAsia="Microsoft JhengHei UI" w:hint="eastAsia"/>
                <w:sz w:val="16"/>
              </w:rPr>
            </w:pPr>
            <w:r>
              <w:rPr>
                <w:rFonts w:ascii="Microsoft JhengHei UI" w:hAnsi="Microsoft JhengHei UI" w:eastAsia="Microsoft JhengHei UI" w:hint="eastAsia"/>
                <w:sz w:val="24"/>
              </w:rPr>
              <w:t>提報所轄潛伏結核感染治療指定醫療院所暨合作醫師門診時間表</w:t>
            </w:r>
          </w:p>
        </w:tc>
      </w:tr>
      <w:tr>
        <w:trPr>
          <w:trHeight w:val="2814" w:hRule="atLeast"/>
        </w:trPr>
        <w:tc>
          <w:tcPr>
            <w:tcW w:w="1916" w:type="dxa"/>
          </w:tcPr>
          <w:p>
            <w:pPr>
              <w:pStyle w:val="TableParagraph"/>
              <w:rPr>
                <w:rFonts w:ascii="Arial"/>
                <w:sz w:val="30"/>
              </w:rPr>
            </w:pPr>
          </w:p>
          <w:p>
            <w:pPr>
              <w:pStyle w:val="TableParagraph"/>
              <w:rPr>
                <w:rFonts w:ascii="Arial"/>
                <w:sz w:val="30"/>
              </w:rPr>
            </w:pPr>
          </w:p>
          <w:p>
            <w:pPr>
              <w:pStyle w:val="TableParagraph"/>
              <w:spacing w:before="10"/>
              <w:rPr>
                <w:rFonts w:ascii="Arial"/>
                <w:sz w:val="44"/>
              </w:rPr>
            </w:pPr>
          </w:p>
          <w:p>
            <w:pPr>
              <w:pStyle w:val="TableParagraph"/>
              <w:spacing w:line="225" w:lineRule="auto"/>
              <w:ind w:left="236" w:right="222" w:firstLine="240"/>
              <w:rPr>
                <w:rFonts w:ascii="Microsoft JhengHei UI" w:eastAsia="Microsoft JhengHei UI" w:hint="eastAsia"/>
                <w:sz w:val="24"/>
              </w:rPr>
            </w:pPr>
            <w:r>
              <w:rPr>
                <w:rFonts w:ascii="Microsoft JhengHei UI" w:eastAsia="Microsoft JhengHei UI" w:hint="eastAsia"/>
                <w:color w:val="221F1F"/>
                <w:sz w:val="24"/>
              </w:rPr>
              <w:t>疾 管 署 ／ 各區管制中心</w:t>
            </w:r>
          </w:p>
        </w:tc>
        <w:tc>
          <w:tcPr>
            <w:tcW w:w="7228" w:type="dxa"/>
          </w:tcPr>
          <w:p>
            <w:pPr>
              <w:pStyle w:val="TableParagraph"/>
              <w:numPr>
                <w:ilvl w:val="0"/>
                <w:numId w:val="49"/>
              </w:numPr>
              <w:tabs>
                <w:tab w:pos="351" w:val="left" w:leader="none"/>
              </w:tabs>
              <w:spacing w:line="391" w:lineRule="exact" w:before="0" w:after="0"/>
              <w:ind w:left="350" w:right="0" w:hanging="242"/>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輔導轄管縣市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z w:val="24"/>
              </w:rPr>
              <w:t> 檢驗與治療個案管理執行情形</w:t>
            </w:r>
          </w:p>
          <w:p>
            <w:pPr>
              <w:pStyle w:val="TableParagraph"/>
              <w:numPr>
                <w:ilvl w:val="0"/>
                <w:numId w:val="49"/>
              </w:numPr>
              <w:tabs>
                <w:tab w:pos="351" w:val="left" w:leader="none"/>
              </w:tabs>
              <w:spacing w:line="402" w:lineRule="exact" w:before="0" w:after="0"/>
              <w:ind w:left="350" w:right="0" w:hanging="242"/>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協調轄管縣市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z w:val="24"/>
              </w:rPr>
              <w:t> 治療管理單位遷出入作業爭議</w:t>
            </w:r>
          </w:p>
          <w:p>
            <w:pPr>
              <w:pStyle w:val="TableParagraph"/>
              <w:numPr>
                <w:ilvl w:val="0"/>
                <w:numId w:val="49"/>
              </w:numPr>
              <w:tabs>
                <w:tab w:pos="351" w:val="left" w:leader="none"/>
              </w:tabs>
              <w:spacing w:line="223" w:lineRule="auto" w:before="9" w:after="0"/>
              <w:ind w:left="354" w:right="100" w:hanging="245"/>
              <w:jc w:val="left"/>
              <w:rPr>
                <w:rFonts w:ascii="Microsoft JhengHei UI" w:hAnsi="Microsoft JhengHei UI" w:eastAsia="Microsoft JhengHei UI" w:hint="eastAsia"/>
                <w:sz w:val="24"/>
              </w:rPr>
            </w:pPr>
            <w:r>
              <w:rPr>
                <w:rFonts w:ascii="Microsoft JhengHei UI" w:hAnsi="Microsoft JhengHei UI" w:eastAsia="Microsoft JhengHei UI" w:hint="eastAsia"/>
                <w:spacing w:val="5"/>
                <w:sz w:val="24"/>
              </w:rPr>
              <w:t>統籌調撥及管理所轄縣市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4"/>
                <w:sz w:val="24"/>
              </w:rPr>
              <w:t> 治療公費藥品，並輔導其智慧防疫物資管理資訊系統（SMIS）維護之時效性及正確性</w:t>
            </w:r>
          </w:p>
          <w:p>
            <w:pPr>
              <w:pStyle w:val="TableParagraph"/>
              <w:numPr>
                <w:ilvl w:val="0"/>
                <w:numId w:val="49"/>
              </w:numPr>
              <w:tabs>
                <w:tab w:pos="351" w:val="left" w:leader="none"/>
              </w:tabs>
              <w:spacing w:line="390" w:lineRule="exact" w:before="0" w:after="0"/>
              <w:ind w:left="350" w:right="0" w:hanging="242"/>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輔導縣市 1HP/3HP 藥品自動介接之時效性及正確性</w:t>
            </w:r>
          </w:p>
          <w:p>
            <w:pPr>
              <w:pStyle w:val="TableParagraph"/>
              <w:numPr>
                <w:ilvl w:val="0"/>
                <w:numId w:val="49"/>
              </w:numPr>
              <w:tabs>
                <w:tab w:pos="349" w:val="left" w:leader="none"/>
              </w:tabs>
              <w:spacing w:line="223" w:lineRule="auto" w:before="5" w:after="0"/>
              <w:ind w:left="354" w:right="113" w:hanging="245"/>
              <w:jc w:val="left"/>
              <w:rPr>
                <w:rFonts w:ascii="Microsoft JhengHei UI" w:hAnsi="Microsoft JhengHei UI" w:eastAsia="Microsoft JhengHei UI" w:hint="eastAsia"/>
                <w:sz w:val="24"/>
              </w:rPr>
            </w:pPr>
            <w:r>
              <w:rPr>
                <w:rFonts w:ascii="Microsoft JhengHei UI" w:hAnsi="Microsoft JhengHei UI" w:eastAsia="Microsoft JhengHei UI" w:hint="eastAsia"/>
                <w:spacing w:val="-1"/>
                <w:sz w:val="24"/>
              </w:rPr>
              <w:t>彙整所轄縣市提報潛伏結核感染治療指定醫療院所暨合作醫師門</w:t>
            </w:r>
            <w:r>
              <w:rPr>
                <w:rFonts w:ascii="Microsoft JhengHei UI" w:hAnsi="Microsoft JhengHei UI" w:eastAsia="Microsoft JhengHei UI" w:hint="eastAsia"/>
                <w:sz w:val="24"/>
              </w:rPr>
              <w:t>診時間表</w:t>
            </w:r>
          </w:p>
        </w:tc>
      </w:tr>
      <w:tr>
        <w:trPr>
          <w:trHeight w:val="2098" w:hRule="atLeast"/>
        </w:trPr>
        <w:tc>
          <w:tcPr>
            <w:tcW w:w="1916" w:type="dxa"/>
          </w:tcPr>
          <w:p>
            <w:pPr>
              <w:pStyle w:val="TableParagraph"/>
              <w:rPr>
                <w:rFonts w:ascii="Arial"/>
                <w:sz w:val="30"/>
              </w:rPr>
            </w:pPr>
          </w:p>
          <w:p>
            <w:pPr>
              <w:pStyle w:val="TableParagraph"/>
              <w:spacing w:before="3"/>
              <w:rPr>
                <w:rFonts w:ascii="Arial"/>
                <w:sz w:val="32"/>
              </w:rPr>
            </w:pPr>
          </w:p>
          <w:p>
            <w:pPr>
              <w:pStyle w:val="TableParagraph"/>
              <w:spacing w:line="225" w:lineRule="auto" w:before="1"/>
              <w:ind w:left="596" w:right="462" w:hanging="121"/>
              <w:rPr>
                <w:rFonts w:ascii="Microsoft JhengHei UI" w:eastAsia="Microsoft JhengHei UI" w:hint="eastAsia"/>
                <w:sz w:val="24"/>
              </w:rPr>
            </w:pPr>
            <w:r>
              <w:rPr>
                <w:rFonts w:ascii="Microsoft JhengHei UI" w:eastAsia="Microsoft JhengHei UI" w:hint="eastAsia"/>
                <w:color w:val="221F1F"/>
                <w:sz w:val="24"/>
              </w:rPr>
              <w:t>疾管署／ 慢性組</w:t>
            </w:r>
          </w:p>
        </w:tc>
        <w:tc>
          <w:tcPr>
            <w:tcW w:w="7228" w:type="dxa"/>
          </w:tcPr>
          <w:p>
            <w:pPr>
              <w:pStyle w:val="TableParagraph"/>
              <w:numPr>
                <w:ilvl w:val="0"/>
                <w:numId w:val="50"/>
              </w:numPr>
              <w:tabs>
                <w:tab w:pos="353" w:val="left" w:leader="none"/>
              </w:tabs>
              <w:spacing w:line="391" w:lineRule="exact" w:before="0" w:after="0"/>
              <w:ind w:left="352"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監測國內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1"/>
                <w:sz w:val="24"/>
              </w:rPr>
              <w:t> 檢驗與治療個案管理執行情形</w:t>
            </w:r>
          </w:p>
          <w:p>
            <w:pPr>
              <w:pStyle w:val="TableParagraph"/>
              <w:numPr>
                <w:ilvl w:val="0"/>
                <w:numId w:val="50"/>
              </w:numPr>
              <w:tabs>
                <w:tab w:pos="353" w:val="left" w:leader="none"/>
              </w:tabs>
              <w:spacing w:line="402" w:lineRule="exact" w:before="0" w:after="0"/>
              <w:ind w:left="352"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制定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z w:val="24"/>
              </w:rPr>
              <w:t> 治療相關政策及事宜</w:t>
            </w:r>
          </w:p>
          <w:p>
            <w:pPr>
              <w:pStyle w:val="TableParagraph"/>
              <w:numPr>
                <w:ilvl w:val="0"/>
                <w:numId w:val="50"/>
              </w:numPr>
              <w:tabs>
                <w:tab w:pos="353" w:val="left" w:leader="none"/>
              </w:tabs>
              <w:spacing w:line="399" w:lineRule="exact" w:before="0" w:after="0"/>
              <w:ind w:left="352" w:right="0" w:hanging="244"/>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採購及配賦 </w:t>
            </w:r>
            <w:r>
              <w:rPr>
                <w:rFonts w:ascii="Microsoft JhengHei UI" w:hAnsi="Microsoft JhengHei UI" w:eastAsia="Microsoft JhengHei UI" w:hint="eastAsia"/>
                <w:spacing w:val="-4"/>
                <w:sz w:val="24"/>
              </w:rPr>
              <w:t>LTBI</w:t>
            </w:r>
            <w:r>
              <w:rPr>
                <w:rFonts w:ascii="Microsoft JhengHei UI" w:hAnsi="Microsoft JhengHei UI" w:eastAsia="Microsoft JhengHei UI" w:hint="eastAsia"/>
                <w:spacing w:val="-1"/>
                <w:sz w:val="24"/>
              </w:rPr>
              <w:t> 治療公費藥品，並統籌調撥管理</w:t>
            </w:r>
          </w:p>
          <w:p>
            <w:pPr>
              <w:pStyle w:val="TableParagraph"/>
              <w:numPr>
                <w:ilvl w:val="0"/>
                <w:numId w:val="50"/>
              </w:numPr>
              <w:tabs>
                <w:tab w:pos="353" w:val="left" w:leader="none"/>
              </w:tabs>
              <w:spacing w:line="223" w:lineRule="auto" w:before="6" w:after="0"/>
              <w:ind w:left="354" w:right="109" w:hanging="245"/>
              <w:jc w:val="left"/>
              <w:rPr>
                <w:rFonts w:ascii="Microsoft JhengHei UI" w:hAnsi="Microsoft JhengHei UI" w:eastAsia="Microsoft JhengHei UI" w:hint="eastAsia"/>
                <w:sz w:val="24"/>
              </w:rPr>
            </w:pPr>
            <w:r>
              <w:rPr>
                <w:rFonts w:ascii="Microsoft JhengHei UI" w:hAnsi="Microsoft JhengHei UI" w:eastAsia="Microsoft JhengHei UI" w:hint="eastAsia"/>
                <w:sz w:val="24"/>
              </w:rPr>
              <w:t>彙整全國潛伏結核感染治療指定醫療院所清冊給健保署，並於疾管署網站公布合作醫師門診時間表</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rPr>
          <w:rFonts w:ascii="Arial"/>
          <w:sz w:val="21"/>
        </w:rPr>
      </w:pPr>
    </w:p>
    <w:p>
      <w:pPr>
        <w:spacing w:before="95"/>
        <w:ind w:left="0" w:right="100" w:firstLine="0"/>
        <w:jc w:val="right"/>
        <w:rPr>
          <w:rFonts w:ascii="Arial"/>
          <w:sz w:val="16"/>
        </w:rPr>
      </w:pPr>
      <w:r>
        <w:rPr>
          <w:rFonts w:ascii="Arial"/>
          <w:color w:val="221F1F"/>
          <w:w w:val="95"/>
          <w:sz w:val="16"/>
        </w:rPr>
        <w:t>17</w:t>
      </w:r>
    </w:p>
    <w:p>
      <w:pPr>
        <w:spacing w:after="0"/>
        <w:jc w:val="right"/>
        <w:rPr>
          <w:rFonts w:ascii="Arial"/>
          <w:sz w:val="16"/>
        </w:rPr>
        <w:sectPr>
          <w:pgSz w:w="11920" w:h="16840"/>
          <w:pgMar w:top="1160" w:bottom="280" w:left="200" w:right="220"/>
        </w:sectPr>
      </w:pPr>
    </w:p>
    <w:p>
      <w:pPr>
        <w:pStyle w:val="Heading1"/>
        <w:ind w:left="3330"/>
      </w:pPr>
      <w:r>
        <w:rPr/>
        <w:pict>
          <v:group style="position:absolute;margin-left:557.684509pt;margin-top:124.149002pt;width:37.35pt;height:717.55pt;mso-position-horizontal-relative:page;mso-position-vertical-relative:page;z-index:251706368" coordorigin="11154,2483" coordsize="747,14351">
            <v:shape style="position:absolute;left:11283;top:2994;width:439;height:13840" type="#_x0000_t75" stroked="false">
              <v:imagedata r:id="rId28" o:title=""/>
            </v:shape>
            <v:shape style="position:absolute;left:11153;top:2482;width:747;height:812" coordorigin="11154,2483" coordsize="747,812" path="m11900,2483l11536,2483,11514,2485,11454,2519,11188,2801,11154,2889,11162,2935,11454,3258,11514,3292,11536,3294,11900,3294,11900,2483xe" filled="true" fillcolor="#5daf8a" stroked="false">
              <v:path arrowok="t"/>
              <v:fill type="solid"/>
            </v:shape>
            <v:shape style="position:absolute;left:11307;top:2750;width:398;height:278" type="#_x0000_t75" stroked="false">
              <v:imagedata r:id="rId29" o:title=""/>
            </v:shape>
            <v:shape style="position:absolute;left:11378;top:3433;width:252;height:2260" type="#_x0000_t75" stroked="false">
              <v:imagedata r:id="rId30"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27</w:t>
                    </w:r>
                  </w:p>
                </w:txbxContent>
              </v:textbox>
              <w10:wrap type="none"/>
            </v:shape>
            <w10:wrap type="none"/>
          </v:group>
        </w:pict>
      </w:r>
      <w:r>
        <w:rPr>
          <w:color w:val="231F20"/>
        </w:rPr>
        <w:t>第四章 卡介苗預防接種</w:t>
      </w:r>
    </w:p>
    <w:p>
      <w:pPr>
        <w:pStyle w:val="BodyText"/>
        <w:spacing w:before="6"/>
        <w:rPr>
          <w:rFonts w:ascii="微軟正黑體"/>
          <w:b/>
          <w:sz w:val="13"/>
        </w:rPr>
      </w:pPr>
    </w:p>
    <w:p>
      <w:pPr>
        <w:pStyle w:val="Heading2"/>
        <w:spacing w:before="39"/>
      </w:pPr>
      <w:r>
        <w:rPr>
          <w:color w:val="231F20"/>
        </w:rPr>
        <w:t>壹、前言</w:t>
      </w:r>
    </w:p>
    <w:p>
      <w:pPr>
        <w:pStyle w:val="BodyText"/>
        <w:spacing w:line="413" w:lineRule="exact"/>
        <w:ind w:left="1116"/>
      </w:pPr>
      <w:r>
        <w:rPr>
          <w:color w:val="231F20"/>
        </w:rPr>
        <w:t>由於嬰幼兒免疫力最弱，若受到了結核菌的感染，容易發展成為粟粒性結核病或結</w:t>
      </w:r>
    </w:p>
    <w:p>
      <w:pPr>
        <w:pStyle w:val="BodyText"/>
        <w:spacing w:line="230" w:lineRule="auto"/>
        <w:ind w:left="635" w:right="1128"/>
        <w:jc w:val="both"/>
      </w:pPr>
      <w:r>
        <w:rPr>
          <w:color w:val="231F20"/>
        </w:rPr>
        <w:t>核性腦膜炎等嚴重的結核病，不僅致死率高，也常留下嚴重的後遺症。因此，在人體尚未受到第＿次自然感染前，透過接種卡介苗 (Bacille Calmette-Guerin，＿種以牛結核菌，經人工繼代培養的活性減毒疫苗 ) 產生免疫力，以避免結核菌在初次自然感染時， 引發嚴重結核病 ( 例如：結核性腦膜炎等 )。其對於預防成人結核病並無明顯效果，且</w:t>
      </w:r>
      <w:r>
        <w:rPr>
          <w:color w:val="231F20"/>
          <w:w w:val="105"/>
        </w:rPr>
        <w:t>不具群體免疫效果。</w:t>
      </w:r>
    </w:p>
    <w:p>
      <w:pPr>
        <w:pStyle w:val="BodyText"/>
        <w:spacing w:before="10"/>
        <w:rPr>
          <w:sz w:val="19"/>
        </w:rPr>
      </w:pPr>
    </w:p>
    <w:p>
      <w:pPr>
        <w:pStyle w:val="Heading2"/>
      </w:pPr>
      <w:r>
        <w:rPr>
          <w:color w:val="231F20"/>
        </w:rPr>
        <w:t>貳、在臺灣的演進</w:t>
      </w:r>
    </w:p>
    <w:p>
      <w:pPr>
        <w:pStyle w:val="BodyText"/>
        <w:spacing w:line="230" w:lineRule="auto" w:before="6"/>
        <w:ind w:left="635" w:right="1130" w:firstLine="481"/>
        <w:jc w:val="both"/>
      </w:pPr>
      <w:r>
        <w:rPr>
          <w:color w:val="231F20"/>
          <w:spacing w:val="-9"/>
          <w:w w:val="105"/>
        </w:rPr>
        <w:t>民國 </w:t>
      </w:r>
      <w:r>
        <w:rPr>
          <w:color w:val="231F20"/>
          <w:w w:val="105"/>
        </w:rPr>
        <w:t>40</w:t>
      </w:r>
      <w:r>
        <w:rPr>
          <w:color w:val="231F20"/>
          <w:spacing w:val="-7"/>
          <w:w w:val="105"/>
        </w:rPr>
        <w:t> 年使用法國 </w:t>
      </w:r>
      <w:r>
        <w:rPr>
          <w:color w:val="231F20"/>
          <w:spacing w:val="-3"/>
          <w:w w:val="105"/>
        </w:rPr>
        <w:t>Pasteur </w:t>
      </w:r>
      <w:r>
        <w:rPr>
          <w:color w:val="231F20"/>
          <w:w w:val="105"/>
        </w:rPr>
        <w:t>Institute</w:t>
      </w:r>
      <w:r>
        <w:rPr>
          <w:color w:val="231F20"/>
          <w:spacing w:val="-19"/>
          <w:w w:val="105"/>
        </w:rPr>
        <w:t> 之 </w:t>
      </w:r>
      <w:r>
        <w:rPr>
          <w:color w:val="231F20"/>
          <w:w w:val="105"/>
        </w:rPr>
        <w:t>Old </w:t>
      </w:r>
      <w:r>
        <w:rPr>
          <w:color w:val="231F20"/>
          <w:spacing w:val="-3"/>
          <w:w w:val="105"/>
        </w:rPr>
        <w:t>Pasteur </w:t>
      </w:r>
      <w:r>
        <w:rPr>
          <w:color w:val="231F20"/>
          <w:spacing w:val="-2"/>
          <w:w w:val="105"/>
        </w:rPr>
        <w:t>Strain 之液體卡介苗，民國</w:t>
      </w:r>
      <w:r>
        <w:rPr>
          <w:color w:val="231F20"/>
        </w:rPr>
        <w:t>65 年開始試辦自行製造乾燥卡介苗，並於民國 69 年後，全國均採用 </w:t>
      </w:r>
      <w:r>
        <w:rPr>
          <w:color w:val="231F20"/>
          <w:spacing w:val="-4"/>
        </w:rPr>
        <w:t>Tokyo172</w:t>
      </w:r>
      <w:r>
        <w:rPr>
          <w:color w:val="231F20"/>
          <w:spacing w:val="4"/>
        </w:rPr>
        <w:t> 菌株製</w:t>
      </w:r>
    </w:p>
    <w:p>
      <w:pPr>
        <w:pStyle w:val="BodyText"/>
        <w:spacing w:line="230" w:lineRule="auto"/>
        <w:ind w:left="635" w:right="1126"/>
        <w:jc w:val="both"/>
      </w:pPr>
      <w:r>
        <w:rPr>
          <w:color w:val="231F20"/>
        </w:rPr>
        <w:t>造的乾燥卡介苗。民國 105 年 7 月因委託國家衛生研究院製造之國產卡介苗製程不及供應接種需求，為避免疫苗短缺，故以專案進口方式採購同為 Tokyo172 菌株之日本製皮內注射型卡介苗，做為過渡時期之替代方案，並於民國 109 年 9 月恢復以國產卡介苗供應嬰幼兒接種服務。</w:t>
      </w:r>
    </w:p>
    <w:p>
      <w:pPr>
        <w:pStyle w:val="BodyText"/>
        <w:spacing w:before="16"/>
        <w:rPr>
          <w:sz w:val="19"/>
        </w:rPr>
      </w:pPr>
    </w:p>
    <w:p>
      <w:pPr>
        <w:pStyle w:val="Heading2"/>
      </w:pPr>
      <w:r>
        <w:rPr>
          <w:color w:val="231F20"/>
        </w:rPr>
        <w:t>參、接種時程、對象及注意事項</w:t>
      </w:r>
    </w:p>
    <w:p>
      <w:pPr>
        <w:pStyle w:val="BodyText"/>
        <w:spacing w:line="404" w:lineRule="exact"/>
        <w:ind w:left="391"/>
      </w:pPr>
      <w:r>
        <w:rPr>
          <w:color w:val="231F20"/>
        </w:rPr>
        <w:t>＿、經醫師評估無接種禁忌症，由家屬自行評估後決定是否進行接種。</w:t>
      </w:r>
    </w:p>
    <w:p>
      <w:pPr>
        <w:pStyle w:val="BodyText"/>
        <w:spacing w:line="400" w:lineRule="exact"/>
        <w:ind w:left="629"/>
        <w:jc w:val="both"/>
      </w:pPr>
      <w:r>
        <w:rPr>
          <w:color w:val="231F20"/>
        </w:rPr>
        <w:t>( ＿ ) 出生滿 5 個月 ( 建議接種時間為出生滿 5-8 個月 )，至遲 1 歲內完成接種。</w:t>
      </w:r>
    </w:p>
    <w:p>
      <w:pPr>
        <w:pStyle w:val="BodyText"/>
        <w:spacing w:line="230" w:lineRule="auto" w:before="2"/>
        <w:ind w:left="1349" w:right="1137" w:hanging="720"/>
        <w:jc w:val="both"/>
      </w:pPr>
      <w:r>
        <w:rPr>
          <w:color w:val="231F20"/>
        </w:rPr>
        <w:t>( — ) 居住於或經常前往結核病高盛行地區或國家者，可考慮提早於新生兒時期接種＿ 劑卡介苗。( 提早接種的嬰兒，體重應達 2500 公克以上 )</w:t>
      </w:r>
    </w:p>
    <w:p>
      <w:pPr>
        <w:pStyle w:val="BodyText"/>
        <w:spacing w:line="395" w:lineRule="exact"/>
        <w:ind w:left="629"/>
        <w:jc w:val="both"/>
      </w:pPr>
      <w:r>
        <w:rPr>
          <w:color w:val="231F20"/>
        </w:rPr>
        <w:t>( 二 ) 學齡前兒童若未曾接種卡介苗，可直接補接種＿劑卡介苗。</w:t>
      </w:r>
    </w:p>
    <w:p>
      <w:pPr>
        <w:pStyle w:val="BodyText"/>
        <w:spacing w:line="230" w:lineRule="auto" w:before="3"/>
        <w:ind w:left="1349" w:right="1130" w:hanging="720"/>
        <w:jc w:val="both"/>
      </w:pPr>
      <w:r>
        <w:rPr>
          <w:color w:val="231F20"/>
        </w:rPr>
        <w:t>( 匹 ) 國\＿年級學童：「兒童健康手冊」之「預防接種時程及紀錄表」或全國性預防接種資訊管理系統 ( 下稱 NIIS) 未曾註記卡介苗接種紀錄者，衛教家長可依兒童最大利益選擇是否補接種卡介苗，已有卡介苗接種紀錄者不再接種。</w:t>
      </w:r>
    </w:p>
    <w:p>
      <w:pPr>
        <w:spacing w:after="0" w:line="230" w:lineRule="auto"/>
        <w:jc w:val="both"/>
        <w:sectPr>
          <w:pgSz w:w="11910" w:h="16840"/>
          <w:pgMar w:top="1060" w:bottom="0" w:left="980" w:right="0"/>
        </w:sectPr>
      </w:pPr>
    </w:p>
    <w:p>
      <w:pPr>
        <w:pStyle w:val="BodyText"/>
        <w:spacing w:line="409" w:lineRule="exact" w:before="59"/>
        <w:ind w:left="391"/>
      </w:pPr>
      <w:r>
        <w:rPr/>
        <w:pict>
          <v:group style="position:absolute;margin-left:-.000001pt;margin-top:124.149002pt;width:37.35pt;height:717.55pt;mso-position-horizontal-relative:page;mso-position-vertical-relative:page;z-index:251708416" coordorigin="0,2483" coordsize="747,14351">
            <v:shape style="position:absolute;left:178;top:2994;width:439;height:13840" type="#_x0000_t75" stroked="false">
              <v:imagedata r:id="rId31" o:title=""/>
            </v:shape>
            <v:shape style="position:absolute;left:0;top:2482;width:747;height:812" coordorigin="0,2483" coordsize="747,812" path="m365,2483l0,2483,0,3294,365,3294,387,3292,447,3258,713,2976,747,2889,738,2842,447,2519,387,2485,365,2483xe" filled="true" fillcolor="#5daf8a" stroked="false">
              <v:path arrowok="t"/>
              <v:fill type="solid"/>
            </v:shape>
            <v:shape style="position:absolute;left:202;top:2750;width:398;height:278" type="#_x0000_t75" stroked="false">
              <v:imagedata r:id="rId32" o:title=""/>
            </v:shape>
            <v:shape style="position:absolute;left:273;top:3433;width:252;height:2260" type="#_x0000_t75" stroked="false">
              <v:imagedata r:id="rId33"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28</w:t>
                    </w:r>
                  </w:p>
                </w:txbxContent>
              </v:textbox>
              <w10:wrap type="none"/>
            </v:shape>
            <w10:wrap type="none"/>
          </v:group>
        </w:pict>
      </w:r>
      <w:r>
        <w:rPr>
          <w:color w:val="231F20"/>
          <w:w w:val="105"/>
        </w:rPr>
        <w:t>—、有結核病暴露史者，應優先進行接觸者檢查及潛伏結核感染評估，請參見 - 第十＿章</w:t>
      </w:r>
    </w:p>
    <w:p>
      <w:pPr>
        <w:pStyle w:val="BodyText"/>
        <w:spacing w:line="409" w:lineRule="exact"/>
        <w:ind w:left="878"/>
      </w:pPr>
      <w:r>
        <w:rPr>
          <w:color w:val="231F20"/>
        </w:rPr>
        <w:t>「結核病接觸者追蹤管理」附件 11-8「嬰幼兒接觸者之處置建議」。</w:t>
      </w:r>
    </w:p>
    <w:p>
      <w:pPr>
        <w:pStyle w:val="BodyText"/>
        <w:spacing w:before="5"/>
        <w:rPr>
          <w:sz w:val="10"/>
        </w:rPr>
      </w:pPr>
    </w:p>
    <w:tbl>
      <w:tblPr>
        <w:tblW w:w="0" w:type="auto"/>
        <w:jc w:val="left"/>
        <w:tblInd w:w="16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081"/>
        <w:gridCol w:w="946"/>
        <w:gridCol w:w="1762"/>
        <w:gridCol w:w="2742"/>
        <w:gridCol w:w="1541"/>
        <w:gridCol w:w="1545"/>
      </w:tblGrid>
      <w:tr>
        <w:trPr>
          <w:trHeight w:val="314" w:hRule="atLeast"/>
        </w:trPr>
        <w:tc>
          <w:tcPr>
            <w:tcW w:w="1081" w:type="dxa"/>
            <w:vMerge w:val="restart"/>
            <w:tcBorders>
              <w:top w:val="nil"/>
              <w:left w:val="nil"/>
              <w:bottom w:val="nil"/>
            </w:tcBorders>
            <w:shd w:val="clear" w:color="auto" w:fill="83A656"/>
          </w:tcPr>
          <w:p>
            <w:pPr>
              <w:pStyle w:val="TableParagraph"/>
              <w:spacing w:line="146" w:lineRule="auto" w:before="70"/>
              <w:ind w:left="79" w:right="44" w:hanging="12"/>
              <w:jc w:val="both"/>
              <w:rPr>
                <w:rFonts w:ascii="微軟正黑體" w:eastAsia="微軟正黑體" w:hint="eastAsia"/>
                <w:b/>
                <w:sz w:val="16"/>
              </w:rPr>
            </w:pPr>
            <w:r>
              <w:rPr>
                <w:rFonts w:ascii="微軟正黑體" w:eastAsia="微軟正黑體" w:hint="eastAsia"/>
                <w:b/>
                <w:color w:val="FFFFFF"/>
                <w:spacing w:val="-4"/>
                <w:sz w:val="16"/>
              </w:rPr>
              <w:t>接觸者曝露年</w:t>
            </w:r>
            <w:r>
              <w:rPr>
                <w:rFonts w:ascii="微軟正黑體" w:eastAsia="微軟正黑體" w:hint="eastAsia"/>
                <w:b/>
                <w:color w:val="FFFFFF"/>
                <w:spacing w:val="-11"/>
                <w:sz w:val="16"/>
              </w:rPr>
              <w:t>齡 </w:t>
            </w:r>
            <w:r>
              <w:rPr>
                <w:rFonts w:ascii="微軟正黑體" w:eastAsia="微軟正黑體" w:hint="eastAsia"/>
                <w:b/>
                <w:color w:val="FFFFFF"/>
                <w:w w:val="65"/>
                <w:sz w:val="16"/>
              </w:rPr>
              <w:t>（ </w:t>
            </w:r>
            <w:r>
              <w:rPr>
                <w:rFonts w:ascii="微軟正黑體" w:eastAsia="微軟正黑體" w:hint="eastAsia"/>
                <w:b/>
                <w:color w:val="FFFFFF"/>
                <w:sz w:val="16"/>
              </w:rPr>
              <w:t>指標個案</w:t>
            </w:r>
            <w:r>
              <w:rPr>
                <w:rFonts w:ascii="微軟正黑體" w:eastAsia="微軟正黑體" w:hint="eastAsia"/>
                <w:b/>
                <w:color w:val="FFFFFF"/>
                <w:spacing w:val="-2"/>
                <w:sz w:val="16"/>
              </w:rPr>
              <w:t>可傳染期 </w:t>
            </w:r>
            <w:r>
              <w:rPr>
                <w:rFonts w:ascii="微軟正黑體" w:eastAsia="微軟正黑體" w:hint="eastAsia"/>
                <w:b/>
                <w:color w:val="FFFFFF"/>
                <w:w w:val="65"/>
                <w:sz w:val="16"/>
              </w:rPr>
              <w:t>）</w:t>
            </w:r>
          </w:p>
        </w:tc>
        <w:tc>
          <w:tcPr>
            <w:tcW w:w="946" w:type="dxa"/>
            <w:vMerge w:val="restart"/>
            <w:tcBorders>
              <w:top w:val="nil"/>
              <w:bottom w:val="nil"/>
            </w:tcBorders>
            <w:shd w:val="clear" w:color="auto" w:fill="83A656"/>
          </w:tcPr>
          <w:p>
            <w:pPr>
              <w:pStyle w:val="TableParagraph"/>
              <w:spacing w:line="146" w:lineRule="auto" w:before="70"/>
              <w:ind w:left="72" w:right="56"/>
              <w:jc w:val="both"/>
              <w:rPr>
                <w:rFonts w:ascii="微軟正黑體" w:eastAsia="微軟正黑體" w:hint="eastAsia"/>
                <w:b/>
                <w:sz w:val="16"/>
              </w:rPr>
            </w:pPr>
            <w:r>
              <w:rPr>
                <w:rFonts w:ascii="微軟正黑體" w:eastAsia="微軟正黑體" w:hint="eastAsia"/>
                <w:b/>
                <w:color w:val="FFFFFF"/>
                <w:sz w:val="16"/>
              </w:rPr>
              <w:t>接觸者檢疫時是否已接種 BCG</w:t>
            </w:r>
          </w:p>
        </w:tc>
        <w:tc>
          <w:tcPr>
            <w:tcW w:w="4504" w:type="dxa"/>
            <w:gridSpan w:val="2"/>
            <w:tcBorders>
              <w:top w:val="nil"/>
            </w:tcBorders>
            <w:shd w:val="clear" w:color="auto" w:fill="83A656"/>
          </w:tcPr>
          <w:p>
            <w:pPr>
              <w:pStyle w:val="TableParagraph"/>
              <w:spacing w:line="284" w:lineRule="exact" w:before="11"/>
              <w:ind w:left="1626" w:right="1611"/>
              <w:jc w:val="center"/>
              <w:rPr>
                <w:rFonts w:ascii="微軟正黑體" w:eastAsia="微軟正黑體" w:hint="eastAsia"/>
                <w:b/>
                <w:sz w:val="16"/>
              </w:rPr>
            </w:pPr>
            <w:r>
              <w:rPr>
                <w:rFonts w:ascii="微軟正黑體" w:eastAsia="微軟正黑體" w:hint="eastAsia"/>
                <w:b/>
                <w:color w:val="FFFFFF"/>
                <w:sz w:val="16"/>
              </w:rPr>
              <w:t>接觸者 LTBI 評估</w:t>
            </w:r>
          </w:p>
        </w:tc>
        <w:tc>
          <w:tcPr>
            <w:tcW w:w="3086" w:type="dxa"/>
            <w:gridSpan w:val="2"/>
            <w:tcBorders>
              <w:top w:val="nil"/>
              <w:right w:val="nil"/>
            </w:tcBorders>
            <w:shd w:val="clear" w:color="auto" w:fill="83A656"/>
          </w:tcPr>
          <w:p>
            <w:pPr>
              <w:pStyle w:val="TableParagraph"/>
              <w:spacing w:line="284" w:lineRule="exact" w:before="11"/>
              <w:ind w:left="782"/>
              <w:rPr>
                <w:rFonts w:ascii="微軟正黑體" w:eastAsia="微軟正黑體" w:hint="eastAsia"/>
                <w:b/>
                <w:sz w:val="16"/>
              </w:rPr>
            </w:pPr>
            <w:r>
              <w:rPr>
                <w:rFonts w:ascii="微軟正黑體" w:eastAsia="微軟正黑體" w:hint="eastAsia"/>
                <w:b/>
                <w:color w:val="FFFFFF"/>
                <w:sz w:val="16"/>
              </w:rPr>
              <w:t>接觸者 BCG 接種建議</w:t>
            </w:r>
          </w:p>
        </w:tc>
      </w:tr>
      <w:tr>
        <w:trPr>
          <w:trHeight w:val="303" w:hRule="atLeast"/>
        </w:trPr>
        <w:tc>
          <w:tcPr>
            <w:tcW w:w="1081" w:type="dxa"/>
            <w:vMerge/>
            <w:tcBorders>
              <w:top w:val="nil"/>
              <w:left w:val="nil"/>
              <w:bottom w:val="nil"/>
            </w:tcBorders>
            <w:shd w:val="clear" w:color="auto" w:fill="83A656"/>
          </w:tcPr>
          <w:p>
            <w:pPr>
              <w:rPr>
                <w:sz w:val="2"/>
                <w:szCs w:val="2"/>
              </w:rPr>
            </w:pPr>
          </w:p>
        </w:tc>
        <w:tc>
          <w:tcPr>
            <w:tcW w:w="946" w:type="dxa"/>
            <w:vMerge/>
            <w:tcBorders>
              <w:top w:val="nil"/>
              <w:bottom w:val="nil"/>
            </w:tcBorders>
            <w:shd w:val="clear" w:color="auto" w:fill="83A656"/>
          </w:tcPr>
          <w:p>
            <w:pPr>
              <w:rPr>
                <w:sz w:val="2"/>
                <w:szCs w:val="2"/>
              </w:rPr>
            </w:pPr>
          </w:p>
        </w:tc>
        <w:tc>
          <w:tcPr>
            <w:tcW w:w="1762" w:type="dxa"/>
            <w:tcBorders>
              <w:bottom w:val="nil"/>
            </w:tcBorders>
            <w:shd w:val="clear" w:color="auto" w:fill="83A656"/>
          </w:tcPr>
          <w:p>
            <w:pPr>
              <w:pStyle w:val="TableParagraph"/>
              <w:spacing w:line="284" w:lineRule="exact"/>
              <w:ind w:left="693" w:right="678"/>
              <w:jc w:val="center"/>
              <w:rPr>
                <w:rFonts w:ascii="微軟正黑體"/>
                <w:b/>
                <w:sz w:val="9"/>
              </w:rPr>
            </w:pPr>
            <w:r>
              <w:rPr>
                <w:rFonts w:ascii="微軟正黑體"/>
                <w:b/>
                <w:color w:val="FFFFFF"/>
                <w:sz w:val="16"/>
              </w:rPr>
              <w:t>TST</w:t>
            </w:r>
            <w:r>
              <w:rPr>
                <w:rFonts w:ascii="微軟正黑體"/>
                <w:b/>
                <w:color w:val="FFFFFF"/>
                <w:position w:val="8"/>
                <w:sz w:val="9"/>
              </w:rPr>
              <w:t>2</w:t>
            </w:r>
          </w:p>
        </w:tc>
        <w:tc>
          <w:tcPr>
            <w:tcW w:w="2742" w:type="dxa"/>
            <w:tcBorders>
              <w:bottom w:val="nil"/>
            </w:tcBorders>
            <w:shd w:val="clear" w:color="auto" w:fill="83A656"/>
          </w:tcPr>
          <w:p>
            <w:pPr>
              <w:pStyle w:val="TableParagraph"/>
              <w:spacing w:line="284" w:lineRule="exact"/>
              <w:ind w:left="1144" w:right="1128"/>
              <w:jc w:val="center"/>
              <w:rPr>
                <w:rFonts w:ascii="微軟正黑體" w:eastAsia="微軟正黑體" w:hint="eastAsia"/>
                <w:b/>
                <w:sz w:val="9"/>
              </w:rPr>
            </w:pPr>
            <w:r>
              <w:rPr>
                <w:rFonts w:ascii="微軟正黑體" w:eastAsia="微軟正黑體" w:hint="eastAsia"/>
                <w:b/>
                <w:color w:val="FFFFFF"/>
                <w:sz w:val="16"/>
              </w:rPr>
              <w:t>治療 </w:t>
            </w:r>
            <w:r>
              <w:rPr>
                <w:rFonts w:ascii="微軟正黑體" w:eastAsia="微軟正黑體" w:hint="eastAsia"/>
                <w:b/>
                <w:color w:val="FFFFFF"/>
                <w:position w:val="8"/>
                <w:sz w:val="9"/>
              </w:rPr>
              <w:t>2</w:t>
            </w:r>
          </w:p>
        </w:tc>
        <w:tc>
          <w:tcPr>
            <w:tcW w:w="1541" w:type="dxa"/>
            <w:tcBorders>
              <w:bottom w:val="nil"/>
            </w:tcBorders>
            <w:shd w:val="clear" w:color="auto" w:fill="83A656"/>
          </w:tcPr>
          <w:p>
            <w:pPr>
              <w:pStyle w:val="TableParagraph"/>
              <w:spacing w:line="284" w:lineRule="exact"/>
              <w:ind w:left="583" w:right="566"/>
              <w:jc w:val="center"/>
              <w:rPr>
                <w:rFonts w:ascii="微軟正黑體"/>
                <w:b/>
                <w:sz w:val="9"/>
              </w:rPr>
            </w:pPr>
            <w:r>
              <w:rPr>
                <w:rFonts w:ascii="微軟正黑體"/>
                <w:b/>
                <w:color w:val="FFFFFF"/>
                <w:sz w:val="16"/>
              </w:rPr>
              <w:t>TST</w:t>
            </w:r>
            <w:r>
              <w:rPr>
                <w:rFonts w:ascii="微軟正黑體"/>
                <w:b/>
                <w:color w:val="FFFFFF"/>
                <w:position w:val="8"/>
                <w:sz w:val="9"/>
              </w:rPr>
              <w:t>2</w:t>
            </w:r>
          </w:p>
        </w:tc>
        <w:tc>
          <w:tcPr>
            <w:tcW w:w="1545" w:type="dxa"/>
            <w:tcBorders>
              <w:bottom w:val="nil"/>
              <w:right w:val="nil"/>
            </w:tcBorders>
            <w:shd w:val="clear" w:color="auto" w:fill="83A656"/>
          </w:tcPr>
          <w:p>
            <w:pPr>
              <w:pStyle w:val="TableParagraph"/>
              <w:spacing w:line="284" w:lineRule="exact"/>
              <w:ind w:left="589" w:right="578"/>
              <w:jc w:val="center"/>
              <w:rPr>
                <w:rFonts w:ascii="微軟正黑體"/>
                <w:b/>
                <w:sz w:val="16"/>
              </w:rPr>
            </w:pPr>
            <w:r>
              <w:rPr>
                <w:rFonts w:ascii="微軟正黑體"/>
                <w:b/>
                <w:color w:val="FFFFFF"/>
                <w:sz w:val="16"/>
              </w:rPr>
              <w:t>BCG</w:t>
            </w:r>
          </w:p>
        </w:tc>
      </w:tr>
      <w:tr>
        <w:trPr>
          <w:trHeight w:val="1150" w:hRule="atLeast"/>
        </w:trPr>
        <w:tc>
          <w:tcPr>
            <w:tcW w:w="1081" w:type="dxa"/>
            <w:vMerge w:val="restart"/>
            <w:tcBorders>
              <w:top w:val="nil"/>
              <w:left w:val="single" w:sz="6" w:space="0" w:color="83A656"/>
              <w:bottom w:val="single" w:sz="6" w:space="0" w:color="83A656"/>
              <w:right w:val="single" w:sz="6" w:space="0" w:color="83A656"/>
            </w:tcBorders>
          </w:tcPr>
          <w:p>
            <w:pPr>
              <w:pStyle w:val="TableParagraph"/>
              <w:spacing w:before="16"/>
              <w:rPr>
                <w:sz w:val="28"/>
              </w:rPr>
            </w:pPr>
          </w:p>
          <w:p>
            <w:pPr>
              <w:pStyle w:val="TableParagraph"/>
              <w:spacing w:line="156" w:lineRule="auto"/>
              <w:ind w:left="56" w:right="90"/>
              <w:rPr>
                <w:sz w:val="9"/>
              </w:rPr>
            </w:pPr>
            <w:r>
              <w:rPr>
                <w:color w:val="231F20"/>
                <w:sz w:val="16"/>
              </w:rPr>
              <w:t>新生兒時期 ( 胎兒時期至出生 30 日內 )</w:t>
            </w:r>
            <w:r>
              <w:rPr>
                <w:color w:val="231F20"/>
                <w:position w:val="8"/>
                <w:sz w:val="9"/>
              </w:rPr>
              <w:t>1</w:t>
            </w:r>
          </w:p>
        </w:tc>
        <w:tc>
          <w:tcPr>
            <w:tcW w:w="946" w:type="dxa"/>
            <w:tcBorders>
              <w:top w:val="nil"/>
              <w:left w:val="single" w:sz="6" w:space="0" w:color="83A656"/>
              <w:bottom w:val="single" w:sz="6" w:space="0" w:color="83A656"/>
              <w:right w:val="single" w:sz="6" w:space="0" w:color="83A656"/>
            </w:tcBorders>
          </w:tcPr>
          <w:p>
            <w:pPr>
              <w:pStyle w:val="TableParagraph"/>
              <w:spacing w:before="7"/>
              <w:rPr>
                <w:sz w:val="25"/>
              </w:rPr>
            </w:pPr>
          </w:p>
          <w:p>
            <w:pPr>
              <w:pStyle w:val="TableParagraph"/>
              <w:ind w:left="56"/>
              <w:rPr>
                <w:sz w:val="16"/>
              </w:rPr>
            </w:pPr>
            <w:r>
              <w:rPr>
                <w:color w:val="231F20"/>
                <w:sz w:val="16"/>
              </w:rPr>
              <w:t>未接種 BCG</w:t>
            </w:r>
          </w:p>
        </w:tc>
        <w:tc>
          <w:tcPr>
            <w:tcW w:w="1762" w:type="dxa"/>
            <w:vMerge w:val="restart"/>
            <w:tcBorders>
              <w:top w:val="single" w:sz="6" w:space="0" w:color="83A656"/>
              <w:left w:val="single" w:sz="6" w:space="0" w:color="83A656"/>
              <w:bottom w:val="single" w:sz="6" w:space="0" w:color="83A656"/>
              <w:right w:val="single" w:sz="6" w:space="0" w:color="83A656"/>
            </w:tcBorders>
          </w:tcPr>
          <w:p>
            <w:pPr>
              <w:pStyle w:val="TableParagraph"/>
              <w:rPr>
                <w:sz w:val="20"/>
              </w:rPr>
            </w:pPr>
          </w:p>
          <w:p>
            <w:pPr>
              <w:pStyle w:val="TableParagraph"/>
              <w:spacing w:before="6"/>
              <w:rPr>
                <w:sz w:val="15"/>
              </w:rPr>
            </w:pPr>
          </w:p>
          <w:p>
            <w:pPr>
              <w:pStyle w:val="TableParagraph"/>
              <w:spacing w:line="229" w:lineRule="exact" w:before="1"/>
              <w:ind w:left="56"/>
              <w:rPr>
                <w:sz w:val="16"/>
              </w:rPr>
            </w:pPr>
            <w:r>
              <w:rPr>
                <w:color w:val="231F20"/>
                <w:sz w:val="16"/>
              </w:rPr>
              <w:t>無須執行</w:t>
            </w:r>
          </w:p>
          <w:p>
            <w:pPr>
              <w:pStyle w:val="TableParagraph"/>
              <w:spacing w:line="229" w:lineRule="exact"/>
              <w:ind w:left="56"/>
              <w:rPr>
                <w:sz w:val="16"/>
              </w:rPr>
            </w:pPr>
            <w:r>
              <w:rPr>
                <w:color w:val="231F20"/>
                <w:sz w:val="16"/>
              </w:rPr>
              <w:t>( 避免偽陰性 )</w:t>
            </w:r>
          </w:p>
        </w:tc>
        <w:tc>
          <w:tcPr>
            <w:tcW w:w="2742" w:type="dxa"/>
            <w:vMerge w:val="restart"/>
            <w:tcBorders>
              <w:top w:val="single" w:sz="6" w:space="0" w:color="83A656"/>
              <w:left w:val="single" w:sz="6" w:space="0" w:color="83A656"/>
              <w:bottom w:val="single" w:sz="6" w:space="0" w:color="83A656"/>
              <w:right w:val="single" w:sz="6" w:space="0" w:color="83A656"/>
            </w:tcBorders>
          </w:tcPr>
          <w:p>
            <w:pPr>
              <w:pStyle w:val="TableParagraph"/>
              <w:rPr>
                <w:sz w:val="20"/>
              </w:rPr>
            </w:pPr>
          </w:p>
          <w:p>
            <w:pPr>
              <w:pStyle w:val="TableParagraph"/>
              <w:spacing w:before="4"/>
              <w:rPr>
                <w:sz w:val="19"/>
              </w:rPr>
            </w:pPr>
          </w:p>
          <w:p>
            <w:pPr>
              <w:pStyle w:val="TableParagraph"/>
              <w:spacing w:line="156" w:lineRule="auto"/>
              <w:ind w:left="56" w:right="41"/>
              <w:rPr>
                <w:sz w:val="16"/>
              </w:rPr>
            </w:pPr>
            <w:r>
              <w:rPr>
                <w:color w:val="231F20"/>
                <w:sz w:val="16"/>
              </w:rPr>
              <w:t>胸部 X 光正常於排除結核病後，完成預防性治療 (prophylaxis)</w:t>
            </w:r>
          </w:p>
        </w:tc>
        <w:tc>
          <w:tcPr>
            <w:tcW w:w="1541" w:type="dxa"/>
            <w:tcBorders>
              <w:top w:val="single" w:sz="6" w:space="0" w:color="83A656"/>
              <w:left w:val="single" w:sz="6" w:space="0" w:color="83A656"/>
              <w:bottom w:val="single" w:sz="6" w:space="0" w:color="83A656"/>
              <w:right w:val="single" w:sz="6" w:space="0" w:color="83A656"/>
            </w:tcBorders>
          </w:tcPr>
          <w:p>
            <w:pPr>
              <w:pStyle w:val="TableParagraph"/>
              <w:spacing w:before="13"/>
              <w:rPr>
                <w:sz w:val="13"/>
              </w:rPr>
            </w:pPr>
          </w:p>
          <w:p>
            <w:pPr>
              <w:pStyle w:val="TableParagraph"/>
              <w:spacing w:line="156" w:lineRule="auto"/>
              <w:ind w:left="57" w:right="134"/>
              <w:rPr>
                <w:sz w:val="16"/>
              </w:rPr>
            </w:pPr>
            <w:r>
              <w:rPr>
                <w:color w:val="231F20"/>
                <w:sz w:val="16"/>
              </w:rPr>
              <w:t>於完成預防性治療後，儘早執行 TST 以判定是否接種BCG</w:t>
            </w:r>
          </w:p>
        </w:tc>
        <w:tc>
          <w:tcPr>
            <w:tcW w:w="1545" w:type="dxa"/>
            <w:tcBorders>
              <w:top w:val="single" w:sz="6" w:space="0" w:color="83A656"/>
              <w:left w:val="single" w:sz="6" w:space="0" w:color="83A656"/>
              <w:bottom w:val="single" w:sz="6" w:space="0" w:color="83A656"/>
              <w:right w:val="single" w:sz="6" w:space="0" w:color="83A656"/>
            </w:tcBorders>
          </w:tcPr>
          <w:p>
            <w:pPr>
              <w:pStyle w:val="TableParagraph"/>
              <w:numPr>
                <w:ilvl w:val="0"/>
                <w:numId w:val="51"/>
              </w:numPr>
              <w:tabs>
                <w:tab w:pos="246" w:val="left" w:leader="none"/>
              </w:tabs>
              <w:spacing w:line="156" w:lineRule="auto" w:before="59" w:after="0"/>
              <w:ind w:left="245" w:right="175" w:hanging="187"/>
              <w:jc w:val="both"/>
              <w:rPr>
                <w:sz w:val="16"/>
              </w:rPr>
            </w:pPr>
            <w:r>
              <w:rPr>
                <w:color w:val="231F20"/>
                <w:sz w:val="16"/>
              </w:rPr>
              <w:t>TST</w:t>
            </w:r>
            <w:r>
              <w:rPr>
                <w:rFonts w:ascii="Symbol" w:hAnsi="Symbol" w:eastAsia="Symbol"/>
                <w:color w:val="231F20"/>
                <w:sz w:val="16"/>
              </w:rPr>
              <w:t>�</w:t>
            </w:r>
            <w:r>
              <w:rPr>
                <w:color w:val="231F20"/>
                <w:sz w:val="16"/>
              </w:rPr>
              <w:t>5mm</w:t>
            </w:r>
            <w:r>
              <w:rPr>
                <w:color w:val="231F20"/>
                <w:spacing w:val="-30"/>
                <w:sz w:val="16"/>
              </w:rPr>
              <w:t> 者，</w:t>
            </w:r>
            <w:r>
              <w:rPr>
                <w:color w:val="231F20"/>
                <w:spacing w:val="-43"/>
                <w:sz w:val="16"/>
              </w:rPr>
              <w:t> </w:t>
            </w:r>
            <w:r>
              <w:rPr>
                <w:color w:val="231F20"/>
                <w:spacing w:val="-3"/>
                <w:sz w:val="16"/>
              </w:rPr>
              <w:t>無須接種 </w:t>
            </w:r>
            <w:r>
              <w:rPr>
                <w:color w:val="231F20"/>
                <w:sz w:val="16"/>
              </w:rPr>
              <w:t>BCG</w:t>
            </w:r>
          </w:p>
          <w:p>
            <w:pPr>
              <w:pStyle w:val="TableParagraph"/>
              <w:numPr>
                <w:ilvl w:val="0"/>
                <w:numId w:val="51"/>
              </w:numPr>
              <w:tabs>
                <w:tab w:pos="246" w:val="left" w:leader="none"/>
              </w:tabs>
              <w:spacing w:line="156" w:lineRule="auto" w:before="0" w:after="0"/>
              <w:ind w:left="245" w:right="144" w:hanging="187"/>
              <w:jc w:val="both"/>
              <w:rPr>
                <w:sz w:val="16"/>
              </w:rPr>
            </w:pPr>
            <w:r>
              <w:rPr>
                <w:color w:val="231F20"/>
                <w:sz w:val="16"/>
              </w:rPr>
              <w:t>TST&lt;5mm</w:t>
            </w:r>
            <w:r>
              <w:rPr>
                <w:color w:val="231F20"/>
                <w:spacing w:val="-2"/>
                <w:sz w:val="16"/>
              </w:rPr>
              <w:t> 者， </w:t>
            </w:r>
            <w:r>
              <w:rPr>
                <w:color w:val="231F20"/>
                <w:sz w:val="16"/>
              </w:rPr>
              <w:t>完成預防性治療後，儘早接種</w:t>
            </w:r>
          </w:p>
          <w:p>
            <w:pPr>
              <w:pStyle w:val="TableParagraph"/>
              <w:spacing w:line="168" w:lineRule="exact"/>
              <w:ind w:left="245"/>
              <w:rPr>
                <w:sz w:val="16"/>
              </w:rPr>
            </w:pPr>
            <w:r>
              <w:rPr>
                <w:color w:val="231F20"/>
                <w:sz w:val="16"/>
              </w:rPr>
              <w:t>BCG</w:t>
            </w:r>
          </w:p>
        </w:tc>
      </w:tr>
      <w:tr>
        <w:trPr>
          <w:trHeight w:val="512" w:hRule="atLeast"/>
        </w:trPr>
        <w:tc>
          <w:tcPr>
            <w:tcW w:w="1081" w:type="dxa"/>
            <w:vMerge/>
            <w:tcBorders>
              <w:top w:val="nil"/>
              <w:left w:val="single" w:sz="6" w:space="0" w:color="83A656"/>
              <w:bottom w:val="single" w:sz="6" w:space="0" w:color="83A656"/>
              <w:right w:val="single" w:sz="6" w:space="0" w:color="83A656"/>
            </w:tcBorders>
          </w:tcPr>
          <w:p>
            <w:pPr>
              <w:rPr>
                <w:sz w:val="2"/>
                <w:szCs w:val="2"/>
              </w:rPr>
            </w:pPr>
          </w:p>
        </w:tc>
        <w:tc>
          <w:tcPr>
            <w:tcW w:w="946" w:type="dxa"/>
            <w:tcBorders>
              <w:top w:val="single" w:sz="6" w:space="0" w:color="83A656"/>
              <w:left w:val="single" w:sz="6" w:space="0" w:color="83A656"/>
              <w:bottom w:val="single" w:sz="6" w:space="0" w:color="83A656"/>
              <w:right w:val="single" w:sz="6" w:space="0" w:color="83A656"/>
            </w:tcBorders>
          </w:tcPr>
          <w:p>
            <w:pPr>
              <w:pStyle w:val="TableParagraph"/>
              <w:spacing w:before="126"/>
              <w:ind w:left="56"/>
              <w:rPr>
                <w:sz w:val="16"/>
              </w:rPr>
            </w:pPr>
            <w:r>
              <w:rPr>
                <w:color w:val="231F20"/>
                <w:sz w:val="16"/>
              </w:rPr>
              <w:t>已接種 BCG</w:t>
            </w:r>
          </w:p>
        </w:tc>
        <w:tc>
          <w:tcPr>
            <w:tcW w:w="1762" w:type="dxa"/>
            <w:vMerge/>
            <w:tcBorders>
              <w:top w:val="nil"/>
              <w:left w:val="single" w:sz="6" w:space="0" w:color="83A656"/>
              <w:bottom w:val="single" w:sz="6" w:space="0" w:color="83A656"/>
              <w:right w:val="single" w:sz="6" w:space="0" w:color="83A656"/>
            </w:tcBorders>
          </w:tcPr>
          <w:p>
            <w:pPr>
              <w:rPr>
                <w:sz w:val="2"/>
                <w:szCs w:val="2"/>
              </w:rPr>
            </w:pPr>
          </w:p>
        </w:tc>
        <w:tc>
          <w:tcPr>
            <w:tcW w:w="2742" w:type="dxa"/>
            <w:vMerge/>
            <w:tcBorders>
              <w:top w:val="nil"/>
              <w:left w:val="single" w:sz="6" w:space="0" w:color="83A656"/>
              <w:bottom w:val="single" w:sz="6" w:space="0" w:color="83A656"/>
              <w:right w:val="single" w:sz="6" w:space="0" w:color="83A656"/>
            </w:tcBorders>
          </w:tcPr>
          <w:p>
            <w:pPr>
              <w:rPr>
                <w:sz w:val="2"/>
                <w:szCs w:val="2"/>
              </w:rPr>
            </w:pPr>
          </w:p>
        </w:tc>
        <w:tc>
          <w:tcPr>
            <w:tcW w:w="3086" w:type="dxa"/>
            <w:gridSpan w:val="2"/>
            <w:tcBorders>
              <w:top w:val="single" w:sz="6" w:space="0" w:color="83A656"/>
              <w:left w:val="single" w:sz="6" w:space="0" w:color="83A656"/>
              <w:bottom w:val="single" w:sz="6" w:space="0" w:color="83A656"/>
              <w:right w:val="single" w:sz="6" w:space="0" w:color="83A656"/>
            </w:tcBorders>
          </w:tcPr>
          <w:p>
            <w:pPr>
              <w:pStyle w:val="TableParagraph"/>
              <w:spacing w:before="126"/>
              <w:ind w:left="1204" w:right="1186"/>
              <w:jc w:val="center"/>
              <w:rPr>
                <w:sz w:val="16"/>
              </w:rPr>
            </w:pPr>
            <w:r>
              <w:rPr>
                <w:color w:val="231F20"/>
                <w:sz w:val="16"/>
              </w:rPr>
              <w:t>無須執行</w:t>
            </w:r>
          </w:p>
        </w:tc>
      </w:tr>
      <w:tr>
        <w:trPr>
          <w:trHeight w:val="1337" w:hRule="atLeast"/>
        </w:trPr>
        <w:tc>
          <w:tcPr>
            <w:tcW w:w="1081" w:type="dxa"/>
            <w:vMerge w:val="restart"/>
            <w:tcBorders>
              <w:top w:val="single" w:sz="6" w:space="0" w:color="83A656"/>
              <w:left w:val="single" w:sz="6" w:space="0" w:color="83A656"/>
              <w:bottom w:val="single" w:sz="6" w:space="0" w:color="83A656"/>
              <w:right w:val="single" w:sz="6" w:space="0" w:color="83A656"/>
            </w:tcBorders>
          </w:tcPr>
          <w:p>
            <w:pPr>
              <w:pStyle w:val="TableParagraph"/>
              <w:rPr>
                <w:sz w:val="20"/>
              </w:rPr>
            </w:pPr>
          </w:p>
          <w:p>
            <w:pPr>
              <w:pStyle w:val="TableParagraph"/>
              <w:spacing w:before="11"/>
              <w:rPr>
                <w:sz w:val="22"/>
              </w:rPr>
            </w:pPr>
          </w:p>
          <w:p>
            <w:pPr>
              <w:pStyle w:val="TableParagraph"/>
              <w:spacing w:line="229" w:lineRule="exact"/>
              <w:ind w:left="56"/>
              <w:rPr>
                <w:sz w:val="16"/>
              </w:rPr>
            </w:pPr>
            <w:r>
              <w:rPr>
                <w:color w:val="231F20"/>
                <w:sz w:val="16"/>
              </w:rPr>
              <w:t>嬰兒</w:t>
            </w:r>
          </w:p>
          <w:p>
            <w:pPr>
              <w:pStyle w:val="TableParagraph"/>
              <w:spacing w:line="156" w:lineRule="auto" w:before="18"/>
              <w:ind w:left="56" w:right="130"/>
              <w:rPr>
                <w:sz w:val="16"/>
              </w:rPr>
            </w:pPr>
            <w:r>
              <w:rPr>
                <w:color w:val="231F20"/>
                <w:sz w:val="16"/>
              </w:rPr>
              <w:t>( 出生 30日至2歲) </w:t>
            </w:r>
          </w:p>
        </w:tc>
        <w:tc>
          <w:tcPr>
            <w:tcW w:w="946" w:type="dxa"/>
            <w:tcBorders>
              <w:top w:val="single" w:sz="6" w:space="0" w:color="83A656"/>
              <w:left w:val="single" w:sz="6" w:space="0" w:color="83A656"/>
              <w:bottom w:val="single" w:sz="6" w:space="0" w:color="83A656"/>
              <w:right w:val="single" w:sz="6" w:space="0" w:color="83A656"/>
            </w:tcBorders>
          </w:tcPr>
          <w:p>
            <w:pPr>
              <w:pStyle w:val="TableParagraph"/>
              <w:rPr>
                <w:sz w:val="20"/>
              </w:rPr>
            </w:pPr>
          </w:p>
          <w:p>
            <w:pPr>
              <w:pStyle w:val="TableParagraph"/>
              <w:spacing w:before="17"/>
              <w:rPr>
                <w:sz w:val="10"/>
              </w:rPr>
            </w:pPr>
          </w:p>
          <w:p>
            <w:pPr>
              <w:pStyle w:val="TableParagraph"/>
              <w:ind w:left="56"/>
              <w:rPr>
                <w:sz w:val="16"/>
              </w:rPr>
            </w:pPr>
            <w:r>
              <w:rPr>
                <w:color w:val="231F20"/>
                <w:sz w:val="16"/>
              </w:rPr>
              <w:t>未接種 BCG</w:t>
            </w:r>
          </w:p>
        </w:tc>
        <w:tc>
          <w:tcPr>
            <w:tcW w:w="1762" w:type="dxa"/>
            <w:vMerge w:val="restart"/>
            <w:tcBorders>
              <w:top w:val="single" w:sz="6" w:space="0" w:color="83A656"/>
              <w:left w:val="single" w:sz="6" w:space="0" w:color="83A656"/>
              <w:bottom w:val="single" w:sz="6" w:space="0" w:color="83A656"/>
              <w:right w:val="single" w:sz="6" w:space="0" w:color="83A656"/>
            </w:tcBorders>
          </w:tcPr>
          <w:p>
            <w:pPr>
              <w:pStyle w:val="TableParagraph"/>
              <w:numPr>
                <w:ilvl w:val="0"/>
                <w:numId w:val="52"/>
              </w:numPr>
              <w:tabs>
                <w:tab w:pos="244" w:val="left" w:leader="none"/>
              </w:tabs>
              <w:spacing w:line="170" w:lineRule="auto" w:before="49" w:after="0"/>
              <w:ind w:left="243" w:right="62" w:hanging="187"/>
              <w:jc w:val="both"/>
              <w:rPr>
                <w:sz w:val="16"/>
              </w:rPr>
            </w:pPr>
            <w:r>
              <w:rPr>
                <w:color w:val="231F20"/>
                <w:spacing w:val="-2"/>
                <w:sz w:val="16"/>
              </w:rPr>
              <w:t>暴露後儘速執行，最晚於 </w:t>
            </w:r>
            <w:r>
              <w:rPr>
                <w:color w:val="231F20"/>
                <w:sz w:val="16"/>
              </w:rPr>
              <w:t>1</w:t>
            </w:r>
            <w:r>
              <w:rPr>
                <w:color w:val="231F20"/>
                <w:spacing w:val="-2"/>
                <w:sz w:val="16"/>
              </w:rPr>
              <w:t> 個月內完成</w:t>
            </w:r>
          </w:p>
          <w:p>
            <w:pPr>
              <w:pStyle w:val="TableParagraph"/>
              <w:numPr>
                <w:ilvl w:val="0"/>
                <w:numId w:val="52"/>
              </w:numPr>
              <w:tabs>
                <w:tab w:pos="244" w:val="left" w:leader="none"/>
              </w:tabs>
              <w:spacing w:line="148" w:lineRule="auto" w:before="119" w:after="0"/>
              <w:ind w:left="243" w:right="39" w:hanging="187"/>
              <w:jc w:val="both"/>
              <w:rPr>
                <w:sz w:val="16"/>
              </w:rPr>
            </w:pPr>
            <w:r>
              <w:rPr>
                <w:color w:val="231F20"/>
                <w:sz w:val="16"/>
              </w:rPr>
              <w:t>8</w:t>
            </w:r>
            <w:r>
              <w:rPr>
                <w:color w:val="231F20"/>
                <w:spacing w:val="-7"/>
                <w:sz w:val="16"/>
              </w:rPr>
              <w:t> 週內 </w:t>
            </w:r>
            <w:r>
              <w:rPr>
                <w:color w:val="231F20"/>
                <w:sz w:val="16"/>
              </w:rPr>
              <w:t>TST</w:t>
            </w:r>
            <w:r>
              <w:rPr>
                <w:color w:val="231F20"/>
                <w:spacing w:val="-3"/>
                <w:sz w:val="16"/>
              </w:rPr>
              <w:t> 陰性者， </w:t>
            </w:r>
            <w:r>
              <w:rPr>
                <w:color w:val="231F20"/>
                <w:spacing w:val="-7"/>
                <w:sz w:val="16"/>
              </w:rPr>
              <w:t>需與第 </w:t>
            </w:r>
            <w:r>
              <w:rPr>
                <w:color w:val="231F20"/>
                <w:sz w:val="16"/>
              </w:rPr>
              <w:t>1</w:t>
            </w:r>
            <w:r>
              <w:rPr>
                <w:color w:val="231F20"/>
                <w:spacing w:val="-11"/>
                <w:sz w:val="16"/>
              </w:rPr>
              <w:t> 次 </w:t>
            </w:r>
            <w:r>
              <w:rPr>
                <w:color w:val="231F20"/>
                <w:sz w:val="16"/>
              </w:rPr>
              <w:t>TST</w:t>
            </w:r>
            <w:r>
              <w:rPr>
                <w:color w:val="231F20"/>
                <w:spacing w:val="-11"/>
                <w:sz w:val="16"/>
              </w:rPr>
              <w:t> 間隔</w:t>
            </w:r>
            <w:r>
              <w:rPr>
                <w:color w:val="231F20"/>
                <w:sz w:val="16"/>
              </w:rPr>
              <w:t>8</w:t>
            </w:r>
            <w:r>
              <w:rPr>
                <w:color w:val="231F20"/>
                <w:spacing w:val="-3"/>
                <w:sz w:val="16"/>
              </w:rPr>
              <w:t> 週後，執行第 </w:t>
            </w:r>
            <w:r>
              <w:rPr>
                <w:color w:val="231F20"/>
                <w:sz w:val="16"/>
              </w:rPr>
              <w:t>2</w:t>
            </w:r>
            <w:r>
              <w:rPr>
                <w:color w:val="231F20"/>
                <w:spacing w:val="-2"/>
                <w:sz w:val="16"/>
              </w:rPr>
              <w:t> 次TST</w:t>
            </w:r>
          </w:p>
          <w:p>
            <w:pPr>
              <w:pStyle w:val="TableParagraph"/>
              <w:numPr>
                <w:ilvl w:val="0"/>
                <w:numId w:val="52"/>
              </w:numPr>
              <w:tabs>
                <w:tab w:pos="244" w:val="left" w:leader="none"/>
              </w:tabs>
              <w:spacing w:line="156" w:lineRule="auto" w:before="119" w:after="0"/>
              <w:ind w:left="243" w:right="39" w:hanging="187"/>
              <w:jc w:val="both"/>
              <w:rPr>
                <w:sz w:val="16"/>
              </w:rPr>
            </w:pPr>
            <w:r>
              <w:rPr>
                <w:color w:val="231F20"/>
                <w:spacing w:val="-6"/>
                <w:sz w:val="16"/>
              </w:rPr>
              <w:t>倘第 </w:t>
            </w:r>
            <w:r>
              <w:rPr>
                <w:color w:val="231F20"/>
                <w:sz w:val="16"/>
              </w:rPr>
              <w:t>1</w:t>
            </w:r>
            <w:r>
              <w:rPr>
                <w:color w:val="231F20"/>
                <w:spacing w:val="-11"/>
                <w:sz w:val="16"/>
              </w:rPr>
              <w:t> 次 </w:t>
            </w:r>
            <w:r>
              <w:rPr>
                <w:color w:val="231F20"/>
                <w:sz w:val="16"/>
              </w:rPr>
              <w:t>TST</w:t>
            </w:r>
            <w:r>
              <w:rPr>
                <w:color w:val="231F20"/>
                <w:spacing w:val="-8"/>
                <w:sz w:val="16"/>
              </w:rPr>
              <w:t> 執行時</w:t>
            </w:r>
            <w:r>
              <w:rPr>
                <w:color w:val="231F20"/>
                <w:sz w:val="16"/>
              </w:rPr>
              <w:t>間已是與指標個案中</w:t>
            </w:r>
            <w:r>
              <w:rPr>
                <w:color w:val="231F20"/>
                <w:spacing w:val="-1"/>
                <w:sz w:val="16"/>
              </w:rPr>
              <w:t>只有效暴露滿 </w:t>
            </w:r>
            <w:r>
              <w:rPr>
                <w:color w:val="231F20"/>
                <w:sz w:val="16"/>
              </w:rPr>
              <w:t>8</w:t>
            </w:r>
            <w:r>
              <w:rPr>
                <w:color w:val="231F20"/>
                <w:spacing w:val="-2"/>
                <w:sz w:val="16"/>
              </w:rPr>
              <w:t> 週，</w:t>
            </w:r>
          </w:p>
          <w:p>
            <w:pPr>
              <w:pStyle w:val="TableParagraph"/>
              <w:spacing w:line="168" w:lineRule="exact"/>
              <w:ind w:left="243"/>
              <w:jc w:val="both"/>
              <w:rPr>
                <w:sz w:val="16"/>
              </w:rPr>
            </w:pPr>
            <w:r>
              <w:rPr>
                <w:color w:val="231F20"/>
                <w:sz w:val="16"/>
              </w:rPr>
              <w:t>無須執行第 2 次 TST</w:t>
            </w:r>
          </w:p>
        </w:tc>
        <w:tc>
          <w:tcPr>
            <w:tcW w:w="2742" w:type="dxa"/>
            <w:tcBorders>
              <w:top w:val="single" w:sz="6" w:space="0" w:color="83A656"/>
              <w:left w:val="single" w:sz="6" w:space="0" w:color="83A656"/>
              <w:bottom w:val="single" w:sz="6" w:space="0" w:color="83A656"/>
              <w:right w:val="single" w:sz="6" w:space="0" w:color="83A656"/>
            </w:tcBorders>
          </w:tcPr>
          <w:p>
            <w:pPr>
              <w:pStyle w:val="TableParagraph"/>
              <w:spacing w:line="229" w:lineRule="exact"/>
              <w:ind w:left="57"/>
              <w:rPr>
                <w:sz w:val="16"/>
              </w:rPr>
            </w:pPr>
            <w:r>
              <w:rPr>
                <w:color w:val="231F20"/>
                <w:sz w:val="16"/>
              </w:rPr>
              <w:t>暴露後 1 個月內胸部 X 光正常且</w:t>
            </w:r>
          </w:p>
          <w:p>
            <w:pPr>
              <w:pStyle w:val="TableParagraph"/>
              <w:spacing w:line="156" w:lineRule="auto" w:before="18"/>
              <w:ind w:left="57" w:right="129"/>
              <w:rPr>
                <w:sz w:val="16"/>
              </w:rPr>
            </w:pPr>
            <w:r>
              <w:rPr>
                <w:color w:val="231F20"/>
                <w:spacing w:val="9"/>
                <w:sz w:val="16"/>
              </w:rPr>
              <w:t>(D </w:t>
            </w:r>
            <w:r>
              <w:rPr>
                <w:color w:val="231F20"/>
                <w:sz w:val="16"/>
              </w:rPr>
              <w:t>TST</w:t>
            </w:r>
            <w:r>
              <w:rPr>
                <w:rFonts w:ascii="Symbol" w:hAnsi="Symbol" w:eastAsia="Symbol"/>
                <w:color w:val="231F20"/>
                <w:sz w:val="16"/>
              </w:rPr>
              <w:t>�</w:t>
            </w:r>
            <w:r>
              <w:rPr>
                <w:color w:val="231F20"/>
                <w:sz w:val="16"/>
              </w:rPr>
              <w:t>5mm</w:t>
            </w:r>
            <w:r>
              <w:rPr>
                <w:color w:val="231F20"/>
                <w:spacing w:val="-6"/>
                <w:sz w:val="16"/>
              </w:rPr>
              <w:t> 者，應完成 </w:t>
            </w:r>
            <w:r>
              <w:rPr>
                <w:color w:val="231F20"/>
                <w:spacing w:val="-3"/>
                <w:sz w:val="16"/>
              </w:rPr>
              <w:t>LTBI</w:t>
            </w:r>
            <w:r>
              <w:rPr>
                <w:color w:val="231F20"/>
                <w:spacing w:val="-30"/>
                <w:sz w:val="16"/>
              </w:rPr>
              <w:t> 治療</w:t>
            </w:r>
            <w:r>
              <w:rPr>
                <w:color w:val="231F20"/>
                <w:spacing w:val="11"/>
                <w:w w:val="95"/>
                <w:sz w:val="16"/>
              </w:rPr>
              <w:t>(?) </w:t>
            </w:r>
            <w:r>
              <w:rPr>
                <w:color w:val="231F20"/>
                <w:sz w:val="16"/>
              </w:rPr>
              <w:t>TST&lt;5mm</w:t>
            </w:r>
            <w:r>
              <w:rPr>
                <w:color w:val="231F20"/>
                <w:spacing w:val="-3"/>
                <w:sz w:val="16"/>
              </w:rPr>
              <w:t> 者：</w:t>
            </w:r>
          </w:p>
          <w:p>
            <w:pPr>
              <w:pStyle w:val="TableParagraph"/>
              <w:spacing w:line="156" w:lineRule="auto"/>
              <w:ind w:left="57" w:right="83" w:firstLine="56"/>
              <w:rPr>
                <w:sz w:val="16"/>
              </w:rPr>
            </w:pPr>
            <w:r>
              <w:rPr>
                <w:rFonts w:ascii="Wingdings" w:hAnsi="Wingdings" w:eastAsia="Wingdings"/>
                <w:color w:val="231F20"/>
                <w:w w:val="125"/>
                <w:sz w:val="16"/>
              </w:rPr>
              <w:t>令</w:t>
            </w:r>
            <w:r>
              <w:rPr>
                <w:rFonts w:ascii="Times New Roman" w:hAnsi="Times New Roman" w:eastAsia="Times New Roman"/>
                <w:color w:val="231F20"/>
                <w:w w:val="125"/>
                <w:sz w:val="16"/>
              </w:rPr>
              <w:t> </w:t>
            </w:r>
            <w:r>
              <w:rPr>
                <w:color w:val="231F20"/>
                <w:spacing w:val="-5"/>
                <w:w w:val="110"/>
                <w:sz w:val="16"/>
              </w:rPr>
              <w:t>進行預防性治療 </w:t>
            </w:r>
            <w:r>
              <w:rPr>
                <w:color w:val="231F20"/>
                <w:w w:val="110"/>
                <w:sz w:val="16"/>
              </w:rPr>
              <w:t>(prophylaxis) </w:t>
            </w:r>
            <w:r>
              <w:rPr>
                <w:rFonts w:ascii="Wingdings" w:hAnsi="Wingdings" w:eastAsia="Wingdings"/>
                <w:color w:val="231F20"/>
                <w:spacing w:val="39"/>
                <w:w w:val="140"/>
                <w:sz w:val="16"/>
              </w:rPr>
              <w:t>令</w:t>
            </w:r>
            <w:r>
              <w:rPr>
                <w:color w:val="231F20"/>
                <w:spacing w:val="-18"/>
                <w:w w:val="110"/>
                <w:sz w:val="16"/>
              </w:rPr>
              <w:t>於 </w:t>
            </w:r>
            <w:r>
              <w:rPr>
                <w:color w:val="231F20"/>
                <w:w w:val="110"/>
                <w:sz w:val="16"/>
              </w:rPr>
              <w:t>8</w:t>
            </w:r>
            <w:r>
              <w:rPr>
                <w:color w:val="231F20"/>
                <w:spacing w:val="-11"/>
                <w:w w:val="110"/>
                <w:sz w:val="16"/>
              </w:rPr>
              <w:t> 週後進行第 </w:t>
            </w:r>
            <w:r>
              <w:rPr>
                <w:color w:val="231F20"/>
                <w:w w:val="110"/>
                <w:sz w:val="16"/>
              </w:rPr>
              <w:t>2</w:t>
            </w:r>
            <w:r>
              <w:rPr>
                <w:color w:val="231F20"/>
                <w:spacing w:val="-24"/>
                <w:w w:val="110"/>
                <w:sz w:val="16"/>
              </w:rPr>
              <w:t> 次 </w:t>
            </w:r>
            <w:r>
              <w:rPr>
                <w:color w:val="231F20"/>
                <w:w w:val="110"/>
                <w:sz w:val="16"/>
              </w:rPr>
              <w:t>TST</w:t>
            </w:r>
            <w:r>
              <w:rPr>
                <w:color w:val="231F20"/>
                <w:spacing w:val="-34"/>
                <w:w w:val="110"/>
                <w:sz w:val="16"/>
              </w:rPr>
              <w:t> 結果：</w:t>
            </w:r>
            <w:r>
              <w:rPr>
                <w:color w:val="231F20"/>
                <w:spacing w:val="-47"/>
                <w:w w:val="110"/>
                <w:sz w:val="16"/>
              </w:rPr>
              <w:t> </w:t>
            </w:r>
            <w:r>
              <w:rPr>
                <w:color w:val="231F20"/>
                <w:spacing w:val="9"/>
                <w:sz w:val="16"/>
              </w:rPr>
              <w:t>(D </w:t>
            </w:r>
            <w:r>
              <w:rPr>
                <w:color w:val="231F20"/>
                <w:sz w:val="16"/>
              </w:rPr>
              <w:t>TST</w:t>
            </w:r>
            <w:r>
              <w:rPr>
                <w:rFonts w:ascii="Symbol" w:hAnsi="Symbol" w:eastAsia="Symbol"/>
                <w:color w:val="231F20"/>
                <w:sz w:val="16"/>
              </w:rPr>
              <w:t>�</w:t>
            </w:r>
            <w:r>
              <w:rPr>
                <w:color w:val="231F20"/>
                <w:sz w:val="16"/>
              </w:rPr>
              <w:t>5mm</w:t>
            </w:r>
            <w:r>
              <w:rPr>
                <w:color w:val="231F20"/>
                <w:spacing w:val="-6"/>
                <w:sz w:val="16"/>
              </w:rPr>
              <w:t> 者繼續完成 </w:t>
            </w:r>
            <w:r>
              <w:rPr>
                <w:color w:val="231F20"/>
                <w:spacing w:val="-3"/>
                <w:sz w:val="16"/>
              </w:rPr>
              <w:t>LTBI</w:t>
            </w:r>
            <w:r>
              <w:rPr>
                <w:color w:val="231F20"/>
                <w:spacing w:val="-14"/>
                <w:sz w:val="16"/>
              </w:rPr>
              <w:t> 治療</w:t>
            </w:r>
          </w:p>
          <w:p>
            <w:pPr>
              <w:pStyle w:val="TableParagraph"/>
              <w:spacing w:line="168" w:lineRule="exact"/>
              <w:ind w:left="57"/>
              <w:rPr>
                <w:sz w:val="16"/>
              </w:rPr>
            </w:pPr>
            <w:r>
              <w:rPr>
                <w:color w:val="231F20"/>
                <w:w w:val="95"/>
                <w:sz w:val="16"/>
              </w:rPr>
              <w:t>(?) </w:t>
            </w:r>
            <w:r>
              <w:rPr>
                <w:color w:val="231F20"/>
                <w:sz w:val="16"/>
              </w:rPr>
              <w:t>TST&lt;5mm 者停止治療</w:t>
            </w:r>
          </w:p>
        </w:tc>
        <w:tc>
          <w:tcPr>
            <w:tcW w:w="1541" w:type="dxa"/>
            <w:tcBorders>
              <w:top w:val="single" w:sz="6" w:space="0" w:color="83A656"/>
              <w:left w:val="single" w:sz="6" w:space="0" w:color="83A656"/>
              <w:bottom w:val="single" w:sz="6" w:space="0" w:color="83A656"/>
              <w:right w:val="single" w:sz="6" w:space="0" w:color="83A656"/>
            </w:tcBorders>
          </w:tcPr>
          <w:p>
            <w:pPr>
              <w:pStyle w:val="TableParagraph"/>
              <w:spacing w:before="11"/>
              <w:rPr>
                <w:sz w:val="29"/>
              </w:rPr>
            </w:pPr>
          </w:p>
          <w:p>
            <w:pPr>
              <w:pStyle w:val="TableParagraph"/>
              <w:spacing w:line="156" w:lineRule="auto" w:before="1"/>
              <w:ind w:left="57" w:right="54"/>
              <w:rPr>
                <w:sz w:val="16"/>
              </w:rPr>
            </w:pPr>
            <w:r>
              <w:rPr>
                <w:color w:val="231F20"/>
                <w:sz w:val="16"/>
              </w:rPr>
              <w:t>依終止有效暴露滿 8 週 TST 結果判定</w:t>
            </w:r>
          </w:p>
        </w:tc>
        <w:tc>
          <w:tcPr>
            <w:tcW w:w="1545" w:type="dxa"/>
            <w:tcBorders>
              <w:top w:val="single" w:sz="6" w:space="0" w:color="83A656"/>
              <w:left w:val="single" w:sz="6" w:space="0" w:color="83A656"/>
              <w:bottom w:val="single" w:sz="6" w:space="0" w:color="83A656"/>
              <w:right w:val="single" w:sz="6" w:space="0" w:color="83A656"/>
            </w:tcBorders>
          </w:tcPr>
          <w:p>
            <w:pPr>
              <w:pStyle w:val="TableParagraph"/>
              <w:numPr>
                <w:ilvl w:val="0"/>
                <w:numId w:val="53"/>
              </w:numPr>
              <w:tabs>
                <w:tab w:pos="289" w:val="left" w:leader="none"/>
              </w:tabs>
              <w:spacing w:line="156" w:lineRule="auto" w:before="103" w:after="0"/>
              <w:ind w:left="288" w:right="131" w:hanging="187"/>
              <w:jc w:val="left"/>
              <w:rPr>
                <w:sz w:val="16"/>
              </w:rPr>
            </w:pPr>
            <w:r>
              <w:rPr>
                <w:color w:val="231F20"/>
                <w:sz w:val="16"/>
              </w:rPr>
              <w:t>TST</w:t>
            </w:r>
            <w:r>
              <w:rPr>
                <w:rFonts w:ascii="Symbol" w:hAnsi="Symbol" w:eastAsia="Symbol"/>
                <w:color w:val="231F20"/>
                <w:sz w:val="16"/>
              </w:rPr>
              <w:t>�</w:t>
            </w:r>
            <w:r>
              <w:rPr>
                <w:color w:val="231F20"/>
                <w:sz w:val="16"/>
              </w:rPr>
              <w:t>5mm</w:t>
            </w:r>
            <w:r>
              <w:rPr>
                <w:color w:val="231F20"/>
                <w:spacing w:val="-29"/>
                <w:sz w:val="16"/>
              </w:rPr>
              <w:t> 者，</w:t>
            </w:r>
            <w:r>
              <w:rPr>
                <w:color w:val="231F20"/>
                <w:spacing w:val="-42"/>
                <w:sz w:val="16"/>
              </w:rPr>
              <w:t> </w:t>
            </w:r>
            <w:r>
              <w:rPr>
                <w:color w:val="231F20"/>
                <w:spacing w:val="-3"/>
                <w:sz w:val="16"/>
              </w:rPr>
              <w:t>無須接種 </w:t>
            </w:r>
            <w:r>
              <w:rPr>
                <w:color w:val="231F20"/>
                <w:sz w:val="16"/>
              </w:rPr>
              <w:t>BCG</w:t>
            </w:r>
          </w:p>
          <w:p>
            <w:pPr>
              <w:pStyle w:val="TableParagraph"/>
              <w:numPr>
                <w:ilvl w:val="0"/>
                <w:numId w:val="53"/>
              </w:numPr>
              <w:tabs>
                <w:tab w:pos="289" w:val="left" w:leader="none"/>
              </w:tabs>
              <w:spacing w:line="229" w:lineRule="exact" w:before="44" w:after="0"/>
              <w:ind w:left="288" w:right="0" w:hanging="188"/>
              <w:jc w:val="left"/>
              <w:rPr>
                <w:sz w:val="16"/>
              </w:rPr>
            </w:pPr>
            <w:r>
              <w:rPr>
                <w:color w:val="231F20"/>
                <w:w w:val="105"/>
                <w:sz w:val="16"/>
              </w:rPr>
              <w:t>TST&lt;5mm</w:t>
            </w:r>
          </w:p>
          <w:p>
            <w:pPr>
              <w:pStyle w:val="TableParagraph"/>
              <w:spacing w:line="156" w:lineRule="auto" w:before="18"/>
              <w:ind w:left="288" w:right="119"/>
              <w:rPr>
                <w:sz w:val="16"/>
              </w:rPr>
            </w:pPr>
            <w:r>
              <w:rPr>
                <w:color w:val="231F20"/>
                <w:sz w:val="16"/>
              </w:rPr>
              <w:t>者，於停止治療後儘早接種BCG</w:t>
            </w:r>
          </w:p>
        </w:tc>
      </w:tr>
      <w:tr>
        <w:trPr>
          <w:trHeight w:val="751" w:hRule="atLeast"/>
        </w:trPr>
        <w:tc>
          <w:tcPr>
            <w:tcW w:w="1081" w:type="dxa"/>
            <w:vMerge/>
            <w:tcBorders>
              <w:top w:val="nil"/>
              <w:left w:val="single" w:sz="6" w:space="0" w:color="83A656"/>
              <w:bottom w:val="single" w:sz="6" w:space="0" w:color="83A656"/>
              <w:right w:val="single" w:sz="6" w:space="0" w:color="83A656"/>
            </w:tcBorders>
          </w:tcPr>
          <w:p>
            <w:pPr>
              <w:rPr>
                <w:sz w:val="2"/>
                <w:szCs w:val="2"/>
              </w:rPr>
            </w:pPr>
          </w:p>
        </w:tc>
        <w:tc>
          <w:tcPr>
            <w:tcW w:w="946" w:type="dxa"/>
            <w:tcBorders>
              <w:top w:val="single" w:sz="6" w:space="0" w:color="83A656"/>
              <w:left w:val="single" w:sz="6" w:space="0" w:color="83A656"/>
              <w:bottom w:val="single" w:sz="6" w:space="0" w:color="83A656"/>
              <w:right w:val="single" w:sz="6" w:space="0" w:color="83A656"/>
            </w:tcBorders>
          </w:tcPr>
          <w:p>
            <w:pPr>
              <w:pStyle w:val="TableParagraph"/>
              <w:spacing w:before="2"/>
              <w:rPr>
                <w:sz w:val="14"/>
              </w:rPr>
            </w:pPr>
          </w:p>
          <w:p>
            <w:pPr>
              <w:pStyle w:val="TableParagraph"/>
              <w:ind w:left="56"/>
              <w:rPr>
                <w:sz w:val="16"/>
              </w:rPr>
            </w:pPr>
            <w:r>
              <w:rPr>
                <w:color w:val="231F20"/>
                <w:sz w:val="16"/>
              </w:rPr>
              <w:t>已接種 BCG</w:t>
            </w:r>
          </w:p>
        </w:tc>
        <w:tc>
          <w:tcPr>
            <w:tcW w:w="1762" w:type="dxa"/>
            <w:vMerge/>
            <w:tcBorders>
              <w:top w:val="nil"/>
              <w:left w:val="single" w:sz="6" w:space="0" w:color="83A656"/>
              <w:bottom w:val="single" w:sz="6" w:space="0" w:color="83A656"/>
              <w:right w:val="single" w:sz="6" w:space="0" w:color="83A656"/>
            </w:tcBorders>
          </w:tcPr>
          <w:p>
            <w:pPr>
              <w:rPr>
                <w:sz w:val="2"/>
                <w:szCs w:val="2"/>
              </w:rPr>
            </w:pPr>
          </w:p>
        </w:tc>
        <w:tc>
          <w:tcPr>
            <w:tcW w:w="2742" w:type="dxa"/>
            <w:tcBorders>
              <w:top w:val="single" w:sz="6" w:space="0" w:color="83A656"/>
              <w:left w:val="single" w:sz="6" w:space="0" w:color="83A656"/>
              <w:bottom w:val="single" w:sz="6" w:space="0" w:color="83A656"/>
              <w:right w:val="single" w:sz="6" w:space="0" w:color="83A656"/>
            </w:tcBorders>
          </w:tcPr>
          <w:p>
            <w:pPr>
              <w:pStyle w:val="TableParagraph"/>
              <w:spacing w:before="14"/>
              <w:rPr>
                <w:sz w:val="12"/>
              </w:rPr>
            </w:pPr>
          </w:p>
          <w:p>
            <w:pPr>
              <w:pStyle w:val="TableParagraph"/>
              <w:spacing w:line="156" w:lineRule="auto"/>
              <w:ind w:left="56" w:right="19"/>
              <w:rPr>
                <w:sz w:val="16"/>
              </w:rPr>
            </w:pPr>
            <w:r>
              <w:rPr>
                <w:color w:val="231F20"/>
                <w:sz w:val="16"/>
              </w:rPr>
              <w:t>建議同上，惟 TST 陽性之判讀標準由</w:t>
            </w:r>
            <w:r>
              <w:rPr>
                <w:color w:val="231F20"/>
                <w:w w:val="105"/>
                <w:sz w:val="16"/>
              </w:rPr>
              <w:t>改為 </w:t>
            </w:r>
            <w:r>
              <w:rPr>
                <w:rFonts w:ascii="Symbol" w:hAnsi="Symbol"/>
                <w:color w:val="231F20"/>
                <w:w w:val="105"/>
                <w:sz w:val="16"/>
              </w:rPr>
              <w:t>�</w:t>
            </w:r>
            <w:r>
              <w:rPr>
                <w:color w:val="231F20"/>
                <w:w w:val="105"/>
                <w:sz w:val="16"/>
              </w:rPr>
              <w:t>10mm</w:t>
            </w:r>
          </w:p>
        </w:tc>
        <w:tc>
          <w:tcPr>
            <w:tcW w:w="3086" w:type="dxa"/>
            <w:gridSpan w:val="2"/>
            <w:tcBorders>
              <w:top w:val="single" w:sz="6" w:space="0" w:color="83A656"/>
              <w:left w:val="single" w:sz="6" w:space="0" w:color="83A656"/>
              <w:bottom w:val="single" w:sz="6" w:space="0" w:color="83A656"/>
              <w:right w:val="single" w:sz="6" w:space="0" w:color="83A656"/>
            </w:tcBorders>
          </w:tcPr>
          <w:p>
            <w:pPr>
              <w:pStyle w:val="TableParagraph"/>
              <w:spacing w:before="2"/>
              <w:rPr>
                <w:sz w:val="14"/>
              </w:rPr>
            </w:pPr>
          </w:p>
          <w:p>
            <w:pPr>
              <w:pStyle w:val="TableParagraph"/>
              <w:ind w:left="1204" w:right="1186"/>
              <w:jc w:val="center"/>
              <w:rPr>
                <w:sz w:val="16"/>
              </w:rPr>
            </w:pPr>
            <w:r>
              <w:rPr>
                <w:color w:val="231F20"/>
                <w:sz w:val="16"/>
              </w:rPr>
              <w:t>無須執行</w:t>
            </w:r>
          </w:p>
        </w:tc>
      </w:tr>
    </w:tbl>
    <w:p>
      <w:pPr>
        <w:spacing w:line="254" w:lineRule="exact" w:before="7"/>
        <w:ind w:left="153" w:right="0" w:firstLine="0"/>
        <w:jc w:val="left"/>
        <w:rPr>
          <w:sz w:val="16"/>
        </w:rPr>
      </w:pPr>
      <w:r>
        <w:rPr>
          <w:color w:val="231F20"/>
          <w:sz w:val="16"/>
        </w:rPr>
        <w:t>備註：</w:t>
      </w:r>
    </w:p>
    <w:p>
      <w:pPr>
        <w:pStyle w:val="ListParagraph"/>
        <w:numPr>
          <w:ilvl w:val="0"/>
          <w:numId w:val="54"/>
        </w:numPr>
        <w:tabs>
          <w:tab w:pos="323" w:val="left" w:leader="none"/>
        </w:tabs>
        <w:spacing w:line="230" w:lineRule="exact" w:before="0" w:after="0"/>
        <w:ind w:left="322" w:right="0" w:hanging="170"/>
        <w:jc w:val="left"/>
        <w:rPr>
          <w:sz w:val="16"/>
        </w:rPr>
      </w:pPr>
      <w:r>
        <w:rPr>
          <w:color w:val="231F20"/>
          <w:spacing w:val="-1"/>
          <w:sz w:val="16"/>
        </w:rPr>
        <w:t>胎兒時期致出生 </w:t>
      </w:r>
      <w:r>
        <w:rPr>
          <w:color w:val="231F20"/>
          <w:sz w:val="16"/>
        </w:rPr>
        <w:t>30</w:t>
      </w:r>
      <w:r>
        <w:rPr>
          <w:color w:val="231F20"/>
          <w:spacing w:val="-3"/>
          <w:sz w:val="16"/>
        </w:rPr>
        <w:t> 日內暴露，為避免偽陰性問題，無須執行 </w:t>
      </w:r>
      <w:r>
        <w:rPr>
          <w:color w:val="231F20"/>
          <w:sz w:val="16"/>
        </w:rPr>
        <w:t>TST</w:t>
      </w:r>
      <w:r>
        <w:rPr>
          <w:color w:val="231F20"/>
          <w:spacing w:val="-2"/>
          <w:sz w:val="16"/>
        </w:rPr>
        <w:t> 即可開始預防性治療。</w:t>
      </w:r>
    </w:p>
    <w:p>
      <w:pPr>
        <w:pStyle w:val="ListParagraph"/>
        <w:numPr>
          <w:ilvl w:val="0"/>
          <w:numId w:val="54"/>
        </w:numPr>
        <w:tabs>
          <w:tab w:pos="324" w:val="left" w:leader="none"/>
        </w:tabs>
        <w:spacing w:line="230" w:lineRule="exact" w:before="0" w:after="0"/>
        <w:ind w:left="323" w:right="0" w:hanging="171"/>
        <w:jc w:val="left"/>
        <w:rPr>
          <w:sz w:val="16"/>
        </w:rPr>
      </w:pPr>
      <w:r>
        <w:rPr>
          <w:color w:val="231F20"/>
          <w:sz w:val="16"/>
        </w:rPr>
        <w:t>TST</w:t>
      </w:r>
      <w:r>
        <w:rPr>
          <w:color w:val="231F20"/>
          <w:spacing w:val="-2"/>
          <w:sz w:val="16"/>
        </w:rPr>
        <w:t> 陽性判定標準：</w:t>
      </w:r>
      <w:r>
        <w:rPr>
          <w:rFonts w:ascii="Symbol" w:hAnsi="Symbol" w:eastAsia="Symbol"/>
          <w:color w:val="231F20"/>
          <w:sz w:val="16"/>
        </w:rPr>
        <w:t>�</w:t>
      </w:r>
      <w:r>
        <w:rPr>
          <w:color w:val="231F20"/>
          <w:sz w:val="16"/>
        </w:rPr>
        <w:t>5mm</w:t>
      </w:r>
      <w:r>
        <w:rPr>
          <w:color w:val="231F20"/>
          <w:spacing w:val="-1"/>
          <w:sz w:val="16"/>
        </w:rPr>
        <w:t> 對象</w:t>
      </w:r>
      <w:r>
        <w:rPr>
          <w:color w:val="231F20"/>
          <w:sz w:val="16"/>
        </w:rPr>
        <w:t>：HIV、TNF-a</w:t>
      </w:r>
      <w:r>
        <w:rPr>
          <w:color w:val="231F20"/>
          <w:spacing w:val="-3"/>
          <w:sz w:val="16"/>
        </w:rPr>
        <w:t> </w:t>
      </w:r>
      <w:r>
        <w:rPr>
          <w:color w:val="231F20"/>
          <w:sz w:val="16"/>
        </w:rPr>
        <w:t>inhibitor、免疫不全、惡性腫瘤化療、器官移植、未接種卡介苗者；非上述對象者以</w:t>
      </w:r>
    </w:p>
    <w:p>
      <w:pPr>
        <w:spacing w:line="230" w:lineRule="exact" w:before="0"/>
        <w:ind w:left="323" w:right="0" w:firstLine="0"/>
        <w:jc w:val="left"/>
        <w:rPr>
          <w:sz w:val="16"/>
        </w:rPr>
      </w:pPr>
      <w:r>
        <w:rPr>
          <w:rFonts w:ascii="Symbol" w:hAnsi="Symbol" w:eastAsia="Symbol"/>
          <w:color w:val="231F20"/>
          <w:sz w:val="16"/>
        </w:rPr>
        <w:t>�</w:t>
      </w:r>
      <w:r>
        <w:rPr>
          <w:color w:val="231F20"/>
          <w:sz w:val="16"/>
        </w:rPr>
        <w:t>10mm 為判定標準。</w:t>
      </w:r>
    </w:p>
    <w:p>
      <w:pPr>
        <w:pStyle w:val="ListParagraph"/>
        <w:numPr>
          <w:ilvl w:val="0"/>
          <w:numId w:val="54"/>
        </w:numPr>
        <w:tabs>
          <w:tab w:pos="324" w:val="left" w:leader="none"/>
        </w:tabs>
        <w:spacing w:line="199" w:lineRule="auto" w:before="8" w:after="0"/>
        <w:ind w:left="323" w:right="1570" w:hanging="170"/>
        <w:jc w:val="left"/>
        <w:rPr>
          <w:sz w:val="16"/>
        </w:rPr>
      </w:pPr>
      <w:r>
        <w:rPr>
          <w:color w:val="231F20"/>
          <w:spacing w:val="-3"/>
          <w:sz w:val="16"/>
        </w:rPr>
        <w:t>LTBI</w:t>
      </w:r>
      <w:r>
        <w:rPr>
          <w:color w:val="231F20"/>
          <w:spacing w:val="-4"/>
          <w:sz w:val="16"/>
        </w:rPr>
        <w:t> 治療處方及劑量請參考結核病診治指引「潛伏結核感染 </w:t>
      </w:r>
      <w:r>
        <w:rPr>
          <w:color w:val="231F20"/>
          <w:spacing w:val="-3"/>
          <w:sz w:val="16"/>
        </w:rPr>
        <w:t>LTBI</w:t>
      </w:r>
      <w:r>
        <w:rPr>
          <w:color w:val="231F20"/>
          <w:sz w:val="16"/>
        </w:rPr>
        <w:t>」；持「TB</w:t>
      </w:r>
      <w:r>
        <w:rPr>
          <w:color w:val="231F20"/>
          <w:spacing w:val="-4"/>
          <w:sz w:val="16"/>
        </w:rPr>
        <w:t> 接觸者就醫轉介單」者，主判斷碼請鍵入 </w:t>
      </w:r>
      <w:r>
        <w:rPr>
          <w:color w:val="231F20"/>
          <w:sz w:val="16"/>
        </w:rPr>
        <w:t>ICD-code Z20.1；持「</w:t>
      </w:r>
      <w:r>
        <w:rPr>
          <w:color w:val="231F20"/>
          <w:spacing w:val="-3"/>
          <w:sz w:val="16"/>
        </w:rPr>
        <w:t>LTBI</w:t>
      </w:r>
      <w:r>
        <w:rPr>
          <w:color w:val="231F20"/>
          <w:spacing w:val="-5"/>
          <w:sz w:val="16"/>
        </w:rPr>
        <w:t> 就診手冊 ( 智慧關懷卡 ) 就醫」者，主診斷碼請鍵入 </w:t>
      </w:r>
      <w:r>
        <w:rPr>
          <w:color w:val="231F20"/>
          <w:sz w:val="16"/>
        </w:rPr>
        <w:t>ICD-code</w:t>
      </w:r>
      <w:r>
        <w:rPr>
          <w:color w:val="231F20"/>
          <w:spacing w:val="-5"/>
          <w:sz w:val="16"/>
        </w:rPr>
        <w:t> </w:t>
      </w:r>
      <w:r>
        <w:rPr>
          <w:color w:val="231F20"/>
          <w:sz w:val="16"/>
        </w:rPr>
        <w:t>R76.1。</w:t>
      </w:r>
    </w:p>
    <w:p>
      <w:pPr>
        <w:pStyle w:val="ListParagraph"/>
        <w:numPr>
          <w:ilvl w:val="0"/>
          <w:numId w:val="54"/>
        </w:numPr>
        <w:tabs>
          <w:tab w:pos="323" w:val="left" w:leader="none"/>
        </w:tabs>
        <w:spacing w:line="199" w:lineRule="auto" w:before="0" w:after="0"/>
        <w:ind w:left="323" w:right="1255" w:hanging="170"/>
        <w:jc w:val="left"/>
        <w:rPr>
          <w:sz w:val="16"/>
        </w:rPr>
      </w:pPr>
      <w:r>
        <w:rPr>
          <w:color w:val="231F20"/>
          <w:w w:val="105"/>
          <w:sz w:val="16"/>
        </w:rPr>
        <w:t>縮寫：LTBI，latent</w:t>
      </w:r>
      <w:r>
        <w:rPr>
          <w:color w:val="231F20"/>
          <w:spacing w:val="-30"/>
          <w:w w:val="105"/>
          <w:sz w:val="16"/>
        </w:rPr>
        <w:t> </w:t>
      </w:r>
      <w:r>
        <w:rPr>
          <w:color w:val="231F20"/>
          <w:w w:val="105"/>
          <w:sz w:val="16"/>
        </w:rPr>
        <w:t>tuberculosis</w:t>
      </w:r>
      <w:r>
        <w:rPr>
          <w:color w:val="231F20"/>
          <w:spacing w:val="-30"/>
          <w:w w:val="105"/>
          <w:sz w:val="16"/>
        </w:rPr>
        <w:t> </w:t>
      </w:r>
      <w:r>
        <w:rPr>
          <w:color w:val="231F20"/>
          <w:w w:val="105"/>
          <w:sz w:val="16"/>
        </w:rPr>
        <w:t>infection</w:t>
      </w:r>
      <w:r>
        <w:rPr>
          <w:color w:val="231F20"/>
          <w:spacing w:val="-11"/>
          <w:w w:val="105"/>
          <w:sz w:val="16"/>
        </w:rPr>
        <w:t> ( 潛伏結核感染 </w:t>
      </w:r>
      <w:r>
        <w:rPr>
          <w:color w:val="231F20"/>
          <w:w w:val="105"/>
          <w:sz w:val="16"/>
        </w:rPr>
        <w:t>)；BCG，Bacillus</w:t>
      </w:r>
      <w:r>
        <w:rPr>
          <w:color w:val="231F20"/>
          <w:spacing w:val="-30"/>
          <w:w w:val="105"/>
          <w:sz w:val="16"/>
        </w:rPr>
        <w:t> </w:t>
      </w:r>
      <w:r>
        <w:rPr>
          <w:color w:val="231F20"/>
          <w:w w:val="105"/>
          <w:sz w:val="16"/>
        </w:rPr>
        <w:t>Calmette-Guerin</w:t>
      </w:r>
      <w:r>
        <w:rPr>
          <w:color w:val="231F20"/>
          <w:spacing w:val="-30"/>
          <w:w w:val="105"/>
          <w:sz w:val="16"/>
        </w:rPr>
        <w:t> </w:t>
      </w:r>
      <w:r>
        <w:rPr>
          <w:color w:val="231F20"/>
          <w:w w:val="105"/>
          <w:sz w:val="16"/>
        </w:rPr>
        <w:t>vaccine</w:t>
      </w:r>
      <w:r>
        <w:rPr>
          <w:color w:val="231F20"/>
          <w:spacing w:val="-13"/>
          <w:w w:val="105"/>
          <w:sz w:val="16"/>
        </w:rPr>
        <w:t> ( 卡介苗 </w:t>
      </w:r>
      <w:r>
        <w:rPr>
          <w:color w:val="231F20"/>
          <w:w w:val="105"/>
          <w:sz w:val="16"/>
        </w:rPr>
        <w:t>)；TST，tuberculin skin</w:t>
      </w:r>
      <w:r>
        <w:rPr>
          <w:color w:val="231F20"/>
          <w:spacing w:val="-8"/>
          <w:w w:val="105"/>
          <w:sz w:val="16"/>
        </w:rPr>
        <w:t> </w:t>
      </w:r>
      <w:r>
        <w:rPr>
          <w:color w:val="231F20"/>
          <w:w w:val="105"/>
          <w:sz w:val="16"/>
        </w:rPr>
        <w:t>test</w:t>
      </w:r>
      <w:r>
        <w:rPr>
          <w:color w:val="231F20"/>
          <w:spacing w:val="-5"/>
          <w:w w:val="105"/>
          <w:sz w:val="16"/>
        </w:rPr>
        <w:t> ( 結核菌素皮膚測驗 )。</w:t>
      </w:r>
    </w:p>
    <w:p>
      <w:pPr>
        <w:pStyle w:val="BodyText"/>
        <w:rPr>
          <w:sz w:val="21"/>
        </w:rPr>
      </w:pPr>
    </w:p>
    <w:p>
      <w:pPr>
        <w:pStyle w:val="Heading2"/>
        <w:spacing w:before="39"/>
      </w:pPr>
      <w:r>
        <w:rPr>
          <w:color w:val="231F20"/>
        </w:rPr>
        <w:t>肆、卡介苗接種人員資格</w:t>
      </w:r>
    </w:p>
    <w:p>
      <w:pPr>
        <w:pStyle w:val="BodyText"/>
        <w:spacing w:line="230" w:lineRule="auto" w:before="7"/>
        <w:ind w:left="635" w:right="1136" w:firstLine="481"/>
      </w:pPr>
      <w:r>
        <w:rPr>
          <w:color w:val="231F20"/>
        </w:rPr>
        <w:t>應為卡介苗接種技術訓練合格者，訓練相關內容請參見「卡介苗接種及結核菌素測驗工作人員訓練作業規範 </w:t>
      </w:r>
      <w:r>
        <w:rPr>
          <w:color w:val="231F20"/>
          <w:w w:val="90"/>
        </w:rPr>
        <w:t>」</w:t>
      </w:r>
      <w:r>
        <w:rPr>
          <w:color w:val="231F20"/>
        </w:rPr>
        <w:t>( 附件 4-1)。</w:t>
      </w:r>
    </w:p>
    <w:p>
      <w:pPr>
        <w:pStyle w:val="BodyText"/>
        <w:spacing w:before="3"/>
        <w:rPr>
          <w:sz w:val="20"/>
        </w:rPr>
      </w:pPr>
    </w:p>
    <w:p>
      <w:pPr>
        <w:pStyle w:val="Heading2"/>
      </w:pPr>
      <w:r>
        <w:rPr>
          <w:color w:val="231F20"/>
        </w:rPr>
        <w:t>伍、卡介苗接種前注意事項</w:t>
      </w:r>
    </w:p>
    <w:p>
      <w:pPr>
        <w:pStyle w:val="BodyText"/>
        <w:spacing w:line="404" w:lineRule="exact"/>
        <w:ind w:left="391"/>
      </w:pPr>
      <w:r>
        <w:rPr>
          <w:color w:val="231F20"/>
        </w:rPr>
        <w:t>＿、禁忌：</w:t>
      </w:r>
    </w:p>
    <w:p>
      <w:pPr>
        <w:pStyle w:val="BodyText"/>
        <w:tabs>
          <w:tab w:pos="1349" w:val="left" w:leader="none"/>
        </w:tabs>
        <w:spacing w:line="230" w:lineRule="auto" w:before="2"/>
        <w:ind w:left="629" w:right="3575"/>
      </w:pPr>
      <w:r>
        <w:rPr>
          <w:color w:val="231F20"/>
        </w:rPr>
        <w:t>(</w:t>
      </w:r>
      <w:r>
        <w:rPr>
          <w:color w:val="231F20"/>
          <w:spacing w:val="-9"/>
        </w:rPr>
        <w:t> </w:t>
      </w:r>
      <w:r>
        <w:rPr>
          <w:color w:val="231F20"/>
        </w:rPr>
        <w:t>＿</w:t>
      </w:r>
      <w:r>
        <w:rPr>
          <w:color w:val="231F20"/>
          <w:spacing w:val="-8"/>
        </w:rPr>
        <w:t> </w:t>
      </w:r>
      <w:r>
        <w:rPr>
          <w:color w:val="231F20"/>
        </w:rPr>
        <w:t>)</w:t>
        <w:tab/>
        <w:t>接種本疫苗或對本疫苗任何成分曾發生嚴重過敏反應者</w:t>
      </w:r>
      <w:r>
        <w:rPr>
          <w:color w:val="231F20"/>
          <w:spacing w:val="-20"/>
        </w:rPr>
        <w:t>。</w:t>
      </w:r>
      <w:r>
        <w:rPr>
          <w:color w:val="231F20"/>
        </w:rPr>
        <w:t>(</w:t>
      </w:r>
      <w:r>
        <w:rPr>
          <w:color w:val="231F20"/>
          <w:spacing w:val="-9"/>
        </w:rPr>
        <w:t> </w:t>
      </w:r>
      <w:r>
        <w:rPr>
          <w:color w:val="231F20"/>
        </w:rPr>
        <w:t>—</w:t>
      </w:r>
      <w:r>
        <w:rPr>
          <w:color w:val="231F20"/>
          <w:spacing w:val="-8"/>
        </w:rPr>
        <w:t> </w:t>
      </w:r>
      <w:r>
        <w:rPr>
          <w:color w:val="231F20"/>
        </w:rPr>
        <w:t>)</w:t>
        <w:tab/>
        <w:t>嚴重濕疹與其他有明顯皮膚缺損的病人。</w:t>
      </w:r>
    </w:p>
    <w:p>
      <w:pPr>
        <w:pStyle w:val="BodyText"/>
        <w:tabs>
          <w:tab w:pos="1349" w:val="left" w:leader="none"/>
        </w:tabs>
        <w:spacing w:line="395" w:lineRule="exact"/>
        <w:ind w:left="629"/>
      </w:pPr>
      <w:r>
        <w:rPr>
          <w:color w:val="231F20"/>
        </w:rPr>
        <w:t>(</w:t>
      </w:r>
      <w:r>
        <w:rPr>
          <w:color w:val="231F20"/>
          <w:spacing w:val="-9"/>
        </w:rPr>
        <w:t> </w:t>
      </w:r>
      <w:r>
        <w:rPr>
          <w:color w:val="231F20"/>
        </w:rPr>
        <w:t>二</w:t>
      </w:r>
      <w:r>
        <w:rPr>
          <w:color w:val="231F20"/>
          <w:spacing w:val="-8"/>
        </w:rPr>
        <w:t> </w:t>
      </w:r>
      <w:r>
        <w:rPr>
          <w:color w:val="231F20"/>
        </w:rPr>
        <w:t>)</w:t>
        <w:tab/>
        <w:t>免疫功能不全。</w:t>
      </w:r>
    </w:p>
    <w:p>
      <w:pPr>
        <w:pStyle w:val="BodyText"/>
        <w:tabs>
          <w:tab w:pos="1349" w:val="left" w:leader="none"/>
        </w:tabs>
        <w:spacing w:line="400" w:lineRule="exact"/>
        <w:ind w:left="629"/>
      </w:pPr>
      <w:r>
        <w:rPr>
          <w:color w:val="231F20"/>
        </w:rPr>
        <w:t>(</w:t>
      </w:r>
      <w:r>
        <w:rPr>
          <w:color w:val="231F20"/>
          <w:spacing w:val="-9"/>
        </w:rPr>
        <w:t> </w:t>
      </w:r>
      <w:r>
        <w:rPr>
          <w:color w:val="231F20"/>
        </w:rPr>
        <w:t>匹</w:t>
      </w:r>
      <w:r>
        <w:rPr>
          <w:color w:val="231F20"/>
          <w:spacing w:val="-8"/>
        </w:rPr>
        <w:t> </w:t>
      </w:r>
      <w:r>
        <w:rPr>
          <w:color w:val="231F20"/>
        </w:rPr>
        <w:t>)</w:t>
        <w:tab/>
        <w:t>人類免疫缺乏病毒</w:t>
      </w:r>
      <w:r>
        <w:rPr>
          <w:color w:val="231F20"/>
          <w:spacing w:val="-7"/>
        </w:rPr>
        <w:t> </w:t>
      </w:r>
      <w:r>
        <w:rPr>
          <w:color w:val="231F20"/>
        </w:rPr>
        <w:t>(</w:t>
      </w:r>
      <w:r>
        <w:rPr>
          <w:color w:val="231F20"/>
          <w:spacing w:val="-7"/>
        </w:rPr>
        <w:t> </w:t>
      </w:r>
      <w:r>
        <w:rPr>
          <w:color w:val="231F20"/>
        </w:rPr>
        <w:t>愛滋病毒</w:t>
      </w:r>
      <w:r>
        <w:rPr>
          <w:color w:val="231F20"/>
          <w:spacing w:val="-7"/>
        </w:rPr>
        <w:t> </w:t>
      </w:r>
      <w:r>
        <w:rPr>
          <w:color w:val="231F20"/>
        </w:rPr>
        <w:t>)</w:t>
      </w:r>
      <w:r>
        <w:rPr>
          <w:color w:val="231F20"/>
          <w:spacing w:val="-7"/>
        </w:rPr>
        <w:t> </w:t>
      </w:r>
      <w:r>
        <w:rPr>
          <w:color w:val="231F20"/>
        </w:rPr>
        <w:t>感染者，無論是否有症狀。</w:t>
      </w:r>
    </w:p>
    <w:p>
      <w:pPr>
        <w:pStyle w:val="BodyText"/>
        <w:spacing w:line="400" w:lineRule="exact"/>
        <w:ind w:left="391"/>
      </w:pPr>
      <w:r>
        <w:rPr>
          <w:color w:val="231F20"/>
        </w:rPr>
        <w:t>—、下列情況請先經醫師評估診察後，再決定是否接種：</w:t>
      </w:r>
    </w:p>
    <w:p>
      <w:pPr>
        <w:pStyle w:val="BodyText"/>
        <w:spacing w:line="230" w:lineRule="auto" w:before="3"/>
        <w:ind w:left="1349" w:right="1131" w:hanging="720"/>
        <w:jc w:val="both"/>
      </w:pPr>
      <w:r>
        <w:rPr>
          <w:color w:val="231F20"/>
          <w:spacing w:val="-2"/>
        </w:rPr>
        <w:t>( </w:t>
      </w:r>
      <w:r>
        <w:rPr>
          <w:color w:val="231F20"/>
        </w:rPr>
        <w:t>＿ ) 疑似結核病病人及疑似被結核菌感染者，勿直接接種卡介苗。應依第十＿章「結</w:t>
      </w:r>
      <w:r>
        <w:rPr>
          <w:color w:val="231F20"/>
          <w:spacing w:val="-1"/>
        </w:rPr>
        <w:t>核病接觸者追蹤管理」之規定，先進行胸部 </w:t>
      </w:r>
      <w:r>
        <w:rPr>
          <w:color w:val="231F20"/>
        </w:rPr>
        <w:t>X</w:t>
      </w:r>
      <w:r>
        <w:rPr>
          <w:color w:val="231F20"/>
          <w:spacing w:val="-5"/>
        </w:rPr>
        <w:t> 光檢查、結核菌素測驗 (</w:t>
      </w:r>
      <w:r>
        <w:rPr>
          <w:color w:val="231F20"/>
        </w:rPr>
        <w:t>TST</w:t>
      </w:r>
      <w:r>
        <w:rPr>
          <w:color w:val="231F20"/>
          <w:spacing w:val="-5"/>
        </w:rPr>
        <w:t>) 或丙</w:t>
      </w:r>
      <w:r>
        <w:rPr>
          <w:color w:val="231F20"/>
          <w:spacing w:val="-6"/>
        </w:rPr>
        <w:t>型干擾素釋放試驗 </w:t>
      </w:r>
      <w:r>
        <w:rPr>
          <w:color w:val="231F20"/>
        </w:rPr>
        <w:t>(IGRA)。</w:t>
      </w:r>
    </w:p>
    <w:p>
      <w:pPr>
        <w:pStyle w:val="BodyText"/>
        <w:spacing w:line="230" w:lineRule="auto"/>
        <w:ind w:left="629" w:right="3335"/>
        <w:jc w:val="both"/>
      </w:pPr>
      <w:r>
        <w:rPr>
          <w:color w:val="231F20"/>
          <w:spacing w:val="-4"/>
        </w:rPr>
        <w:t>( — )   發燒或正患有急性中重度疾病者，宜待病情穩定後再接種。( 二 ) 麻疹及水痘感染，待復原期 </w:t>
      </w:r>
      <w:r>
        <w:rPr>
          <w:color w:val="231F20"/>
        </w:rPr>
        <w:t>(6</w:t>
      </w:r>
      <w:r>
        <w:rPr>
          <w:color w:val="231F20"/>
          <w:spacing w:val="-5"/>
        </w:rPr>
        <w:t> 週 ) 後再接種。</w:t>
      </w:r>
    </w:p>
    <w:p>
      <w:pPr>
        <w:spacing w:after="0" w:line="230" w:lineRule="auto"/>
        <w:jc w:val="both"/>
        <w:sectPr>
          <w:pgSz w:w="11910" w:h="16840"/>
          <w:pgMar w:top="1060" w:bottom="0" w:left="980" w:right="0"/>
        </w:sectPr>
      </w:pPr>
    </w:p>
    <w:p>
      <w:pPr>
        <w:pStyle w:val="BodyText"/>
        <w:tabs>
          <w:tab w:pos="1349" w:val="left" w:leader="none"/>
        </w:tabs>
        <w:spacing w:line="230" w:lineRule="auto" w:before="70"/>
        <w:ind w:left="1349" w:right="1131" w:hanging="720"/>
      </w:pPr>
      <w:r>
        <w:rPr/>
        <w:pict>
          <v:group style="position:absolute;margin-left:557.684509pt;margin-top:124.149002pt;width:37.35pt;height:717.55pt;mso-position-horizontal-relative:page;mso-position-vertical-relative:page;z-index:251710464" coordorigin="11154,2483" coordsize="747,14351">
            <v:shape style="position:absolute;left:11283;top:2994;width:439;height:13840" type="#_x0000_t75" stroked="false">
              <v:imagedata r:id="rId28" o:title=""/>
            </v:shape>
            <v:shape style="position:absolute;left:11153;top:2482;width:747;height:812" coordorigin="11154,2483" coordsize="747,812" path="m11900,2483l11536,2483,11514,2485,11454,2519,11188,2801,11154,2889,11162,2935,11454,3258,11514,3292,11536,3294,11900,3294,11900,2483xe" filled="true" fillcolor="#5daf8a" stroked="false">
              <v:path arrowok="t"/>
              <v:fill type="solid"/>
            </v:shape>
            <v:shape style="position:absolute;left:11307;top:2750;width:398;height:278" type="#_x0000_t75" stroked="false">
              <v:imagedata r:id="rId34" o:title=""/>
            </v:shape>
            <v:shape style="position:absolute;left:11378;top:3433;width:252;height:2260" type="#_x0000_t75" stroked="false">
              <v:imagedata r:id="rId30"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29</w:t>
                    </w:r>
                  </w:p>
                </w:txbxContent>
              </v:textbox>
              <w10:wrap type="none"/>
            </v:shape>
            <w10:wrap type="none"/>
          </v:group>
        </w:pict>
      </w:r>
      <w:r>
        <w:rPr>
          <w:color w:val="231F20"/>
        </w:rPr>
        <w:t>(</w:t>
      </w:r>
      <w:r>
        <w:rPr>
          <w:color w:val="231F20"/>
          <w:spacing w:val="-9"/>
        </w:rPr>
        <w:t> </w:t>
      </w:r>
      <w:r>
        <w:rPr>
          <w:color w:val="231F20"/>
        </w:rPr>
        <w:t>匹</w:t>
      </w:r>
      <w:r>
        <w:rPr>
          <w:color w:val="231F20"/>
          <w:spacing w:val="-8"/>
        </w:rPr>
        <w:t> </w:t>
      </w:r>
      <w:r>
        <w:rPr>
          <w:color w:val="231F20"/>
        </w:rPr>
        <w:t>)</w:t>
        <w:tab/>
        <w:t>請父母確認父母雙方家人沒有疑似先天性免疫缺失之家族史</w:t>
      </w:r>
      <w:r>
        <w:rPr>
          <w:color w:val="231F20"/>
          <w:spacing w:val="20"/>
        </w:rPr>
        <w:t> </w:t>
      </w:r>
      <w:r>
        <w:rPr>
          <w:color w:val="231F20"/>
        </w:rPr>
        <w:t>(</w:t>
      </w:r>
      <w:r>
        <w:rPr>
          <w:color w:val="231F20"/>
          <w:spacing w:val="19"/>
        </w:rPr>
        <w:t> </w:t>
      </w:r>
      <w:r>
        <w:rPr>
          <w:color w:val="231F20"/>
        </w:rPr>
        <w:t>如幼年因不明原因感染而死亡</w:t>
      </w:r>
      <w:r>
        <w:rPr>
          <w:color w:val="231F20"/>
          <w:spacing w:val="-8"/>
        </w:rPr>
        <w:t> </w:t>
      </w:r>
      <w:r>
        <w:rPr>
          <w:color w:val="231F20"/>
        </w:rPr>
        <w:t>)。</w:t>
      </w:r>
    </w:p>
    <w:p>
      <w:pPr>
        <w:pStyle w:val="BodyText"/>
        <w:tabs>
          <w:tab w:pos="1349" w:val="left" w:leader="none"/>
        </w:tabs>
        <w:spacing w:line="230" w:lineRule="auto"/>
        <w:ind w:left="1349" w:right="1132" w:hanging="720"/>
      </w:pPr>
      <w:r>
        <w:rPr>
          <w:color w:val="231F20"/>
        </w:rPr>
        <w:t>(</w:t>
      </w:r>
      <w:r>
        <w:rPr>
          <w:color w:val="231F20"/>
          <w:spacing w:val="-9"/>
        </w:rPr>
        <w:t> </w:t>
      </w:r>
      <w:r>
        <w:rPr>
          <w:color w:val="231F20"/>
        </w:rPr>
        <w:t>五</w:t>
      </w:r>
      <w:r>
        <w:rPr>
          <w:color w:val="231F20"/>
          <w:spacing w:val="-8"/>
        </w:rPr>
        <w:t> </w:t>
      </w:r>
      <w:r>
        <w:rPr>
          <w:color w:val="231F20"/>
        </w:rPr>
        <w:t>)</w:t>
        <w:tab/>
        <w:t>生母為人類免疫缺乏病毒</w:t>
      </w:r>
      <w:r>
        <w:rPr>
          <w:color w:val="231F20"/>
          <w:spacing w:val="1"/>
        </w:rPr>
        <w:t> </w:t>
      </w:r>
      <w:r>
        <w:rPr>
          <w:color w:val="231F20"/>
        </w:rPr>
        <w:t>(</w:t>
      </w:r>
      <w:r>
        <w:rPr>
          <w:color w:val="231F20"/>
          <w:spacing w:val="1"/>
        </w:rPr>
        <w:t> </w:t>
      </w:r>
      <w:r>
        <w:rPr>
          <w:color w:val="231F20"/>
        </w:rPr>
        <w:t>愛滋病毒</w:t>
      </w:r>
      <w:r>
        <w:rPr>
          <w:color w:val="231F20"/>
          <w:spacing w:val="1"/>
        </w:rPr>
        <w:t> </w:t>
      </w:r>
      <w:r>
        <w:rPr>
          <w:color w:val="231F20"/>
        </w:rPr>
        <w:t>)</w:t>
      </w:r>
      <w:r>
        <w:rPr>
          <w:color w:val="231F20"/>
          <w:spacing w:val="1"/>
        </w:rPr>
        <w:t> </w:t>
      </w:r>
      <w:r>
        <w:rPr>
          <w:color w:val="231F20"/>
        </w:rPr>
        <w:t>感染者，其嬰幼兒應待追蹤滿</w:t>
      </w:r>
      <w:r>
        <w:rPr>
          <w:color w:val="231F20"/>
          <w:spacing w:val="24"/>
        </w:rPr>
        <w:t> </w:t>
      </w:r>
      <w:r>
        <w:rPr>
          <w:color w:val="231F20"/>
        </w:rPr>
        <w:t>4</w:t>
      </w:r>
      <w:r>
        <w:rPr>
          <w:color w:val="231F20"/>
          <w:spacing w:val="25"/>
        </w:rPr>
        <w:t> </w:t>
      </w:r>
      <w:r>
        <w:rPr>
          <w:color w:val="231F20"/>
        </w:rPr>
        <w:t>個月確定未受感染後再接種。</w:t>
      </w:r>
    </w:p>
    <w:p>
      <w:pPr>
        <w:pStyle w:val="BodyText"/>
        <w:tabs>
          <w:tab w:pos="1349" w:val="left" w:leader="none"/>
        </w:tabs>
        <w:spacing w:line="404" w:lineRule="exact"/>
        <w:ind w:left="629"/>
      </w:pPr>
      <w:r>
        <w:rPr>
          <w:color w:val="231F20"/>
        </w:rPr>
        <w:t>(</w:t>
      </w:r>
      <w:r>
        <w:rPr>
          <w:color w:val="231F20"/>
          <w:spacing w:val="-9"/>
        </w:rPr>
        <w:t> </w:t>
      </w:r>
      <w:r>
        <w:rPr>
          <w:color w:val="231F20"/>
        </w:rPr>
        <w:t>、</w:t>
      </w:r>
      <w:r>
        <w:rPr>
          <w:color w:val="231F20"/>
          <w:spacing w:val="-8"/>
        </w:rPr>
        <w:t> </w:t>
      </w:r>
      <w:r>
        <w:rPr>
          <w:color w:val="231F20"/>
        </w:rPr>
        <w:t>)</w:t>
        <w:tab/>
        <w:t>提早接種的嬰兒，體重應達</w:t>
      </w:r>
      <w:r>
        <w:rPr>
          <w:color w:val="231F20"/>
          <w:spacing w:val="-6"/>
        </w:rPr>
        <w:t> </w:t>
      </w:r>
      <w:r>
        <w:rPr>
          <w:color w:val="231F20"/>
        </w:rPr>
        <w:t>2500</w:t>
      </w:r>
      <w:r>
        <w:rPr>
          <w:color w:val="231F20"/>
          <w:spacing w:val="-7"/>
        </w:rPr>
        <w:t> </w:t>
      </w:r>
      <w:r>
        <w:rPr>
          <w:color w:val="231F20"/>
        </w:rPr>
        <w:t>公克以上。</w:t>
      </w:r>
    </w:p>
    <w:p>
      <w:pPr>
        <w:pStyle w:val="BodyText"/>
        <w:spacing w:before="14"/>
        <w:rPr>
          <w:sz w:val="19"/>
        </w:rPr>
      </w:pPr>
    </w:p>
    <w:p>
      <w:pPr>
        <w:pStyle w:val="Heading2"/>
      </w:pPr>
      <w:r>
        <w:rPr>
          <w:color w:val="231F20"/>
        </w:rPr>
        <w:t>陸、卡介苗之保管及接種作業程序</w:t>
      </w:r>
    </w:p>
    <w:p>
      <w:pPr>
        <w:pStyle w:val="BodyText"/>
        <w:spacing w:line="404" w:lineRule="exact"/>
        <w:ind w:left="391"/>
      </w:pPr>
      <w:r>
        <w:rPr>
          <w:color w:val="231F20"/>
        </w:rPr>
        <w:t>＿、請參見「卡介苗接種工作檢核表 」( 附件 4-2-1)。</w:t>
      </w:r>
    </w:p>
    <w:p>
      <w:pPr>
        <w:pStyle w:val="BodyText"/>
        <w:spacing w:line="230" w:lineRule="auto" w:before="3"/>
        <w:ind w:left="878" w:right="1133" w:hanging="488"/>
      </w:pPr>
      <w:r>
        <w:rPr>
          <w:color w:val="231F20"/>
        </w:rPr>
        <w:t>—、進行疫苗前置準備作業時，發現疫苗瓶內有異物或溶解效果不佳等疑似異常疫苗之異常事件處理程序：</w:t>
      </w:r>
    </w:p>
    <w:p>
      <w:pPr>
        <w:pStyle w:val="BodyText"/>
        <w:tabs>
          <w:tab w:pos="1349" w:val="left" w:leader="none"/>
        </w:tabs>
        <w:spacing w:line="395" w:lineRule="exact"/>
        <w:ind w:left="629"/>
      </w:pPr>
      <w:r>
        <w:rPr>
          <w:color w:val="231F20"/>
          <w:spacing w:val="-5"/>
        </w:rPr>
        <w:t>( </w:t>
      </w:r>
      <w:r>
        <w:rPr>
          <w:color w:val="231F20"/>
        </w:rPr>
        <w:t>＿</w:t>
      </w:r>
      <w:r>
        <w:rPr>
          <w:color w:val="231F20"/>
          <w:spacing w:val="-4"/>
        </w:rPr>
        <w:t> )</w:t>
      </w:r>
      <w:r>
        <w:rPr>
          <w:color w:val="231F20"/>
        </w:rPr>
        <w:tab/>
        <w:t>未開封疫苗或稀釋液若發現有異常：</w:t>
      </w:r>
    </w:p>
    <w:p>
      <w:pPr>
        <w:pStyle w:val="ListParagraph"/>
        <w:numPr>
          <w:ilvl w:val="1"/>
          <w:numId w:val="54"/>
        </w:numPr>
        <w:tabs>
          <w:tab w:pos="1349" w:val="left" w:leader="none"/>
        </w:tabs>
        <w:spacing w:line="400" w:lineRule="exact" w:before="0" w:after="0"/>
        <w:ind w:left="1348" w:right="0" w:hanging="255"/>
        <w:jc w:val="left"/>
        <w:rPr>
          <w:sz w:val="24"/>
        </w:rPr>
      </w:pPr>
      <w:r>
        <w:rPr>
          <w:color w:val="231F20"/>
          <w:sz w:val="24"/>
        </w:rPr>
        <w:t>照相並記錄相關資訊。</w:t>
      </w:r>
    </w:p>
    <w:p>
      <w:pPr>
        <w:pStyle w:val="ListParagraph"/>
        <w:numPr>
          <w:ilvl w:val="1"/>
          <w:numId w:val="54"/>
        </w:numPr>
        <w:tabs>
          <w:tab w:pos="1349" w:val="left" w:leader="none"/>
        </w:tabs>
        <w:spacing w:line="400" w:lineRule="exact" w:before="0" w:after="0"/>
        <w:ind w:left="1348" w:right="0" w:hanging="255"/>
        <w:jc w:val="left"/>
        <w:rPr>
          <w:sz w:val="24"/>
        </w:rPr>
      </w:pPr>
      <w:r>
        <w:rPr>
          <w:color w:val="231F20"/>
          <w:sz w:val="24"/>
        </w:rPr>
        <w:t>立即加以標示並放回冰箱保存。</w:t>
      </w:r>
    </w:p>
    <w:p>
      <w:pPr>
        <w:pStyle w:val="ListParagraph"/>
        <w:numPr>
          <w:ilvl w:val="1"/>
          <w:numId w:val="54"/>
        </w:numPr>
        <w:tabs>
          <w:tab w:pos="1349" w:val="left" w:leader="none"/>
        </w:tabs>
        <w:spacing w:line="400" w:lineRule="exact" w:before="0" w:after="0"/>
        <w:ind w:left="1348" w:right="0" w:hanging="255"/>
        <w:jc w:val="left"/>
        <w:rPr>
          <w:sz w:val="24"/>
        </w:rPr>
      </w:pPr>
      <w:r>
        <w:rPr>
          <w:color w:val="231F20"/>
          <w:spacing w:val="-1"/>
          <w:sz w:val="24"/>
        </w:rPr>
        <w:t>通知地方衛生局疫苗負責人員，協助向疾管署各區管制中心 </w:t>
      </w:r>
      <w:r>
        <w:rPr>
          <w:color w:val="231F20"/>
          <w:spacing w:val="5"/>
          <w:w w:val="70"/>
          <w:sz w:val="24"/>
        </w:rPr>
        <w:t>／ </w:t>
      </w:r>
      <w:r>
        <w:rPr>
          <w:color w:val="231F20"/>
          <w:sz w:val="24"/>
        </w:rPr>
        <w:t>慢性組進行通報。</w:t>
      </w:r>
    </w:p>
    <w:p>
      <w:pPr>
        <w:pStyle w:val="ListParagraph"/>
        <w:numPr>
          <w:ilvl w:val="1"/>
          <w:numId w:val="54"/>
        </w:numPr>
        <w:tabs>
          <w:tab w:pos="1349" w:val="left" w:leader="none"/>
        </w:tabs>
        <w:spacing w:line="400" w:lineRule="exact" w:before="0" w:after="0"/>
        <w:ind w:left="1348" w:right="0" w:hanging="255"/>
        <w:jc w:val="left"/>
        <w:rPr>
          <w:sz w:val="24"/>
        </w:rPr>
      </w:pPr>
      <w:r>
        <w:rPr>
          <w:color w:val="231F20"/>
          <w:sz w:val="24"/>
        </w:rPr>
        <w:t>等候相關單位通知後續處置作為。</w:t>
      </w:r>
    </w:p>
    <w:p>
      <w:pPr>
        <w:pStyle w:val="BodyText"/>
        <w:tabs>
          <w:tab w:pos="1349" w:val="left" w:leader="none"/>
        </w:tabs>
        <w:spacing w:line="400" w:lineRule="exact"/>
        <w:ind w:left="629"/>
      </w:pPr>
      <w:r>
        <w:rPr>
          <w:color w:val="231F20"/>
          <w:spacing w:val="-4"/>
        </w:rPr>
        <w:t>( — )</w:t>
      </w:r>
      <w:r>
        <w:rPr>
          <w:color w:val="231F20"/>
        </w:rPr>
        <w:tab/>
        <w:t>已開封疫苗或稀釋液若發現有異常：</w:t>
      </w:r>
    </w:p>
    <w:p>
      <w:pPr>
        <w:pStyle w:val="ListParagraph"/>
        <w:numPr>
          <w:ilvl w:val="0"/>
          <w:numId w:val="55"/>
        </w:numPr>
        <w:tabs>
          <w:tab w:pos="1349" w:val="left" w:leader="none"/>
        </w:tabs>
        <w:spacing w:line="400" w:lineRule="exact" w:before="0" w:after="0"/>
        <w:ind w:left="1348" w:right="0" w:hanging="255"/>
        <w:jc w:val="left"/>
        <w:rPr>
          <w:sz w:val="24"/>
        </w:rPr>
      </w:pPr>
      <w:r>
        <w:rPr>
          <w:color w:val="231F20"/>
          <w:sz w:val="24"/>
        </w:rPr>
        <w:t>照相並記錄相關資訊。</w:t>
      </w:r>
    </w:p>
    <w:p>
      <w:pPr>
        <w:pStyle w:val="ListParagraph"/>
        <w:numPr>
          <w:ilvl w:val="0"/>
          <w:numId w:val="55"/>
        </w:numPr>
        <w:tabs>
          <w:tab w:pos="1349" w:val="left" w:leader="none"/>
        </w:tabs>
        <w:spacing w:line="400" w:lineRule="exact" w:before="0" w:after="0"/>
        <w:ind w:left="1348" w:right="0" w:hanging="255"/>
        <w:jc w:val="left"/>
        <w:rPr>
          <w:sz w:val="24"/>
        </w:rPr>
      </w:pPr>
      <w:r>
        <w:rPr>
          <w:color w:val="231F20"/>
          <w:spacing w:val="-3"/>
          <w:sz w:val="24"/>
        </w:rPr>
        <w:t>先以滅菌膠紙 ( 或 </w:t>
      </w:r>
      <w:r>
        <w:rPr>
          <w:color w:val="231F20"/>
          <w:sz w:val="24"/>
        </w:rPr>
        <w:t>OP</w:t>
      </w:r>
      <w:r>
        <w:rPr>
          <w:color w:val="231F20"/>
          <w:spacing w:val="-7"/>
          <w:sz w:val="24"/>
        </w:rPr>
        <w:t> </w:t>
      </w:r>
      <w:r>
        <w:rPr>
          <w:color w:val="231F20"/>
          <w:sz w:val="24"/>
        </w:rPr>
        <w:t>site</w:t>
      </w:r>
      <w:r>
        <w:rPr>
          <w:color w:val="231F20"/>
          <w:spacing w:val="-5"/>
          <w:sz w:val="24"/>
        </w:rPr>
        <w:t> 防水固定膜 ) 包覆安瓿裂口。</w:t>
      </w:r>
    </w:p>
    <w:p>
      <w:pPr>
        <w:pStyle w:val="ListParagraph"/>
        <w:numPr>
          <w:ilvl w:val="0"/>
          <w:numId w:val="55"/>
        </w:numPr>
        <w:tabs>
          <w:tab w:pos="1349" w:val="left" w:leader="none"/>
        </w:tabs>
        <w:spacing w:line="400" w:lineRule="exact" w:before="0" w:after="0"/>
        <w:ind w:left="1348" w:right="0" w:hanging="255"/>
        <w:jc w:val="left"/>
        <w:rPr>
          <w:sz w:val="24"/>
        </w:rPr>
      </w:pPr>
      <w:r>
        <w:rPr>
          <w:color w:val="231F20"/>
          <w:sz w:val="24"/>
        </w:rPr>
        <w:t>再使用膠帶於管口處多層纏繞。</w:t>
      </w:r>
    </w:p>
    <w:p>
      <w:pPr>
        <w:pStyle w:val="ListParagraph"/>
        <w:numPr>
          <w:ilvl w:val="0"/>
          <w:numId w:val="55"/>
        </w:numPr>
        <w:tabs>
          <w:tab w:pos="1349" w:val="left" w:leader="none"/>
        </w:tabs>
        <w:spacing w:line="400" w:lineRule="exact" w:before="0" w:after="0"/>
        <w:ind w:left="1348" w:right="0" w:hanging="255"/>
        <w:jc w:val="left"/>
        <w:rPr>
          <w:sz w:val="24"/>
        </w:rPr>
      </w:pPr>
      <w:r>
        <w:rPr>
          <w:color w:val="231F20"/>
          <w:sz w:val="24"/>
        </w:rPr>
        <w:t>放入夾鏈袋，將空氣排出後封好袋口。</w:t>
      </w:r>
    </w:p>
    <w:p>
      <w:pPr>
        <w:pStyle w:val="ListParagraph"/>
        <w:numPr>
          <w:ilvl w:val="0"/>
          <w:numId w:val="55"/>
        </w:numPr>
        <w:tabs>
          <w:tab w:pos="1349" w:val="left" w:leader="none"/>
        </w:tabs>
        <w:spacing w:line="400" w:lineRule="exact" w:before="0" w:after="0"/>
        <w:ind w:left="1348" w:right="0" w:hanging="255"/>
        <w:jc w:val="left"/>
        <w:rPr>
          <w:sz w:val="24"/>
        </w:rPr>
      </w:pPr>
      <w:r>
        <w:rPr>
          <w:color w:val="231F20"/>
          <w:sz w:val="24"/>
        </w:rPr>
        <w:t>將安瓿直立放置架上固定，避免傾倒，並保存於冰箱。</w:t>
      </w:r>
    </w:p>
    <w:p>
      <w:pPr>
        <w:pStyle w:val="ListParagraph"/>
        <w:numPr>
          <w:ilvl w:val="0"/>
          <w:numId w:val="55"/>
        </w:numPr>
        <w:tabs>
          <w:tab w:pos="1351" w:val="left" w:leader="none"/>
        </w:tabs>
        <w:spacing w:line="230" w:lineRule="auto" w:before="3" w:after="0"/>
        <w:ind w:left="1349" w:right="1138" w:hanging="255"/>
        <w:jc w:val="left"/>
        <w:rPr>
          <w:sz w:val="24"/>
        </w:rPr>
      </w:pPr>
      <w:r>
        <w:rPr>
          <w:color w:val="231F20"/>
          <w:spacing w:val="-1"/>
          <w:sz w:val="24"/>
        </w:rPr>
        <w:t>通知地方衛生局疫苗負責人員，協助向疾管署各區管制中心 </w:t>
      </w:r>
      <w:r>
        <w:rPr>
          <w:color w:val="231F20"/>
          <w:spacing w:val="-1"/>
          <w:w w:val="70"/>
          <w:sz w:val="24"/>
        </w:rPr>
        <w:t>／ </w:t>
      </w:r>
      <w:r>
        <w:rPr>
          <w:color w:val="231F20"/>
          <w:sz w:val="24"/>
        </w:rPr>
        <w:t>慢性組進行通報， 視個案情形處理。</w:t>
      </w:r>
    </w:p>
    <w:p>
      <w:pPr>
        <w:pStyle w:val="BodyText"/>
        <w:spacing w:before="2"/>
        <w:rPr>
          <w:sz w:val="20"/>
        </w:rPr>
      </w:pPr>
    </w:p>
    <w:p>
      <w:pPr>
        <w:pStyle w:val="Heading2"/>
        <w:spacing w:before="1"/>
      </w:pPr>
      <w:r>
        <w:rPr>
          <w:color w:val="231F20"/>
        </w:rPr>
        <w:t>柒、卡介苗接種後正常態樣及不良反應</w:t>
      </w:r>
    </w:p>
    <w:p>
      <w:pPr>
        <w:pStyle w:val="BodyText"/>
        <w:spacing w:line="404" w:lineRule="exact"/>
        <w:ind w:left="391"/>
        <w:jc w:val="both"/>
      </w:pPr>
      <w:r>
        <w:rPr>
          <w:color w:val="231F20"/>
        </w:rPr>
        <w:t>＿、接種前以「卡介苗接種敬告家長書」( 附件 4-3) 向家屬進行重點說明。</w:t>
      </w:r>
    </w:p>
    <w:p>
      <w:pPr>
        <w:pStyle w:val="BodyText"/>
        <w:spacing w:line="230" w:lineRule="auto" w:before="2"/>
        <w:ind w:left="878" w:right="1129" w:hanging="488"/>
        <w:jc w:val="both"/>
      </w:pPr>
      <w:r>
        <w:rPr>
          <w:color w:val="231F20"/>
        </w:rPr>
        <w:t>—、卡介苗接種部位的局部發炎反應於 4 個月內大多會結痂癒合，留下＿個淡紅色\疤痕，經過＿段時間後變成膚色。部分嬰幼兒會有膿瘍，平均在 6 週開始化膿，4 個月結痂，若有問題應由醫師做適當的評估與處置。</w:t>
      </w:r>
    </w:p>
    <w:p>
      <w:pPr>
        <w:pStyle w:val="BodyText"/>
        <w:spacing w:line="230" w:lineRule="auto"/>
        <w:ind w:left="878" w:right="1128" w:hanging="488"/>
        <w:jc w:val="both"/>
      </w:pPr>
      <w:r>
        <w:rPr>
          <w:color w:val="231F20"/>
        </w:rPr>
        <w:t>二、可於前往醫療院所進行其他常規疫苗接種之時間 ( 如：出生滿 6 個月接種之 B 肝 </w:t>
      </w:r>
      <w:r>
        <w:rPr>
          <w:color w:val="231F20"/>
          <w:w w:val="80"/>
        </w:rPr>
        <w:t>／ </w:t>
      </w:r>
      <w:r>
        <w:rPr>
          <w:color w:val="231F20"/>
          <w:w w:val="104"/>
        </w:rPr>
        <w:t>D</w:t>
      </w:r>
      <w:r>
        <w:rPr>
          <w:color w:val="231F20"/>
          <w:w w:val="91"/>
        </w:rPr>
        <w:t>T</w:t>
      </w:r>
      <w:r>
        <w:rPr>
          <w:color w:val="231F20"/>
          <w:w w:val="98"/>
        </w:rPr>
        <w:t>a</w:t>
      </w:r>
      <w:r>
        <w:rPr>
          <w:color w:val="231F20"/>
          <w:w w:val="90"/>
        </w:rPr>
        <w:t>P</w:t>
      </w:r>
      <w:r>
        <w:rPr>
          <w:color w:val="231F20"/>
          <w:w w:val="129"/>
        </w:rPr>
        <w:t>-</w:t>
      </w:r>
      <w:r>
        <w:rPr>
          <w:color w:val="231F20"/>
          <w:w w:val="105"/>
        </w:rPr>
        <w:t>H</w:t>
      </w:r>
      <w:r>
        <w:rPr>
          <w:color w:val="231F20"/>
          <w:w w:val="116"/>
        </w:rPr>
        <w:t>i</w:t>
      </w:r>
      <w:r>
        <w:rPr>
          <w:color w:val="231F20"/>
          <w:w w:val="113"/>
        </w:rPr>
        <w:t>b</w:t>
      </w:r>
      <w:r>
        <w:rPr>
          <w:color w:val="231F20"/>
          <w:w w:val="129"/>
        </w:rPr>
        <w:t>-</w:t>
      </w:r>
      <w:r>
        <w:rPr>
          <w:color w:val="231F20"/>
          <w:w w:val="102"/>
        </w:rPr>
        <w:t>I</w:t>
      </w:r>
      <w:r>
        <w:rPr>
          <w:color w:val="231F20"/>
          <w:w w:val="90"/>
        </w:rPr>
        <w:t>P</w:t>
      </w:r>
      <w:r>
        <w:rPr>
          <w:color w:val="231F20"/>
          <w:w w:val="100"/>
        </w:rPr>
        <w:t>V</w:t>
      </w:r>
      <w:r>
        <w:rPr>
          <w:color w:val="231F20"/>
        </w:rPr>
        <w:t>，以及出生滿 </w:t>
      </w:r>
      <w:r>
        <w:rPr>
          <w:color w:val="231F20"/>
          <w:w w:val="104"/>
        </w:rPr>
        <w:t>12</w:t>
      </w:r>
      <w:r>
        <w:rPr>
          <w:color w:val="231F20"/>
        </w:rPr>
        <w:t> 個月接種之 </w:t>
      </w:r>
      <w:r>
        <w:rPr>
          <w:color w:val="231F20"/>
          <w:w w:val="115"/>
        </w:rPr>
        <w:t>MM</w:t>
      </w:r>
      <w:r>
        <w:rPr>
          <w:color w:val="231F20"/>
          <w:w w:val="88"/>
        </w:rPr>
        <w:t>R</w:t>
      </w:r>
      <w:r>
        <w:rPr>
          <w:color w:val="231F20"/>
          <w:w w:val="41"/>
        </w:rPr>
        <w:t>／</w:t>
      </w:r>
      <w:r>
        <w:rPr>
          <w:color w:val="231F20"/>
          <w:w w:val="90"/>
        </w:rPr>
        <w:t>P</w:t>
      </w:r>
      <w:r>
        <w:rPr>
          <w:color w:val="231F20"/>
          <w:w w:val="92"/>
        </w:rPr>
        <w:t>C</w:t>
      </w:r>
      <w:r>
        <w:rPr>
          <w:color w:val="231F20"/>
          <w:w w:val="100"/>
        </w:rPr>
        <w:t>V</w:t>
      </w:r>
      <w:r>
        <w:rPr>
          <w:color w:val="231F20"/>
          <w:w w:val="104"/>
        </w:rPr>
        <w:t>13</w:t>
      </w:r>
      <w:r>
        <w:rPr>
          <w:color w:val="231F20"/>
          <w:w w:val="41"/>
        </w:rPr>
        <w:t>／</w:t>
      </w:r>
      <w:r>
        <w:rPr>
          <w:color w:val="231F20"/>
        </w:rPr>
        <w:t> 水痘 </w:t>
      </w:r>
      <w:r>
        <w:rPr>
          <w:color w:val="231F20"/>
          <w:w w:val="96"/>
        </w:rPr>
        <w:t>)</w:t>
      </w:r>
      <w:r>
        <w:rPr>
          <w:color w:val="231F20"/>
        </w:rPr>
        <w:t>，協助評估卡介苗接種部位之反應。</w:t>
      </w:r>
    </w:p>
    <w:p>
      <w:pPr>
        <w:pStyle w:val="BodyText"/>
        <w:spacing w:line="230" w:lineRule="auto"/>
        <w:ind w:left="878" w:right="1128" w:hanging="488"/>
        <w:jc w:val="both"/>
      </w:pPr>
      <w:r>
        <w:rPr>
          <w:color w:val="231F20"/>
        </w:rPr>
        <w:t>匹、注射部位潰瘍大多可自然痊癒，不需要抗生素治療，也不需要通報結核病。少部分嬰幼兒在接種 4 個月後，接種部位腫脹及膿瘍直徑大於 2 公分時，協助轉介嬰幼兒家屬，至衛生所、醫療院所兒科或\兒感染科就診評估。</w:t>
      </w:r>
    </w:p>
    <w:p>
      <w:pPr>
        <w:pStyle w:val="BodyText"/>
        <w:spacing w:line="403" w:lineRule="exact"/>
        <w:ind w:left="391"/>
      </w:pPr>
      <w:r>
        <w:rPr>
          <w:color w:val="231F20"/>
        </w:rPr>
        <w:t>五、疑似接種卡介苗造成之不良反應者，如經臨床醫師評估需使用抗結核藥物或其肺外檢</w:t>
      </w:r>
    </w:p>
    <w:p>
      <w:pPr>
        <w:spacing w:after="0" w:line="403" w:lineRule="exact"/>
        <w:sectPr>
          <w:pgSz w:w="11910" w:h="16840"/>
          <w:pgMar w:top="1060" w:bottom="0" w:left="980" w:right="0"/>
        </w:sectPr>
      </w:pPr>
    </w:p>
    <w:p>
      <w:pPr>
        <w:pStyle w:val="BodyText"/>
        <w:spacing w:line="228" w:lineRule="auto" w:before="62"/>
        <w:ind w:left="878" w:right="1132"/>
        <w:jc w:val="both"/>
      </w:pPr>
      <w:r>
        <w:rPr/>
        <w:pict>
          <v:group style="position:absolute;margin-left:-.000001pt;margin-top:124.149002pt;width:37.35pt;height:717.55pt;mso-position-horizontal-relative:page;mso-position-vertical-relative:page;z-index:251712512" coordorigin="0,2483" coordsize="747,14351">
            <v:shape style="position:absolute;left:178;top:2994;width:439;height:13840" type="#_x0000_t75" stroked="false">
              <v:imagedata r:id="rId31" o:title=""/>
            </v:shape>
            <v:shape style="position:absolute;left:0;top:2482;width:747;height:812" coordorigin="0,2483" coordsize="747,812" path="m365,2483l0,2483,0,3294,365,3294,387,3292,447,3258,713,2976,747,2889,738,2842,447,2519,387,2485,365,2483xe" filled="true" fillcolor="#5daf8a" stroked="false">
              <v:path arrowok="t"/>
              <v:fill type="solid"/>
            </v:shape>
            <v:shape style="position:absolute;left:202;top:2750;width:398;height:278" type="#_x0000_t75" stroked="false">
              <v:imagedata r:id="rId35" o:title=""/>
            </v:shape>
            <v:shape style="position:absolute;left:273;top:3433;width:252;height:2260" type="#_x0000_t75" stroked="false">
              <v:imagedata r:id="rId33"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30</w:t>
                    </w:r>
                  </w:p>
                </w:txbxContent>
              </v:textbox>
              <w10:wrap type="none"/>
            </v:shape>
            <w10:wrap type="none"/>
          </v:group>
        </w:pict>
      </w:r>
      <w:r>
        <w:rPr>
          <w:color w:val="231F20"/>
          <w:spacing w:val="6"/>
        </w:rPr>
        <w:t>體欲進行</w:t>
      </w:r>
      <w:r>
        <w:rPr>
          <w:color w:val="231F20"/>
          <w:sz w:val="25"/>
        </w:rPr>
        <w:t>M</w:t>
      </w:r>
      <w:r>
        <w:rPr>
          <w:color w:val="231F20"/>
          <w:spacing w:val="10"/>
          <w:sz w:val="25"/>
        </w:rPr>
        <w:t>. </w:t>
      </w:r>
      <w:r>
        <w:rPr>
          <w:color w:val="231F20"/>
          <w:sz w:val="25"/>
        </w:rPr>
        <w:t>bovis</w:t>
      </w:r>
      <w:r>
        <w:rPr>
          <w:color w:val="231F20"/>
          <w:spacing w:val="59"/>
          <w:sz w:val="25"/>
        </w:rPr>
        <w:t> </w:t>
      </w:r>
      <w:r>
        <w:rPr>
          <w:color w:val="231F20"/>
          <w:spacing w:val="-3"/>
        </w:rPr>
        <w:t>BCG</w:t>
      </w:r>
      <w:r>
        <w:rPr>
          <w:color w:val="231F20"/>
        </w:rPr>
        <w:t> 鑑定者，應進行法定傳染病通報作業，相關程序請參照第五章「結核病個案通報登記」。經通報為疑似卡介苗接種不良反應之個案管理作為，請參照第、章「結核病個案管理」。</w:t>
      </w:r>
    </w:p>
    <w:p>
      <w:pPr>
        <w:pStyle w:val="BodyText"/>
        <w:spacing w:before="6"/>
        <w:rPr>
          <w:sz w:val="20"/>
        </w:rPr>
      </w:pPr>
    </w:p>
    <w:p>
      <w:pPr>
        <w:pStyle w:val="Heading2"/>
      </w:pPr>
      <w:r>
        <w:rPr>
          <w:color w:val="231F20"/>
        </w:rPr>
        <w:t>捌、嚴重不良反應及異常事件通報因應措施</w:t>
      </w:r>
    </w:p>
    <w:p>
      <w:pPr>
        <w:pStyle w:val="BodyText"/>
        <w:spacing w:line="404" w:lineRule="exact"/>
        <w:ind w:left="391"/>
      </w:pPr>
      <w:r>
        <w:rPr>
          <w:color w:val="231F20"/>
        </w:rPr>
        <w:t>＿、定義</w:t>
      </w:r>
    </w:p>
    <w:p>
      <w:pPr>
        <w:pStyle w:val="BodyText"/>
        <w:tabs>
          <w:tab w:pos="1349" w:val="left" w:leader="none"/>
        </w:tabs>
        <w:spacing w:line="230" w:lineRule="auto" w:before="3"/>
        <w:ind w:left="1349" w:right="1132" w:hanging="720"/>
      </w:pPr>
      <w:r>
        <w:rPr>
          <w:color w:val="231F20"/>
          <w:spacing w:val="-5"/>
        </w:rPr>
        <w:t>( </w:t>
      </w:r>
      <w:r>
        <w:rPr>
          <w:color w:val="231F20"/>
        </w:rPr>
        <w:t>＿</w:t>
      </w:r>
      <w:r>
        <w:rPr>
          <w:color w:val="231F20"/>
          <w:spacing w:val="-4"/>
        </w:rPr>
        <w:t> )</w:t>
      </w:r>
      <w:r>
        <w:rPr>
          <w:color w:val="231F20"/>
        </w:rPr>
        <w:tab/>
        <w:t>嚴重不良反應：包括死亡、危及生命、造成永久性殘疾或傷害、導致病人住院或延長已住院病人住院時間等。</w:t>
      </w:r>
    </w:p>
    <w:p>
      <w:pPr>
        <w:pStyle w:val="BodyText"/>
        <w:tabs>
          <w:tab w:pos="1349" w:val="left" w:leader="none"/>
        </w:tabs>
        <w:spacing w:line="230" w:lineRule="auto"/>
        <w:ind w:left="1349" w:right="1131" w:hanging="720"/>
      </w:pPr>
      <w:r>
        <w:rPr>
          <w:color w:val="231F20"/>
          <w:spacing w:val="-4"/>
        </w:rPr>
        <w:t>( — )</w:t>
      </w:r>
      <w:r>
        <w:rPr>
          <w:color w:val="231F20"/>
        </w:rPr>
        <w:tab/>
      </w:r>
      <w:r>
        <w:rPr>
          <w:color w:val="231F20"/>
          <w:spacing w:val="-1"/>
        </w:rPr>
        <w:t>異常事件：接種疫苗時發生疫苗種類 </w:t>
      </w:r>
      <w:r>
        <w:rPr>
          <w:color w:val="231F20"/>
          <w:spacing w:val="4"/>
          <w:w w:val="70"/>
        </w:rPr>
        <w:t>／ </w:t>
      </w:r>
      <w:r>
        <w:rPr>
          <w:color w:val="231F20"/>
          <w:spacing w:val="-1"/>
        </w:rPr>
        <w:t>劑量錯誤、重複接種、提前接種等接種異</w:t>
      </w:r>
      <w:r>
        <w:rPr>
          <w:color w:val="231F20"/>
        </w:rPr>
        <w:t>常事件。</w:t>
      </w:r>
    </w:p>
    <w:p>
      <w:pPr>
        <w:pStyle w:val="BodyText"/>
        <w:spacing w:line="395" w:lineRule="exact"/>
        <w:ind w:left="391"/>
      </w:pPr>
      <w:r>
        <w:rPr>
          <w:color w:val="231F20"/>
        </w:rPr>
        <w:t>—、通報流程</w:t>
      </w:r>
    </w:p>
    <w:p>
      <w:pPr>
        <w:pStyle w:val="BodyText"/>
        <w:tabs>
          <w:tab w:pos="1349" w:val="left" w:leader="none"/>
        </w:tabs>
        <w:spacing w:line="230" w:lineRule="auto"/>
        <w:ind w:left="1349" w:right="1075" w:hanging="720"/>
      </w:pPr>
      <w:r>
        <w:rPr>
          <w:color w:val="231F20"/>
          <w:spacing w:val="-5"/>
        </w:rPr>
        <w:t>( </w:t>
      </w:r>
      <w:r>
        <w:rPr>
          <w:color w:val="231F20"/>
        </w:rPr>
        <w:t>＿</w:t>
      </w:r>
      <w:r>
        <w:rPr>
          <w:color w:val="231F20"/>
          <w:spacing w:val="-4"/>
        </w:rPr>
        <w:t> )</w:t>
      </w:r>
      <w:r>
        <w:rPr>
          <w:color w:val="231F20"/>
        </w:rPr>
        <w:tab/>
      </w:r>
      <w:r>
        <w:rPr>
          <w:color w:val="231F20"/>
          <w:spacing w:val="1"/>
          <w:w w:val="95"/>
        </w:rPr>
        <w:t>卡介苗接種單位於執行接種工作時</w:t>
      </w:r>
      <w:r>
        <w:rPr>
          <w:color w:val="231F20"/>
          <w:spacing w:val="9"/>
          <w:w w:val="70"/>
        </w:rPr>
        <w:t>／   </w:t>
      </w:r>
      <w:r>
        <w:rPr>
          <w:color w:val="231F20"/>
          <w:spacing w:val="-20"/>
          <w:w w:val="95"/>
        </w:rPr>
        <w:t>後，若發現「不良反應」或「接種異常事件」， </w:t>
      </w:r>
      <w:r>
        <w:rPr>
          <w:color w:val="231F20"/>
        </w:rPr>
        <w:t>應立即填具相關表單並通報地方衛生局：</w:t>
      </w:r>
    </w:p>
    <w:p>
      <w:pPr>
        <w:pStyle w:val="ListParagraph"/>
        <w:numPr>
          <w:ilvl w:val="0"/>
          <w:numId w:val="56"/>
        </w:numPr>
        <w:tabs>
          <w:tab w:pos="1349" w:val="left" w:leader="none"/>
        </w:tabs>
        <w:spacing w:line="395" w:lineRule="exact" w:before="0" w:after="0"/>
        <w:ind w:left="1348" w:right="0" w:hanging="255"/>
        <w:jc w:val="left"/>
        <w:rPr>
          <w:sz w:val="24"/>
        </w:rPr>
      </w:pPr>
      <w:r>
        <w:rPr>
          <w:color w:val="231F20"/>
          <w:spacing w:val="-2"/>
          <w:sz w:val="24"/>
        </w:rPr>
        <w:t>接種不良反應：填寫「疫苗接種嚴重不良反應通報單」( 附件 </w:t>
      </w:r>
      <w:r>
        <w:rPr>
          <w:color w:val="231F20"/>
          <w:sz w:val="24"/>
        </w:rPr>
        <w:t>4-4)；</w:t>
      </w:r>
    </w:p>
    <w:p>
      <w:pPr>
        <w:pStyle w:val="ListParagraph"/>
        <w:numPr>
          <w:ilvl w:val="0"/>
          <w:numId w:val="56"/>
        </w:numPr>
        <w:tabs>
          <w:tab w:pos="1349" w:val="left" w:leader="none"/>
        </w:tabs>
        <w:spacing w:line="400" w:lineRule="exact" w:before="0" w:after="0"/>
        <w:ind w:left="1348" w:right="0" w:hanging="255"/>
        <w:jc w:val="left"/>
        <w:rPr>
          <w:sz w:val="24"/>
        </w:rPr>
      </w:pPr>
      <w:r>
        <w:rPr>
          <w:color w:val="231F20"/>
          <w:spacing w:val="-2"/>
          <w:sz w:val="24"/>
        </w:rPr>
        <w:t>接種異常事件：填寫「疫苗接種異常事件通報及調查表」( 附件 </w:t>
      </w:r>
      <w:r>
        <w:rPr>
          <w:color w:val="231F20"/>
          <w:sz w:val="24"/>
        </w:rPr>
        <w:t>4-5)；</w:t>
      </w:r>
    </w:p>
    <w:p>
      <w:pPr>
        <w:pStyle w:val="BodyText"/>
        <w:tabs>
          <w:tab w:pos="1350" w:val="left" w:leader="none"/>
        </w:tabs>
        <w:spacing w:line="230" w:lineRule="auto" w:before="2"/>
        <w:ind w:left="1349" w:right="1138" w:hanging="720"/>
      </w:pPr>
      <w:r>
        <w:rPr>
          <w:color w:val="231F20"/>
          <w:spacing w:val="-4"/>
        </w:rPr>
        <w:t>( — )</w:t>
      </w:r>
      <w:r>
        <w:rPr>
          <w:color w:val="231F20"/>
        </w:rPr>
        <w:tab/>
        <w:tab/>
      </w:r>
      <w:r>
        <w:rPr>
          <w:color w:val="231F20"/>
          <w:spacing w:val="-1"/>
        </w:rPr>
        <w:t>地方衛生局彙整前項資料予疾管署各區管制中心。如為接種不良反應者，請醫療院所另於食口藥物管理署之「全國藥物不良反應通報系統 </w:t>
      </w:r>
      <w:r>
        <w:rPr>
          <w:color w:val="231F20"/>
        </w:rPr>
        <w:t>(ADR)」進行通報。</w:t>
      </w:r>
    </w:p>
    <w:p>
      <w:pPr>
        <w:pStyle w:val="BodyText"/>
        <w:tabs>
          <w:tab w:pos="1349" w:val="left" w:leader="none"/>
        </w:tabs>
        <w:spacing w:line="230" w:lineRule="auto"/>
        <w:ind w:left="391" w:right="2136" w:firstLine="238"/>
      </w:pPr>
      <w:r>
        <w:rPr>
          <w:color w:val="231F20"/>
        </w:rPr>
        <w:t>(</w:t>
      </w:r>
      <w:r>
        <w:rPr>
          <w:color w:val="231F20"/>
          <w:spacing w:val="-9"/>
        </w:rPr>
        <w:t> </w:t>
      </w:r>
      <w:r>
        <w:rPr>
          <w:color w:val="231F20"/>
        </w:rPr>
        <w:t>二</w:t>
      </w:r>
      <w:r>
        <w:rPr>
          <w:color w:val="231F20"/>
          <w:spacing w:val="-8"/>
        </w:rPr>
        <w:t> </w:t>
      </w:r>
      <w:r>
        <w:rPr>
          <w:color w:val="231F20"/>
        </w:rPr>
        <w:t>)</w:t>
        <w:tab/>
        <w:t>疾管署各區管制中心彙整後，以掃描之電子檔傳送疾管署慢性組備查</w:t>
      </w:r>
      <w:r>
        <w:rPr>
          <w:color w:val="231F20"/>
          <w:spacing w:val="-21"/>
        </w:rPr>
        <w:t>。</w:t>
      </w:r>
      <w:r>
        <w:rPr>
          <w:color w:val="231F20"/>
        </w:rPr>
        <w:t>二、處理流程</w:t>
      </w:r>
    </w:p>
    <w:p>
      <w:pPr>
        <w:pStyle w:val="BodyText"/>
        <w:tabs>
          <w:tab w:pos="1349" w:val="left" w:leader="none"/>
        </w:tabs>
        <w:spacing w:line="395" w:lineRule="exact"/>
        <w:ind w:left="629"/>
      </w:pPr>
      <w:r>
        <w:rPr>
          <w:color w:val="231F20"/>
          <w:spacing w:val="-5"/>
        </w:rPr>
        <w:t>( </w:t>
      </w:r>
      <w:r>
        <w:rPr>
          <w:color w:val="231F20"/>
        </w:rPr>
        <w:t>＿</w:t>
      </w:r>
      <w:r>
        <w:rPr>
          <w:color w:val="231F20"/>
          <w:spacing w:val="-4"/>
        </w:rPr>
        <w:t> )</w:t>
      </w:r>
      <w:r>
        <w:rPr>
          <w:color w:val="231F20"/>
        </w:rPr>
        <w:tab/>
        <w:t>卡介苗接種單位</w:t>
      </w:r>
    </w:p>
    <w:p>
      <w:pPr>
        <w:pStyle w:val="ListParagraph"/>
        <w:numPr>
          <w:ilvl w:val="0"/>
          <w:numId w:val="57"/>
        </w:numPr>
        <w:tabs>
          <w:tab w:pos="1349" w:val="left" w:leader="none"/>
        </w:tabs>
        <w:spacing w:line="400" w:lineRule="exact" w:before="0" w:after="0"/>
        <w:ind w:left="1348" w:right="0" w:hanging="255"/>
        <w:jc w:val="left"/>
        <w:rPr>
          <w:sz w:val="24"/>
        </w:rPr>
      </w:pPr>
      <w:r>
        <w:rPr>
          <w:color w:val="231F20"/>
          <w:sz w:val="24"/>
        </w:rPr>
        <w:t>配合進行個案病情狀況等相關調查。</w:t>
      </w:r>
    </w:p>
    <w:p>
      <w:pPr>
        <w:pStyle w:val="ListParagraph"/>
        <w:numPr>
          <w:ilvl w:val="0"/>
          <w:numId w:val="57"/>
        </w:numPr>
        <w:tabs>
          <w:tab w:pos="1349" w:val="left" w:leader="none"/>
        </w:tabs>
        <w:spacing w:line="400" w:lineRule="exact" w:before="0" w:after="0"/>
        <w:ind w:left="1348" w:right="0" w:hanging="255"/>
        <w:jc w:val="left"/>
        <w:rPr>
          <w:sz w:val="24"/>
        </w:rPr>
      </w:pPr>
      <w:r>
        <w:rPr>
          <w:color w:val="231F20"/>
          <w:sz w:val="24"/>
        </w:rPr>
        <w:t>提供個案必要之醫療協助。</w:t>
      </w:r>
    </w:p>
    <w:p>
      <w:pPr>
        <w:pStyle w:val="ListParagraph"/>
        <w:numPr>
          <w:ilvl w:val="0"/>
          <w:numId w:val="57"/>
        </w:numPr>
        <w:tabs>
          <w:tab w:pos="1349" w:val="left" w:leader="none"/>
        </w:tabs>
        <w:spacing w:line="400" w:lineRule="exact" w:before="0" w:after="0"/>
        <w:ind w:left="1348" w:right="0" w:hanging="255"/>
        <w:jc w:val="left"/>
        <w:rPr>
          <w:sz w:val="24"/>
        </w:rPr>
      </w:pPr>
      <w:r>
        <w:rPr>
          <w:color w:val="231F20"/>
          <w:spacing w:val="-3"/>
          <w:sz w:val="24"/>
        </w:rPr>
        <w:t>若為疑似接種劑量不足之「接種異常事件」，處理原則如下 ( 附件 </w:t>
      </w:r>
      <w:r>
        <w:rPr>
          <w:color w:val="231F20"/>
          <w:sz w:val="24"/>
        </w:rPr>
        <w:t>4-5)：</w:t>
      </w:r>
    </w:p>
    <w:p>
      <w:pPr>
        <w:pStyle w:val="ListParagraph"/>
        <w:numPr>
          <w:ilvl w:val="1"/>
          <w:numId w:val="57"/>
        </w:numPr>
        <w:tabs>
          <w:tab w:pos="1592" w:val="left" w:leader="none"/>
        </w:tabs>
        <w:spacing w:line="230" w:lineRule="auto" w:before="0" w:after="0"/>
        <w:ind w:left="1591" w:right="1135" w:hanging="355"/>
        <w:jc w:val="both"/>
        <w:rPr>
          <w:sz w:val="24"/>
        </w:rPr>
      </w:pPr>
      <w:r>
        <w:rPr>
          <w:color w:val="231F20"/>
          <w:spacing w:val="3"/>
          <w:sz w:val="24"/>
        </w:rPr>
        <w:t>接種當下已知執行曲取卡介苗劑量不足 </w:t>
      </w:r>
      <w:r>
        <w:rPr>
          <w:color w:val="231F20"/>
          <w:sz w:val="24"/>
        </w:rPr>
        <w:t>0.1mL</w:t>
      </w:r>
      <w:r>
        <w:rPr>
          <w:color w:val="231F20"/>
          <w:spacing w:val="5"/>
          <w:sz w:val="24"/>
        </w:rPr>
        <w:t>( 懸浮液／次) 並已接種：由原下針處補足不足之劑量。</w:t>
      </w:r>
    </w:p>
    <w:p>
      <w:pPr>
        <w:pStyle w:val="ListParagraph"/>
        <w:numPr>
          <w:ilvl w:val="1"/>
          <w:numId w:val="57"/>
        </w:numPr>
        <w:tabs>
          <w:tab w:pos="1592" w:val="left" w:leader="none"/>
        </w:tabs>
        <w:spacing w:line="230" w:lineRule="auto" w:before="0" w:after="0"/>
        <w:ind w:left="1591" w:right="1124" w:hanging="355"/>
        <w:jc w:val="both"/>
        <w:rPr>
          <w:sz w:val="24"/>
        </w:rPr>
      </w:pPr>
      <w:r>
        <w:rPr>
          <w:color w:val="231F20"/>
          <w:spacing w:val="6"/>
          <w:sz w:val="24"/>
        </w:rPr>
        <w:t>完成接種後，因接種過程漏針或是嬰幼兒躁動而導致疑似接種劑量不足：俟</w:t>
      </w:r>
      <w:r>
        <w:rPr>
          <w:color w:val="231F20"/>
          <w:spacing w:val="-6"/>
          <w:sz w:val="24"/>
        </w:rPr>
        <w:t>接種 </w:t>
      </w:r>
      <w:r>
        <w:rPr>
          <w:color w:val="231F20"/>
          <w:sz w:val="24"/>
        </w:rPr>
        <w:t>3</w:t>
      </w:r>
      <w:r>
        <w:rPr>
          <w:color w:val="231F20"/>
          <w:spacing w:val="-2"/>
          <w:sz w:val="24"/>
        </w:rPr>
        <w:t> 個月後檢視是否有卡介苗疤痕，無疤痕者得進行結核菌素測驗 (</w:t>
      </w:r>
      <w:r>
        <w:rPr>
          <w:color w:val="231F20"/>
          <w:sz w:val="24"/>
        </w:rPr>
        <w:t>TST)， TST</w:t>
      </w:r>
      <w:r>
        <w:rPr>
          <w:color w:val="231F20"/>
          <w:spacing w:val="-3"/>
          <w:sz w:val="24"/>
        </w:rPr>
        <w:t> 陰性 (</w:t>
      </w:r>
      <w:r>
        <w:rPr>
          <w:color w:val="231F20"/>
          <w:sz w:val="24"/>
        </w:rPr>
        <w:t>&lt;10mm</w:t>
      </w:r>
      <w:r>
        <w:rPr>
          <w:color w:val="231F20"/>
          <w:spacing w:val="-2"/>
          <w:sz w:val="24"/>
        </w:rPr>
        <w:t>) 者，家屬依嬰兒最大健康利益評估是否再次接種。</w:t>
      </w:r>
    </w:p>
    <w:p>
      <w:pPr>
        <w:pStyle w:val="ListParagraph"/>
        <w:numPr>
          <w:ilvl w:val="0"/>
          <w:numId w:val="57"/>
        </w:numPr>
        <w:tabs>
          <w:tab w:pos="1349" w:val="left" w:leader="none"/>
        </w:tabs>
        <w:spacing w:line="230" w:lineRule="auto" w:before="0" w:after="0"/>
        <w:ind w:left="629" w:right="4977" w:firstLine="464"/>
        <w:jc w:val="both"/>
        <w:rPr>
          <w:sz w:val="24"/>
        </w:rPr>
      </w:pPr>
      <w:r>
        <w:rPr>
          <w:color w:val="231F20"/>
          <w:spacing w:val="-1"/>
          <w:sz w:val="24"/>
        </w:rPr>
        <w:t>每個月追蹤 </w:t>
      </w:r>
      <w:r>
        <w:rPr>
          <w:color w:val="231F20"/>
          <w:sz w:val="24"/>
        </w:rPr>
        <w:t>1</w:t>
      </w:r>
      <w:r>
        <w:rPr>
          <w:color w:val="231F20"/>
          <w:spacing w:val="-3"/>
          <w:sz w:val="24"/>
        </w:rPr>
        <w:t> 次，並自接種日起追蹤 </w:t>
      </w:r>
      <w:r>
        <w:rPr>
          <w:color w:val="231F20"/>
          <w:sz w:val="24"/>
        </w:rPr>
        <w:t>1</w:t>
      </w:r>
      <w:r>
        <w:rPr>
          <w:color w:val="231F20"/>
          <w:spacing w:val="-7"/>
          <w:sz w:val="24"/>
        </w:rPr>
        <w:t> 年。</w:t>
      </w:r>
      <w:r>
        <w:rPr>
          <w:color w:val="231F20"/>
          <w:spacing w:val="-5"/>
          <w:sz w:val="24"/>
        </w:rPr>
        <w:t>( — ) 地方衛生局 </w:t>
      </w:r>
      <w:r>
        <w:rPr>
          <w:color w:val="231F20"/>
          <w:spacing w:val="6"/>
          <w:w w:val="70"/>
          <w:sz w:val="24"/>
        </w:rPr>
        <w:t>／ </w:t>
      </w:r>
      <w:r>
        <w:rPr>
          <w:color w:val="231F20"/>
          <w:sz w:val="24"/>
        </w:rPr>
        <w:t>所</w:t>
      </w:r>
    </w:p>
    <w:p>
      <w:pPr>
        <w:pStyle w:val="ListParagraph"/>
        <w:numPr>
          <w:ilvl w:val="0"/>
          <w:numId w:val="58"/>
        </w:numPr>
        <w:tabs>
          <w:tab w:pos="1351" w:val="left" w:leader="none"/>
        </w:tabs>
        <w:spacing w:line="230" w:lineRule="auto" w:before="0" w:after="0"/>
        <w:ind w:left="1349" w:right="1137" w:hanging="255"/>
        <w:jc w:val="both"/>
        <w:rPr>
          <w:sz w:val="24"/>
        </w:rPr>
      </w:pPr>
      <w:r>
        <w:rPr>
          <w:color w:val="231F20"/>
          <w:spacing w:val="-1"/>
          <w:sz w:val="24"/>
        </w:rPr>
        <w:t>立即進行個案調查、主動關懷及追蹤個案預後狀況至痊癒為止；或至少每個月追</w:t>
      </w:r>
      <w:r>
        <w:rPr>
          <w:color w:val="231F20"/>
          <w:spacing w:val="-4"/>
          <w:sz w:val="24"/>
        </w:rPr>
        <w:t>蹤 </w:t>
      </w:r>
      <w:r>
        <w:rPr>
          <w:color w:val="231F20"/>
          <w:sz w:val="24"/>
        </w:rPr>
        <w:t>1</w:t>
      </w:r>
      <w:r>
        <w:rPr>
          <w:color w:val="231F20"/>
          <w:spacing w:val="-4"/>
          <w:sz w:val="24"/>
        </w:rPr>
        <w:t> 次，並自接種日起追蹤 </w:t>
      </w:r>
      <w:r>
        <w:rPr>
          <w:color w:val="231F20"/>
          <w:sz w:val="24"/>
        </w:rPr>
        <w:t>1</w:t>
      </w:r>
      <w:r>
        <w:rPr>
          <w:color w:val="231F20"/>
          <w:spacing w:val="-3"/>
          <w:sz w:val="24"/>
        </w:rPr>
        <w:t> 年。</w:t>
      </w:r>
    </w:p>
    <w:p>
      <w:pPr>
        <w:pStyle w:val="ListParagraph"/>
        <w:numPr>
          <w:ilvl w:val="0"/>
          <w:numId w:val="58"/>
        </w:numPr>
        <w:tabs>
          <w:tab w:pos="1349" w:val="left" w:leader="none"/>
        </w:tabs>
        <w:spacing w:line="395" w:lineRule="exact" w:before="0" w:after="0"/>
        <w:ind w:left="1348" w:right="0" w:hanging="255"/>
        <w:jc w:val="both"/>
        <w:rPr>
          <w:sz w:val="24"/>
        </w:rPr>
      </w:pPr>
      <w:r>
        <w:rPr>
          <w:color w:val="231F20"/>
          <w:sz w:val="24"/>
        </w:rPr>
        <w:t>收集資料儘速回報疾管署各區管制中心。</w:t>
      </w:r>
    </w:p>
    <w:p>
      <w:pPr>
        <w:pStyle w:val="ListParagraph"/>
        <w:numPr>
          <w:ilvl w:val="0"/>
          <w:numId w:val="58"/>
        </w:numPr>
        <w:tabs>
          <w:tab w:pos="1351" w:val="left" w:leader="none"/>
        </w:tabs>
        <w:spacing w:line="230" w:lineRule="auto" w:before="0" w:after="0"/>
        <w:ind w:left="1349" w:right="1136" w:hanging="255"/>
        <w:jc w:val="both"/>
        <w:rPr>
          <w:sz w:val="24"/>
        </w:rPr>
      </w:pPr>
      <w:r>
        <w:rPr>
          <w:color w:val="231F20"/>
          <w:spacing w:val="-1"/>
          <w:sz w:val="24"/>
        </w:rPr>
        <w:t>如疑似因預防接種而受害之請求權人提出救濟申請時，應協助依「預防接種受害救濟基金徵收及審議辦法」及作業流程，檢具預防接種受害救濟申請書，向預防</w:t>
      </w:r>
      <w:r>
        <w:rPr>
          <w:color w:val="231F20"/>
          <w:sz w:val="24"/>
        </w:rPr>
        <w:t>接種受害救濟審議\</w:t>
      </w:r>
      <w:r>
        <w:rPr>
          <w:color w:val="231F20"/>
          <w:spacing w:val="-1"/>
          <w:sz w:val="24"/>
        </w:rPr>
        <w:t>組提起救濟程序。相關流程及表單請參考疾管署全球資訊網</w:t>
      </w:r>
    </w:p>
    <w:p>
      <w:pPr>
        <w:spacing w:after="0" w:line="230" w:lineRule="auto"/>
        <w:jc w:val="both"/>
        <w:rPr>
          <w:sz w:val="24"/>
        </w:rPr>
        <w:sectPr>
          <w:pgSz w:w="11910" w:h="16840"/>
          <w:pgMar w:top="1060" w:bottom="0" w:left="980" w:right="0"/>
        </w:sectPr>
      </w:pPr>
    </w:p>
    <w:p>
      <w:pPr>
        <w:pStyle w:val="BodyText"/>
        <w:tabs>
          <w:tab w:pos="1349" w:val="left" w:leader="none"/>
        </w:tabs>
        <w:spacing w:line="230" w:lineRule="auto" w:before="70"/>
        <w:ind w:left="629" w:right="1988" w:firstLine="719"/>
      </w:pPr>
      <w:r>
        <w:rPr/>
        <w:pict>
          <v:group style="position:absolute;margin-left:557.684509pt;margin-top:124.149002pt;width:37.35pt;height:717.55pt;mso-position-horizontal-relative:page;mso-position-vertical-relative:page;z-index:251714560" coordorigin="11154,2483" coordsize="747,14351">
            <v:shape style="position:absolute;left:11283;top:2994;width:439;height:13840" type="#_x0000_t75" stroked="false">
              <v:imagedata r:id="rId28" o:title=""/>
            </v:shape>
            <v:shape style="position:absolute;left:11153;top:2482;width:747;height:812" coordorigin="11154,2483" coordsize="747,812" path="m11900,2483l11536,2483,11514,2485,11454,2519,11188,2801,11154,2889,11162,2935,11454,3258,11514,3292,11536,3294,11900,3294,11900,2483xe" filled="true" fillcolor="#5daf8a" stroked="false">
              <v:path arrowok="t"/>
              <v:fill type="solid"/>
            </v:shape>
            <v:shape style="position:absolute;left:11307;top:2750;width:398;height:278" type="#_x0000_t75" stroked="false">
              <v:imagedata r:id="rId36" o:title=""/>
            </v:shape>
            <v:shape style="position:absolute;left:11378;top:3433;width:252;height:2260" type="#_x0000_t75" stroked="false">
              <v:imagedata r:id="rId30"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31</w:t>
                    </w:r>
                  </w:p>
                </w:txbxContent>
              </v:textbox>
              <w10:wrap type="none"/>
            </v:shape>
            <w10:wrap type="none"/>
          </v:group>
        </w:pict>
      </w:r>
      <w:r>
        <w:rPr>
          <w:color w:val="231F20"/>
        </w:rPr>
        <w:t>(</w:t>
      </w:r>
      <w:r>
        <w:rPr>
          <w:color w:val="231F20"/>
          <w:spacing w:val="-28"/>
        </w:rPr>
        <w:t> </w:t>
      </w:r>
      <w:r>
        <w:rPr>
          <w:color w:val="231F20"/>
        </w:rPr>
        <w:t>路徑：預防接種</w:t>
      </w:r>
      <w:r>
        <w:rPr>
          <w:color w:val="231F20"/>
          <w:spacing w:val="-27"/>
        </w:rPr>
        <w:t> </w:t>
      </w:r>
      <w:r>
        <w:rPr>
          <w:color w:val="231F20"/>
        </w:rPr>
        <w:t>＞</w:t>
      </w:r>
      <w:r>
        <w:rPr>
          <w:color w:val="231F20"/>
          <w:spacing w:val="-28"/>
        </w:rPr>
        <w:t> </w:t>
      </w:r>
      <w:r>
        <w:rPr>
          <w:color w:val="231F20"/>
        </w:rPr>
        <w:t>預防接種受害救濟</w:t>
      </w:r>
      <w:r>
        <w:rPr>
          <w:color w:val="231F20"/>
          <w:spacing w:val="-27"/>
        </w:rPr>
        <w:t> </w:t>
      </w:r>
      <w:r>
        <w:rPr>
          <w:color w:val="231F20"/>
        </w:rPr>
        <w:t>＞</w:t>
      </w:r>
      <w:r>
        <w:rPr>
          <w:color w:val="231F20"/>
          <w:spacing w:val="-28"/>
        </w:rPr>
        <w:t> </w:t>
      </w:r>
      <w:r>
        <w:rPr>
          <w:color w:val="231F20"/>
        </w:rPr>
        <w:t>預防接種受害救濟案件登錄</w:t>
      </w:r>
      <w:r>
        <w:rPr>
          <w:color w:val="231F20"/>
          <w:spacing w:val="-27"/>
        </w:rPr>
        <w:t> </w:t>
      </w:r>
      <w:r>
        <w:rPr>
          <w:color w:val="231F20"/>
        </w:rPr>
        <w:t>)</w:t>
      </w:r>
      <w:r>
        <w:rPr>
          <w:color w:val="231F20"/>
          <w:spacing w:val="-18"/>
        </w:rPr>
        <w:t>。</w:t>
      </w:r>
      <w:r>
        <w:rPr>
          <w:color w:val="231F20"/>
        </w:rPr>
        <w:t>(</w:t>
      </w:r>
      <w:r>
        <w:rPr>
          <w:color w:val="231F20"/>
          <w:spacing w:val="-9"/>
        </w:rPr>
        <w:t> </w:t>
      </w:r>
      <w:r>
        <w:rPr>
          <w:color w:val="231F20"/>
        </w:rPr>
        <w:t>二</w:t>
      </w:r>
      <w:r>
        <w:rPr>
          <w:color w:val="231F20"/>
          <w:spacing w:val="-8"/>
        </w:rPr>
        <w:t> </w:t>
      </w:r>
      <w:r>
        <w:rPr>
          <w:color w:val="231F20"/>
        </w:rPr>
        <w:t>)</w:t>
        <w:tab/>
        <w:t>疾管署各區管制中心</w:t>
      </w:r>
    </w:p>
    <w:p>
      <w:pPr>
        <w:pStyle w:val="ListParagraph"/>
        <w:numPr>
          <w:ilvl w:val="0"/>
          <w:numId w:val="59"/>
        </w:numPr>
        <w:tabs>
          <w:tab w:pos="1349" w:val="left" w:leader="none"/>
        </w:tabs>
        <w:spacing w:line="395" w:lineRule="exact" w:before="0" w:after="0"/>
        <w:ind w:left="1348" w:right="0" w:hanging="255"/>
        <w:jc w:val="left"/>
        <w:rPr>
          <w:sz w:val="24"/>
        </w:rPr>
      </w:pPr>
      <w:r>
        <w:rPr>
          <w:color w:val="231F20"/>
          <w:sz w:val="24"/>
        </w:rPr>
        <w:t>主動聯繫地方衛生局，必要時，協助地方衛生局處理個案相關事宜。</w:t>
      </w:r>
    </w:p>
    <w:p>
      <w:pPr>
        <w:pStyle w:val="ListParagraph"/>
        <w:numPr>
          <w:ilvl w:val="0"/>
          <w:numId w:val="59"/>
        </w:numPr>
        <w:tabs>
          <w:tab w:pos="1349" w:val="left" w:leader="none"/>
        </w:tabs>
        <w:spacing w:line="230" w:lineRule="auto" w:before="3" w:after="0"/>
        <w:ind w:left="629" w:right="4055" w:firstLine="464"/>
        <w:jc w:val="left"/>
        <w:rPr>
          <w:sz w:val="24"/>
        </w:rPr>
      </w:pPr>
      <w:r>
        <w:rPr>
          <w:color w:val="231F20"/>
          <w:sz w:val="24"/>
        </w:rPr>
        <w:t>彙整相關資料及定期回報個案預後予疾管署慢性組</w:t>
      </w:r>
      <w:r>
        <w:rPr>
          <w:color w:val="231F20"/>
          <w:spacing w:val="-18"/>
          <w:sz w:val="24"/>
        </w:rPr>
        <w:t>。</w:t>
      </w:r>
      <w:r>
        <w:rPr>
          <w:color w:val="231F20"/>
          <w:sz w:val="24"/>
        </w:rPr>
        <w:t>(</w:t>
      </w:r>
      <w:r>
        <w:rPr>
          <w:color w:val="231F20"/>
          <w:spacing w:val="-9"/>
          <w:sz w:val="24"/>
        </w:rPr>
        <w:t> </w:t>
      </w:r>
      <w:r>
        <w:rPr>
          <w:color w:val="231F20"/>
          <w:sz w:val="24"/>
        </w:rPr>
        <w:t>匹</w:t>
      </w:r>
      <w:r>
        <w:rPr>
          <w:color w:val="231F20"/>
          <w:spacing w:val="-8"/>
          <w:sz w:val="24"/>
        </w:rPr>
        <w:t> </w:t>
      </w:r>
      <w:r>
        <w:rPr>
          <w:color w:val="231F20"/>
          <w:sz w:val="24"/>
        </w:rPr>
        <w:t>)</w:t>
        <w:tab/>
        <w:t>疾管署慢性組</w:t>
      </w:r>
    </w:p>
    <w:p>
      <w:pPr>
        <w:pStyle w:val="BodyText"/>
        <w:spacing w:line="230" w:lineRule="auto"/>
        <w:ind w:left="1349" w:right="1137"/>
      </w:pPr>
      <w:r>
        <w:rPr>
          <w:color w:val="231F20"/>
        </w:rPr>
        <w:t>彙整相關資料研判及研擬因應策略，必要時發布新聞稿釐清與說明，避免民眾恐慌影響接種意願。</w:t>
      </w:r>
    </w:p>
    <w:p>
      <w:pPr>
        <w:pStyle w:val="BodyText"/>
        <w:rPr>
          <w:sz w:val="20"/>
        </w:rPr>
      </w:pPr>
    </w:p>
    <w:p>
      <w:pPr>
        <w:pStyle w:val="Heading2"/>
      </w:pPr>
      <w:r>
        <w:rPr>
          <w:color w:val="231F20"/>
        </w:rPr>
        <w:t>玖、國小一年級學童卡介苗接種工作程序</w:t>
      </w:r>
    </w:p>
    <w:p>
      <w:pPr>
        <w:pStyle w:val="BodyText"/>
        <w:spacing w:line="230" w:lineRule="auto" w:before="7"/>
        <w:ind w:left="878" w:right="1136" w:hanging="488"/>
        <w:jc w:val="both"/>
      </w:pPr>
      <w:r>
        <w:rPr>
          <w:color w:val="231F20"/>
        </w:rPr>
        <w:t>＿</w:t>
      </w:r>
      <w:r>
        <w:rPr>
          <w:color w:val="231F20"/>
          <w:spacing w:val="-2"/>
        </w:rPr>
        <w:t>、查卡：查詢「兒童健康手冊」之「預防接種時程及紀錄表」或檢視 </w:t>
      </w:r>
      <w:r>
        <w:rPr>
          <w:color w:val="231F20"/>
        </w:rPr>
        <w:t>NIIS，以確認學童是否曾接種過卡介苗。</w:t>
      </w:r>
    </w:p>
    <w:p>
      <w:pPr>
        <w:pStyle w:val="BodyText"/>
        <w:spacing w:line="230" w:lineRule="auto"/>
        <w:ind w:left="878" w:right="1132" w:hanging="488"/>
        <w:jc w:val="both"/>
      </w:pPr>
      <w:r>
        <w:rPr>
          <w:color w:val="231F20"/>
        </w:rPr>
        <w:t>—、針對前述無接種紀錄者，無需進行查疤及結核菌素測驗，惟應提供「國\＿年級學童卡介苗預防接種家長通知書」( 附件 4-6)，並提供卡介苗補接種服務單位資訊，請學</w:t>
      </w:r>
      <w:r>
        <w:rPr>
          <w:color w:val="231F20"/>
          <w:w w:val="105"/>
        </w:rPr>
        <w:t>童攜回予家屬，由家屬自行評估後決定是否進行補接種。</w:t>
      </w:r>
    </w:p>
    <w:p>
      <w:pPr>
        <w:pStyle w:val="BodyText"/>
        <w:spacing w:before="17"/>
        <w:rPr>
          <w:sz w:val="19"/>
        </w:rPr>
      </w:pPr>
    </w:p>
    <w:p>
      <w:pPr>
        <w:pStyle w:val="Heading2"/>
      </w:pPr>
      <w:r>
        <w:rPr>
          <w:color w:val="231F20"/>
        </w:rPr>
        <w:t>拾、卡介苗工作程序檢核：</w:t>
      </w:r>
    </w:p>
    <w:p>
      <w:pPr>
        <w:pStyle w:val="BodyText"/>
        <w:spacing w:line="404" w:lineRule="exact"/>
        <w:ind w:left="391"/>
      </w:pPr>
      <w:r>
        <w:rPr>
          <w:color w:val="231F20"/>
        </w:rPr>
        <w:t>＿、為確保卡介苗及結核菌素之效價及接種口質，業務相關工作人員得辦理下列事項：</w:t>
      </w:r>
    </w:p>
    <w:p>
      <w:pPr>
        <w:pStyle w:val="BodyText"/>
        <w:spacing w:line="230" w:lineRule="auto" w:before="2"/>
        <w:ind w:left="1349" w:right="1131" w:hanging="720"/>
        <w:jc w:val="both"/>
      </w:pPr>
      <w:r>
        <w:rPr>
          <w:color w:val="231F20"/>
        </w:rPr>
        <w:t>( ＿ ) 業務執行人員：運用疾管署製作之「卡介苗接種技術教學」及「結核菌素測驗技術教學」短片 ( 路徑：傳染病與防疫專題＞傳染病介紹＞第二類法定傳染病＞結核病＞防治政策＞「卡介苗預防接種」及「接觸者檢查」)，檢視工作程序之正確性；</w:t>
      </w:r>
    </w:p>
    <w:p>
      <w:pPr>
        <w:pStyle w:val="BodyText"/>
        <w:spacing w:line="230" w:lineRule="auto"/>
        <w:ind w:left="1349" w:right="1131" w:hanging="720"/>
        <w:jc w:val="both"/>
      </w:pPr>
      <w:r>
        <w:rPr>
          <w:color w:val="231F20"/>
        </w:rPr>
        <w:t>( — ) 地方衛生局 </w:t>
      </w:r>
      <w:r>
        <w:rPr>
          <w:color w:val="231F20"/>
          <w:w w:val="70"/>
        </w:rPr>
        <w:t>／ </w:t>
      </w:r>
      <w:r>
        <w:rPr>
          <w:color w:val="231F20"/>
        </w:rPr>
        <w:t>所：自行評估需求，每年應執行至少1場內部查核，藉以了解卡介苗接種及結核菌素測驗服務單位 ( 含衛生所及醫療院所 ) 業務執行情形；</w:t>
      </w:r>
    </w:p>
    <w:p>
      <w:pPr>
        <w:pStyle w:val="BodyText"/>
        <w:spacing w:line="395" w:lineRule="exact"/>
        <w:ind w:left="629"/>
        <w:jc w:val="both"/>
      </w:pPr>
      <w:r>
        <w:rPr>
          <w:color w:val="231F20"/>
        </w:rPr>
        <w:t>( 二 ) 疾管署各區管制中心：必要時檢核。</w:t>
      </w:r>
    </w:p>
    <w:p>
      <w:pPr>
        <w:pStyle w:val="BodyText"/>
        <w:spacing w:line="400" w:lineRule="exact"/>
        <w:ind w:left="629"/>
        <w:jc w:val="both"/>
      </w:pPr>
      <w:r>
        <w:rPr>
          <w:color w:val="231F20"/>
        </w:rPr>
        <w:t>( 匹 ) 疾管署慢性組：補助 ( 委託 ) 外部單位進行檢核。</w:t>
      </w:r>
    </w:p>
    <w:p>
      <w:pPr>
        <w:pStyle w:val="BodyText"/>
        <w:spacing w:line="409" w:lineRule="exact"/>
        <w:ind w:left="391"/>
        <w:jc w:val="both"/>
      </w:pPr>
      <w:r>
        <w:rPr>
          <w:color w:val="231F20"/>
        </w:rPr>
        <w:t>—、「卡介苗接種工作檢核表 」( 附件 4-2-1)、「結核菌素測驗工作檢核表 」( 附件 4-2-2)。</w:t>
      </w:r>
    </w:p>
    <w:p>
      <w:pPr>
        <w:pStyle w:val="BodyText"/>
        <w:spacing w:before="12"/>
        <w:rPr>
          <w:sz w:val="19"/>
        </w:rPr>
      </w:pPr>
    </w:p>
    <w:p>
      <w:pPr>
        <w:pStyle w:val="Heading2"/>
      </w:pPr>
      <w:r>
        <w:rPr>
          <w:color w:val="231F20"/>
        </w:rPr>
        <w:t>拾壹、卡介苗相關行政庶務</w:t>
      </w:r>
    </w:p>
    <w:p>
      <w:pPr>
        <w:pStyle w:val="BodyText"/>
        <w:spacing w:line="404" w:lineRule="exact"/>
        <w:ind w:left="391"/>
      </w:pPr>
      <w:r>
        <w:rPr>
          <w:color w:val="231F20"/>
        </w:rPr>
        <w:t>＿、卡介苗供應</w:t>
      </w:r>
    </w:p>
    <w:p>
      <w:pPr>
        <w:pStyle w:val="BodyText"/>
        <w:spacing w:line="230" w:lineRule="auto" w:before="2"/>
        <w:ind w:left="1349" w:right="1130" w:hanging="720"/>
        <w:jc w:val="both"/>
      </w:pPr>
      <w:r>
        <w:rPr>
          <w:color w:val="231F20"/>
        </w:rPr>
        <w:t>( ＿ ) 疾管署慢性組：參照地方衛生局庫存量及需求量 ( 或新生兒出生人數 )，採購後每年 3 及 9 月各撥發 1 次予地方衛生局為原則。</w:t>
      </w:r>
    </w:p>
    <w:p>
      <w:pPr>
        <w:pStyle w:val="BodyText"/>
        <w:spacing w:line="230" w:lineRule="auto"/>
        <w:ind w:left="1349" w:right="1125" w:hanging="720"/>
        <w:jc w:val="both"/>
      </w:pPr>
      <w:r>
        <w:rPr>
          <w:color w:val="231F20"/>
        </w:rPr>
        <w:t>( — ) 地方衛生局：自 104 年起依縣市財力辦理疫苗款分攤作業，配賦及核銷作業如附件 4-7，並依疾管署疫苗管理作業方式，於每月 15 日前完成 NIIS 撥發及耗用登錄作業。</w:t>
      </w:r>
    </w:p>
    <w:p>
      <w:pPr>
        <w:pStyle w:val="BodyText"/>
        <w:spacing w:line="230" w:lineRule="auto"/>
        <w:ind w:left="1349" w:right="1131" w:hanging="720"/>
        <w:jc w:val="both"/>
      </w:pPr>
      <w:r>
        <w:rPr>
          <w:color w:val="231F20"/>
        </w:rPr>
        <w:t>( 二 ) 地方衛生所：依接種人數及卡介苗門診次數，計算卡介苗需求量，向地方衛生局申請供應，並依疾管署疫苗管理作業方式，於每月 15 日至 NIIS 登錄使用情形。</w:t>
      </w:r>
    </w:p>
    <w:p>
      <w:pPr>
        <w:spacing w:after="0" w:line="230" w:lineRule="auto"/>
        <w:jc w:val="both"/>
        <w:sectPr>
          <w:pgSz w:w="11910" w:h="16840"/>
          <w:pgMar w:top="1060" w:bottom="0" w:left="980" w:right="0"/>
        </w:sectPr>
      </w:pPr>
    </w:p>
    <w:p>
      <w:pPr>
        <w:pStyle w:val="BodyText"/>
        <w:tabs>
          <w:tab w:pos="1349" w:val="left" w:leader="none"/>
        </w:tabs>
        <w:spacing w:line="230" w:lineRule="auto" w:before="70"/>
        <w:ind w:left="1349" w:right="1131" w:hanging="720"/>
      </w:pPr>
      <w:r>
        <w:rPr/>
        <w:pict>
          <v:group style="position:absolute;margin-left:-.000001pt;margin-top:124.149002pt;width:37.35pt;height:717.55pt;mso-position-horizontal-relative:page;mso-position-vertical-relative:page;z-index:251716608" coordorigin="0,2483" coordsize="747,14351">
            <v:shape style="position:absolute;left:178;top:2994;width:439;height:13840" type="#_x0000_t75" stroked="false">
              <v:imagedata r:id="rId31" o:title=""/>
            </v:shape>
            <v:shape style="position:absolute;left:0;top:2482;width:747;height:812" coordorigin="0,2483" coordsize="747,812" path="m365,2483l0,2483,0,3294,365,3294,387,3292,447,3258,713,2976,747,2889,738,2842,447,2519,387,2485,365,2483xe" filled="true" fillcolor="#5daf8a" stroked="false">
              <v:path arrowok="t"/>
              <v:fill type="solid"/>
            </v:shape>
            <v:shape style="position:absolute;left:202;top:2750;width:398;height:278" type="#_x0000_t75" stroked="false">
              <v:imagedata r:id="rId37" o:title=""/>
            </v:shape>
            <v:shape style="position:absolute;left:273;top:3433;width:252;height:2260" type="#_x0000_t75" stroked="false">
              <v:imagedata r:id="rId33"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32</w:t>
                    </w:r>
                  </w:p>
                </w:txbxContent>
              </v:textbox>
              <w10:wrap type="none"/>
            </v:shape>
            <w10:wrap type="none"/>
          </v:group>
        </w:pict>
      </w:r>
      <w:r>
        <w:rPr>
          <w:color w:val="231F20"/>
        </w:rPr>
        <w:t>(</w:t>
      </w:r>
      <w:r>
        <w:rPr>
          <w:color w:val="231F20"/>
          <w:spacing w:val="-9"/>
        </w:rPr>
        <w:t> </w:t>
      </w:r>
      <w:r>
        <w:rPr>
          <w:color w:val="231F20"/>
        </w:rPr>
        <w:t>匹</w:t>
      </w:r>
      <w:r>
        <w:rPr>
          <w:color w:val="231F20"/>
          <w:spacing w:val="-8"/>
        </w:rPr>
        <w:t> </w:t>
      </w:r>
      <w:r>
        <w:rPr>
          <w:color w:val="231F20"/>
        </w:rPr>
        <w:t>)</w:t>
        <w:tab/>
        <w:t>醫療院所：需求量評估方式同前項，逕向轄區衛生局</w:t>
      </w:r>
      <w:r>
        <w:rPr>
          <w:color w:val="231F20"/>
          <w:spacing w:val="-20"/>
        </w:rPr>
        <w:t> </w:t>
      </w:r>
      <w:r>
        <w:rPr>
          <w:color w:val="231F20"/>
          <w:w w:val="80"/>
        </w:rPr>
        <w:t>／</w:t>
      </w:r>
      <w:r>
        <w:rPr>
          <w:color w:val="231F20"/>
          <w:spacing w:val="-7"/>
          <w:w w:val="80"/>
        </w:rPr>
        <w:t> </w:t>
      </w:r>
      <w:r>
        <w:rPr>
          <w:color w:val="231F20"/>
        </w:rPr>
        <w:t>衛生所申請供應，並按</w:t>
      </w:r>
      <w:r>
        <w:rPr>
          <w:color w:val="231F20"/>
          <w:spacing w:val="-14"/>
        </w:rPr>
        <w:t>月</w:t>
      </w:r>
      <w:r>
        <w:rPr>
          <w:color w:val="231F20"/>
        </w:rPr>
        <w:t>向地方衛生局</w:t>
      </w:r>
      <w:r>
        <w:rPr>
          <w:color w:val="231F20"/>
          <w:spacing w:val="-16"/>
        </w:rPr>
        <w:t> </w:t>
      </w:r>
      <w:r>
        <w:rPr>
          <w:color w:val="231F20"/>
          <w:w w:val="80"/>
        </w:rPr>
        <w:t>／</w:t>
      </w:r>
      <w:r>
        <w:rPr>
          <w:color w:val="231F20"/>
          <w:spacing w:val="-2"/>
          <w:w w:val="80"/>
        </w:rPr>
        <w:t> </w:t>
      </w:r>
      <w:r>
        <w:rPr>
          <w:color w:val="231F20"/>
        </w:rPr>
        <w:t>衛生所回報使用情形，或與</w:t>
      </w:r>
      <w:r>
        <w:rPr>
          <w:color w:val="231F20"/>
          <w:spacing w:val="-15"/>
        </w:rPr>
        <w:t> </w:t>
      </w:r>
      <w:r>
        <w:rPr>
          <w:color w:val="231F20"/>
        </w:rPr>
        <w:t>NIIS</w:t>
      </w:r>
      <w:r>
        <w:rPr>
          <w:color w:val="231F20"/>
          <w:spacing w:val="-15"/>
        </w:rPr>
        <w:t> </w:t>
      </w:r>
      <w:r>
        <w:rPr>
          <w:color w:val="231F20"/>
        </w:rPr>
        <w:t>以介接方式回報消耗結存。</w:t>
      </w:r>
    </w:p>
    <w:p>
      <w:pPr>
        <w:pStyle w:val="BodyText"/>
        <w:spacing w:line="395" w:lineRule="exact"/>
        <w:ind w:left="391"/>
      </w:pPr>
      <w:r>
        <w:rPr>
          <w:color w:val="231F20"/>
        </w:rPr>
        <w:t>—、卡介苗及結核菌素測驗專用空針供應</w:t>
      </w:r>
    </w:p>
    <w:p>
      <w:pPr>
        <w:pStyle w:val="BodyText"/>
        <w:tabs>
          <w:tab w:pos="1349" w:val="left" w:leader="none"/>
        </w:tabs>
        <w:spacing w:line="230" w:lineRule="auto" w:before="3"/>
        <w:ind w:left="1349" w:right="1135" w:hanging="720"/>
      </w:pPr>
      <w:r>
        <w:rPr>
          <w:color w:val="231F20"/>
          <w:spacing w:val="-5"/>
        </w:rPr>
        <w:t>( </w:t>
      </w:r>
      <w:r>
        <w:rPr>
          <w:color w:val="231F20"/>
        </w:rPr>
        <w:t>＿</w:t>
      </w:r>
      <w:r>
        <w:rPr>
          <w:color w:val="231F20"/>
          <w:spacing w:val="-4"/>
        </w:rPr>
        <w:t> )</w:t>
      </w:r>
      <w:r>
        <w:rPr>
          <w:color w:val="231F20"/>
        </w:rPr>
        <w:tab/>
      </w:r>
      <w:r>
        <w:rPr>
          <w:color w:val="231F20"/>
          <w:spacing w:val="-1"/>
        </w:rPr>
        <w:t>疾管署慢性組：參照地方衛生局庫存量及使用量採購，每年以撥發 </w:t>
      </w:r>
      <w:r>
        <w:rPr>
          <w:color w:val="231F20"/>
        </w:rPr>
        <w:t>1</w:t>
      </w:r>
      <w:r>
        <w:rPr>
          <w:color w:val="231F20"/>
          <w:spacing w:val="-2"/>
        </w:rPr>
        <w:t> 次予地方衛生局為原則。</w:t>
      </w:r>
    </w:p>
    <w:p>
      <w:pPr>
        <w:pStyle w:val="BodyText"/>
        <w:tabs>
          <w:tab w:pos="1349" w:val="left" w:leader="none"/>
        </w:tabs>
        <w:spacing w:line="230" w:lineRule="auto"/>
        <w:ind w:left="1349" w:right="1130" w:hanging="720"/>
      </w:pPr>
      <w:r>
        <w:rPr>
          <w:color w:val="231F20"/>
          <w:spacing w:val="-4"/>
        </w:rPr>
        <w:t>( — )</w:t>
      </w:r>
      <w:r>
        <w:rPr>
          <w:color w:val="231F20"/>
        </w:rPr>
        <w:tab/>
      </w:r>
      <w:r>
        <w:rPr>
          <w:color w:val="231F20"/>
          <w:w w:val="95"/>
        </w:rPr>
        <w:t>地方衛生局／所／ 醫療院所：參酌卡介苗供應之原則評估用量並撥發，使用及庫</w:t>
      </w:r>
      <w:r>
        <w:rPr>
          <w:color w:val="231F20"/>
        </w:rPr>
        <w:t>存情形自行核實管理。</w:t>
      </w:r>
    </w:p>
    <w:p>
      <w:pPr>
        <w:pStyle w:val="BodyText"/>
        <w:tabs>
          <w:tab w:pos="1349" w:val="left" w:leader="none"/>
        </w:tabs>
        <w:spacing w:line="230" w:lineRule="auto"/>
        <w:ind w:left="391" w:right="4295" w:firstLine="238"/>
      </w:pPr>
      <w:r>
        <w:rPr>
          <w:color w:val="231F20"/>
        </w:rPr>
        <w:t>(</w:t>
      </w:r>
      <w:r>
        <w:rPr>
          <w:color w:val="231F20"/>
          <w:spacing w:val="-9"/>
        </w:rPr>
        <w:t> </w:t>
      </w:r>
      <w:r>
        <w:rPr>
          <w:color w:val="231F20"/>
        </w:rPr>
        <w:t>二</w:t>
      </w:r>
      <w:r>
        <w:rPr>
          <w:color w:val="231F20"/>
          <w:spacing w:val="-8"/>
        </w:rPr>
        <w:t> </w:t>
      </w:r>
      <w:r>
        <w:rPr>
          <w:color w:val="231F20"/>
        </w:rPr>
        <w:t>)</w:t>
        <w:tab/>
        <w:t>保管原則：避光、防潮、剩餘效期短者優先使用</w:t>
      </w:r>
      <w:r>
        <w:rPr>
          <w:color w:val="231F20"/>
          <w:spacing w:val="-20"/>
        </w:rPr>
        <w:t>。</w:t>
      </w:r>
      <w:r>
        <w:rPr>
          <w:color w:val="231F20"/>
        </w:rPr>
        <w:t>二、公費卡介苗適用對象</w:t>
      </w:r>
    </w:p>
    <w:p>
      <w:pPr>
        <w:pStyle w:val="BodyText"/>
        <w:tabs>
          <w:tab w:pos="1349" w:val="left" w:leader="none"/>
        </w:tabs>
        <w:spacing w:line="395" w:lineRule="exact"/>
        <w:ind w:left="629"/>
      </w:pPr>
      <w:r>
        <w:rPr>
          <w:color w:val="231F20"/>
          <w:spacing w:val="-5"/>
        </w:rPr>
        <w:t>( </w:t>
      </w:r>
      <w:r>
        <w:rPr>
          <w:color w:val="231F20"/>
        </w:rPr>
        <w:t>＿</w:t>
      </w:r>
      <w:r>
        <w:rPr>
          <w:color w:val="231F20"/>
          <w:spacing w:val="-4"/>
        </w:rPr>
        <w:t> )</w:t>
      </w:r>
      <w:r>
        <w:rPr>
          <w:color w:val="231F20"/>
        </w:rPr>
        <w:tab/>
        <w:t>公費疫苗適用對象與常規疫苗相同。</w:t>
      </w:r>
    </w:p>
    <w:p>
      <w:pPr>
        <w:pStyle w:val="BodyText"/>
        <w:spacing w:line="230" w:lineRule="auto"/>
        <w:ind w:left="1349" w:right="1126" w:hanging="720"/>
        <w:jc w:val="both"/>
      </w:pPr>
      <w:r>
        <w:rPr>
          <w:color w:val="231F20"/>
        </w:rPr>
        <w:t>( — ) 若不屬公費卡介苗適用對象，應參照「特殊對象申請公費疫苗自費接種之相關規範」進行審查，每接種人次應繳新臺幣 116 元。填具「預防接種申請書」及繳款方式等申請程序與＿般常規疫苗相同。</w:t>
      </w:r>
    </w:p>
    <w:p>
      <w:pPr>
        <w:pStyle w:val="BodyText"/>
        <w:spacing w:line="394" w:lineRule="exact"/>
        <w:ind w:left="391"/>
      </w:pPr>
      <w:r>
        <w:rPr>
          <w:color w:val="231F20"/>
        </w:rPr>
        <w:t>匹、疫苗異常處理原則</w:t>
      </w:r>
    </w:p>
    <w:p>
      <w:pPr>
        <w:pStyle w:val="BodyText"/>
        <w:tabs>
          <w:tab w:pos="1349" w:val="left" w:leader="none"/>
        </w:tabs>
        <w:spacing w:line="400" w:lineRule="exact"/>
        <w:ind w:left="629"/>
      </w:pPr>
      <w:r>
        <w:rPr>
          <w:color w:val="231F20"/>
          <w:spacing w:val="-5"/>
        </w:rPr>
        <w:t>( </w:t>
      </w:r>
      <w:r>
        <w:rPr>
          <w:color w:val="231F20"/>
        </w:rPr>
        <w:t>＿</w:t>
      </w:r>
      <w:r>
        <w:rPr>
          <w:color w:val="231F20"/>
          <w:spacing w:val="-4"/>
        </w:rPr>
        <w:t> )</w:t>
      </w:r>
      <w:r>
        <w:rPr>
          <w:color w:val="231F20"/>
        </w:rPr>
        <w:tab/>
        <w:t>未開封疫苗或稀釋液若發現有異物時。</w:t>
      </w:r>
    </w:p>
    <w:p>
      <w:pPr>
        <w:pStyle w:val="ListParagraph"/>
        <w:numPr>
          <w:ilvl w:val="0"/>
          <w:numId w:val="60"/>
        </w:numPr>
        <w:tabs>
          <w:tab w:pos="1349" w:val="left" w:leader="none"/>
        </w:tabs>
        <w:spacing w:line="400" w:lineRule="exact" w:before="0" w:after="0"/>
        <w:ind w:left="1348" w:right="0" w:hanging="255"/>
        <w:jc w:val="left"/>
        <w:rPr>
          <w:sz w:val="24"/>
        </w:rPr>
      </w:pPr>
      <w:r>
        <w:rPr>
          <w:color w:val="231F20"/>
          <w:sz w:val="24"/>
        </w:rPr>
        <w:t>照相並記錄相關資訊。</w:t>
      </w:r>
    </w:p>
    <w:p>
      <w:pPr>
        <w:pStyle w:val="ListParagraph"/>
        <w:numPr>
          <w:ilvl w:val="0"/>
          <w:numId w:val="60"/>
        </w:numPr>
        <w:tabs>
          <w:tab w:pos="1349" w:val="left" w:leader="none"/>
        </w:tabs>
        <w:spacing w:line="400" w:lineRule="exact" w:before="0" w:after="0"/>
        <w:ind w:left="1348" w:right="0" w:hanging="255"/>
        <w:jc w:val="left"/>
        <w:rPr>
          <w:sz w:val="24"/>
        </w:rPr>
      </w:pPr>
      <w:r>
        <w:rPr>
          <w:color w:val="231F20"/>
          <w:sz w:val="24"/>
        </w:rPr>
        <w:t>放入標示警語之夾鏈袋後，立即置回冰箱保存。</w:t>
      </w:r>
    </w:p>
    <w:p>
      <w:pPr>
        <w:pStyle w:val="ListParagraph"/>
        <w:numPr>
          <w:ilvl w:val="0"/>
          <w:numId w:val="60"/>
        </w:numPr>
        <w:tabs>
          <w:tab w:pos="1349" w:val="left" w:leader="none"/>
        </w:tabs>
        <w:spacing w:line="400" w:lineRule="exact" w:before="0" w:after="0"/>
        <w:ind w:left="1348" w:right="0" w:hanging="255"/>
        <w:jc w:val="left"/>
        <w:rPr>
          <w:sz w:val="24"/>
        </w:rPr>
      </w:pPr>
      <w:r>
        <w:rPr>
          <w:color w:val="231F20"/>
          <w:sz w:val="24"/>
        </w:rPr>
        <w:t>通知地方衛生局公費疫苗負責人員，協助向疾管署進行通報。</w:t>
      </w:r>
    </w:p>
    <w:p>
      <w:pPr>
        <w:pStyle w:val="ListParagraph"/>
        <w:numPr>
          <w:ilvl w:val="0"/>
          <w:numId w:val="60"/>
        </w:numPr>
        <w:tabs>
          <w:tab w:pos="1349" w:val="left" w:leader="none"/>
        </w:tabs>
        <w:spacing w:line="400" w:lineRule="exact" w:before="0" w:after="0"/>
        <w:ind w:left="1348" w:right="0" w:hanging="255"/>
        <w:jc w:val="left"/>
        <w:rPr>
          <w:sz w:val="24"/>
        </w:rPr>
      </w:pPr>
      <w:r>
        <w:rPr>
          <w:color w:val="231F20"/>
          <w:sz w:val="24"/>
        </w:rPr>
        <w:t>等候相關單位通知後續處置作為。</w:t>
      </w:r>
    </w:p>
    <w:p>
      <w:pPr>
        <w:pStyle w:val="BodyText"/>
        <w:tabs>
          <w:tab w:pos="1349" w:val="left" w:leader="none"/>
        </w:tabs>
        <w:spacing w:line="400" w:lineRule="exact"/>
        <w:ind w:left="629"/>
      </w:pPr>
      <w:r>
        <w:rPr>
          <w:color w:val="231F20"/>
          <w:spacing w:val="-4"/>
        </w:rPr>
        <w:t>( — )</w:t>
      </w:r>
      <w:r>
        <w:rPr>
          <w:color w:val="231F20"/>
        </w:rPr>
        <w:tab/>
        <w:t>已開封疫苗或稀釋液若發現有異物時</w:t>
      </w:r>
    </w:p>
    <w:p>
      <w:pPr>
        <w:pStyle w:val="ListParagraph"/>
        <w:numPr>
          <w:ilvl w:val="0"/>
          <w:numId w:val="61"/>
        </w:numPr>
        <w:tabs>
          <w:tab w:pos="1349" w:val="left" w:leader="none"/>
        </w:tabs>
        <w:spacing w:line="230" w:lineRule="auto" w:before="0" w:after="0"/>
        <w:ind w:left="1349" w:right="1074" w:hanging="255"/>
        <w:jc w:val="left"/>
        <w:rPr>
          <w:sz w:val="24"/>
        </w:rPr>
      </w:pPr>
      <w:r>
        <w:rPr>
          <w:color w:val="231F20"/>
          <w:spacing w:val="-2"/>
          <w:sz w:val="24"/>
        </w:rPr>
        <w:t>照相並記錄相關資訊( 請照相並記錄異常狀況，需包括安瓿瓶身標籤資訊( 口名、批號、效期等 )。</w:t>
      </w:r>
    </w:p>
    <w:p>
      <w:pPr>
        <w:pStyle w:val="ListParagraph"/>
        <w:numPr>
          <w:ilvl w:val="0"/>
          <w:numId w:val="61"/>
        </w:numPr>
        <w:tabs>
          <w:tab w:pos="1349" w:val="left" w:leader="none"/>
        </w:tabs>
        <w:spacing w:line="395" w:lineRule="exact" w:before="0" w:after="0"/>
        <w:ind w:left="1348" w:right="0" w:hanging="255"/>
        <w:jc w:val="left"/>
        <w:rPr>
          <w:sz w:val="24"/>
        </w:rPr>
      </w:pPr>
      <w:r>
        <w:rPr>
          <w:color w:val="231F20"/>
          <w:spacing w:val="-3"/>
          <w:sz w:val="24"/>
        </w:rPr>
        <w:t>先以滅菌膠紙 ( 或 </w:t>
      </w:r>
      <w:r>
        <w:rPr>
          <w:color w:val="231F20"/>
          <w:sz w:val="24"/>
        </w:rPr>
        <w:t>OP</w:t>
      </w:r>
      <w:r>
        <w:rPr>
          <w:color w:val="231F20"/>
          <w:spacing w:val="-7"/>
          <w:sz w:val="24"/>
        </w:rPr>
        <w:t> </w:t>
      </w:r>
      <w:r>
        <w:rPr>
          <w:color w:val="231F20"/>
          <w:sz w:val="24"/>
        </w:rPr>
        <w:t>site</w:t>
      </w:r>
      <w:r>
        <w:rPr>
          <w:color w:val="231F20"/>
          <w:spacing w:val="-5"/>
          <w:sz w:val="24"/>
        </w:rPr>
        <w:t> 防水固定膜 ) 包覆安瓿裂口。</w:t>
      </w:r>
    </w:p>
    <w:p>
      <w:pPr>
        <w:pStyle w:val="ListParagraph"/>
        <w:numPr>
          <w:ilvl w:val="0"/>
          <w:numId w:val="61"/>
        </w:numPr>
        <w:tabs>
          <w:tab w:pos="1349" w:val="left" w:leader="none"/>
        </w:tabs>
        <w:spacing w:line="400" w:lineRule="exact" w:before="0" w:after="0"/>
        <w:ind w:left="1348" w:right="0" w:hanging="255"/>
        <w:jc w:val="left"/>
        <w:rPr>
          <w:sz w:val="24"/>
        </w:rPr>
      </w:pPr>
      <w:r>
        <w:rPr>
          <w:color w:val="231F20"/>
          <w:sz w:val="24"/>
        </w:rPr>
        <w:t>再使用膠帶於管口處多層纏繞。</w:t>
      </w:r>
    </w:p>
    <w:p>
      <w:pPr>
        <w:pStyle w:val="ListParagraph"/>
        <w:numPr>
          <w:ilvl w:val="0"/>
          <w:numId w:val="61"/>
        </w:numPr>
        <w:tabs>
          <w:tab w:pos="1349" w:val="left" w:leader="none"/>
        </w:tabs>
        <w:spacing w:line="400" w:lineRule="exact" w:before="0" w:after="0"/>
        <w:ind w:left="1348" w:right="0" w:hanging="255"/>
        <w:jc w:val="left"/>
        <w:rPr>
          <w:sz w:val="24"/>
        </w:rPr>
      </w:pPr>
      <w:r>
        <w:rPr>
          <w:color w:val="231F20"/>
          <w:sz w:val="24"/>
        </w:rPr>
        <w:t>放入標示警語之夾鏈袋，將空氣排出後封好袋口。</w:t>
      </w:r>
    </w:p>
    <w:p>
      <w:pPr>
        <w:pStyle w:val="ListParagraph"/>
        <w:numPr>
          <w:ilvl w:val="0"/>
          <w:numId w:val="61"/>
        </w:numPr>
        <w:tabs>
          <w:tab w:pos="1349" w:val="left" w:leader="none"/>
        </w:tabs>
        <w:spacing w:line="400" w:lineRule="exact" w:before="0" w:after="0"/>
        <w:ind w:left="1348" w:right="0" w:hanging="255"/>
        <w:jc w:val="left"/>
        <w:rPr>
          <w:sz w:val="24"/>
        </w:rPr>
      </w:pPr>
      <w:r>
        <w:rPr>
          <w:color w:val="231F20"/>
          <w:sz w:val="24"/>
        </w:rPr>
        <w:t>將安瓿直立放置架上，避免疫苗懸浮液流出，並置於冰箱保存。</w:t>
      </w:r>
    </w:p>
    <w:p>
      <w:pPr>
        <w:pStyle w:val="ListParagraph"/>
        <w:numPr>
          <w:ilvl w:val="0"/>
          <w:numId w:val="61"/>
        </w:numPr>
        <w:tabs>
          <w:tab w:pos="1349" w:val="left" w:leader="none"/>
        </w:tabs>
        <w:spacing w:line="230" w:lineRule="auto" w:before="3" w:after="0"/>
        <w:ind w:left="391" w:right="1176" w:firstLine="702"/>
        <w:jc w:val="left"/>
        <w:rPr>
          <w:sz w:val="24"/>
        </w:rPr>
      </w:pPr>
      <w:r>
        <w:rPr>
          <w:color w:val="231F20"/>
          <w:spacing w:val="-1"/>
          <w:sz w:val="24"/>
        </w:rPr>
        <w:t>通知地方衛生局公費疫苗負責人員，協助向疾管署進行通報，視個案情形處理。</w:t>
      </w:r>
      <w:r>
        <w:rPr>
          <w:color w:val="231F20"/>
          <w:sz w:val="24"/>
        </w:rPr>
        <w:t>五、教學用教具</w:t>
      </w:r>
    </w:p>
    <w:p>
      <w:pPr>
        <w:pStyle w:val="BodyText"/>
        <w:spacing w:line="230" w:lineRule="auto"/>
        <w:ind w:left="878" w:right="1133"/>
      </w:pPr>
      <w:r>
        <w:rPr>
          <w:color w:val="231F20"/>
        </w:rPr>
        <w:t>疾管署各區管制中心備有下列教具，可借予地方衛生局於辦理教育訓練時使用，請於訓練辦理 15 日前與疾管署各區管制中心聯繫借用及後續歸還事宜。</w:t>
      </w:r>
    </w:p>
    <w:p>
      <w:pPr>
        <w:pStyle w:val="BodyText"/>
        <w:tabs>
          <w:tab w:pos="1349" w:val="left" w:leader="none"/>
        </w:tabs>
        <w:spacing w:line="230" w:lineRule="auto"/>
        <w:ind w:left="629" w:right="6214"/>
      </w:pPr>
      <w:r>
        <w:rPr>
          <w:color w:val="231F20"/>
        </w:rPr>
        <w:t>(</w:t>
      </w:r>
      <w:r>
        <w:rPr>
          <w:color w:val="231F20"/>
          <w:spacing w:val="-9"/>
        </w:rPr>
        <w:t> </w:t>
      </w:r>
      <w:r>
        <w:rPr>
          <w:color w:val="231F20"/>
        </w:rPr>
        <w:t>＿</w:t>
      </w:r>
      <w:r>
        <w:rPr>
          <w:color w:val="231F20"/>
          <w:spacing w:val="-8"/>
        </w:rPr>
        <w:t> </w:t>
      </w:r>
      <w:r>
        <w:rPr>
          <w:color w:val="231F20"/>
        </w:rPr>
        <w:t>)</w:t>
        <w:tab/>
        <w:t>人工前臂結核菌素皮內注射教</w:t>
      </w:r>
      <w:r>
        <w:rPr>
          <w:color w:val="231F20"/>
          <w:spacing w:val="-19"/>
        </w:rPr>
        <w:t>具</w:t>
      </w:r>
      <w:r>
        <w:rPr>
          <w:color w:val="231F20"/>
        </w:rPr>
        <w:t>(</w:t>
      </w:r>
      <w:r>
        <w:rPr>
          <w:color w:val="231F20"/>
          <w:spacing w:val="-9"/>
        </w:rPr>
        <w:t> </w:t>
      </w:r>
      <w:r>
        <w:rPr>
          <w:color w:val="231F20"/>
        </w:rPr>
        <w:t>—</w:t>
      </w:r>
      <w:r>
        <w:rPr>
          <w:color w:val="231F20"/>
          <w:spacing w:val="-8"/>
        </w:rPr>
        <w:t> </w:t>
      </w:r>
      <w:r>
        <w:rPr>
          <w:color w:val="231F20"/>
        </w:rPr>
        <w:t>)</w:t>
        <w:tab/>
        <w:t>人工前臂結核菌素判讀教具</w:t>
      </w:r>
    </w:p>
    <w:p>
      <w:pPr>
        <w:pStyle w:val="BodyText"/>
        <w:spacing w:before="15"/>
        <w:rPr>
          <w:sz w:val="19"/>
        </w:rPr>
      </w:pPr>
    </w:p>
    <w:p>
      <w:pPr>
        <w:pStyle w:val="Heading2"/>
      </w:pPr>
      <w:r>
        <w:rPr>
          <w:color w:val="231F20"/>
        </w:rPr>
        <w:t>拾貳、卡介苗接種問與答</w:t>
      </w:r>
    </w:p>
    <w:p>
      <w:pPr>
        <w:pStyle w:val="BodyText"/>
        <w:spacing w:line="413" w:lineRule="exact"/>
        <w:ind w:left="635"/>
      </w:pPr>
      <w:r>
        <w:rPr>
          <w:color w:val="231F20"/>
          <w:w w:val="105"/>
        </w:rPr>
        <w:t>請見附件 4-8。</w:t>
      </w:r>
    </w:p>
    <w:p>
      <w:pPr>
        <w:spacing w:after="0" w:line="413" w:lineRule="exact"/>
        <w:sectPr>
          <w:pgSz w:w="11910" w:h="16840"/>
          <w:pgMar w:top="1060" w:bottom="0" w:left="980" w:right="0"/>
        </w:sectPr>
      </w:pPr>
    </w:p>
    <w:p>
      <w:pPr>
        <w:pStyle w:val="Heading2"/>
        <w:spacing w:line="240" w:lineRule="auto" w:before="27"/>
      </w:pPr>
      <w:r>
        <w:rPr/>
        <w:pict>
          <v:group style="position:absolute;margin-left:557.684509pt;margin-top:124.149002pt;width:37.35pt;height:717.55pt;mso-position-horizontal-relative:page;mso-position-vertical-relative:page;z-index:251718656" coordorigin="11154,2483" coordsize="747,14351">
            <v:shape style="position:absolute;left:11283;top:2994;width:439;height:13840" type="#_x0000_t75" stroked="false">
              <v:imagedata r:id="rId28" o:title=""/>
            </v:shape>
            <v:shape style="position:absolute;left:11153;top:2482;width:747;height:812" coordorigin="11154,2483" coordsize="747,812" path="m11900,2483l11536,2483,11514,2485,11454,2519,11188,2801,11154,2889,11162,2935,11454,3258,11514,3292,11536,3294,11900,3294,11900,2483xe" filled="true" fillcolor="#5daf8a" stroked="false">
              <v:path arrowok="t"/>
              <v:fill type="solid"/>
            </v:shape>
            <v:shape style="position:absolute;left:11307;top:2750;width:398;height:278" type="#_x0000_t75" stroked="false">
              <v:imagedata r:id="rId38" o:title=""/>
            </v:shape>
            <v:shape style="position:absolute;left:11378;top:3433;width:252;height:2260" type="#_x0000_t75" stroked="false">
              <v:imagedata r:id="rId30"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33</w:t>
                    </w:r>
                  </w:p>
                </w:txbxContent>
              </v:textbox>
              <w10:wrap type="none"/>
            </v:shape>
            <w10:wrap type="none"/>
          </v:group>
        </w:pict>
      </w:r>
      <w:r>
        <w:rPr>
          <w:color w:val="231F20"/>
        </w:rPr>
        <w:t>拾參、卡介苗預防接種檢核表</w:t>
      </w: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70"/>
        <w:gridCol w:w="984"/>
        <w:gridCol w:w="913"/>
        <w:gridCol w:w="913"/>
        <w:gridCol w:w="5836"/>
      </w:tblGrid>
      <w:tr>
        <w:trPr>
          <w:trHeight w:val="451" w:hRule="atLeast"/>
        </w:trPr>
        <w:tc>
          <w:tcPr>
            <w:tcW w:w="3780" w:type="dxa"/>
            <w:gridSpan w:val="4"/>
            <w:shd w:val="clear" w:color="auto" w:fill="E6E7E8"/>
          </w:tcPr>
          <w:p>
            <w:pPr>
              <w:pStyle w:val="TableParagraph"/>
              <w:spacing w:line="403" w:lineRule="exact"/>
              <w:ind w:left="1390" w:right="1374"/>
              <w:jc w:val="center"/>
              <w:rPr>
                <w:rFonts w:ascii="微軟正黑體" w:eastAsia="微軟正黑體" w:hint="eastAsia"/>
                <w:b/>
                <w:sz w:val="24"/>
              </w:rPr>
            </w:pPr>
            <w:r>
              <w:rPr>
                <w:rFonts w:ascii="微軟正黑體" w:eastAsia="微軟正黑體" w:hint="eastAsia"/>
                <w:b/>
                <w:color w:val="231F20"/>
                <w:sz w:val="24"/>
              </w:rPr>
              <w:t>主責單位</w:t>
            </w:r>
          </w:p>
        </w:tc>
        <w:tc>
          <w:tcPr>
            <w:tcW w:w="5836" w:type="dxa"/>
            <w:vMerge w:val="restart"/>
            <w:shd w:val="clear" w:color="auto" w:fill="E6E7E8"/>
          </w:tcPr>
          <w:p>
            <w:pPr>
              <w:pStyle w:val="TableParagraph"/>
              <w:spacing w:before="8"/>
              <w:rPr>
                <w:rFonts w:ascii="微軟正黑體"/>
                <w:b/>
                <w:sz w:val="21"/>
              </w:rPr>
            </w:pPr>
          </w:p>
          <w:p>
            <w:pPr>
              <w:pStyle w:val="TableParagraph"/>
              <w:ind w:left="1001"/>
              <w:rPr>
                <w:rFonts w:ascii="微軟正黑體" w:eastAsia="微軟正黑體" w:hint="eastAsia"/>
                <w:b/>
                <w:sz w:val="24"/>
              </w:rPr>
            </w:pPr>
            <w:r>
              <w:rPr>
                <w:rFonts w:ascii="微軟正黑體" w:eastAsia="微軟正黑體" w:hint="eastAsia"/>
                <w:b/>
                <w:color w:val="231F20"/>
                <w:sz w:val="24"/>
              </w:rPr>
              <w:t>卡介苗接種及結核菌素測驗作業流程</w:t>
            </w:r>
          </w:p>
        </w:tc>
      </w:tr>
      <w:tr>
        <w:trPr>
          <w:trHeight w:val="851" w:hRule="atLeast"/>
        </w:trPr>
        <w:tc>
          <w:tcPr>
            <w:tcW w:w="970" w:type="dxa"/>
            <w:shd w:val="clear" w:color="auto" w:fill="E6E7E8"/>
          </w:tcPr>
          <w:p>
            <w:pPr>
              <w:pStyle w:val="TableParagraph"/>
              <w:spacing w:before="161"/>
              <w:ind w:left="104" w:right="90"/>
              <w:jc w:val="center"/>
              <w:rPr>
                <w:rFonts w:ascii="微軟正黑體" w:eastAsia="微軟正黑體" w:hint="eastAsia"/>
                <w:b/>
                <w:sz w:val="24"/>
              </w:rPr>
            </w:pPr>
            <w:r>
              <w:rPr>
                <w:rFonts w:ascii="微軟正黑體" w:eastAsia="微軟正黑體" w:hint="eastAsia"/>
                <w:b/>
                <w:color w:val="231F20"/>
                <w:sz w:val="24"/>
              </w:rPr>
              <w:t>疾管署</w:t>
            </w:r>
          </w:p>
        </w:tc>
        <w:tc>
          <w:tcPr>
            <w:tcW w:w="984" w:type="dxa"/>
            <w:shd w:val="clear" w:color="auto" w:fill="E6E7E8"/>
          </w:tcPr>
          <w:p>
            <w:pPr>
              <w:pStyle w:val="TableParagraph"/>
              <w:spacing w:line="218" w:lineRule="auto"/>
              <w:ind w:left="132" w:right="114"/>
              <w:rPr>
                <w:rFonts w:ascii="微軟正黑體" w:eastAsia="微軟正黑體" w:hint="eastAsia"/>
                <w:b/>
                <w:sz w:val="24"/>
              </w:rPr>
            </w:pPr>
            <w:r>
              <w:rPr>
                <w:rFonts w:ascii="微軟正黑體" w:eastAsia="微軟正黑體" w:hint="eastAsia"/>
                <w:b/>
                <w:color w:val="231F20"/>
                <w:sz w:val="24"/>
              </w:rPr>
              <w:t>各區管制中心</w:t>
            </w:r>
          </w:p>
        </w:tc>
        <w:tc>
          <w:tcPr>
            <w:tcW w:w="913" w:type="dxa"/>
            <w:shd w:val="clear" w:color="auto" w:fill="E6E7E8"/>
          </w:tcPr>
          <w:p>
            <w:pPr>
              <w:pStyle w:val="TableParagraph"/>
              <w:spacing w:before="161"/>
              <w:ind w:left="197" w:right="180"/>
              <w:jc w:val="center"/>
              <w:rPr>
                <w:rFonts w:ascii="微軟正黑體" w:eastAsia="微軟正黑體" w:hint="eastAsia"/>
                <w:b/>
                <w:sz w:val="24"/>
              </w:rPr>
            </w:pPr>
            <w:r>
              <w:rPr>
                <w:rFonts w:ascii="微軟正黑體" w:eastAsia="微軟正黑體" w:hint="eastAsia"/>
                <w:b/>
                <w:color w:val="231F20"/>
                <w:sz w:val="24"/>
              </w:rPr>
              <w:t>縣市</w:t>
            </w:r>
          </w:p>
        </w:tc>
        <w:tc>
          <w:tcPr>
            <w:tcW w:w="913" w:type="dxa"/>
            <w:shd w:val="clear" w:color="auto" w:fill="E6E7E8"/>
          </w:tcPr>
          <w:p>
            <w:pPr>
              <w:pStyle w:val="TableParagraph"/>
              <w:spacing w:line="218" w:lineRule="auto"/>
              <w:ind w:left="218" w:right="197"/>
              <w:rPr>
                <w:rFonts w:ascii="微軟正黑體" w:eastAsia="微軟正黑體" w:hint="eastAsia"/>
                <w:b/>
                <w:sz w:val="24"/>
              </w:rPr>
            </w:pPr>
            <w:r>
              <w:rPr>
                <w:rFonts w:ascii="微軟正黑體" w:eastAsia="微軟正黑體" w:hint="eastAsia"/>
                <w:b/>
                <w:color w:val="231F20"/>
                <w:sz w:val="24"/>
              </w:rPr>
              <w:t>接種單位</w:t>
            </w:r>
          </w:p>
        </w:tc>
        <w:tc>
          <w:tcPr>
            <w:tcW w:w="5836" w:type="dxa"/>
            <w:vMerge/>
            <w:tcBorders>
              <w:top w:val="nil"/>
            </w:tcBorders>
            <w:shd w:val="clear" w:color="auto" w:fill="E6E7E8"/>
          </w:tcPr>
          <w:p>
            <w:pPr>
              <w:rPr>
                <w:sz w:val="2"/>
                <w:szCs w:val="2"/>
              </w:rPr>
            </w:pPr>
          </w:p>
        </w:tc>
      </w:tr>
      <w:tr>
        <w:trPr>
          <w:trHeight w:val="833" w:hRule="atLeast"/>
        </w:trPr>
        <w:tc>
          <w:tcPr>
            <w:tcW w:w="970" w:type="dxa"/>
            <w:tcBorders>
              <w:bottom w:val="nil"/>
            </w:tcBorders>
          </w:tcPr>
          <w:p>
            <w:pPr>
              <w:pStyle w:val="TableParagraph"/>
              <w:spacing w:before="6"/>
              <w:rPr>
                <w:rFonts w:ascii="微軟正黑體"/>
                <w:b/>
                <w:sz w:val="23"/>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984" w:type="dxa"/>
            <w:tcBorders>
              <w:bottom w:val="nil"/>
            </w:tcBorders>
          </w:tcPr>
          <w:p>
            <w:pPr>
              <w:pStyle w:val="TableParagraph"/>
              <w:rPr>
                <w:rFonts w:ascii="Times New Roman"/>
                <w:sz w:val="22"/>
              </w:rPr>
            </w:pPr>
          </w:p>
        </w:tc>
        <w:tc>
          <w:tcPr>
            <w:tcW w:w="913" w:type="dxa"/>
            <w:tcBorders>
              <w:bottom w:val="nil"/>
            </w:tcBorders>
          </w:tcPr>
          <w:p>
            <w:pPr>
              <w:pStyle w:val="TableParagraph"/>
              <w:rPr>
                <w:rFonts w:ascii="Times New Roman"/>
                <w:sz w:val="22"/>
              </w:rPr>
            </w:pPr>
          </w:p>
        </w:tc>
        <w:tc>
          <w:tcPr>
            <w:tcW w:w="913" w:type="dxa"/>
            <w:tcBorders>
              <w:bottom w:val="nil"/>
            </w:tcBorders>
          </w:tcPr>
          <w:p>
            <w:pPr>
              <w:pStyle w:val="TableParagraph"/>
              <w:rPr>
                <w:rFonts w:ascii="Times New Roman"/>
                <w:sz w:val="22"/>
              </w:rPr>
            </w:pPr>
          </w:p>
        </w:tc>
        <w:tc>
          <w:tcPr>
            <w:tcW w:w="5836" w:type="dxa"/>
            <w:vMerge w:val="restart"/>
          </w:tcPr>
          <w:p>
            <w:pPr>
              <w:pStyle w:val="TableParagraph"/>
              <w:numPr>
                <w:ilvl w:val="0"/>
                <w:numId w:val="62"/>
              </w:numPr>
              <w:tabs>
                <w:tab w:pos="360" w:val="left" w:leader="none"/>
              </w:tabs>
              <w:spacing w:line="407" w:lineRule="exact" w:before="0" w:after="0"/>
              <w:ind w:left="359" w:right="0" w:hanging="245"/>
              <w:jc w:val="left"/>
              <w:rPr>
                <w:sz w:val="24"/>
              </w:rPr>
            </w:pPr>
            <w:r>
              <w:rPr>
                <w:color w:val="231F20"/>
                <w:sz w:val="24"/>
              </w:rPr>
              <w:t>配置卡介苗</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採購供應 ( 疫苗中心 )</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繳交疫苗分攤款</w:t>
            </w:r>
          </w:p>
          <w:p>
            <w:pPr>
              <w:pStyle w:val="TableParagraph"/>
              <w:spacing w:line="230" w:lineRule="auto" w:before="7"/>
              <w:ind w:left="608" w:right="93" w:hanging="340"/>
              <w:rPr>
                <w:sz w:val="24"/>
              </w:rPr>
            </w:pPr>
            <w:r>
              <w:rPr>
                <w:rFonts w:ascii="Wingdings" w:hAnsi="Wingdings" w:eastAsia="Wingdings"/>
                <w:color w:val="231F20"/>
                <w:w w:val="155"/>
                <w:sz w:val="24"/>
              </w:rPr>
              <w:t>令</w:t>
            </w:r>
            <w:r>
              <w:rPr>
                <w:rFonts w:ascii="Times New Roman" w:hAnsi="Times New Roman" w:eastAsia="Times New Roman"/>
                <w:color w:val="231F20"/>
                <w:w w:val="155"/>
                <w:sz w:val="24"/>
              </w:rPr>
              <w:t> </w:t>
            </w:r>
            <w:r>
              <w:rPr>
                <w:color w:val="231F20"/>
                <w:spacing w:val="-3"/>
                <w:w w:val="105"/>
                <w:sz w:val="24"/>
              </w:rPr>
              <w:t>依撥發及耗用情形，每月 </w:t>
            </w:r>
            <w:r>
              <w:rPr>
                <w:color w:val="231F20"/>
                <w:w w:val="105"/>
                <w:sz w:val="24"/>
              </w:rPr>
              <w:t>15</w:t>
            </w:r>
            <w:r>
              <w:rPr>
                <w:color w:val="231F20"/>
                <w:spacing w:val="-12"/>
                <w:w w:val="105"/>
                <w:sz w:val="24"/>
              </w:rPr>
              <w:t> 日前完成 </w:t>
            </w:r>
            <w:r>
              <w:rPr>
                <w:color w:val="231F20"/>
                <w:w w:val="105"/>
                <w:sz w:val="24"/>
              </w:rPr>
              <w:t>NIIS</w:t>
            </w:r>
            <w:r>
              <w:rPr>
                <w:color w:val="231F20"/>
                <w:spacing w:val="-17"/>
                <w:w w:val="105"/>
                <w:sz w:val="24"/>
              </w:rPr>
              <w:t> 填</w:t>
            </w:r>
            <w:r>
              <w:rPr>
                <w:color w:val="231F20"/>
                <w:spacing w:val="-218"/>
                <w:w w:val="105"/>
                <w:sz w:val="24"/>
              </w:rPr>
              <w:t>報</w:t>
            </w:r>
            <w:r>
              <w:rPr>
                <w:color w:val="231F20"/>
                <w:w w:val="105"/>
                <w:sz w:val="24"/>
              </w:rPr>
              <w:t>作業</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撥發、使用及消耗管理</w:t>
            </w:r>
          </w:p>
          <w:p>
            <w:pPr>
              <w:pStyle w:val="TableParagraph"/>
              <w:numPr>
                <w:ilvl w:val="0"/>
                <w:numId w:val="62"/>
              </w:numPr>
              <w:tabs>
                <w:tab w:pos="360" w:val="left" w:leader="none"/>
              </w:tabs>
              <w:spacing w:line="410" w:lineRule="exact" w:before="0" w:after="0"/>
              <w:ind w:left="359" w:right="0" w:hanging="245"/>
              <w:jc w:val="left"/>
              <w:rPr>
                <w:sz w:val="24"/>
              </w:rPr>
            </w:pPr>
            <w:r>
              <w:rPr>
                <w:color w:val="231F20"/>
                <w:sz w:val="24"/>
              </w:rPr>
              <w:t>配置專用空針</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採購供應</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撥發、使用及消耗管理</w:t>
            </w:r>
          </w:p>
          <w:p>
            <w:pPr>
              <w:pStyle w:val="TableParagraph"/>
              <w:numPr>
                <w:ilvl w:val="0"/>
                <w:numId w:val="62"/>
              </w:numPr>
              <w:tabs>
                <w:tab w:pos="360" w:val="left" w:leader="none"/>
              </w:tabs>
              <w:spacing w:line="410" w:lineRule="exact" w:before="0" w:after="0"/>
              <w:ind w:left="359" w:right="0" w:hanging="245"/>
              <w:jc w:val="left"/>
              <w:rPr>
                <w:sz w:val="24"/>
              </w:rPr>
            </w:pPr>
            <w:r>
              <w:rPr>
                <w:color w:val="231F20"/>
                <w:sz w:val="24"/>
              </w:rPr>
              <w:t>人員訓練及查核</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spacing w:val="-8"/>
                <w:w w:val="105"/>
                <w:sz w:val="24"/>
              </w:rPr>
              <w:t>辦理初訓練及接種人才料庫管理 ( 地方衛生局 )</w:t>
            </w:r>
          </w:p>
          <w:p>
            <w:pPr>
              <w:pStyle w:val="TableParagraph"/>
              <w:spacing w:line="230" w:lineRule="auto" w:before="8"/>
              <w:ind w:left="608" w:right="90" w:hanging="340"/>
              <w:rPr>
                <w:sz w:val="24"/>
              </w:rPr>
            </w:pPr>
            <w:r>
              <w:rPr>
                <w:rFonts w:ascii="Wingdings" w:hAnsi="Wingdings" w:eastAsia="Wingdings"/>
                <w:color w:val="231F20"/>
                <w:w w:val="110"/>
                <w:sz w:val="24"/>
              </w:rPr>
              <w:t>令</w:t>
            </w:r>
            <w:r>
              <w:rPr>
                <w:rFonts w:ascii="Times New Roman" w:hAnsi="Times New Roman" w:eastAsia="Times New Roman"/>
                <w:color w:val="231F20"/>
                <w:w w:val="110"/>
                <w:sz w:val="24"/>
              </w:rPr>
              <w:t> </w:t>
            </w:r>
            <w:r>
              <w:rPr>
                <w:color w:val="231F20"/>
                <w:spacing w:val="2"/>
                <w:w w:val="105"/>
                <w:sz w:val="24"/>
              </w:rPr>
              <w:t>技術評價、種子師資訓練、師資技術統合訓練</w:t>
            </w:r>
            <w:r>
              <w:rPr>
                <w:color w:val="231F20"/>
                <w:spacing w:val="-223"/>
                <w:w w:val="105"/>
                <w:sz w:val="24"/>
              </w:rPr>
              <w:t>及</w:t>
            </w:r>
            <w:r>
              <w:rPr>
                <w:color w:val="231F20"/>
                <w:w w:val="105"/>
                <w:sz w:val="24"/>
              </w:rPr>
              <w:t>外部查核作業</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辦理卡介苗接種暨結核菌素測驗內部查核作業</w:t>
            </w:r>
          </w:p>
          <w:p>
            <w:pPr>
              <w:pStyle w:val="TableParagraph"/>
              <w:numPr>
                <w:ilvl w:val="0"/>
                <w:numId w:val="62"/>
              </w:numPr>
              <w:tabs>
                <w:tab w:pos="360" w:val="left" w:leader="none"/>
              </w:tabs>
              <w:spacing w:line="410" w:lineRule="exact" w:before="0" w:after="0"/>
              <w:ind w:left="359" w:right="0" w:hanging="245"/>
              <w:jc w:val="left"/>
              <w:rPr>
                <w:sz w:val="24"/>
              </w:rPr>
            </w:pPr>
            <w:r>
              <w:rPr>
                <w:color w:val="231F20"/>
                <w:sz w:val="24"/>
              </w:rPr>
              <w:t>卡介苗接種</w:t>
            </w:r>
          </w:p>
          <w:p>
            <w:pPr>
              <w:pStyle w:val="TableParagraph"/>
              <w:spacing w:line="235" w:lineRule="auto" w:before="2"/>
              <w:ind w:left="268" w:right="1612"/>
              <w:jc w:val="both"/>
              <w:rPr>
                <w:sz w:val="24"/>
              </w:rPr>
            </w:pPr>
            <w:r>
              <w:rPr>
                <w:rFonts w:ascii="Wingdings" w:hAnsi="Wingdings" w:eastAsia="Wingdings"/>
                <w:color w:val="231F20"/>
                <w:w w:val="105"/>
                <w:sz w:val="24"/>
              </w:rPr>
              <w:t>令</w:t>
            </w:r>
            <w:r>
              <w:rPr>
                <w:rFonts w:ascii="Times New Roman" w:hAnsi="Times New Roman" w:eastAsia="Times New Roman"/>
                <w:color w:val="231F20"/>
                <w:spacing w:val="59"/>
                <w:w w:val="105"/>
                <w:sz w:val="24"/>
              </w:rPr>
              <w:t> </w:t>
            </w:r>
            <w:r>
              <w:rPr>
                <w:color w:val="231F20"/>
                <w:w w:val="105"/>
                <w:sz w:val="24"/>
              </w:rPr>
              <w:t>知情同意：卡介苗接種敬告家長</w:t>
            </w:r>
            <w:r>
              <w:rPr>
                <w:color w:val="231F20"/>
                <w:spacing w:val="-233"/>
                <w:w w:val="105"/>
                <w:sz w:val="24"/>
              </w:rPr>
              <w:t>書</w:t>
            </w:r>
            <w:r>
              <w:rPr>
                <w:rFonts w:ascii="Wingdings" w:hAnsi="Wingdings" w:eastAsia="Wingdings"/>
                <w:color w:val="231F20"/>
                <w:w w:val="105"/>
                <w:sz w:val="24"/>
              </w:rPr>
              <w:t>令</w:t>
            </w:r>
            <w:r>
              <w:rPr>
                <w:rFonts w:ascii="Times New Roman" w:hAnsi="Times New Roman" w:eastAsia="Times New Roman"/>
                <w:color w:val="231F20"/>
                <w:spacing w:val="59"/>
                <w:w w:val="105"/>
                <w:sz w:val="24"/>
              </w:rPr>
              <w:t> </w:t>
            </w:r>
            <w:r>
              <w:rPr>
                <w:color w:val="231F20"/>
                <w:w w:val="105"/>
                <w:sz w:val="24"/>
              </w:rPr>
              <w:t>執行疫苗準備前置作業及接種程</w:t>
            </w:r>
            <w:r>
              <w:rPr>
                <w:color w:val="231F20"/>
                <w:spacing w:val="-233"/>
                <w:w w:val="105"/>
                <w:sz w:val="24"/>
              </w:rPr>
              <w:t>序</w:t>
            </w:r>
            <w:r>
              <w:rPr>
                <w:rFonts w:ascii="Wingdings" w:hAnsi="Wingdings" w:eastAsia="Wingdings"/>
                <w:color w:val="231F20"/>
                <w:w w:val="160"/>
                <w:sz w:val="24"/>
              </w:rPr>
              <w:t>令</w:t>
            </w:r>
            <w:r>
              <w:rPr>
                <w:rFonts w:ascii="Times New Roman" w:hAnsi="Times New Roman" w:eastAsia="Times New Roman"/>
                <w:color w:val="231F20"/>
                <w:spacing w:val="-54"/>
                <w:w w:val="160"/>
                <w:sz w:val="24"/>
              </w:rPr>
              <w:t> </w:t>
            </w:r>
            <w:r>
              <w:rPr>
                <w:color w:val="231F20"/>
                <w:w w:val="110"/>
                <w:sz w:val="24"/>
              </w:rPr>
              <w:t>國\＿年級學童卡介苗接種工作</w:t>
            </w:r>
          </w:p>
          <w:p>
            <w:pPr>
              <w:pStyle w:val="TableParagraph"/>
              <w:spacing w:line="410" w:lineRule="exact"/>
              <w:ind w:left="268"/>
              <w:rPr>
                <w:sz w:val="24"/>
              </w:rPr>
            </w:pPr>
            <w:r>
              <w:rPr>
                <w:rFonts w:ascii="Wingdings" w:hAnsi="Wingdings" w:eastAsia="Wingdings"/>
                <w:color w:val="231F20"/>
                <w:w w:val="155"/>
                <w:sz w:val="24"/>
              </w:rPr>
              <w:t>令</w:t>
            </w:r>
            <w:r>
              <w:rPr>
                <w:rFonts w:ascii="Times New Roman" w:hAnsi="Times New Roman" w:eastAsia="Times New Roman"/>
                <w:color w:val="231F20"/>
                <w:w w:val="155"/>
                <w:sz w:val="24"/>
              </w:rPr>
              <w:t> </w:t>
            </w:r>
            <w:r>
              <w:rPr>
                <w:color w:val="231F20"/>
                <w:w w:val="105"/>
                <w:sz w:val="24"/>
              </w:rPr>
              <w:t>查詢「預防接種時程及紀錄表」或 NIIS</w:t>
            </w:r>
          </w:p>
          <w:p>
            <w:pPr>
              <w:pStyle w:val="TableParagraph"/>
              <w:spacing w:line="230" w:lineRule="auto" w:before="7"/>
              <w:ind w:left="608" w:right="46" w:hanging="340"/>
              <w:rPr>
                <w:sz w:val="24"/>
              </w:rPr>
            </w:pPr>
            <w:r>
              <w:rPr>
                <w:rFonts w:ascii="Wingdings" w:hAnsi="Wingdings" w:eastAsia="Wingdings"/>
                <w:color w:val="231F20"/>
                <w:w w:val="110"/>
                <w:sz w:val="24"/>
              </w:rPr>
              <w:t>令</w:t>
            </w:r>
            <w:r>
              <w:rPr>
                <w:rFonts w:ascii="Times New Roman" w:hAnsi="Times New Roman" w:eastAsia="Times New Roman"/>
                <w:color w:val="231F20"/>
                <w:w w:val="110"/>
                <w:sz w:val="24"/>
              </w:rPr>
              <w:t> </w:t>
            </w:r>
            <w:r>
              <w:rPr>
                <w:color w:val="231F20"/>
                <w:spacing w:val="3"/>
                <w:w w:val="105"/>
                <w:sz w:val="24"/>
              </w:rPr>
              <w:t>衛教家長可依兒童最大利益選擇是否補接種卡</w:t>
            </w:r>
            <w:r>
              <w:rPr>
                <w:color w:val="231F20"/>
                <w:spacing w:val="-211"/>
                <w:w w:val="105"/>
                <w:sz w:val="24"/>
              </w:rPr>
              <w:t>介</w:t>
            </w:r>
            <w:r>
              <w:rPr>
                <w:color w:val="231F20"/>
                <w:w w:val="105"/>
                <w:sz w:val="24"/>
              </w:rPr>
              <w:t>苗</w:t>
            </w:r>
          </w:p>
          <w:p>
            <w:pPr>
              <w:pStyle w:val="TableParagraph"/>
              <w:numPr>
                <w:ilvl w:val="0"/>
                <w:numId w:val="62"/>
              </w:numPr>
              <w:tabs>
                <w:tab w:pos="360" w:val="left" w:leader="none"/>
              </w:tabs>
              <w:spacing w:line="410" w:lineRule="exact" w:before="0" w:after="0"/>
              <w:ind w:left="359" w:right="0" w:hanging="245"/>
              <w:jc w:val="left"/>
              <w:rPr>
                <w:sz w:val="24"/>
              </w:rPr>
            </w:pPr>
            <w:r>
              <w:rPr>
                <w:color w:val="231F20"/>
                <w:sz w:val="24"/>
              </w:rPr>
              <w:t>工作程序檢核</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卡介苗接種作業</w:t>
            </w:r>
          </w:p>
          <w:p>
            <w:pPr>
              <w:pStyle w:val="TableParagraph"/>
              <w:spacing w:line="414"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結核菌素測驗</w:t>
            </w:r>
          </w:p>
        </w:tc>
      </w:tr>
      <w:tr>
        <w:trPr>
          <w:trHeight w:val="394"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line="327" w:lineRule="exact"/>
              <w:ind w:left="17"/>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836" w:type="dxa"/>
            <w:vMerge/>
            <w:tcBorders>
              <w:top w:val="nil"/>
            </w:tcBorders>
          </w:tcPr>
          <w:p>
            <w:pPr>
              <w:rPr>
                <w:sz w:val="2"/>
                <w:szCs w:val="2"/>
              </w:rPr>
            </w:pPr>
          </w:p>
        </w:tc>
      </w:tr>
      <w:tr>
        <w:trPr>
          <w:trHeight w:val="594" w:hRule="atLeast"/>
        </w:trPr>
        <w:tc>
          <w:tcPr>
            <w:tcW w:w="970" w:type="dxa"/>
            <w:tcBorders>
              <w:top w:val="nil"/>
              <w:bottom w:val="nil"/>
            </w:tcBorders>
          </w:tcPr>
          <w:p>
            <w:pPr>
              <w:pStyle w:val="TableParagraph"/>
              <w:spacing w:line="327" w:lineRule="exact"/>
              <w:ind w:left="14"/>
              <w:jc w:val="center"/>
              <w:rPr>
                <w:rFonts w:ascii="新細明體" w:eastAsia="新細明體" w:hint="eastAsia"/>
                <w:sz w:val="24"/>
              </w:rPr>
            </w:pPr>
            <w:r>
              <w:rPr>
                <w:rFonts w:ascii="新細明體" w:eastAsia="新細明體" w:hint="eastAsia"/>
                <w:color w:val="231F20"/>
                <w:sz w:val="24"/>
              </w:rPr>
              <w:t>口</w:t>
            </w: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line="327" w:lineRule="exact"/>
              <w:ind w:left="17"/>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spacing w:line="327" w:lineRule="exact"/>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799"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before="191"/>
              <w:ind w:left="17"/>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spacing w:before="191"/>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599" w:hRule="atLeast"/>
        </w:trPr>
        <w:tc>
          <w:tcPr>
            <w:tcW w:w="970" w:type="dxa"/>
            <w:tcBorders>
              <w:top w:val="nil"/>
              <w:bottom w:val="nil"/>
            </w:tcBorders>
          </w:tcPr>
          <w:p>
            <w:pPr>
              <w:pStyle w:val="TableParagraph"/>
              <w:spacing w:before="196"/>
              <w:ind w:left="14"/>
              <w:jc w:val="center"/>
              <w:rPr>
                <w:rFonts w:ascii="新細明體" w:eastAsia="新細明體" w:hint="eastAsia"/>
                <w:sz w:val="24"/>
              </w:rPr>
            </w:pPr>
            <w:r>
              <w:rPr>
                <w:rFonts w:ascii="新細明體" w:eastAsia="新細明體" w:hint="eastAsia"/>
                <w:color w:val="231F20"/>
                <w:sz w:val="24"/>
              </w:rPr>
              <w:t>口</w:t>
            </w: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5836" w:type="dxa"/>
            <w:vMerge/>
            <w:tcBorders>
              <w:top w:val="nil"/>
            </w:tcBorders>
          </w:tcPr>
          <w:p>
            <w:pPr>
              <w:rPr>
                <w:sz w:val="2"/>
                <w:szCs w:val="2"/>
              </w:rPr>
            </w:pPr>
          </w:p>
        </w:tc>
      </w:tr>
      <w:tr>
        <w:trPr>
          <w:trHeight w:val="599"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line="327" w:lineRule="exact"/>
              <w:ind w:left="17"/>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spacing w:line="327" w:lineRule="exact"/>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599"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before="196"/>
              <w:ind w:left="17"/>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spacing w:before="196"/>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594" w:hRule="atLeast"/>
        </w:trPr>
        <w:tc>
          <w:tcPr>
            <w:tcW w:w="970" w:type="dxa"/>
            <w:tcBorders>
              <w:top w:val="nil"/>
              <w:bottom w:val="nil"/>
            </w:tcBorders>
          </w:tcPr>
          <w:p>
            <w:pPr>
              <w:pStyle w:val="TableParagraph"/>
              <w:spacing w:line="327" w:lineRule="exact"/>
              <w:ind w:left="14"/>
              <w:jc w:val="center"/>
              <w:rPr>
                <w:rFonts w:ascii="新細明體" w:eastAsia="新細明體" w:hint="eastAsia"/>
                <w:sz w:val="24"/>
              </w:rPr>
            </w:pPr>
            <w:r>
              <w:rPr>
                <w:rFonts w:ascii="新細明體" w:eastAsia="新細明體" w:hint="eastAsia"/>
                <w:color w:val="231F20"/>
                <w:sz w:val="24"/>
              </w:rPr>
              <w:t>口</w:t>
            </w: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5836" w:type="dxa"/>
            <w:vMerge/>
            <w:tcBorders>
              <w:top w:val="nil"/>
            </w:tcBorders>
          </w:tcPr>
          <w:p>
            <w:pPr>
              <w:rPr>
                <w:sz w:val="2"/>
                <w:szCs w:val="2"/>
              </w:rPr>
            </w:pPr>
          </w:p>
        </w:tc>
      </w:tr>
      <w:tr>
        <w:trPr>
          <w:trHeight w:val="594"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before="191"/>
              <w:ind w:left="17"/>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836"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line="327" w:lineRule="exact"/>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line="327" w:lineRule="exact"/>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line="327" w:lineRule="exact"/>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line="327" w:lineRule="exact"/>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799" w:hRule="atLeast"/>
        </w:trPr>
        <w:tc>
          <w:tcPr>
            <w:tcW w:w="970" w:type="dxa"/>
            <w:tcBorders>
              <w:top w:val="nil"/>
              <w:bottom w:val="nil"/>
            </w:tcBorders>
          </w:tcPr>
          <w:p>
            <w:pPr>
              <w:pStyle w:val="TableParagraph"/>
              <w:rPr>
                <w:rFonts w:ascii="Times New Roman"/>
                <w:sz w:val="22"/>
              </w:rPr>
            </w:pPr>
          </w:p>
        </w:tc>
        <w:tc>
          <w:tcPr>
            <w:tcW w:w="984"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spacing w:line="327" w:lineRule="exact"/>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r>
        <w:trPr>
          <w:trHeight w:val="1647" w:hRule="atLeast"/>
        </w:trPr>
        <w:tc>
          <w:tcPr>
            <w:tcW w:w="970" w:type="dxa"/>
            <w:tcBorders>
              <w:top w:val="nil"/>
            </w:tcBorders>
          </w:tcPr>
          <w:p>
            <w:pPr>
              <w:pStyle w:val="TableParagraph"/>
              <w:spacing w:before="9"/>
              <w:rPr>
                <w:rFonts w:ascii="微軟正黑體"/>
                <w:b/>
                <w:sz w:val="21"/>
              </w:rPr>
            </w:pPr>
          </w:p>
          <w:p>
            <w:pPr>
              <w:pStyle w:val="TableParagraph"/>
              <w:spacing w:before="1"/>
              <w:ind w:left="14"/>
              <w:jc w:val="center"/>
              <w:rPr>
                <w:rFonts w:ascii="新細明體" w:eastAsia="新細明體" w:hint="eastAsia"/>
                <w:sz w:val="24"/>
              </w:rPr>
            </w:pPr>
            <w:r>
              <w:rPr>
                <w:rFonts w:ascii="新細明體" w:eastAsia="新細明體" w:hint="eastAsia"/>
                <w:color w:val="231F20"/>
                <w:sz w:val="24"/>
              </w:rPr>
              <w:t>口</w:t>
            </w:r>
          </w:p>
        </w:tc>
        <w:tc>
          <w:tcPr>
            <w:tcW w:w="984" w:type="dxa"/>
            <w:tcBorders>
              <w:top w:val="nil"/>
            </w:tcBorders>
          </w:tcPr>
          <w:p>
            <w:pPr>
              <w:pStyle w:val="TableParagraph"/>
              <w:spacing w:before="9"/>
              <w:rPr>
                <w:rFonts w:ascii="微軟正黑體"/>
                <w:b/>
                <w:sz w:val="21"/>
              </w:rPr>
            </w:pPr>
          </w:p>
          <w:p>
            <w:pPr>
              <w:pStyle w:val="TableParagraph"/>
              <w:spacing w:before="1"/>
              <w:ind w:left="15"/>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tcBorders>
          </w:tcPr>
          <w:p>
            <w:pPr>
              <w:pStyle w:val="TableParagraph"/>
              <w:spacing w:before="9"/>
              <w:rPr>
                <w:rFonts w:ascii="微軟正黑體"/>
                <w:b/>
                <w:sz w:val="21"/>
              </w:rPr>
            </w:pPr>
          </w:p>
          <w:p>
            <w:pPr>
              <w:pStyle w:val="TableParagraph"/>
              <w:spacing w:before="1"/>
              <w:ind w:left="17"/>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tcBorders>
          </w:tcPr>
          <w:p>
            <w:pPr>
              <w:pStyle w:val="TableParagraph"/>
              <w:spacing w:before="9"/>
              <w:rPr>
                <w:rFonts w:ascii="微軟正黑體"/>
                <w:b/>
                <w:sz w:val="21"/>
              </w:rPr>
            </w:pPr>
          </w:p>
          <w:p>
            <w:pPr>
              <w:pStyle w:val="TableParagraph"/>
              <w:spacing w:before="1"/>
              <w:ind w:left="338"/>
              <w:rPr>
                <w:rFonts w:ascii="新細明體" w:eastAsia="新細明體" w:hint="eastAsia"/>
                <w:sz w:val="24"/>
              </w:rPr>
            </w:pPr>
            <w:r>
              <w:rPr>
                <w:rFonts w:ascii="新細明體" w:eastAsia="新細明體" w:hint="eastAsia"/>
                <w:color w:val="231F20"/>
                <w:sz w:val="24"/>
              </w:rPr>
              <w:t>口</w:t>
            </w:r>
          </w:p>
        </w:tc>
        <w:tc>
          <w:tcPr>
            <w:tcW w:w="5836" w:type="dxa"/>
            <w:vMerge/>
            <w:tcBorders>
              <w:top w:val="nil"/>
            </w:tcBorders>
          </w:tcPr>
          <w:p>
            <w:pPr>
              <w:rPr>
                <w:sz w:val="2"/>
                <w:szCs w:val="2"/>
              </w:rPr>
            </w:pPr>
          </w:p>
        </w:tc>
      </w:tr>
    </w:tbl>
    <w:p>
      <w:pPr>
        <w:spacing w:after="0"/>
        <w:rPr>
          <w:sz w:val="2"/>
          <w:szCs w:val="2"/>
        </w:rPr>
        <w:sectPr>
          <w:pgSz w:w="11910" w:h="16840"/>
          <w:pgMar w:top="1060" w:bottom="0" w:left="980" w:right="0"/>
        </w:sectPr>
      </w:pPr>
    </w:p>
    <w:p>
      <w:pPr>
        <w:pStyle w:val="BodyText"/>
        <w:spacing w:before="16"/>
        <w:rPr>
          <w:rFonts w:ascii="微軟正黑體"/>
          <w:b/>
          <w:sz w:val="10"/>
        </w:rPr>
      </w:pPr>
      <w:r>
        <w:rPr/>
        <w:pict>
          <v:group style="position:absolute;margin-left:-.000001pt;margin-top:124.149002pt;width:37.35pt;height:717.55pt;mso-position-horizontal-relative:page;mso-position-vertical-relative:page;z-index:251720704" coordorigin="0,2483" coordsize="747,14351">
            <v:shape style="position:absolute;left:178;top:2994;width:439;height:13840" type="#_x0000_t75" stroked="false">
              <v:imagedata r:id="rId31" o:title=""/>
            </v:shape>
            <v:shape style="position:absolute;left:0;top:2482;width:747;height:812" coordorigin="0,2483" coordsize="747,812" path="m365,2483l0,2483,0,3294,365,3294,387,3292,447,3258,713,2976,747,2889,738,2842,447,2519,387,2485,365,2483xe" filled="true" fillcolor="#5daf8a" stroked="false">
              <v:path arrowok="t"/>
              <v:fill type="solid"/>
            </v:shape>
            <v:shape style="position:absolute;left:202;top:2750;width:398;height:278" type="#_x0000_t75" stroked="false">
              <v:imagedata r:id="rId39" o:title=""/>
            </v:shape>
            <v:shape style="position:absolute;left:273;top:3433;width:252;height:2260" type="#_x0000_t75" stroked="false">
              <v:imagedata r:id="rId33"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34</w:t>
                    </w:r>
                  </w:p>
                </w:txbxContent>
              </v:textbox>
              <w10:wrap type="none"/>
            </v:shape>
            <w10:wrap type="none"/>
          </v:group>
        </w:pict>
      </w:r>
    </w:p>
    <w:p>
      <w:pPr>
        <w:spacing w:after="0"/>
        <w:rPr>
          <w:rFonts w:ascii="微軟正黑體"/>
          <w:sz w:val="10"/>
        </w:rPr>
        <w:sectPr>
          <w:pgSz w:w="11910" w:h="16840"/>
          <w:pgMar w:top="1600" w:bottom="0" w:left="980" w:right="0"/>
        </w:sectPr>
      </w:pPr>
    </w:p>
    <w:p>
      <w:pPr>
        <w:pStyle w:val="Heading1"/>
        <w:ind w:left="3011"/>
      </w:pPr>
      <w:bookmarkStart w:name="_TOC_250003" w:id="2"/>
      <w:bookmarkEnd w:id="2"/>
      <w:r>
        <w:rPr>
          <w:color w:val="231F20"/>
        </w:rPr>
        <w:t>第五章 結核病個案通報登記</w:t>
      </w:r>
    </w:p>
    <w:p>
      <w:pPr>
        <w:pStyle w:val="BodyText"/>
        <w:spacing w:before="10"/>
        <w:rPr>
          <w:rFonts w:ascii="微軟正黑體"/>
          <w:b/>
          <w:sz w:val="15"/>
        </w:rPr>
      </w:pPr>
    </w:p>
    <w:p>
      <w:pPr>
        <w:spacing w:before="78"/>
        <w:ind w:left="0" w:right="1134" w:firstLine="0"/>
        <w:jc w:val="right"/>
        <w:rPr>
          <w:sz w:val="18"/>
        </w:rPr>
      </w:pPr>
      <w:r>
        <w:rPr>
          <w:color w:val="231F20"/>
          <w:sz w:val="18"/>
        </w:rPr>
        <w:t>111 年4月 15 日修訂</w:t>
      </w:r>
    </w:p>
    <w:p>
      <w:pPr>
        <w:pStyle w:val="Heading2"/>
        <w:spacing w:before="6"/>
      </w:pPr>
      <w:r>
        <w:rPr>
          <w:color w:val="231F20"/>
        </w:rPr>
        <w:t>壹、目的</w:t>
      </w:r>
    </w:p>
    <w:p>
      <w:pPr>
        <w:pStyle w:val="BodyText"/>
        <w:spacing w:line="413" w:lineRule="exact"/>
        <w:ind w:left="635"/>
      </w:pPr>
      <w:r>
        <w:rPr/>
        <w:pict>
          <v:group style="position:absolute;margin-left:557.686523pt;margin-top:13.100309pt;width:37.35pt;height:690.55pt;mso-position-horizontal-relative:page;mso-position-vertical-relative:paragraph;z-index:251722752" coordorigin="11154,262" coordsize="747,13811">
            <v:shape style="position:absolute;left:11283;top:773;width:439;height:13300" type="#_x0000_t75" stroked="false">
              <v:imagedata r:id="rId40" o:title=""/>
            </v:shape>
            <v:shape style="position:absolute;left:11153;top:262;width:747;height:812" coordorigin="11154,262" coordsize="747,812" path="m11900,262l11536,262,11514,264,11454,298,11188,580,11154,668,11162,714,11454,1037,11514,1071,11536,1073,11900,1073,11900,262xe" filled="true" fillcolor="#f37b7d" stroked="false">
              <v:path arrowok="t"/>
              <v:fill type="solid"/>
            </v:shape>
            <v:shape style="position:absolute;left:11307;top:529;width:395;height:278" type="#_x0000_t75" stroked="false">
              <v:imagedata r:id="rId41" o:title=""/>
            </v:shape>
            <v:shape style="position:absolute;left:11378;top:1208;width:251;height:2935" type="#_x0000_t75" stroked="false">
              <v:imagedata r:id="rId42" o:title=""/>
            </v:shape>
            <v:shape style="position:absolute;left:11412;top:13510;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35</w:t>
                    </w:r>
                  </w:p>
                </w:txbxContent>
              </v:textbox>
              <w10:wrap type="none"/>
            </v:shape>
            <w10:wrap type="none"/>
          </v:group>
        </w:pict>
      </w:r>
      <w:r>
        <w:rPr>
          <w:color w:val="231F20"/>
        </w:rPr>
        <w:t>加強結核病監測口質，及時啟動相關防疫作為，提供個案必要協助。</w:t>
      </w:r>
    </w:p>
    <w:p>
      <w:pPr>
        <w:pStyle w:val="BodyText"/>
        <w:spacing w:before="17"/>
        <w:rPr>
          <w:sz w:val="19"/>
        </w:rPr>
      </w:pPr>
    </w:p>
    <w:p>
      <w:pPr>
        <w:pStyle w:val="Heading2"/>
      </w:pPr>
      <w:r>
        <w:rPr>
          <w:color w:val="231F20"/>
        </w:rPr>
        <w:t>貳、依據</w:t>
      </w:r>
    </w:p>
    <w:p>
      <w:pPr>
        <w:pStyle w:val="BodyText"/>
        <w:spacing w:line="413" w:lineRule="exact"/>
        <w:ind w:left="635"/>
      </w:pPr>
      <w:r>
        <w:rPr>
          <w:color w:val="231F20"/>
        </w:rPr>
        <w:t>傳染防治法第 3 條、第 39 條、第 40 條、第 64 條及第 65 條。</w:t>
      </w:r>
    </w:p>
    <w:p>
      <w:pPr>
        <w:pStyle w:val="BodyText"/>
        <w:spacing w:before="12"/>
        <w:rPr>
          <w:sz w:val="17"/>
        </w:rPr>
      </w:pPr>
    </w:p>
    <w:p>
      <w:pPr>
        <w:pStyle w:val="Heading2"/>
        <w:spacing w:before="39"/>
      </w:pPr>
      <w:r>
        <w:rPr>
          <w:color w:val="231F20"/>
        </w:rPr>
        <w:t>參、通報及登記時限</w:t>
      </w:r>
    </w:p>
    <w:p>
      <w:pPr>
        <w:pStyle w:val="BodyText"/>
        <w:spacing w:line="404" w:lineRule="exact"/>
        <w:ind w:left="1116"/>
      </w:pPr>
      <w:r>
        <w:rPr>
          <w:color w:val="231F20"/>
          <w:w w:val="110"/>
        </w:rPr>
        <w:t>多重抗藥性結核病(第—類法定傳染病)應於 24 \時內完成通報，結核病(第二</w:t>
      </w:r>
    </w:p>
    <w:p>
      <w:pPr>
        <w:pStyle w:val="BodyText"/>
        <w:spacing w:line="409" w:lineRule="exact"/>
        <w:ind w:left="635"/>
      </w:pPr>
      <w:r>
        <w:rPr>
          <w:color w:val="231F20"/>
        </w:rPr>
        <w:t>類法定傳染病)應於 1 週內完成通報，登記作業皆應於 1 個工作日內完成。</w:t>
      </w:r>
    </w:p>
    <w:p>
      <w:pPr>
        <w:pStyle w:val="BodyText"/>
        <w:spacing w:before="16"/>
        <w:rPr>
          <w:sz w:val="19"/>
        </w:rPr>
      </w:pPr>
    </w:p>
    <w:p>
      <w:pPr>
        <w:pStyle w:val="Heading2"/>
        <w:spacing w:before="1"/>
      </w:pPr>
      <w:r>
        <w:rPr>
          <w:color w:val="231F20"/>
        </w:rPr>
        <w:t>肆、通報及病例定義</w:t>
      </w:r>
    </w:p>
    <w:p>
      <w:pPr>
        <w:pStyle w:val="BodyText"/>
        <w:spacing w:line="230" w:lineRule="auto" w:before="6"/>
        <w:ind w:left="635" w:right="1135" w:firstLine="481"/>
      </w:pPr>
      <w:r>
        <w:rPr>
          <w:color w:val="231F20"/>
        </w:rPr>
        <w:t>公告於疾管署全球資訊網：</w:t>
      </w:r>
      <w:r>
        <w:rPr>
          <w:color w:val="231F20"/>
          <w:u w:val="single" w:color="231F20"/>
        </w:rPr>
        <w:t>傳染病與防疫專題</w:t>
      </w:r>
      <w:r>
        <w:rPr>
          <w:color w:val="231F20"/>
        </w:rPr>
        <w:t> ＞ </w:t>
      </w:r>
      <w:r>
        <w:rPr>
          <w:color w:val="231F20"/>
          <w:u w:val="single" w:color="231F20"/>
        </w:rPr>
        <w:t>傳染病病例定義及檢體送驗</w:t>
      </w:r>
      <w:r>
        <w:rPr>
          <w:color w:val="231F20"/>
        </w:rPr>
        <w:t> ＞ </w:t>
      </w:r>
      <w:r>
        <w:rPr>
          <w:color w:val="231F20"/>
          <w:u w:val="single" w:color="231F20"/>
        </w:rPr>
        <w:t>傳染病病例定義暨防疫檢體採檢送驗事項</w:t>
      </w:r>
    </w:p>
    <w:p>
      <w:pPr>
        <w:pStyle w:val="BodyText"/>
        <w:spacing w:before="3"/>
        <w:rPr>
          <w:sz w:val="20"/>
        </w:rPr>
      </w:pPr>
    </w:p>
    <w:p>
      <w:pPr>
        <w:pStyle w:val="Heading2"/>
      </w:pPr>
      <w:r>
        <w:rPr>
          <w:color w:val="231F20"/>
        </w:rPr>
        <w:t>伍、處理原則</w:t>
      </w:r>
    </w:p>
    <w:p>
      <w:pPr>
        <w:pStyle w:val="BodyText"/>
        <w:spacing w:line="404" w:lineRule="exact"/>
        <w:ind w:left="391"/>
      </w:pPr>
      <w:r>
        <w:rPr>
          <w:color w:val="231F20"/>
        </w:rPr>
        <w:t>＿、結核病個案</w:t>
      </w:r>
    </w:p>
    <w:p>
      <w:pPr>
        <w:pStyle w:val="BodyText"/>
        <w:tabs>
          <w:tab w:pos="1349" w:val="left" w:leader="none"/>
        </w:tabs>
        <w:spacing w:line="400" w:lineRule="exact"/>
        <w:ind w:left="629"/>
      </w:pPr>
      <w:r>
        <w:rPr>
          <w:color w:val="231F20"/>
          <w:spacing w:val="-5"/>
        </w:rPr>
        <w:t>( </w:t>
      </w:r>
      <w:r>
        <w:rPr>
          <w:color w:val="231F20"/>
        </w:rPr>
        <w:t>＿</w:t>
      </w:r>
      <w:r>
        <w:rPr>
          <w:color w:val="231F20"/>
          <w:spacing w:val="-4"/>
        </w:rPr>
        <w:t> )</w:t>
      </w:r>
      <w:r>
        <w:rPr>
          <w:color w:val="231F20"/>
        </w:rPr>
        <w:tab/>
        <w:t>通報方式：</w:t>
      </w:r>
    </w:p>
    <w:p>
      <w:pPr>
        <w:pStyle w:val="ListParagraph"/>
        <w:numPr>
          <w:ilvl w:val="0"/>
          <w:numId w:val="63"/>
        </w:numPr>
        <w:tabs>
          <w:tab w:pos="1349" w:val="left" w:leader="none"/>
        </w:tabs>
        <w:spacing w:line="400" w:lineRule="exact" w:before="0" w:after="0"/>
        <w:ind w:left="1348" w:right="0" w:hanging="255"/>
        <w:jc w:val="left"/>
        <w:rPr>
          <w:sz w:val="24"/>
        </w:rPr>
      </w:pPr>
      <w:r>
        <w:rPr>
          <w:color w:val="231F20"/>
          <w:spacing w:val="-1"/>
          <w:sz w:val="24"/>
        </w:rPr>
        <w:t>結核病之法定傳染病通報作業，分以下 </w:t>
      </w:r>
      <w:r>
        <w:rPr>
          <w:color w:val="231F20"/>
          <w:sz w:val="24"/>
        </w:rPr>
        <w:t>4</w:t>
      </w:r>
      <w:r>
        <w:rPr>
          <w:color w:val="231F20"/>
          <w:spacing w:val="-3"/>
          <w:sz w:val="24"/>
        </w:rPr>
        <w:t> 種方式：</w:t>
      </w:r>
    </w:p>
    <w:p>
      <w:pPr>
        <w:pStyle w:val="ListParagraph"/>
        <w:numPr>
          <w:ilvl w:val="1"/>
          <w:numId w:val="63"/>
        </w:numPr>
        <w:tabs>
          <w:tab w:pos="1593" w:val="left" w:leader="none"/>
        </w:tabs>
        <w:spacing w:line="400" w:lineRule="exact" w:before="0" w:after="0"/>
        <w:ind w:left="1592" w:right="0" w:hanging="357"/>
        <w:jc w:val="left"/>
        <w:rPr>
          <w:sz w:val="24"/>
        </w:rPr>
      </w:pPr>
      <w:r>
        <w:rPr>
          <w:color w:val="231F20"/>
          <w:w w:val="105"/>
          <w:sz w:val="24"/>
        </w:rPr>
        <w:t>自「傳染病個案通報系統(NIDRS)」採人工登打方式進行通報作業，或透過</w:t>
      </w:r>
    </w:p>
    <w:p>
      <w:pPr>
        <w:pStyle w:val="BodyText"/>
        <w:spacing w:line="400" w:lineRule="exact"/>
        <w:ind w:left="1591"/>
      </w:pPr>
      <w:r>
        <w:rPr>
          <w:color w:val="231F20"/>
        </w:rPr>
        <w:t>「健保網域免帳號通報入口」進行通報作業。</w:t>
      </w:r>
    </w:p>
    <w:p>
      <w:pPr>
        <w:pStyle w:val="ListParagraph"/>
        <w:numPr>
          <w:ilvl w:val="1"/>
          <w:numId w:val="63"/>
        </w:numPr>
        <w:tabs>
          <w:tab w:pos="1591" w:val="left" w:leader="none"/>
        </w:tabs>
        <w:spacing w:line="400" w:lineRule="exact" w:before="0" w:after="0"/>
        <w:ind w:left="1590" w:right="0" w:hanging="355"/>
        <w:jc w:val="left"/>
        <w:rPr>
          <w:sz w:val="24"/>
        </w:rPr>
      </w:pPr>
      <w:r>
        <w:rPr>
          <w:color w:val="231F20"/>
          <w:sz w:val="24"/>
        </w:rPr>
        <w:t>系統自動通報程序：</w:t>
      </w:r>
    </w:p>
    <w:p>
      <w:pPr>
        <w:pStyle w:val="ListParagraph"/>
        <w:numPr>
          <w:ilvl w:val="2"/>
          <w:numId w:val="63"/>
        </w:numPr>
        <w:tabs>
          <w:tab w:pos="1825" w:val="left" w:leader="none"/>
        </w:tabs>
        <w:spacing w:line="230" w:lineRule="auto" w:before="3" w:after="0"/>
        <w:ind w:left="1825" w:right="1132" w:hanging="284"/>
        <w:jc w:val="left"/>
        <w:rPr>
          <w:sz w:val="24"/>
        </w:rPr>
      </w:pPr>
      <w:r>
        <w:rPr>
          <w:color w:val="231F20"/>
          <w:sz w:val="24"/>
        </w:rPr>
        <w:t>103</w:t>
      </w:r>
      <w:r>
        <w:rPr>
          <w:color w:val="231F20"/>
          <w:spacing w:val="-1"/>
          <w:sz w:val="24"/>
        </w:rPr>
        <w:t> 年起醫療院所可採行「電子病歷 </w:t>
      </w:r>
      <w:r>
        <w:rPr>
          <w:color w:val="231F20"/>
          <w:sz w:val="24"/>
        </w:rPr>
        <w:t>EMR</w:t>
      </w:r>
      <w:r>
        <w:rPr>
          <w:color w:val="231F20"/>
          <w:spacing w:val="1"/>
          <w:sz w:val="24"/>
        </w:rPr>
        <w:t> 自動通報功能」將通報資料傳送</w:t>
      </w:r>
      <w:r>
        <w:rPr>
          <w:color w:val="231F20"/>
          <w:w w:val="105"/>
          <w:sz w:val="24"/>
        </w:rPr>
        <w:t>至「傳染病個案通報系統(NIDRS)」。</w:t>
      </w:r>
    </w:p>
    <w:p>
      <w:pPr>
        <w:pStyle w:val="ListParagraph"/>
        <w:numPr>
          <w:ilvl w:val="2"/>
          <w:numId w:val="63"/>
        </w:numPr>
        <w:tabs>
          <w:tab w:pos="1827" w:val="left" w:leader="none"/>
        </w:tabs>
        <w:spacing w:line="230" w:lineRule="auto" w:before="0" w:after="0"/>
        <w:ind w:left="1825" w:right="1138" w:hanging="284"/>
        <w:jc w:val="left"/>
        <w:rPr>
          <w:sz w:val="24"/>
        </w:rPr>
      </w:pPr>
      <w:r>
        <w:rPr>
          <w:color w:val="231F20"/>
          <w:sz w:val="24"/>
        </w:rPr>
        <w:t>107</w:t>
      </w:r>
      <w:r>
        <w:rPr>
          <w:color w:val="231F20"/>
          <w:spacing w:val="-1"/>
          <w:sz w:val="24"/>
        </w:rPr>
        <w:t> 年 </w:t>
      </w:r>
      <w:r>
        <w:rPr>
          <w:color w:val="231F20"/>
          <w:sz w:val="24"/>
        </w:rPr>
        <w:t>5 月起，新增「結核病認可及合約實驗室檢驗結果自動通報」作業程</w:t>
      </w:r>
      <w:r>
        <w:rPr>
          <w:color w:val="231F20"/>
          <w:spacing w:val="-1"/>
          <w:w w:val="105"/>
          <w:sz w:val="24"/>
        </w:rPr>
        <w:t>序，分為以下—個階段，相關注意事項請參閱附件 </w:t>
      </w:r>
      <w:r>
        <w:rPr>
          <w:color w:val="231F20"/>
          <w:w w:val="105"/>
          <w:sz w:val="24"/>
        </w:rPr>
        <w:t>5-1：</w:t>
      </w:r>
    </w:p>
    <w:p>
      <w:pPr>
        <w:pStyle w:val="ListParagraph"/>
        <w:numPr>
          <w:ilvl w:val="3"/>
          <w:numId w:val="63"/>
        </w:numPr>
        <w:tabs>
          <w:tab w:pos="2081" w:val="left" w:leader="none"/>
        </w:tabs>
        <w:spacing w:line="230" w:lineRule="auto" w:before="0" w:after="0"/>
        <w:ind w:left="2080" w:right="1129" w:hanging="341"/>
        <w:jc w:val="both"/>
        <w:rPr>
          <w:sz w:val="24"/>
        </w:rPr>
      </w:pPr>
      <w:r>
        <w:rPr>
          <w:color w:val="231F20"/>
          <w:sz w:val="24"/>
        </w:rPr>
        <w:t>「系統自動通報」階段：若檢驗結果為結核分枝桿菌 (MTBC</w:t>
      </w:r>
      <w:r>
        <w:rPr>
          <w:color w:val="231F20"/>
          <w:spacing w:val="-1"/>
          <w:sz w:val="24"/>
        </w:rPr>
        <w:t>)，且於傳染</w:t>
      </w:r>
      <w:r>
        <w:rPr>
          <w:color w:val="231F20"/>
          <w:sz w:val="24"/>
        </w:rPr>
        <w:t>病個案通報系統中查無通報紀錄者，系統將自動於「傳染病個案通報系統(NIDRS)」系統完成建檔作業。</w:t>
      </w:r>
    </w:p>
    <w:p>
      <w:pPr>
        <w:pStyle w:val="ListParagraph"/>
        <w:numPr>
          <w:ilvl w:val="3"/>
          <w:numId w:val="63"/>
        </w:numPr>
        <w:tabs>
          <w:tab w:pos="2083" w:val="left" w:leader="none"/>
        </w:tabs>
        <w:spacing w:line="230" w:lineRule="auto" w:before="0" w:after="0"/>
        <w:ind w:left="2080" w:right="1132" w:hanging="341"/>
        <w:jc w:val="both"/>
        <w:rPr>
          <w:sz w:val="24"/>
        </w:rPr>
      </w:pPr>
      <w:r>
        <w:rPr>
          <w:color w:val="231F20"/>
          <w:sz w:val="24"/>
        </w:rPr>
        <w:t>「警示通報資訊補正」階段：系統以電子郵件方式通知送驗機構窗口，且列入「傳染病個案通報系統：重要未完成工作－通報資料補正警示」之警</w:t>
      </w:r>
      <w:r>
        <w:rPr>
          <w:color w:val="231F20"/>
          <w:spacing w:val="5"/>
          <w:sz w:val="24"/>
        </w:rPr>
        <w:t>示清單中。醫療院所須於 </w:t>
      </w:r>
      <w:r>
        <w:rPr>
          <w:color w:val="231F20"/>
          <w:sz w:val="24"/>
        </w:rPr>
        <w:t>7 個日曆天(依照第二類法定傳染病通報期限訂定)完成通報資料(如：聯絡方式等)人工補登作業。醫療院所如有建置</w:t>
      </w:r>
    </w:p>
    <w:p>
      <w:pPr>
        <w:pStyle w:val="BodyText"/>
        <w:spacing w:line="401" w:lineRule="exact"/>
        <w:ind w:left="2080"/>
        <w:jc w:val="both"/>
      </w:pPr>
      <w:r>
        <w:rPr>
          <w:color w:val="231F20"/>
        </w:rPr>
        <w:t>「電子病歷 EMR 自動通報功能」者，亦可循此方式再行＿次通報後，將</w:t>
      </w:r>
    </w:p>
    <w:p>
      <w:pPr>
        <w:spacing w:after="0" w:line="401" w:lineRule="exact"/>
        <w:jc w:val="both"/>
        <w:sectPr>
          <w:pgSz w:w="11910" w:h="16840"/>
          <w:pgMar w:top="1060" w:bottom="0" w:left="980" w:right="0"/>
        </w:sectPr>
      </w:pPr>
    </w:p>
    <w:p>
      <w:pPr>
        <w:pStyle w:val="BodyText"/>
        <w:spacing w:before="59"/>
        <w:ind w:left="2080"/>
      </w:pPr>
      <w:r>
        <w:rPr/>
        <w:pict>
          <v:group style="position:absolute;margin-left:.0pt;margin-top:151.151993pt;width:37.35pt;height:690.55pt;mso-position-horizontal-relative:page;mso-position-vertical-relative:page;z-index:251725824" coordorigin="0,3023" coordsize="747,13811">
            <v:shape style="position:absolute;left:178;top:3534;width:439;height:13300" type="#_x0000_t75" stroked="false">
              <v:imagedata r:id="rId43" o:title=""/>
            </v:shape>
            <v:shape style="position:absolute;left:0;top:3023;width:747;height:812" coordorigin="0,3023" coordsize="747,812" path="m365,3023l0,3023,0,3834,365,3834,387,3832,447,3798,713,3516,747,3429,738,3382,447,3059,387,3025,365,3023xe" filled="true" fillcolor="#f37b7d" stroked="false">
              <v:path arrowok="t"/>
              <v:fill type="solid"/>
            </v:shape>
            <v:shape style="position:absolute;left:202;top:3290;width:395;height:278" type="#_x0000_t75" stroked="false">
              <v:imagedata r:id="rId44" o:title=""/>
            </v:shape>
            <v:shape style="position:absolute;left:273;top:3970;width:251;height:2935" type="#_x0000_t75" stroked="false">
              <v:imagedata r:id="rId45"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36</w:t>
                    </w:r>
                  </w:p>
                </w:txbxContent>
              </v:textbox>
              <w10:wrap type="none"/>
            </v:shape>
            <w10:wrap type="none"/>
          </v:group>
        </w:pict>
      </w:r>
      <w:r>
        <w:rPr>
          <w:color w:val="231F20"/>
        </w:rPr>
        <w:t>自動完成資料補登事宜。</w:t>
      </w:r>
    </w:p>
    <w:p>
      <w:pPr>
        <w:pStyle w:val="BodyText"/>
        <w:spacing w:before="5"/>
        <w:rPr>
          <w:sz w:val="7"/>
        </w:rPr>
      </w:pPr>
      <w:r>
        <w:rPr/>
        <w:pict>
          <v:group style="position:absolute;margin-left:59.387493pt;margin-top:8.329621pt;width:479pt;height:535.550pt;mso-position-horizontal-relative:page;mso-position-vertical-relative:paragraph;z-index:-251592704;mso-wrap-distance-left:0;mso-wrap-distance-right:0" coordorigin="1188,167" coordsize="9580,10711">
            <v:shape style="position:absolute;left:1187;top:166;width:9580;height:10711" type="#_x0000_t75" stroked="false">
              <v:imagedata r:id="rId46" o:title=""/>
            </v:shape>
            <v:shape style="position:absolute;left:1193;top:171;width:444;height:881" coordorigin="1193,172" coordsize="444,881" path="m1193,1052l1193,172,1637,172,1637,1052e" filled="false" stroked="true" strokeweight=".5pt" strokecolor="#939598">
              <v:path arrowok="t"/>
              <v:stroke dashstyle="solid"/>
            </v:shape>
            <w10:wrap type="topAndBottom"/>
          </v:group>
        </w:pict>
      </w:r>
    </w:p>
    <w:p>
      <w:pPr>
        <w:pStyle w:val="BodyText"/>
        <w:spacing w:before="10"/>
        <w:rPr>
          <w:sz w:val="22"/>
        </w:rPr>
      </w:pPr>
    </w:p>
    <w:p>
      <w:pPr>
        <w:pStyle w:val="ListParagraph"/>
        <w:numPr>
          <w:ilvl w:val="1"/>
          <w:numId w:val="63"/>
        </w:numPr>
        <w:tabs>
          <w:tab w:pos="1592" w:val="left" w:leader="none"/>
        </w:tabs>
        <w:spacing w:line="230" w:lineRule="auto" w:before="82" w:after="0"/>
        <w:ind w:left="1591" w:right="1133" w:hanging="355"/>
        <w:jc w:val="both"/>
        <w:rPr>
          <w:sz w:val="24"/>
        </w:rPr>
      </w:pPr>
      <w:r>
        <w:rPr>
          <w:color w:val="231F20"/>
          <w:spacing w:val="1"/>
          <w:sz w:val="24"/>
        </w:rPr>
        <w:t>人工手動通報：填具紙本「法定及新興傳染病個案(含疑似病例)報告單  」</w:t>
      </w:r>
      <w:r>
        <w:rPr>
          <w:color w:val="231F20"/>
          <w:spacing w:val="-1"/>
          <w:sz w:val="24"/>
        </w:rPr>
        <w:t>向地方衛生主管機關進行通報，再由衛生主管機關協助完成傳染病個案通報系</w:t>
      </w:r>
      <w:r>
        <w:rPr>
          <w:color w:val="231F20"/>
          <w:spacing w:val="-2"/>
          <w:sz w:val="24"/>
        </w:rPr>
        <w:t>統之登錄通報作業。( 報告單可於疾管署全球資訊網下載：</w:t>
      </w:r>
      <w:r>
        <w:rPr>
          <w:color w:val="231F20"/>
          <w:sz w:val="24"/>
          <w:u w:val="single" w:color="231F20"/>
        </w:rPr>
        <w:t>通報</w:t>
      </w:r>
      <w:r>
        <w:rPr>
          <w:color w:val="231F20"/>
          <w:sz w:val="24"/>
        </w:rPr>
        <w:t> ＞ </w:t>
      </w:r>
      <w:r>
        <w:rPr>
          <w:color w:val="231F20"/>
          <w:sz w:val="24"/>
          <w:u w:val="single" w:color="231F20"/>
        </w:rPr>
        <w:t>新版傳染病</w:t>
      </w:r>
      <w:r>
        <w:rPr>
          <w:color w:val="231F20"/>
          <w:spacing w:val="-3"/>
          <w:sz w:val="24"/>
          <w:u w:val="single" w:color="231F20"/>
        </w:rPr>
        <w:t>通報系統 </w:t>
      </w:r>
      <w:r>
        <w:rPr>
          <w:color w:val="231F20"/>
          <w:sz w:val="24"/>
          <w:u w:val="single" w:color="231F20"/>
        </w:rPr>
        <w:t>(NIDRS)</w:t>
      </w:r>
      <w:r>
        <w:rPr>
          <w:color w:val="231F20"/>
          <w:spacing w:val="-7"/>
          <w:sz w:val="24"/>
        </w:rPr>
        <w:t> ＞ </w:t>
      </w:r>
      <w:r>
        <w:rPr>
          <w:color w:val="231F20"/>
          <w:spacing w:val="-4"/>
          <w:sz w:val="24"/>
          <w:u w:val="single" w:color="231F20"/>
        </w:rPr>
        <w:t>法定及新興傳染病個案 ( 含疑似病例 ) 報告單</w:t>
      </w:r>
      <w:r>
        <w:rPr>
          <w:color w:val="231F20"/>
          <w:spacing w:val="-5"/>
          <w:sz w:val="24"/>
        </w:rPr>
        <w:t> )</w:t>
      </w:r>
    </w:p>
    <w:p>
      <w:pPr>
        <w:pStyle w:val="ListParagraph"/>
        <w:numPr>
          <w:ilvl w:val="0"/>
          <w:numId w:val="63"/>
        </w:numPr>
        <w:tabs>
          <w:tab w:pos="1351" w:val="left" w:leader="none"/>
        </w:tabs>
        <w:spacing w:line="230" w:lineRule="auto" w:before="0" w:after="0"/>
        <w:ind w:left="1349" w:right="1125" w:hanging="255"/>
        <w:jc w:val="both"/>
        <w:rPr>
          <w:sz w:val="24"/>
        </w:rPr>
      </w:pPr>
      <w:r>
        <w:rPr>
          <w:color w:val="231F20"/>
          <w:sz w:val="24"/>
        </w:rPr>
        <w:t>基於疫情監測並達早期發現與早期介入防治之目的，現行結核病通報定義採疑似即通報，包含僅符合臨床條件者及已符合檢驗條件者；而為防疫所需，針對符合</w:t>
      </w:r>
      <w:r>
        <w:rPr>
          <w:color w:val="231F20"/>
          <w:spacing w:val="6"/>
          <w:sz w:val="24"/>
        </w:rPr>
        <w:t>不同通報條件之通報個案，其介入處置與管理強度有其差異，衛生主管機關於</w:t>
      </w:r>
    </w:p>
    <w:p>
      <w:pPr>
        <w:spacing w:after="0" w:line="230" w:lineRule="auto"/>
        <w:jc w:val="both"/>
        <w:rPr>
          <w:sz w:val="24"/>
        </w:rPr>
        <w:sectPr>
          <w:pgSz w:w="11910" w:h="16840"/>
          <w:pgMar w:top="1060" w:bottom="0" w:left="980" w:right="0"/>
        </w:sectPr>
      </w:pPr>
    </w:p>
    <w:p>
      <w:pPr>
        <w:pStyle w:val="BodyText"/>
        <w:spacing w:line="230" w:lineRule="auto" w:before="70"/>
        <w:ind w:left="1349" w:right="1126"/>
        <w:jc w:val="both"/>
      </w:pPr>
      <w:r>
        <w:rPr/>
        <w:pict>
          <v:group style="position:absolute;margin-left:557.686523pt;margin-top:98.115997pt;width:37.35pt;height:690.55pt;mso-position-horizontal-relative:page;mso-position-vertical-relative:paragraph;z-index:251727872" coordorigin="11154,1962" coordsize="747,13811">
            <v:shape style="position:absolute;left:11283;top:2473;width:439;height:13300" type="#_x0000_t75" stroked="false">
              <v:imagedata r:id="rId40" o:title=""/>
            </v:shape>
            <v:shape style="position:absolute;left:11153;top:1962;width:747;height:812" coordorigin="11154,1962" coordsize="747,812" path="m11900,1962l11536,1962,11514,1965,11454,1998,11188,2281,11154,2368,11162,2414,11454,2737,11514,2771,11536,2774,11900,2774,11900,1962xe" filled="true" fillcolor="#f37b7d" stroked="false">
              <v:path arrowok="t"/>
              <v:fill type="solid"/>
            </v:shape>
            <v:shape style="position:absolute;left:11307;top:2229;width:395;height:278" type="#_x0000_t75" stroked="false">
              <v:imagedata r:id="rId41" o:title=""/>
            </v:shape>
            <v:shape style="position:absolute;left:11378;top:2909;width:251;height:2935" type="#_x0000_t75" stroked="false">
              <v:imagedata r:id="rId42" o:title=""/>
            </v:shape>
            <v:shape style="position:absolute;left:11412;top:15210;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37</w:t>
                    </w:r>
                  </w:p>
                </w:txbxContent>
              </v:textbox>
              <w10:wrap type="none"/>
            </v:shape>
            <w10:wrap type="none"/>
          </v:group>
        </w:pict>
      </w:r>
      <w:r>
        <w:rPr>
          <w:color w:val="231F20"/>
          <w:spacing w:val="6"/>
        </w:rPr>
        <w:t>監督醫療院所或醫師是否依規定完成通報作業時，應綜整相關病歷、診斷、檢</w:t>
      </w:r>
      <w:r>
        <w:rPr>
          <w:color w:val="231F20"/>
          <w:spacing w:val="-13"/>
        </w:rPr>
        <w:t>查 </w:t>
      </w:r>
      <w:r>
        <w:rPr>
          <w:color w:val="231F20"/>
          <w:spacing w:val="-4"/>
          <w:w w:val="75"/>
        </w:rPr>
        <w:t>／ </w:t>
      </w:r>
      <w:r>
        <w:rPr>
          <w:color w:val="231F20"/>
        </w:rPr>
        <w:t>檢驗結果等資料綜合判斷，不宜逕依單＿資料作為裁罰依據。針對僅符合臨床條件者，目的在鼓勵醫師疑似即通報，與已符合檢驗條件而未於時限內通報之情境，管理強度應有不同，衛生主管機關應基此原則並參照實際調查結果衡酌防治目的裁量處理。另針對「結核病認可及合約實驗室檢驗結果自動通報」部分， 若經地方衛生局通知醫療院所應進行通報資料補正作業，但不予理會且拖延數日</w:t>
      </w:r>
      <w:r>
        <w:rPr>
          <w:color w:val="231F20"/>
          <w:spacing w:val="2"/>
        </w:rPr>
        <w:t>時，地方衛生局得依違反第 </w:t>
      </w:r>
      <w:r>
        <w:rPr>
          <w:color w:val="231F20"/>
        </w:rPr>
        <w:t>39</w:t>
      </w:r>
      <w:r>
        <w:rPr>
          <w:color w:val="231F20"/>
          <w:spacing w:val="1"/>
        </w:rPr>
        <w:t> 條第 </w:t>
      </w:r>
      <w:r>
        <w:rPr>
          <w:color w:val="231F20"/>
        </w:rPr>
        <w:t>5</w:t>
      </w:r>
      <w:r>
        <w:rPr>
          <w:color w:val="231F20"/>
          <w:spacing w:val="1"/>
        </w:rPr>
        <w:t> 項，相對應之第 </w:t>
      </w:r>
      <w:r>
        <w:rPr>
          <w:color w:val="231F20"/>
        </w:rPr>
        <w:t>65</w:t>
      </w:r>
      <w:r>
        <w:rPr>
          <w:color w:val="231F20"/>
          <w:spacing w:val="2"/>
        </w:rPr>
        <w:t> 條罰則進行裁處。惟醫院反映資訊有誤、檢驗待查證等理由，則不宜視為未處理。</w:t>
      </w:r>
    </w:p>
    <w:p>
      <w:pPr>
        <w:pStyle w:val="ListParagraph"/>
        <w:numPr>
          <w:ilvl w:val="0"/>
          <w:numId w:val="63"/>
        </w:numPr>
        <w:tabs>
          <w:tab w:pos="1351" w:val="left" w:leader="none"/>
        </w:tabs>
        <w:spacing w:line="230" w:lineRule="auto" w:before="0" w:after="0"/>
        <w:ind w:left="1349" w:right="1131" w:hanging="255"/>
        <w:jc w:val="both"/>
        <w:rPr>
          <w:sz w:val="24"/>
        </w:rPr>
      </w:pPr>
      <w:r>
        <w:rPr>
          <w:color w:val="231F20"/>
          <w:spacing w:val="-1"/>
          <w:sz w:val="24"/>
        </w:rPr>
        <w:t>對於需抗結核藥物治療之疑似卡介苗不良反應 </w:t>
      </w:r>
      <w:r>
        <w:rPr>
          <w:color w:val="231F20"/>
          <w:sz w:val="24"/>
        </w:rPr>
        <w:t>5</w:t>
      </w:r>
      <w:r>
        <w:rPr>
          <w:color w:val="231F20"/>
          <w:spacing w:val="-2"/>
          <w:sz w:val="24"/>
        </w:rPr>
        <w:t> 歲以下幼兒，通報時應於「肺外依據」欄位選擇符合項目註記，若非屬「接種部位局部病灶」或「接種部位同側腋下淋巴結腫大」者請依實際肺外部位註記。</w:t>
      </w:r>
    </w:p>
    <w:p>
      <w:pPr>
        <w:pStyle w:val="ListParagraph"/>
        <w:numPr>
          <w:ilvl w:val="0"/>
          <w:numId w:val="63"/>
        </w:numPr>
        <w:tabs>
          <w:tab w:pos="1351" w:val="left" w:leader="none"/>
        </w:tabs>
        <w:spacing w:line="230" w:lineRule="auto" w:before="0" w:after="0"/>
        <w:ind w:left="1349" w:right="1131" w:hanging="255"/>
        <w:jc w:val="both"/>
        <w:rPr>
          <w:sz w:val="24"/>
        </w:rPr>
      </w:pPr>
      <w:r>
        <w:rPr>
          <w:color w:val="231F20"/>
          <w:spacing w:val="-1"/>
          <w:sz w:val="24"/>
        </w:rPr>
        <w:t>對於需抗結核藥物治療之膀胱癌病人使用卡介苗引起活動性卡介苗炎，通報時應</w:t>
      </w:r>
      <w:r>
        <w:rPr>
          <w:color w:val="231F20"/>
          <w:sz w:val="24"/>
        </w:rPr>
        <w:t>於「肺外依據」欄位點選膀胱癌灌注治療(泌尿系統結核)，並須於通報前先進  </w:t>
      </w:r>
      <w:r>
        <w:rPr>
          <w:color w:val="231F20"/>
          <w:spacing w:val="-2"/>
          <w:sz w:val="24"/>
        </w:rPr>
        <w:t>行胸部 </w:t>
      </w:r>
      <w:r>
        <w:rPr>
          <w:color w:val="231F20"/>
          <w:sz w:val="24"/>
        </w:rPr>
        <w:t>X</w:t>
      </w:r>
      <w:r>
        <w:rPr>
          <w:color w:val="231F20"/>
          <w:spacing w:val="-3"/>
          <w:sz w:val="24"/>
        </w:rPr>
        <w:t> 光檢查釐清是否合併肺結核。</w:t>
      </w:r>
    </w:p>
    <w:p>
      <w:pPr>
        <w:pStyle w:val="BodyText"/>
        <w:spacing w:line="230" w:lineRule="auto"/>
        <w:ind w:left="1349" w:right="1131" w:hanging="720"/>
        <w:jc w:val="both"/>
      </w:pPr>
      <w:r>
        <w:rPr>
          <w:color w:val="231F20"/>
        </w:rPr>
        <w:t>( — ) 登記作業：經通報之個案，皆須由地方衛生局至「結核病追蹤管理系統」辦理登記作業。完成登記作業後，系統將自動分案至管理單位。</w:t>
      </w:r>
    </w:p>
    <w:p>
      <w:pPr>
        <w:pStyle w:val="BodyText"/>
        <w:spacing w:line="230" w:lineRule="auto"/>
        <w:ind w:left="629" w:right="2221" w:hanging="238"/>
        <w:jc w:val="both"/>
      </w:pPr>
      <w:r>
        <w:rPr>
          <w:color w:val="231F20"/>
          <w:w w:val="105"/>
        </w:rPr>
        <w:t>—、多重抗藥性結核病(MDR-TB)或廣泛多重抗藥性結核病(XDR-TB)</w:t>
      </w:r>
      <w:r>
        <w:rPr>
          <w:color w:val="231F20"/>
          <w:spacing w:val="-11"/>
          <w:w w:val="105"/>
        </w:rPr>
        <w:t>個案     </w:t>
      </w:r>
      <w:r>
        <w:rPr>
          <w:color w:val="231F20"/>
          <w:spacing w:val="-7"/>
          <w:w w:val="105"/>
        </w:rPr>
        <w:t>( </w:t>
      </w:r>
      <w:r>
        <w:rPr>
          <w:color w:val="231F20"/>
          <w:w w:val="105"/>
        </w:rPr>
        <w:t>＿ ) 依藥物感受性試驗結果分類如下：</w:t>
      </w:r>
    </w:p>
    <w:p>
      <w:pPr>
        <w:pStyle w:val="ListParagraph"/>
        <w:numPr>
          <w:ilvl w:val="0"/>
          <w:numId w:val="64"/>
        </w:numPr>
        <w:tabs>
          <w:tab w:pos="1349" w:val="left" w:leader="none"/>
        </w:tabs>
        <w:spacing w:line="230" w:lineRule="auto" w:before="0" w:after="0"/>
        <w:ind w:left="1349" w:right="1137" w:hanging="255"/>
        <w:jc w:val="both"/>
        <w:rPr>
          <w:sz w:val="24"/>
        </w:rPr>
      </w:pPr>
      <w:r>
        <w:rPr>
          <w:color w:val="231F20"/>
          <w:w w:val="105"/>
          <w:sz w:val="24"/>
        </w:rPr>
        <w:t>多重抗藥性結核病(Multidrug-resistant</w:t>
      </w:r>
      <w:r>
        <w:rPr>
          <w:color w:val="231F20"/>
          <w:spacing w:val="50"/>
          <w:w w:val="105"/>
          <w:sz w:val="24"/>
        </w:rPr>
        <w:t> </w:t>
      </w:r>
      <w:r>
        <w:rPr>
          <w:color w:val="231F20"/>
          <w:w w:val="105"/>
          <w:sz w:val="24"/>
        </w:rPr>
        <w:t>TB，MDR-TB)：</w:t>
      </w:r>
      <w:r>
        <w:rPr>
          <w:color w:val="231F20"/>
          <w:spacing w:val="9"/>
          <w:w w:val="105"/>
          <w:sz w:val="24"/>
        </w:rPr>
        <w:t>至少對 </w:t>
      </w:r>
      <w:r>
        <w:rPr>
          <w:color w:val="231F20"/>
          <w:w w:val="105"/>
          <w:sz w:val="24"/>
        </w:rPr>
        <w:t>isoniazid</w:t>
      </w:r>
      <w:r>
        <w:rPr>
          <w:color w:val="231F20"/>
          <w:spacing w:val="19"/>
          <w:w w:val="105"/>
          <w:sz w:val="24"/>
        </w:rPr>
        <w:t> 及</w:t>
      </w:r>
      <w:r>
        <w:rPr>
          <w:color w:val="231F20"/>
          <w:spacing w:val="19"/>
          <w:w w:val="110"/>
          <w:sz w:val="24"/>
        </w:rPr>
        <w:t>rifampin</w:t>
      </w:r>
      <w:r>
        <w:rPr>
          <w:color w:val="231F20"/>
          <w:spacing w:val="-5"/>
          <w:w w:val="110"/>
          <w:sz w:val="24"/>
        </w:rPr>
        <w:t> 抗藥。</w:t>
      </w:r>
    </w:p>
    <w:p>
      <w:pPr>
        <w:pStyle w:val="ListParagraph"/>
        <w:numPr>
          <w:ilvl w:val="0"/>
          <w:numId w:val="64"/>
        </w:numPr>
        <w:tabs>
          <w:tab w:pos="1350" w:val="left" w:leader="none"/>
        </w:tabs>
        <w:spacing w:line="230" w:lineRule="auto" w:before="0" w:after="0"/>
        <w:ind w:left="1349" w:right="1136" w:hanging="255"/>
        <w:jc w:val="both"/>
        <w:rPr>
          <w:sz w:val="24"/>
        </w:rPr>
      </w:pPr>
      <w:r>
        <w:rPr>
          <w:color w:val="231F20"/>
          <w:spacing w:val="18"/>
          <w:sz w:val="24"/>
        </w:rPr>
        <w:t>前驅廣泛抗藥性結核病</w:t>
      </w:r>
      <w:r>
        <w:rPr>
          <w:color w:val="231F20"/>
          <w:spacing w:val="-1"/>
          <w:w w:val="300"/>
          <w:sz w:val="24"/>
        </w:rPr>
        <w:t>(</w:t>
      </w:r>
      <w:r>
        <w:rPr>
          <w:color w:val="231F20"/>
          <w:spacing w:val="-1"/>
          <w:w w:val="90"/>
          <w:sz w:val="24"/>
        </w:rPr>
        <w:t>P</w:t>
      </w:r>
      <w:r>
        <w:rPr>
          <w:color w:val="231F20"/>
          <w:spacing w:val="-4"/>
          <w:w w:val="111"/>
          <w:sz w:val="24"/>
        </w:rPr>
        <w:t>r</w:t>
      </w:r>
      <w:r>
        <w:rPr>
          <w:color w:val="231F20"/>
          <w:spacing w:val="-1"/>
          <w:w w:val="101"/>
          <w:sz w:val="24"/>
        </w:rPr>
        <w:t>e</w:t>
      </w:r>
      <w:r>
        <w:rPr>
          <w:color w:val="231F20"/>
          <w:w w:val="129"/>
          <w:sz w:val="24"/>
        </w:rPr>
        <w:t>-</w:t>
      </w:r>
      <w:r>
        <w:rPr>
          <w:color w:val="231F20"/>
          <w:spacing w:val="-1"/>
          <w:w w:val="101"/>
          <w:sz w:val="24"/>
        </w:rPr>
        <w:t>e</w:t>
      </w:r>
      <w:r>
        <w:rPr>
          <w:color w:val="231F20"/>
          <w:spacing w:val="-1"/>
          <w:w w:val="97"/>
          <w:sz w:val="24"/>
        </w:rPr>
        <w:t>x</w:t>
      </w:r>
      <w:r>
        <w:rPr>
          <w:color w:val="231F20"/>
          <w:spacing w:val="-2"/>
          <w:w w:val="130"/>
          <w:sz w:val="24"/>
        </w:rPr>
        <w:t>t</w:t>
      </w:r>
      <w:r>
        <w:rPr>
          <w:color w:val="231F20"/>
          <w:spacing w:val="-1"/>
          <w:w w:val="101"/>
          <w:sz w:val="24"/>
        </w:rPr>
        <w:t>e</w:t>
      </w:r>
      <w:r>
        <w:rPr>
          <w:color w:val="231F20"/>
          <w:spacing w:val="-1"/>
          <w:w w:val="109"/>
          <w:sz w:val="24"/>
        </w:rPr>
        <w:t>n</w:t>
      </w:r>
      <w:r>
        <w:rPr>
          <w:color w:val="231F20"/>
          <w:spacing w:val="-1"/>
          <w:w w:val="91"/>
          <w:sz w:val="24"/>
        </w:rPr>
        <w:t>s</w:t>
      </w:r>
      <w:r>
        <w:rPr>
          <w:color w:val="231F20"/>
          <w:spacing w:val="-1"/>
          <w:w w:val="116"/>
          <w:sz w:val="24"/>
        </w:rPr>
        <w:t>i</w:t>
      </w:r>
      <w:r>
        <w:rPr>
          <w:color w:val="231F20"/>
          <w:spacing w:val="-2"/>
          <w:w w:val="102"/>
          <w:sz w:val="24"/>
        </w:rPr>
        <w:t>v</w:t>
      </w:r>
      <w:r>
        <w:rPr>
          <w:color w:val="231F20"/>
          <w:spacing w:val="-1"/>
          <w:w w:val="101"/>
          <w:sz w:val="24"/>
        </w:rPr>
        <w:t>e</w:t>
      </w:r>
      <w:r>
        <w:rPr>
          <w:color w:val="231F20"/>
          <w:spacing w:val="-1"/>
          <w:w w:val="116"/>
          <w:sz w:val="24"/>
        </w:rPr>
        <w:t>l</w:t>
      </w:r>
      <w:r>
        <w:rPr>
          <w:color w:val="231F20"/>
          <w:w w:val="103"/>
          <w:sz w:val="24"/>
        </w:rPr>
        <w:t>y</w:t>
      </w:r>
      <w:r>
        <w:rPr>
          <w:color w:val="231F20"/>
          <w:spacing w:val="14"/>
          <w:sz w:val="24"/>
        </w:rPr>
        <w:t> </w:t>
      </w:r>
      <w:r>
        <w:rPr>
          <w:color w:val="231F20"/>
          <w:w w:val="113"/>
          <w:sz w:val="24"/>
        </w:rPr>
        <w:t>d</w:t>
      </w:r>
      <w:r>
        <w:rPr>
          <w:color w:val="231F20"/>
          <w:spacing w:val="-1"/>
          <w:w w:val="111"/>
          <w:sz w:val="24"/>
        </w:rPr>
        <w:t>r</w:t>
      </w:r>
      <w:r>
        <w:rPr>
          <w:color w:val="231F20"/>
          <w:spacing w:val="-1"/>
          <w:w w:val="109"/>
          <w:sz w:val="24"/>
        </w:rPr>
        <w:t>u</w:t>
      </w:r>
      <w:r>
        <w:rPr>
          <w:color w:val="231F20"/>
          <w:w w:val="113"/>
          <w:sz w:val="24"/>
        </w:rPr>
        <w:t>g</w:t>
      </w:r>
      <w:r>
        <w:rPr>
          <w:color w:val="231F20"/>
          <w:w w:val="129"/>
          <w:sz w:val="24"/>
        </w:rPr>
        <w:t>-</w:t>
      </w:r>
      <w:r>
        <w:rPr>
          <w:color w:val="231F20"/>
          <w:spacing w:val="-4"/>
          <w:w w:val="111"/>
          <w:sz w:val="24"/>
        </w:rPr>
        <w:t>r</w:t>
      </w:r>
      <w:r>
        <w:rPr>
          <w:color w:val="231F20"/>
          <w:spacing w:val="-1"/>
          <w:w w:val="101"/>
          <w:sz w:val="24"/>
        </w:rPr>
        <w:t>e</w:t>
      </w:r>
      <w:r>
        <w:rPr>
          <w:color w:val="231F20"/>
          <w:spacing w:val="-1"/>
          <w:w w:val="91"/>
          <w:sz w:val="24"/>
        </w:rPr>
        <w:t>s</w:t>
      </w:r>
      <w:r>
        <w:rPr>
          <w:color w:val="231F20"/>
          <w:spacing w:val="-1"/>
          <w:w w:val="116"/>
          <w:sz w:val="24"/>
        </w:rPr>
        <w:t>i</w:t>
      </w:r>
      <w:r>
        <w:rPr>
          <w:color w:val="231F20"/>
          <w:spacing w:val="-1"/>
          <w:w w:val="91"/>
          <w:sz w:val="24"/>
        </w:rPr>
        <w:t>s</w:t>
      </w:r>
      <w:r>
        <w:rPr>
          <w:color w:val="231F20"/>
          <w:w w:val="130"/>
          <w:sz w:val="24"/>
        </w:rPr>
        <w:t>t</w:t>
      </w:r>
      <w:r>
        <w:rPr>
          <w:color w:val="231F20"/>
          <w:spacing w:val="-1"/>
          <w:w w:val="98"/>
          <w:sz w:val="24"/>
        </w:rPr>
        <w:t>a</w:t>
      </w:r>
      <w:r>
        <w:rPr>
          <w:color w:val="231F20"/>
          <w:spacing w:val="-1"/>
          <w:w w:val="109"/>
          <w:sz w:val="24"/>
        </w:rPr>
        <w:t>n</w:t>
      </w:r>
      <w:r>
        <w:rPr>
          <w:color w:val="231F20"/>
          <w:w w:val="130"/>
          <w:sz w:val="24"/>
        </w:rPr>
        <w:t>t</w:t>
      </w:r>
      <w:r>
        <w:rPr>
          <w:color w:val="231F20"/>
          <w:spacing w:val="13"/>
          <w:sz w:val="24"/>
        </w:rPr>
        <w:t> </w:t>
      </w:r>
      <w:r>
        <w:rPr>
          <w:color w:val="231F20"/>
          <w:w w:val="91"/>
          <w:sz w:val="24"/>
        </w:rPr>
        <w:t>T</w:t>
      </w:r>
      <w:r>
        <w:rPr>
          <w:color w:val="231F20"/>
          <w:spacing w:val="-1"/>
          <w:w w:val="92"/>
          <w:sz w:val="24"/>
        </w:rPr>
        <w:t>B</w:t>
      </w:r>
      <w:r>
        <w:rPr>
          <w:color w:val="231F20"/>
          <w:sz w:val="24"/>
        </w:rPr>
        <w:t>，</w:t>
      </w:r>
      <w:r>
        <w:rPr>
          <w:color w:val="231F20"/>
          <w:spacing w:val="-1"/>
          <w:w w:val="90"/>
          <w:sz w:val="24"/>
        </w:rPr>
        <w:t>P</w:t>
      </w:r>
      <w:r>
        <w:rPr>
          <w:color w:val="231F20"/>
          <w:spacing w:val="-4"/>
          <w:w w:val="111"/>
          <w:sz w:val="24"/>
        </w:rPr>
        <w:t>r</w:t>
      </w:r>
      <w:r>
        <w:rPr>
          <w:color w:val="231F20"/>
          <w:spacing w:val="-1"/>
          <w:w w:val="101"/>
          <w:sz w:val="24"/>
        </w:rPr>
        <w:t>e</w:t>
      </w:r>
      <w:r>
        <w:rPr>
          <w:color w:val="231F20"/>
          <w:w w:val="129"/>
          <w:sz w:val="24"/>
        </w:rPr>
        <w:t>-</w:t>
      </w:r>
      <w:r>
        <w:rPr>
          <w:color w:val="231F20"/>
          <w:w w:val="94"/>
          <w:sz w:val="24"/>
        </w:rPr>
        <w:t>X</w:t>
      </w:r>
      <w:r>
        <w:rPr>
          <w:color w:val="231F20"/>
          <w:w w:val="104"/>
          <w:sz w:val="24"/>
        </w:rPr>
        <w:t>D</w:t>
      </w:r>
      <w:r>
        <w:rPr>
          <w:color w:val="231F20"/>
          <w:spacing w:val="-1"/>
          <w:w w:val="88"/>
          <w:sz w:val="24"/>
        </w:rPr>
        <w:t>R</w:t>
      </w:r>
      <w:r>
        <w:rPr>
          <w:color w:val="231F20"/>
          <w:w w:val="129"/>
          <w:sz w:val="24"/>
        </w:rPr>
        <w:t>-</w:t>
      </w:r>
      <w:r>
        <w:rPr>
          <w:color w:val="231F20"/>
          <w:w w:val="91"/>
          <w:sz w:val="24"/>
        </w:rPr>
        <w:t>T</w:t>
      </w:r>
      <w:r>
        <w:rPr>
          <w:color w:val="231F20"/>
          <w:spacing w:val="-1"/>
          <w:w w:val="92"/>
          <w:sz w:val="24"/>
        </w:rPr>
        <w:t>B</w:t>
      </w:r>
      <w:r>
        <w:rPr>
          <w:color w:val="231F20"/>
          <w:spacing w:val="-1"/>
          <w:w w:val="300"/>
          <w:sz w:val="24"/>
        </w:rPr>
        <w:t>)</w:t>
      </w:r>
      <w:r>
        <w:rPr>
          <w:color w:val="231F20"/>
          <w:w w:val="82"/>
          <w:sz w:val="24"/>
        </w:rPr>
        <w:t>:</w:t>
      </w:r>
      <w:r>
        <w:rPr>
          <w:color w:val="231F20"/>
          <w:spacing w:val="-2"/>
          <w:sz w:val="24"/>
        </w:rPr>
        <w:t>符合 </w:t>
      </w:r>
      <w:r>
        <w:rPr>
          <w:color w:val="231F20"/>
          <w:sz w:val="24"/>
        </w:rPr>
        <w:t>Rifampin</w:t>
      </w:r>
      <w:r>
        <w:rPr>
          <w:color w:val="231F20"/>
          <w:spacing w:val="-3"/>
          <w:sz w:val="24"/>
        </w:rPr>
        <w:t> 單</w:t>
      </w:r>
      <w:r>
        <w:rPr>
          <w:color w:val="231F20"/>
          <w:sz w:val="24"/>
        </w:rPr>
        <w:t>＿</w:t>
      </w:r>
      <w:r>
        <w:rPr>
          <w:color w:val="231F20"/>
          <w:spacing w:val="-2"/>
          <w:sz w:val="24"/>
        </w:rPr>
        <w:t>抗藥 </w:t>
      </w:r>
      <w:r>
        <w:rPr>
          <w:color w:val="231F20"/>
          <w:sz w:val="24"/>
        </w:rPr>
        <w:t>(Rifampin-resistant</w:t>
      </w:r>
      <w:r>
        <w:rPr>
          <w:color w:val="231F20"/>
          <w:spacing w:val="17"/>
          <w:sz w:val="24"/>
        </w:rPr>
        <w:t> </w:t>
      </w:r>
      <w:r>
        <w:rPr>
          <w:color w:val="231F20"/>
          <w:spacing w:val="-5"/>
          <w:sz w:val="24"/>
        </w:rPr>
        <w:t>TB，RR-TB</w:t>
      </w:r>
      <w:r>
        <w:rPr>
          <w:color w:val="231F20"/>
          <w:spacing w:val="-4"/>
          <w:sz w:val="24"/>
        </w:rPr>
        <w:t>) 或多重抗藥 </w:t>
      </w:r>
      <w:r>
        <w:rPr>
          <w:color w:val="231F20"/>
          <w:sz w:val="24"/>
        </w:rPr>
        <w:t>(MDR-TB) 且對任＿</w:t>
      </w:r>
      <w:r>
        <w:rPr>
          <w:color w:val="231F20"/>
          <w:spacing w:val="3"/>
          <w:sz w:val="24"/>
        </w:rPr>
        <w:t> </w:t>
      </w:r>
      <w:r>
        <w:rPr>
          <w:color w:val="231F20"/>
          <w:sz w:val="24"/>
        </w:rPr>
        <w:t>fluoroquinolone</w:t>
      </w:r>
      <w:r>
        <w:rPr>
          <w:color w:val="231F20"/>
          <w:spacing w:val="4"/>
          <w:sz w:val="24"/>
        </w:rPr>
        <w:t> </w:t>
      </w:r>
      <w:r>
        <w:rPr>
          <w:color w:val="231F20"/>
          <w:sz w:val="24"/>
        </w:rPr>
        <w:t>(levofloxacin</w:t>
      </w:r>
      <w:r>
        <w:rPr>
          <w:color w:val="231F20"/>
          <w:spacing w:val="2"/>
          <w:sz w:val="24"/>
        </w:rPr>
        <w:t> 或 </w:t>
      </w:r>
      <w:r>
        <w:rPr>
          <w:color w:val="231F20"/>
          <w:sz w:val="24"/>
        </w:rPr>
        <w:t>moxifloxacin) 抗藥。</w:t>
      </w:r>
    </w:p>
    <w:p>
      <w:pPr>
        <w:pStyle w:val="ListParagraph"/>
        <w:numPr>
          <w:ilvl w:val="0"/>
          <w:numId w:val="64"/>
        </w:numPr>
        <w:tabs>
          <w:tab w:pos="1350" w:val="left" w:leader="none"/>
        </w:tabs>
        <w:spacing w:line="230" w:lineRule="auto" w:before="0" w:after="0"/>
        <w:ind w:left="1349" w:right="1096" w:hanging="255"/>
        <w:jc w:val="both"/>
        <w:rPr>
          <w:sz w:val="24"/>
        </w:rPr>
      </w:pPr>
      <w:r>
        <w:rPr>
          <w:color w:val="231F20"/>
          <w:spacing w:val="28"/>
          <w:sz w:val="24"/>
        </w:rPr>
        <w:t>廣泛抗藥性結核病 (</w:t>
      </w:r>
      <w:r>
        <w:rPr>
          <w:color w:val="231F20"/>
          <w:sz w:val="24"/>
        </w:rPr>
        <w:t>Extensively</w:t>
      </w:r>
      <w:r>
        <w:rPr>
          <w:color w:val="231F20"/>
          <w:spacing w:val="34"/>
          <w:sz w:val="24"/>
        </w:rPr>
        <w:t> </w:t>
      </w:r>
      <w:r>
        <w:rPr>
          <w:color w:val="231F20"/>
          <w:sz w:val="24"/>
        </w:rPr>
        <w:t>drug-resistant</w:t>
      </w:r>
      <w:r>
        <w:rPr>
          <w:color w:val="231F20"/>
          <w:spacing w:val="32"/>
          <w:sz w:val="24"/>
        </w:rPr>
        <w:t> </w:t>
      </w:r>
      <w:r>
        <w:rPr>
          <w:color w:val="231F20"/>
          <w:sz w:val="24"/>
        </w:rPr>
        <w:t>TB，XDR-TB</w:t>
      </w:r>
      <w:r>
        <w:rPr>
          <w:color w:val="231F20"/>
          <w:spacing w:val="20"/>
          <w:sz w:val="24"/>
        </w:rPr>
        <w:t>)： 符合前驅廣</w:t>
      </w:r>
      <w:r>
        <w:rPr>
          <w:color w:val="231F20"/>
          <w:spacing w:val="15"/>
          <w:sz w:val="24"/>
        </w:rPr>
        <w:t>泛 抗 藥 </w:t>
      </w:r>
      <w:r>
        <w:rPr>
          <w:color w:val="231F20"/>
          <w:sz w:val="24"/>
        </w:rPr>
        <w:t>(Pre-XDR-TB)，</w:t>
      </w:r>
      <w:r>
        <w:rPr>
          <w:color w:val="231F20"/>
          <w:spacing w:val="17"/>
          <w:sz w:val="24"/>
        </w:rPr>
        <w:t> 且 除 了 </w:t>
      </w:r>
      <w:r>
        <w:rPr>
          <w:color w:val="231F20"/>
          <w:sz w:val="24"/>
        </w:rPr>
        <w:t>fluoroquinolone</w:t>
      </w:r>
      <w:r>
        <w:rPr>
          <w:color w:val="231F20"/>
          <w:spacing w:val="13"/>
          <w:sz w:val="24"/>
        </w:rPr>
        <w:t> 抗 藥 外， 對 </w:t>
      </w:r>
      <w:r>
        <w:rPr>
          <w:color w:val="231F20"/>
          <w:sz w:val="24"/>
        </w:rPr>
        <w:t>linezolid</w:t>
      </w:r>
      <w:r>
        <w:rPr>
          <w:color w:val="231F20"/>
          <w:spacing w:val="15"/>
          <w:sz w:val="24"/>
        </w:rPr>
        <w:t> 或bedaquiline</w:t>
      </w:r>
      <w:r>
        <w:rPr>
          <w:color w:val="231F20"/>
          <w:spacing w:val="-3"/>
          <w:sz w:val="24"/>
        </w:rPr>
        <w:t> 抗藥。</w:t>
      </w:r>
    </w:p>
    <w:p>
      <w:pPr>
        <w:pStyle w:val="BodyText"/>
        <w:spacing w:line="230" w:lineRule="auto"/>
        <w:ind w:left="1349" w:right="1136" w:hanging="720"/>
        <w:jc w:val="both"/>
      </w:pPr>
      <w:r>
        <w:rPr>
          <w:color w:val="231F20"/>
        </w:rPr>
        <w:t>( — ) 通報單位或實驗室應將疑似病人之原始檢體陽性培養菌株送至疾病管制署檢驗及疫苗研製中心分枝桿菌實驗室進行抗藥性複驗及—線藥敏試驗；若屬抗藥性結核病高風險族群者，應先取新鮮痰檢體送至疾病管制署指定實驗室進行快速分子檢測。</w:t>
      </w:r>
    </w:p>
    <w:p>
      <w:pPr>
        <w:pStyle w:val="BodyText"/>
        <w:spacing w:line="230" w:lineRule="auto"/>
        <w:ind w:left="1349" w:right="1127" w:hanging="720"/>
        <w:jc w:val="both"/>
      </w:pPr>
      <w:r>
        <w:rPr>
          <w:color w:val="231F20"/>
        </w:rPr>
        <w:t>( 二 ) 確認為 MDR-TB 菌株者，管理個案之疾病管制署各區管制中心應於收到確認報告 1 個工作日內至「結核病追蹤管理系統」完成註記。</w:t>
      </w:r>
    </w:p>
    <w:p>
      <w:pPr>
        <w:pStyle w:val="BodyText"/>
        <w:spacing w:line="230" w:lineRule="auto"/>
        <w:ind w:left="1349" w:right="1136" w:hanging="720"/>
        <w:jc w:val="both"/>
      </w:pPr>
      <w:r>
        <w:rPr>
          <w:color w:val="231F20"/>
          <w:spacing w:val="1"/>
        </w:rPr>
        <w:t>( 匹 ) 確認為 </w:t>
      </w:r>
      <w:r>
        <w:rPr>
          <w:color w:val="231F20"/>
        </w:rPr>
        <w:t>XDR-TB</w:t>
      </w:r>
      <w:r>
        <w:rPr>
          <w:color w:val="231F20"/>
          <w:spacing w:val="-4"/>
        </w:rPr>
        <w:t> 菌株者，管理個案之疾病管制署各區管制中心應於收到確認報告</w:t>
      </w:r>
      <w:r>
        <w:rPr>
          <w:color w:val="231F20"/>
        </w:rPr>
        <w:t>1</w:t>
      </w:r>
      <w:r>
        <w:rPr>
          <w:color w:val="231F20"/>
          <w:spacing w:val="-3"/>
        </w:rPr>
        <w:t> 個工作日內將報告掃描電子檔回傳慢性組，由慢性組註記。</w:t>
      </w:r>
    </w:p>
    <w:p>
      <w:pPr>
        <w:pStyle w:val="BodyText"/>
        <w:tabs>
          <w:tab w:pos="719" w:val="left" w:leader="none"/>
        </w:tabs>
        <w:spacing w:line="395" w:lineRule="exact"/>
        <w:ind w:right="1125"/>
        <w:jc w:val="right"/>
      </w:pPr>
      <w:r>
        <w:rPr>
          <w:color w:val="231F20"/>
        </w:rPr>
        <w:t>(</w:t>
      </w:r>
      <w:r>
        <w:rPr>
          <w:color w:val="231F20"/>
          <w:spacing w:val="-9"/>
        </w:rPr>
        <w:t> </w:t>
      </w:r>
      <w:r>
        <w:rPr>
          <w:color w:val="231F20"/>
        </w:rPr>
        <w:t>五</w:t>
      </w:r>
      <w:r>
        <w:rPr>
          <w:color w:val="231F20"/>
          <w:spacing w:val="-8"/>
        </w:rPr>
        <w:t> </w:t>
      </w:r>
      <w:r>
        <w:rPr>
          <w:color w:val="231F20"/>
        </w:rPr>
        <w:t>)</w:t>
        <w:tab/>
      </w:r>
      <w:r>
        <w:rPr>
          <w:color w:val="231F20"/>
          <w:spacing w:val="8"/>
        </w:rPr>
        <w:t>地方衛生局於疾病管制署完成註記</w:t>
      </w:r>
      <w:r>
        <w:rPr>
          <w:color w:val="231F20"/>
        </w:rPr>
        <w:t>後</w:t>
      </w:r>
      <w:r>
        <w:rPr>
          <w:color w:val="231F20"/>
          <w:spacing w:val="-2"/>
        </w:rPr>
        <w:t> </w:t>
      </w:r>
      <w:r>
        <w:rPr>
          <w:color w:val="231F20"/>
        </w:rPr>
        <w:t>1</w:t>
      </w:r>
      <w:r>
        <w:rPr>
          <w:color w:val="231F20"/>
          <w:spacing w:val="-2"/>
        </w:rPr>
        <w:t> </w:t>
      </w:r>
      <w:r>
        <w:rPr>
          <w:color w:val="231F20"/>
          <w:spacing w:val="8"/>
        </w:rPr>
        <w:t>個工作日</w:t>
      </w:r>
      <w:r>
        <w:rPr>
          <w:color w:val="231F20"/>
        </w:rPr>
        <w:t>內</w:t>
      </w:r>
      <w:r>
        <w:rPr>
          <w:color w:val="231F20"/>
          <w:spacing w:val="8"/>
        </w:rPr>
        <w:t>，應比照＿般結核病個案於</w:t>
      </w:r>
    </w:p>
    <w:p>
      <w:pPr>
        <w:pStyle w:val="BodyText"/>
        <w:spacing w:line="409" w:lineRule="exact"/>
        <w:ind w:right="1136"/>
        <w:jc w:val="right"/>
      </w:pPr>
      <w:r>
        <w:rPr>
          <w:color w:val="231F20"/>
        </w:rPr>
        <w:t>「結核病追蹤管理系統」辦理抗藥性結核病個案登記作業，並通知管理單位啟動</w:t>
      </w:r>
    </w:p>
    <w:p>
      <w:pPr>
        <w:spacing w:after="0" w:line="409" w:lineRule="exact"/>
        <w:jc w:val="right"/>
        <w:sectPr>
          <w:pgSz w:w="11910" w:h="16840"/>
          <w:pgMar w:top="1060" w:bottom="0" w:left="980" w:right="0"/>
        </w:sectPr>
      </w:pPr>
    </w:p>
    <w:p>
      <w:pPr>
        <w:pStyle w:val="BodyText"/>
        <w:spacing w:before="54"/>
        <w:ind w:left="1349"/>
      </w:pPr>
      <w:r>
        <w:rPr/>
        <w:pict>
          <v:group style="position:absolute;margin-left:.0pt;margin-top:151.151993pt;width:37.35pt;height:690.55pt;mso-position-horizontal-relative:page;mso-position-vertical-relative:page;z-index:251729920" coordorigin="0,3023" coordsize="747,13811">
            <v:shape style="position:absolute;left:178;top:3534;width:439;height:13300" type="#_x0000_t75" stroked="false">
              <v:imagedata r:id="rId43" o:title=""/>
            </v:shape>
            <v:shape style="position:absolute;left:0;top:3023;width:747;height:812" coordorigin="0,3023" coordsize="747,812" path="m365,3023l0,3023,0,3834,365,3834,387,3832,447,3798,713,3516,747,3429,738,3382,447,3059,387,3025,365,3023xe" filled="true" fillcolor="#f37b7d" stroked="false">
              <v:path arrowok="t"/>
              <v:fill type="solid"/>
            </v:shape>
            <v:shape style="position:absolute;left:202;top:3290;width:395;height:278" type="#_x0000_t75" stroked="false">
              <v:imagedata r:id="rId44" o:title=""/>
            </v:shape>
            <v:shape style="position:absolute;left:273;top:3970;width:251;height:2935" type="#_x0000_t75" stroked="false">
              <v:imagedata r:id="rId45"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38</w:t>
                    </w:r>
                  </w:p>
                </w:txbxContent>
              </v:textbox>
              <w10:wrap type="none"/>
            </v:shape>
            <w10:wrap type="none"/>
          </v:group>
        </w:pict>
      </w:r>
      <w:r>
        <w:rPr>
          <w:color w:val="231F20"/>
        </w:rPr>
        <w:t>抗藥性結核病個案管理。</w:t>
      </w:r>
    </w:p>
    <w:p>
      <w:pPr>
        <w:pStyle w:val="BodyText"/>
        <w:spacing w:before="17"/>
        <w:rPr>
          <w:sz w:val="19"/>
        </w:rPr>
      </w:pPr>
    </w:p>
    <w:p>
      <w:pPr>
        <w:pStyle w:val="Heading2"/>
      </w:pPr>
      <w:r>
        <w:rPr>
          <w:color w:val="231F20"/>
        </w:rPr>
        <w:t>陸、特殊個案通報作業流程及注意事項</w:t>
      </w:r>
    </w:p>
    <w:p>
      <w:pPr>
        <w:pStyle w:val="BodyText"/>
        <w:spacing w:line="404" w:lineRule="exact"/>
        <w:ind w:left="391"/>
        <w:jc w:val="both"/>
      </w:pPr>
      <w:r>
        <w:rPr>
          <w:color w:val="231F20"/>
          <w:w w:val="105"/>
        </w:rPr>
        <w:t>＿、RMP 抗藥性結核病(Rifampin-resistant TB，RR-TB)</w:t>
      </w:r>
    </w:p>
    <w:p>
      <w:pPr>
        <w:pStyle w:val="BodyText"/>
        <w:spacing w:line="230" w:lineRule="auto" w:before="2"/>
        <w:ind w:left="1349" w:right="1129" w:hanging="720"/>
        <w:jc w:val="both"/>
      </w:pPr>
      <w:r>
        <w:rPr>
          <w:color w:val="231F20"/>
          <w:spacing w:val="-5"/>
        </w:rPr>
        <w:t>( </w:t>
      </w:r>
      <w:r>
        <w:rPr>
          <w:color w:val="231F20"/>
        </w:rPr>
        <w:t>＿</w:t>
      </w:r>
      <w:r>
        <w:rPr>
          <w:color w:val="231F20"/>
          <w:spacing w:val="-2"/>
        </w:rPr>
        <w:t> ) 結核病個案確診並經臨床檢出為 </w:t>
      </w:r>
      <w:r>
        <w:rPr>
          <w:color w:val="231F20"/>
        </w:rPr>
        <w:t>RMP</w:t>
      </w:r>
      <w:r>
        <w:rPr>
          <w:color w:val="231F20"/>
          <w:spacing w:val="-1"/>
        </w:rPr>
        <w:t> 抗藥，管理個案之疾病管制署各區管制中</w:t>
      </w:r>
      <w:r>
        <w:rPr>
          <w:color w:val="231F20"/>
        </w:rPr>
        <w:t>心應於收到報告後至「結核病追蹤管理系統」完成註記。</w:t>
      </w:r>
    </w:p>
    <w:p>
      <w:pPr>
        <w:pStyle w:val="BodyText"/>
        <w:spacing w:line="230" w:lineRule="auto"/>
        <w:ind w:left="1349" w:right="1135" w:hanging="720"/>
        <w:jc w:val="both"/>
      </w:pPr>
      <w:r>
        <w:rPr>
          <w:color w:val="231F20"/>
          <w:spacing w:val="-4"/>
        </w:rPr>
        <w:t>( — ) 地方衛生局於疾病管制署完成註記後 </w:t>
      </w:r>
      <w:r>
        <w:rPr>
          <w:color w:val="231F20"/>
        </w:rPr>
        <w:t>1</w:t>
      </w:r>
      <w:r>
        <w:rPr>
          <w:color w:val="231F20"/>
          <w:spacing w:val="-3"/>
        </w:rPr>
        <w:t> 個工作日內，於「結核病追蹤管理系統」辦理登記作業，並通知管理單位啟動抗藥性結核病個案管理。</w:t>
      </w:r>
    </w:p>
    <w:p>
      <w:pPr>
        <w:pStyle w:val="BodyText"/>
        <w:spacing w:line="230" w:lineRule="auto"/>
        <w:ind w:left="1349" w:right="1133" w:hanging="720"/>
        <w:jc w:val="both"/>
      </w:pPr>
      <w:r>
        <w:rPr>
          <w:color w:val="231F20"/>
        </w:rPr>
        <w:t>( 二 ) 通報單位或實驗室應將病人菌株送至疾病管制署檢驗及疫苗中心分枝桿菌實驗室進行—線藥敏試驗。如經快速分子檢測確認 RMP 抗藥，應先將同套痰檢體送至本署指定實驗室進行快速分子檢測。</w:t>
      </w:r>
    </w:p>
    <w:p>
      <w:pPr>
        <w:pStyle w:val="BodyText"/>
        <w:spacing w:line="403" w:lineRule="exact" w:after="22"/>
        <w:ind w:left="391"/>
      </w:pPr>
      <w:r>
        <w:rPr>
          <w:color w:val="231F20"/>
        </w:rPr>
        <w:t>—、重開案</w:t>
      </w:r>
    </w:p>
    <w:p>
      <w:pPr>
        <w:pStyle w:val="BodyText"/>
        <w:ind w:left="153"/>
        <w:rPr>
          <w:sz w:val="20"/>
        </w:rPr>
      </w:pPr>
      <w:r>
        <w:rPr>
          <w:sz w:val="20"/>
        </w:rPr>
        <w:drawing>
          <wp:inline distT="0" distB="0" distL="0" distR="0">
            <wp:extent cx="6074463" cy="4438840"/>
            <wp:effectExtent l="0" t="0" r="0" b="0"/>
            <wp:docPr id="11" name="image43.jpeg"/>
            <wp:cNvGraphicFramePr>
              <a:graphicFrameLocks noChangeAspect="1"/>
            </wp:cNvGraphicFramePr>
            <a:graphic>
              <a:graphicData uri="http://schemas.openxmlformats.org/drawingml/2006/picture">
                <pic:pic>
                  <pic:nvPicPr>
                    <pic:cNvPr id="12" name="image43.jpeg"/>
                    <pic:cNvPicPr/>
                  </pic:nvPicPr>
                  <pic:blipFill>
                    <a:blip r:embed="rId47" cstate="print"/>
                    <a:stretch>
                      <a:fillRect/>
                    </a:stretch>
                  </pic:blipFill>
                  <pic:spPr>
                    <a:xfrm>
                      <a:off x="0" y="0"/>
                      <a:ext cx="6074463" cy="4438840"/>
                    </a:xfrm>
                    <a:prstGeom prst="rect">
                      <a:avLst/>
                    </a:prstGeom>
                  </pic:spPr>
                </pic:pic>
              </a:graphicData>
            </a:graphic>
          </wp:inline>
        </w:drawing>
      </w:r>
      <w:r>
        <w:rPr>
          <w:sz w:val="20"/>
        </w:rPr>
      </w:r>
    </w:p>
    <w:p>
      <w:pPr>
        <w:spacing w:after="0"/>
        <w:rPr>
          <w:sz w:val="20"/>
        </w:rPr>
        <w:sectPr>
          <w:pgSz w:w="11910" w:h="16840"/>
          <w:pgMar w:top="1060" w:bottom="0" w:left="980" w:right="0"/>
        </w:sectPr>
      </w:pPr>
    </w:p>
    <w:p>
      <w:pPr>
        <w:pStyle w:val="BodyText"/>
        <w:spacing w:before="54"/>
        <w:ind w:left="391"/>
      </w:pPr>
      <w:r>
        <w:rPr/>
        <w:drawing>
          <wp:anchor distT="0" distB="0" distL="0" distR="0" allowOverlap="1" layoutInCell="1" locked="0" behindDoc="0" simplePos="0" relativeHeight="71">
            <wp:simplePos x="0" y="0"/>
            <wp:positionH relativeFrom="page">
              <wp:posOffset>719696</wp:posOffset>
            </wp:positionH>
            <wp:positionV relativeFrom="paragraph">
              <wp:posOffset>318194</wp:posOffset>
            </wp:positionV>
            <wp:extent cx="6028179" cy="5585841"/>
            <wp:effectExtent l="0" t="0" r="0" b="0"/>
            <wp:wrapTopAndBottom/>
            <wp:docPr id="13" name="image44.jpeg"/>
            <wp:cNvGraphicFramePr>
              <a:graphicFrameLocks noChangeAspect="1"/>
            </wp:cNvGraphicFramePr>
            <a:graphic>
              <a:graphicData uri="http://schemas.openxmlformats.org/drawingml/2006/picture">
                <pic:pic>
                  <pic:nvPicPr>
                    <pic:cNvPr id="14" name="image44.jpeg"/>
                    <pic:cNvPicPr/>
                  </pic:nvPicPr>
                  <pic:blipFill>
                    <a:blip r:embed="rId48" cstate="print"/>
                    <a:stretch>
                      <a:fillRect/>
                    </a:stretch>
                  </pic:blipFill>
                  <pic:spPr>
                    <a:xfrm>
                      <a:off x="0" y="0"/>
                      <a:ext cx="6028179" cy="5585841"/>
                    </a:xfrm>
                    <a:prstGeom prst="rect">
                      <a:avLst/>
                    </a:prstGeom>
                  </pic:spPr>
                </pic:pic>
              </a:graphicData>
            </a:graphic>
          </wp:anchor>
        </w:drawing>
      </w:r>
      <w:r>
        <w:rPr/>
        <w:pict>
          <v:group style="position:absolute;margin-left:557.686523pt;margin-top:98.120689pt;width:37.35pt;height:690.55pt;mso-position-horizontal-relative:page;mso-position-vertical-relative:paragraph;z-index:251732992" coordorigin="11154,1962" coordsize="747,13811">
            <v:shape style="position:absolute;left:11283;top:2473;width:439;height:13300" type="#_x0000_t75" stroked="false">
              <v:imagedata r:id="rId40" o:title=""/>
            </v:shape>
            <v:shape style="position:absolute;left:11153;top:1962;width:747;height:812" coordorigin="11154,1962" coordsize="747,812" path="m11900,1962l11536,1962,11514,1965,11454,1999,11188,2281,11154,2368,11162,2415,11454,2738,11514,2771,11536,2774,11900,2774,11900,1962xe" filled="true" fillcolor="#f37b7d" stroked="false">
              <v:path arrowok="t"/>
              <v:fill type="solid"/>
            </v:shape>
            <v:shape style="position:absolute;left:11307;top:2229;width:395;height:278" type="#_x0000_t75" stroked="false">
              <v:imagedata r:id="rId41" o:title=""/>
            </v:shape>
            <v:shape style="position:absolute;left:11378;top:2909;width:251;height:2935" type="#_x0000_t75" stroked="false">
              <v:imagedata r:id="rId42" o:title=""/>
            </v:shape>
            <v:shape style="position:absolute;left:11412;top:15210;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39</w:t>
                    </w:r>
                  </w:p>
                </w:txbxContent>
              </v:textbox>
              <w10:wrap type="none"/>
            </v:shape>
            <w10:wrap type="none"/>
          </v:group>
        </w:pict>
      </w:r>
      <w:r>
        <w:rPr>
          <w:color w:val="231F20"/>
        </w:rPr>
        <w:t>二、5 歲以下幼兒</w:t>
      </w:r>
    </w:p>
    <w:p>
      <w:pPr>
        <w:spacing w:before="173"/>
        <w:ind w:left="153" w:right="0" w:firstLine="0"/>
        <w:jc w:val="left"/>
        <w:rPr>
          <w:sz w:val="19"/>
        </w:rPr>
      </w:pPr>
      <w:r>
        <w:rPr>
          <w:color w:val="231F20"/>
          <w:position w:val="9"/>
          <w:sz w:val="11"/>
        </w:rPr>
        <w:t>＊</w:t>
      </w:r>
      <w:r>
        <w:rPr>
          <w:color w:val="231F20"/>
          <w:sz w:val="19"/>
        </w:rPr>
        <w:t>應核實註記「肺外部位」，例如：「接種部位局部病灶」、「接種部位同側腋下淋巴結腫大」或其他實際肺外部位。</w:t>
      </w:r>
    </w:p>
    <w:p>
      <w:pPr>
        <w:spacing w:before="69"/>
        <w:ind w:left="153" w:right="0" w:firstLine="0"/>
        <w:jc w:val="left"/>
        <w:rPr>
          <w:sz w:val="19"/>
        </w:rPr>
      </w:pPr>
      <w:r>
        <w:rPr>
          <w:color w:val="231F20"/>
          <w:position w:val="9"/>
          <w:sz w:val="11"/>
        </w:rPr>
        <w:t>§ </w:t>
      </w:r>
      <w:r>
        <w:rPr>
          <w:color w:val="231F20"/>
          <w:sz w:val="19"/>
        </w:rPr>
        <w:t>未採集肺外檢體且臨床醫師仍欲排除結核病診斷者，請以「醫師診療排除」辦理銷案作業。</w:t>
      </w:r>
    </w:p>
    <w:p>
      <w:pPr>
        <w:spacing w:before="94"/>
        <w:ind w:left="153" w:right="0" w:firstLine="0"/>
        <w:jc w:val="left"/>
        <w:rPr>
          <w:sz w:val="19"/>
        </w:rPr>
      </w:pPr>
      <w:r>
        <w:rPr>
          <w:color w:val="231F20"/>
          <w:position w:val="9"/>
          <w:sz w:val="11"/>
        </w:rPr>
        <w:t>,r </w:t>
      </w:r>
      <w:r>
        <w:rPr>
          <w:color w:val="231F20"/>
          <w:sz w:val="19"/>
        </w:rPr>
        <w:t>限肺外依據為「接種部位局部病灶」或「接種部位同側腋下淋巴結腫大」者。</w:t>
      </w:r>
    </w:p>
    <w:p>
      <w:pPr>
        <w:spacing w:after="0"/>
        <w:jc w:val="left"/>
        <w:rPr>
          <w:sz w:val="19"/>
        </w:rPr>
        <w:sectPr>
          <w:pgSz w:w="11910" w:h="16840"/>
          <w:pgMar w:top="1060" w:bottom="0" w:left="980" w:right="0"/>
        </w:sectPr>
      </w:pPr>
    </w:p>
    <w:p>
      <w:pPr>
        <w:pStyle w:val="Heading2"/>
        <w:spacing w:line="240" w:lineRule="auto" w:before="27"/>
      </w:pPr>
      <w:r>
        <w:rPr/>
        <w:pict>
          <v:group style="position:absolute;margin-left:.0pt;margin-top:151.151993pt;width:37.35pt;height:690.55pt;mso-position-horizontal-relative:page;mso-position-vertical-relative:page;z-index:251735040" coordorigin="0,3023" coordsize="747,13811">
            <v:shape style="position:absolute;left:178;top:3534;width:439;height:13300" type="#_x0000_t75" stroked="false">
              <v:imagedata r:id="rId43" o:title=""/>
            </v:shape>
            <v:shape style="position:absolute;left:0;top:3023;width:747;height:812" coordorigin="0,3023" coordsize="747,812" path="m365,3023l0,3023,0,3834,365,3834,387,3832,447,3798,713,3516,747,3429,738,3382,447,3059,387,3025,365,3023xe" filled="true" fillcolor="#f37b7d" stroked="false">
              <v:path arrowok="t"/>
              <v:fill type="solid"/>
            </v:shape>
            <v:shape style="position:absolute;left:202;top:3290;width:395;height:278" type="#_x0000_t75" stroked="false">
              <v:imagedata r:id="rId44" o:title=""/>
            </v:shape>
            <v:shape style="position:absolute;left:273;top:3970;width:251;height:2935" type="#_x0000_t75" stroked="false">
              <v:imagedata r:id="rId45"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40</w:t>
                    </w:r>
                  </w:p>
                </w:txbxContent>
              </v:textbox>
              <w10:wrap type="none"/>
            </v:shape>
            <w10:wrap type="none"/>
          </v:group>
        </w:pict>
      </w:r>
      <w:r>
        <w:rPr/>
        <w:pict>
          <v:shape style="position:absolute;margin-left:56.667999pt;margin-top:21.462345pt;width:482.05pt;height:562.65pt;mso-position-horizontal-relative:page;mso-position-vertical-relative:paragraph;z-index:251736064"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70"/>
                    <w:gridCol w:w="1232"/>
                    <w:gridCol w:w="1005"/>
                    <w:gridCol w:w="913"/>
                    <w:gridCol w:w="5496"/>
                  </w:tblGrid>
                  <w:tr>
                    <w:trPr>
                      <w:trHeight w:val="451" w:hRule="atLeast"/>
                    </w:trPr>
                    <w:tc>
                      <w:tcPr>
                        <w:tcW w:w="4120" w:type="dxa"/>
                        <w:gridSpan w:val="4"/>
                        <w:shd w:val="clear" w:color="auto" w:fill="E6E7E8"/>
                      </w:tcPr>
                      <w:p>
                        <w:pPr>
                          <w:pStyle w:val="TableParagraph"/>
                          <w:spacing w:line="431" w:lineRule="exact"/>
                          <w:ind w:left="1560" w:right="1544"/>
                          <w:jc w:val="center"/>
                          <w:rPr>
                            <w:rFonts w:ascii="微軟正黑體" w:eastAsia="微軟正黑體" w:hint="eastAsia"/>
                            <w:b/>
                            <w:sz w:val="24"/>
                          </w:rPr>
                        </w:pPr>
                        <w:r>
                          <w:rPr>
                            <w:rFonts w:ascii="微軟正黑體" w:eastAsia="微軟正黑體" w:hint="eastAsia"/>
                            <w:b/>
                            <w:color w:val="231F20"/>
                            <w:sz w:val="24"/>
                          </w:rPr>
                          <w:t>主責單位</w:t>
                        </w:r>
                      </w:p>
                    </w:tc>
                    <w:tc>
                      <w:tcPr>
                        <w:tcW w:w="5496" w:type="dxa"/>
                        <w:vMerge w:val="restart"/>
                        <w:shd w:val="clear" w:color="auto" w:fill="E6E7E8"/>
                      </w:tcPr>
                      <w:p>
                        <w:pPr>
                          <w:pStyle w:val="TableParagraph"/>
                          <w:spacing w:before="10"/>
                          <w:rPr>
                            <w:rFonts w:ascii="微軟正黑體"/>
                            <w:b/>
                            <w:sz w:val="23"/>
                          </w:rPr>
                        </w:pPr>
                      </w:p>
                      <w:p>
                        <w:pPr>
                          <w:pStyle w:val="TableParagraph"/>
                          <w:ind w:left="2250" w:right="2230"/>
                          <w:jc w:val="center"/>
                          <w:rPr>
                            <w:rFonts w:ascii="微軟正黑體" w:eastAsia="微軟正黑體" w:hint="eastAsia"/>
                            <w:b/>
                            <w:sz w:val="24"/>
                          </w:rPr>
                        </w:pPr>
                        <w:r>
                          <w:rPr>
                            <w:rFonts w:ascii="微軟正黑體" w:eastAsia="微軟正黑體" w:hint="eastAsia"/>
                            <w:b/>
                            <w:color w:val="231F20"/>
                            <w:sz w:val="24"/>
                          </w:rPr>
                          <w:t>工作項目</w:t>
                        </w:r>
                      </w:p>
                    </w:tc>
                  </w:tr>
                  <w:tr>
                    <w:trPr>
                      <w:trHeight w:val="851" w:hRule="atLeast"/>
                    </w:trPr>
                    <w:tc>
                      <w:tcPr>
                        <w:tcW w:w="970" w:type="dxa"/>
                        <w:shd w:val="clear" w:color="auto" w:fill="E6E7E8"/>
                      </w:tcPr>
                      <w:p>
                        <w:pPr>
                          <w:pStyle w:val="TableParagraph"/>
                          <w:spacing w:line="421" w:lineRule="exact"/>
                          <w:ind w:left="124"/>
                          <w:rPr>
                            <w:rFonts w:ascii="微軟正黑體" w:eastAsia="微軟正黑體" w:hint="eastAsia"/>
                            <w:b/>
                            <w:sz w:val="24"/>
                          </w:rPr>
                        </w:pPr>
                        <w:r>
                          <w:rPr>
                            <w:rFonts w:ascii="微軟正黑體" w:eastAsia="微軟正黑體" w:hint="eastAsia"/>
                            <w:b/>
                            <w:color w:val="231F20"/>
                            <w:sz w:val="24"/>
                          </w:rPr>
                          <w:t>疾管署</w:t>
                        </w:r>
                      </w:p>
                      <w:p>
                        <w:pPr>
                          <w:pStyle w:val="TableParagraph"/>
                          <w:spacing w:line="411" w:lineRule="exact"/>
                          <w:ind w:left="124"/>
                          <w:rPr>
                            <w:rFonts w:ascii="微軟正黑體" w:eastAsia="微軟正黑體" w:hint="eastAsia"/>
                            <w:b/>
                            <w:sz w:val="24"/>
                          </w:rPr>
                        </w:pPr>
                        <w:r>
                          <w:rPr>
                            <w:rFonts w:ascii="微軟正黑體" w:eastAsia="微軟正黑體" w:hint="eastAsia"/>
                            <w:b/>
                            <w:color w:val="231F20"/>
                            <w:sz w:val="24"/>
                          </w:rPr>
                          <w:t>慢性組</w:t>
                        </w:r>
                      </w:p>
                    </w:tc>
                    <w:tc>
                      <w:tcPr>
                        <w:tcW w:w="1232" w:type="dxa"/>
                        <w:shd w:val="clear" w:color="auto" w:fill="E6E7E8"/>
                      </w:tcPr>
                      <w:p>
                        <w:pPr>
                          <w:pStyle w:val="TableParagraph"/>
                          <w:spacing w:line="421" w:lineRule="exact"/>
                          <w:ind w:left="256"/>
                          <w:rPr>
                            <w:rFonts w:ascii="微軟正黑體" w:eastAsia="微軟正黑體" w:hint="eastAsia"/>
                            <w:b/>
                            <w:sz w:val="24"/>
                          </w:rPr>
                        </w:pPr>
                        <w:r>
                          <w:rPr>
                            <w:rFonts w:ascii="微軟正黑體" w:eastAsia="微軟正黑體" w:hint="eastAsia"/>
                            <w:b/>
                            <w:color w:val="231F20"/>
                            <w:sz w:val="24"/>
                          </w:rPr>
                          <w:t>疾管署</w:t>
                        </w:r>
                      </w:p>
                      <w:p>
                        <w:pPr>
                          <w:pStyle w:val="TableParagraph"/>
                          <w:spacing w:line="411" w:lineRule="exact"/>
                          <w:ind w:left="136"/>
                          <w:rPr>
                            <w:rFonts w:ascii="微軟正黑體" w:eastAsia="微軟正黑體" w:hint="eastAsia"/>
                            <w:b/>
                            <w:sz w:val="24"/>
                          </w:rPr>
                        </w:pPr>
                        <w:r>
                          <w:rPr>
                            <w:rFonts w:ascii="微軟正黑體" w:eastAsia="微軟正黑體" w:hint="eastAsia"/>
                            <w:b/>
                            <w:color w:val="231F20"/>
                            <w:sz w:val="24"/>
                          </w:rPr>
                          <w:t>管制中心</w:t>
                        </w:r>
                      </w:p>
                    </w:tc>
                    <w:tc>
                      <w:tcPr>
                        <w:tcW w:w="1005" w:type="dxa"/>
                        <w:shd w:val="clear" w:color="auto" w:fill="E6E7E8"/>
                      </w:tcPr>
                      <w:p>
                        <w:pPr>
                          <w:pStyle w:val="TableParagraph"/>
                          <w:spacing w:before="200"/>
                          <w:ind w:left="123" w:right="107"/>
                          <w:jc w:val="center"/>
                          <w:rPr>
                            <w:rFonts w:ascii="微軟正黑體" w:eastAsia="微軟正黑體" w:hint="eastAsia"/>
                            <w:b/>
                            <w:sz w:val="24"/>
                          </w:rPr>
                        </w:pPr>
                        <w:r>
                          <w:rPr>
                            <w:rFonts w:ascii="微軟正黑體" w:eastAsia="微軟正黑體" w:hint="eastAsia"/>
                            <w:b/>
                            <w:color w:val="231F20"/>
                            <w:sz w:val="24"/>
                          </w:rPr>
                          <w:t>衛生局</w:t>
                        </w:r>
                      </w:p>
                    </w:tc>
                    <w:tc>
                      <w:tcPr>
                        <w:tcW w:w="913" w:type="dxa"/>
                        <w:shd w:val="clear" w:color="auto" w:fill="E6E7E8"/>
                      </w:tcPr>
                      <w:p>
                        <w:pPr>
                          <w:pStyle w:val="TableParagraph"/>
                          <w:spacing w:line="421" w:lineRule="exact"/>
                          <w:ind w:left="218"/>
                          <w:rPr>
                            <w:rFonts w:ascii="微軟正黑體" w:eastAsia="微軟正黑體" w:hint="eastAsia"/>
                            <w:b/>
                            <w:sz w:val="24"/>
                          </w:rPr>
                        </w:pPr>
                        <w:r>
                          <w:rPr>
                            <w:rFonts w:ascii="微軟正黑體" w:eastAsia="微軟正黑體" w:hint="eastAsia"/>
                            <w:b/>
                            <w:color w:val="231F20"/>
                            <w:sz w:val="24"/>
                          </w:rPr>
                          <w:t>醫療</w:t>
                        </w:r>
                      </w:p>
                      <w:p>
                        <w:pPr>
                          <w:pStyle w:val="TableParagraph"/>
                          <w:spacing w:line="410" w:lineRule="exact"/>
                          <w:ind w:left="218"/>
                          <w:rPr>
                            <w:rFonts w:ascii="微軟正黑體" w:eastAsia="微軟正黑體" w:hint="eastAsia"/>
                            <w:b/>
                            <w:sz w:val="24"/>
                          </w:rPr>
                        </w:pPr>
                        <w:r>
                          <w:rPr>
                            <w:rFonts w:ascii="微軟正黑體" w:eastAsia="微軟正黑體" w:hint="eastAsia"/>
                            <w:b/>
                            <w:color w:val="231F20"/>
                            <w:sz w:val="24"/>
                          </w:rPr>
                          <w:t>院所</w:t>
                        </w:r>
                      </w:p>
                    </w:tc>
                    <w:tc>
                      <w:tcPr>
                        <w:tcW w:w="5496" w:type="dxa"/>
                        <w:vMerge/>
                        <w:tcBorders>
                          <w:top w:val="nil"/>
                        </w:tcBorders>
                        <w:shd w:val="clear" w:color="auto" w:fill="E6E7E8"/>
                      </w:tcPr>
                      <w:p>
                        <w:pPr>
                          <w:rPr>
                            <w:sz w:val="2"/>
                            <w:szCs w:val="2"/>
                          </w:rPr>
                        </w:pPr>
                      </w:p>
                    </w:tc>
                  </w:tr>
                  <w:tr>
                    <w:trPr>
                      <w:trHeight w:val="628" w:hRule="atLeast"/>
                    </w:trPr>
                    <w:tc>
                      <w:tcPr>
                        <w:tcW w:w="970" w:type="dxa"/>
                        <w:tcBorders>
                          <w:bottom w:val="nil"/>
                        </w:tcBorders>
                      </w:tcPr>
                      <w:p>
                        <w:pPr>
                          <w:pStyle w:val="TableParagraph"/>
                          <w:rPr>
                            <w:rFonts w:ascii="Times New Roman"/>
                            <w:sz w:val="22"/>
                          </w:rPr>
                        </w:pPr>
                      </w:p>
                    </w:tc>
                    <w:tc>
                      <w:tcPr>
                        <w:tcW w:w="1232" w:type="dxa"/>
                        <w:tcBorders>
                          <w:bottom w:val="nil"/>
                        </w:tcBorders>
                      </w:tcPr>
                      <w:p>
                        <w:pPr>
                          <w:pStyle w:val="TableParagraph"/>
                          <w:rPr>
                            <w:rFonts w:ascii="Times New Roman"/>
                            <w:sz w:val="22"/>
                          </w:rPr>
                        </w:pPr>
                      </w:p>
                    </w:tc>
                    <w:tc>
                      <w:tcPr>
                        <w:tcW w:w="1005" w:type="dxa"/>
                        <w:tcBorders>
                          <w:bottom w:val="nil"/>
                        </w:tcBorders>
                      </w:tcPr>
                      <w:p>
                        <w:pPr>
                          <w:pStyle w:val="TableParagraph"/>
                          <w:spacing w:before="58"/>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bottom w:val="nil"/>
                        </w:tcBorders>
                      </w:tcPr>
                      <w:p>
                        <w:pPr>
                          <w:pStyle w:val="TableParagraph"/>
                          <w:spacing w:before="58"/>
                          <w:ind w:right="317"/>
                          <w:jc w:val="right"/>
                          <w:rPr>
                            <w:rFonts w:ascii="新細明體" w:eastAsia="新細明體" w:hint="eastAsia"/>
                            <w:sz w:val="24"/>
                          </w:rPr>
                        </w:pPr>
                        <w:r>
                          <w:rPr>
                            <w:rFonts w:ascii="新細明體" w:eastAsia="新細明體" w:hint="eastAsia"/>
                            <w:color w:val="231F20"/>
                            <w:sz w:val="24"/>
                          </w:rPr>
                          <w:t>口</w:t>
                        </w:r>
                      </w:p>
                    </w:tc>
                    <w:tc>
                      <w:tcPr>
                        <w:tcW w:w="5496" w:type="dxa"/>
                        <w:vMerge w:val="restart"/>
                      </w:tcPr>
                      <w:p>
                        <w:pPr>
                          <w:pStyle w:val="TableParagraph"/>
                          <w:numPr>
                            <w:ilvl w:val="0"/>
                            <w:numId w:val="65"/>
                          </w:numPr>
                          <w:tabs>
                            <w:tab w:pos="360" w:val="left" w:leader="none"/>
                          </w:tabs>
                          <w:spacing w:line="414" w:lineRule="exact" w:before="31" w:after="0"/>
                          <w:ind w:left="359" w:right="0" w:hanging="245"/>
                          <w:jc w:val="left"/>
                          <w:rPr>
                            <w:sz w:val="24"/>
                          </w:rPr>
                        </w:pPr>
                        <w:r>
                          <w:rPr>
                            <w:color w:val="231F20"/>
                            <w:sz w:val="24"/>
                          </w:rPr>
                          <w:t>網路或書面通報結核病</w:t>
                        </w:r>
                      </w:p>
                      <w:p>
                        <w:pPr>
                          <w:pStyle w:val="TableParagraph"/>
                          <w:numPr>
                            <w:ilvl w:val="0"/>
                            <w:numId w:val="65"/>
                          </w:numPr>
                          <w:tabs>
                            <w:tab w:pos="360" w:val="left" w:leader="none"/>
                          </w:tabs>
                          <w:spacing w:line="396" w:lineRule="exact" w:before="0" w:after="0"/>
                          <w:ind w:left="359" w:right="0" w:hanging="245"/>
                          <w:jc w:val="left"/>
                          <w:rPr>
                            <w:sz w:val="24"/>
                          </w:rPr>
                        </w:pPr>
                        <w:r>
                          <w:rPr>
                            <w:color w:val="231F20"/>
                            <w:sz w:val="24"/>
                          </w:rPr>
                          <w:t>結核病新案</w:t>
                        </w:r>
                      </w:p>
                      <w:p>
                        <w:pPr>
                          <w:pStyle w:val="TableParagraph"/>
                          <w:spacing w:line="230" w:lineRule="auto"/>
                          <w:ind w:left="608" w:right="81" w:hanging="340"/>
                          <w:rPr>
                            <w:sz w:val="24"/>
                          </w:rPr>
                        </w:pPr>
                        <w:r>
                          <w:rPr>
                            <w:rFonts w:ascii="Wingdings" w:hAnsi="Wingdings" w:eastAsia="Wingdings"/>
                            <w:color w:val="231F20"/>
                            <w:w w:val="150"/>
                            <w:sz w:val="24"/>
                          </w:rPr>
                          <w:t>令</w:t>
                        </w:r>
                        <w:r>
                          <w:rPr>
                            <w:rFonts w:ascii="Times New Roman" w:hAnsi="Times New Roman" w:eastAsia="Times New Roman"/>
                            <w:color w:val="231F20"/>
                            <w:w w:val="150"/>
                            <w:sz w:val="24"/>
                          </w:rPr>
                          <w:t> </w:t>
                        </w:r>
                        <w:r>
                          <w:rPr>
                            <w:color w:val="231F20"/>
                            <w:w w:val="105"/>
                            <w:sz w:val="24"/>
                          </w:rPr>
                          <w:t>於系統自動通報 7 日內完成「傳染病個案</w:t>
                        </w:r>
                        <w:r>
                          <w:rPr>
                            <w:color w:val="231F20"/>
                            <w:sz w:val="24"/>
                          </w:rPr>
                          <w:t>通報系統</w:t>
                        </w:r>
                        <w:r>
                          <w:rPr>
                            <w:color w:val="231F20"/>
                            <w:w w:val="300"/>
                            <w:sz w:val="24"/>
                          </w:rPr>
                          <w:t>(</w:t>
                        </w:r>
                        <w:r>
                          <w:rPr>
                            <w:color w:val="231F20"/>
                            <w:w w:val="111"/>
                            <w:sz w:val="24"/>
                          </w:rPr>
                          <w:t>N</w:t>
                        </w:r>
                        <w:r>
                          <w:rPr>
                            <w:color w:val="231F20"/>
                            <w:w w:val="102"/>
                            <w:sz w:val="24"/>
                          </w:rPr>
                          <w:t>I</w:t>
                        </w:r>
                        <w:r>
                          <w:rPr>
                            <w:color w:val="231F20"/>
                            <w:w w:val="104"/>
                            <w:sz w:val="24"/>
                          </w:rPr>
                          <w:t>D</w:t>
                        </w:r>
                        <w:r>
                          <w:rPr>
                            <w:color w:val="231F20"/>
                            <w:w w:val="88"/>
                            <w:sz w:val="24"/>
                          </w:rPr>
                          <w:t>R</w:t>
                        </w:r>
                        <w:r>
                          <w:rPr>
                            <w:color w:val="231F20"/>
                            <w:w w:val="85"/>
                            <w:sz w:val="24"/>
                          </w:rPr>
                          <w:t>S</w:t>
                        </w:r>
                        <w:r>
                          <w:rPr>
                            <w:color w:val="231F20"/>
                            <w:w w:val="300"/>
                            <w:sz w:val="24"/>
                          </w:rPr>
                          <w:t>)</w:t>
                        </w:r>
                        <w:r>
                          <w:rPr>
                            <w:color w:val="231F20"/>
                            <w:sz w:val="24"/>
                          </w:rPr>
                          <w:t>：重要未完成工作－通</w:t>
                        </w:r>
                        <w:r>
                          <w:rPr>
                            <w:color w:val="231F20"/>
                            <w:w w:val="105"/>
                            <w:sz w:val="24"/>
                          </w:rPr>
                          <w:t>報資料補正警示」之資料補正作業</w:t>
                        </w:r>
                      </w:p>
                      <w:p>
                        <w:pPr>
                          <w:pStyle w:val="TableParagraph"/>
                          <w:spacing w:line="413"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每日確認 TB 系統尚待登記之通報資料</w:t>
                        </w:r>
                      </w:p>
                      <w:p>
                        <w:pPr>
                          <w:pStyle w:val="TableParagraph"/>
                          <w:spacing w:line="414" w:lineRule="exact" w:before="47"/>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個案登記作業</w:t>
                        </w:r>
                      </w:p>
                      <w:p>
                        <w:pPr>
                          <w:pStyle w:val="TableParagraph"/>
                          <w:numPr>
                            <w:ilvl w:val="0"/>
                            <w:numId w:val="65"/>
                          </w:numPr>
                          <w:tabs>
                            <w:tab w:pos="360" w:val="left" w:leader="none"/>
                          </w:tabs>
                          <w:spacing w:line="410" w:lineRule="exact" w:before="0" w:after="0"/>
                          <w:ind w:left="359" w:right="0" w:hanging="245"/>
                          <w:jc w:val="left"/>
                          <w:rPr>
                            <w:sz w:val="24"/>
                          </w:rPr>
                        </w:pPr>
                        <w:r>
                          <w:rPr>
                            <w:color w:val="231F20"/>
                            <w:sz w:val="24"/>
                          </w:rPr>
                          <w:t>結核病重開案</w:t>
                        </w:r>
                      </w:p>
                      <w:p>
                        <w:pPr>
                          <w:pStyle w:val="TableParagraph"/>
                          <w:spacing w:line="213" w:lineRule="auto" w:before="28"/>
                          <w:ind w:left="608" w:right="81" w:hanging="340"/>
                          <w:rPr>
                            <w:sz w:val="24"/>
                          </w:rPr>
                        </w:pPr>
                        <w:r>
                          <w:rPr>
                            <w:rFonts w:ascii="Wingdings" w:hAnsi="Wingdings" w:eastAsia="Wingdings"/>
                            <w:color w:val="231F20"/>
                            <w:w w:val="160"/>
                            <w:sz w:val="24"/>
                          </w:rPr>
                          <w:t>令</w:t>
                        </w:r>
                        <w:r>
                          <w:rPr>
                            <w:rFonts w:ascii="Times New Roman" w:hAnsi="Times New Roman" w:eastAsia="Times New Roman"/>
                            <w:color w:val="231F20"/>
                            <w:spacing w:val="67"/>
                            <w:w w:val="160"/>
                            <w:sz w:val="24"/>
                          </w:rPr>
                          <w:t> </w:t>
                        </w:r>
                        <w:r>
                          <w:rPr>
                            <w:color w:val="231F20"/>
                            <w:spacing w:val="12"/>
                            <w:sz w:val="24"/>
                          </w:rPr>
                          <w:t>確認結核病追蹤管理系統待判區是否尚有</w:t>
                        </w:r>
                        <w:r>
                          <w:rPr>
                            <w:color w:val="231F20"/>
                            <w:spacing w:val="-218"/>
                            <w:sz w:val="24"/>
                          </w:rPr>
                          <w:t>待</w:t>
                        </w:r>
                        <w:r>
                          <w:rPr>
                            <w:color w:val="231F20"/>
                            <w:sz w:val="24"/>
                          </w:rPr>
                          <w:t>補正資料或病例討論之個案</w:t>
                        </w:r>
                      </w:p>
                      <w:p>
                        <w:pPr>
                          <w:pStyle w:val="TableParagraph"/>
                          <w:spacing w:line="414" w:lineRule="exact" w:before="35"/>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補正檢驗資料</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召開病例討論會議並上傳病例討論回復單</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個案登記作業</w:t>
                        </w:r>
                      </w:p>
                      <w:p>
                        <w:pPr>
                          <w:pStyle w:val="TableParagraph"/>
                          <w:numPr>
                            <w:ilvl w:val="0"/>
                            <w:numId w:val="65"/>
                          </w:numPr>
                          <w:tabs>
                            <w:tab w:pos="360" w:val="left" w:leader="none"/>
                          </w:tabs>
                          <w:spacing w:line="410" w:lineRule="exact" w:before="0" w:after="0"/>
                          <w:ind w:left="359" w:right="0" w:hanging="245"/>
                          <w:jc w:val="left"/>
                          <w:rPr>
                            <w:sz w:val="24"/>
                          </w:rPr>
                        </w:pPr>
                        <w:r>
                          <w:rPr>
                            <w:color w:val="231F20"/>
                            <w:sz w:val="24"/>
                          </w:rPr>
                          <w:t>抗藥性結核病</w:t>
                        </w:r>
                      </w:p>
                      <w:p>
                        <w:pPr>
                          <w:pStyle w:val="TableParagraph"/>
                          <w:spacing w:line="410" w:lineRule="exact"/>
                          <w:ind w:left="268"/>
                          <w:rPr>
                            <w:sz w:val="24"/>
                          </w:rPr>
                        </w:pPr>
                        <w:r>
                          <w:rPr>
                            <w:rFonts w:ascii="Wingdings" w:hAnsi="Wingdings" w:eastAsia="Wingdings"/>
                            <w:color w:val="231F20"/>
                            <w:w w:val="145"/>
                            <w:sz w:val="24"/>
                          </w:rPr>
                          <w:t>令</w:t>
                        </w:r>
                        <w:r>
                          <w:rPr>
                            <w:rFonts w:ascii="Times New Roman" w:hAnsi="Times New Roman" w:eastAsia="Times New Roman"/>
                            <w:color w:val="231F20"/>
                            <w:spacing w:val="-44"/>
                            <w:w w:val="145"/>
                            <w:sz w:val="24"/>
                          </w:rPr>
                          <w:t> </w:t>
                        </w:r>
                        <w:r>
                          <w:rPr>
                            <w:color w:val="231F20"/>
                            <w:w w:val="105"/>
                            <w:sz w:val="24"/>
                          </w:rPr>
                          <w:t>確認疑似個案原始檢體陽性培養菌株已送驗</w:t>
                        </w:r>
                      </w:p>
                      <w:p>
                        <w:pPr>
                          <w:pStyle w:val="TableParagraph"/>
                          <w:spacing w:line="410"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10"/>
                            <w:sz w:val="24"/>
                          </w:rPr>
                          <w:t>確認檢驗報告符合</w:t>
                        </w:r>
                      </w:p>
                      <w:p>
                        <w:pPr>
                          <w:pStyle w:val="TableParagraph"/>
                          <w:spacing w:line="235" w:lineRule="auto" w:before="1"/>
                          <w:ind w:left="268" w:right="3379"/>
                          <w:rPr>
                            <w:sz w:val="24"/>
                          </w:rPr>
                        </w:pPr>
                        <w:r>
                          <w:rPr>
                            <w:rFonts w:ascii="Wingdings" w:hAnsi="Wingdings" w:eastAsia="Wingdings"/>
                            <w:color w:val="231F20"/>
                            <w:w w:val="150"/>
                            <w:sz w:val="24"/>
                          </w:rPr>
                          <w:t>令</w:t>
                        </w:r>
                        <w:r>
                          <w:rPr>
                            <w:rFonts w:ascii="Times New Roman" w:hAnsi="Times New Roman" w:eastAsia="Times New Roman"/>
                            <w:color w:val="231F20"/>
                            <w:w w:val="150"/>
                            <w:sz w:val="24"/>
                          </w:rPr>
                          <w:t> </w:t>
                        </w:r>
                        <w:r>
                          <w:rPr>
                            <w:color w:val="231F20"/>
                            <w:w w:val="105"/>
                            <w:sz w:val="24"/>
                          </w:rPr>
                          <w:t>RR-TB</w:t>
                        </w:r>
                        <w:r>
                          <w:rPr>
                            <w:color w:val="231F20"/>
                            <w:spacing w:val="-7"/>
                            <w:w w:val="105"/>
                            <w:sz w:val="24"/>
                          </w:rPr>
                          <w:t> 註記</w:t>
                        </w:r>
                        <w:r>
                          <w:rPr>
                            <w:rFonts w:ascii="Wingdings" w:hAnsi="Wingdings" w:eastAsia="Wingdings"/>
                            <w:color w:val="231F20"/>
                            <w:spacing w:val="-7"/>
                            <w:w w:val="150"/>
                            <w:sz w:val="24"/>
                          </w:rPr>
                          <w:t>令</w:t>
                        </w:r>
                        <w:r>
                          <w:rPr>
                            <w:rFonts w:ascii="Times New Roman" w:hAnsi="Times New Roman" w:eastAsia="Times New Roman"/>
                            <w:color w:val="231F20"/>
                            <w:spacing w:val="-7"/>
                            <w:w w:val="150"/>
                            <w:sz w:val="24"/>
                          </w:rPr>
                          <w:t> </w:t>
                        </w:r>
                        <w:r>
                          <w:rPr>
                            <w:color w:val="231F20"/>
                            <w:spacing w:val="-7"/>
                            <w:w w:val="105"/>
                            <w:sz w:val="24"/>
                          </w:rPr>
                          <w:t>MDR-TB</w:t>
                        </w:r>
                        <w:r>
                          <w:rPr>
                            <w:color w:val="231F20"/>
                            <w:spacing w:val="-12"/>
                            <w:w w:val="105"/>
                            <w:sz w:val="24"/>
                          </w:rPr>
                          <w:t> 註 </w:t>
                        </w:r>
                        <w:r>
                          <w:rPr>
                            <w:color w:val="231F20"/>
                            <w:spacing w:val="-228"/>
                            <w:w w:val="105"/>
                            <w:sz w:val="24"/>
                          </w:rPr>
                          <w:t>記</w:t>
                        </w:r>
                        <w:r>
                          <w:rPr>
                            <w:rFonts w:ascii="Wingdings" w:hAnsi="Wingdings" w:eastAsia="Wingdings"/>
                            <w:color w:val="231F20"/>
                            <w:w w:val="150"/>
                            <w:sz w:val="24"/>
                          </w:rPr>
                          <w:t>令</w:t>
                        </w:r>
                        <w:r>
                          <w:rPr>
                            <w:rFonts w:ascii="Times New Roman" w:hAnsi="Times New Roman" w:eastAsia="Times New Roman"/>
                            <w:color w:val="231F20"/>
                            <w:w w:val="150"/>
                            <w:sz w:val="24"/>
                          </w:rPr>
                          <w:t> </w:t>
                        </w:r>
                        <w:r>
                          <w:rPr>
                            <w:color w:val="231F20"/>
                            <w:w w:val="105"/>
                            <w:sz w:val="24"/>
                          </w:rPr>
                          <w:t>XDR-TB</w:t>
                        </w:r>
                        <w:r>
                          <w:rPr>
                            <w:color w:val="231F20"/>
                            <w:spacing w:val="-57"/>
                            <w:w w:val="105"/>
                            <w:sz w:val="24"/>
                          </w:rPr>
                          <w:t> 註記</w:t>
                        </w:r>
                      </w:p>
                      <w:p>
                        <w:pPr>
                          <w:pStyle w:val="TableParagraph"/>
                          <w:numPr>
                            <w:ilvl w:val="0"/>
                            <w:numId w:val="65"/>
                          </w:numPr>
                          <w:tabs>
                            <w:tab w:pos="360" w:val="left" w:leader="none"/>
                          </w:tabs>
                          <w:spacing w:line="410" w:lineRule="exact" w:before="0" w:after="0"/>
                          <w:ind w:left="359" w:right="0" w:hanging="245"/>
                          <w:jc w:val="left"/>
                          <w:rPr>
                            <w:sz w:val="24"/>
                          </w:rPr>
                        </w:pPr>
                        <w:r>
                          <w:rPr>
                            <w:color w:val="231F20"/>
                            <w:sz w:val="24"/>
                          </w:rPr>
                          <w:t>5</w:t>
                        </w:r>
                        <w:r>
                          <w:rPr>
                            <w:color w:val="231F20"/>
                            <w:spacing w:val="-3"/>
                            <w:sz w:val="24"/>
                          </w:rPr>
                          <w:t> 歲以下疑似個案</w:t>
                        </w:r>
                      </w:p>
                      <w:p>
                        <w:pPr>
                          <w:pStyle w:val="TableParagraph"/>
                          <w:spacing w:line="406" w:lineRule="exact"/>
                          <w:ind w:left="268"/>
                          <w:rPr>
                            <w:sz w:val="24"/>
                          </w:rPr>
                        </w:pPr>
                        <w:r>
                          <w:rPr>
                            <w:rFonts w:ascii="Wingdings" w:hAnsi="Wingdings" w:eastAsia="Wingdings"/>
                            <w:color w:val="231F20"/>
                            <w:w w:val="160"/>
                            <w:sz w:val="24"/>
                          </w:rPr>
                          <w:t>令</w:t>
                        </w:r>
                        <w:r>
                          <w:rPr>
                            <w:rFonts w:ascii="Times New Roman" w:hAnsi="Times New Roman" w:eastAsia="Times New Roman"/>
                            <w:color w:val="231F20"/>
                            <w:w w:val="160"/>
                            <w:sz w:val="24"/>
                          </w:rPr>
                          <w:t> </w:t>
                        </w:r>
                        <w:r>
                          <w:rPr>
                            <w:color w:val="231F20"/>
                            <w:w w:val="105"/>
                            <w:sz w:val="24"/>
                          </w:rPr>
                          <w:t>確認肺外病灶採檢並完成送驗鑑定</w:t>
                        </w:r>
                      </w:p>
                      <w:p>
                        <w:pPr>
                          <w:pStyle w:val="TableParagraph"/>
                          <w:spacing w:line="228" w:lineRule="auto" w:before="7"/>
                          <w:ind w:left="608" w:right="466" w:hanging="340"/>
                          <w:rPr>
                            <w:sz w:val="24"/>
                          </w:rPr>
                        </w:pPr>
                        <w:r>
                          <w:rPr>
                            <w:rFonts w:ascii="Wingdings" w:hAnsi="Wingdings" w:eastAsia="Wingdings"/>
                            <w:color w:val="231F20"/>
                            <w:w w:val="155"/>
                            <w:sz w:val="24"/>
                          </w:rPr>
                          <w:t>令</w:t>
                        </w:r>
                        <w:r>
                          <w:rPr>
                            <w:rFonts w:ascii="Times New Roman" w:hAnsi="Times New Roman" w:eastAsia="Times New Roman"/>
                            <w:color w:val="231F20"/>
                            <w:w w:val="155"/>
                            <w:sz w:val="24"/>
                          </w:rPr>
                          <w:t> </w:t>
                        </w:r>
                        <w:r>
                          <w:rPr>
                            <w:color w:val="231F20"/>
                            <w:spacing w:val="-3"/>
                            <w:sz w:val="24"/>
                          </w:rPr>
                          <w:t>確認檢驗報告鑑定結果為</w:t>
                        </w:r>
                        <w:r>
                          <w:rPr>
                            <w:color w:val="231F20"/>
                            <w:sz w:val="25"/>
                          </w:rPr>
                          <w:t>M</w:t>
                        </w:r>
                        <w:r>
                          <w:rPr>
                            <w:color w:val="231F20"/>
                            <w:spacing w:val="-4"/>
                            <w:sz w:val="25"/>
                          </w:rPr>
                          <w:t>. </w:t>
                        </w:r>
                        <w:r>
                          <w:rPr>
                            <w:color w:val="231F20"/>
                            <w:sz w:val="25"/>
                          </w:rPr>
                          <w:t>bovis</w:t>
                        </w:r>
                        <w:r>
                          <w:rPr>
                            <w:color w:val="231F20"/>
                            <w:spacing w:val="56"/>
                            <w:sz w:val="25"/>
                          </w:rPr>
                          <w:t> </w:t>
                        </w:r>
                        <w:r>
                          <w:rPr>
                            <w:color w:val="231F20"/>
                            <w:spacing w:val="-3"/>
                            <w:sz w:val="24"/>
                          </w:rPr>
                          <w:t>BCG</w:t>
                        </w:r>
                        <w:r>
                          <w:rPr>
                            <w:color w:val="231F20"/>
                            <w:spacing w:val="-131"/>
                            <w:sz w:val="24"/>
                          </w:rPr>
                          <w:t> 者</w:t>
                        </w:r>
                        <w:r>
                          <w:rPr>
                            <w:color w:val="231F20"/>
                            <w:spacing w:val="-1"/>
                            <w:sz w:val="24"/>
                          </w:rPr>
                          <w:t>( 或者醫師判定為卡介苗接種後不良反應者 )，排除診斷銷案並協助申請 </w:t>
                        </w:r>
                        <w:r>
                          <w:rPr>
                            <w:color w:val="231F20"/>
                            <w:sz w:val="24"/>
                          </w:rPr>
                          <w:t>VICP</w:t>
                        </w:r>
                      </w:p>
                    </w:tc>
                  </w:tr>
                  <w:tr>
                    <w:trPr>
                      <w:trHeight w:val="999"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13"/>
                          <w:rPr>
                            <w:rFonts w:ascii="微軟正黑體"/>
                            <w:b/>
                            <w:sz w:val="12"/>
                          </w:rPr>
                        </w:pPr>
                      </w:p>
                      <w:p>
                        <w:pPr>
                          <w:pStyle w:val="TableParagraph"/>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spacing w:before="13"/>
                          <w:rPr>
                            <w:rFonts w:ascii="微軟正黑體"/>
                            <w:b/>
                            <w:sz w:val="12"/>
                          </w:rPr>
                        </w:pPr>
                      </w:p>
                      <w:p>
                        <w:pPr>
                          <w:pStyle w:val="TableParagraph"/>
                          <w:ind w:right="317"/>
                          <w:jc w:val="right"/>
                          <w:rPr>
                            <w:rFonts w:ascii="新細明體" w:eastAsia="新細明體" w:hint="eastAsia"/>
                            <w:sz w:val="24"/>
                          </w:rPr>
                        </w:pPr>
                        <w:r>
                          <w:rPr>
                            <w:rFonts w:ascii="新細明體" w:eastAsia="新細明體" w:hint="eastAsia"/>
                            <w:color w:val="231F20"/>
                            <w:sz w:val="24"/>
                          </w:rPr>
                          <w:t>口</w:t>
                        </w:r>
                      </w:p>
                    </w:tc>
                    <w:tc>
                      <w:tcPr>
                        <w:tcW w:w="5496" w:type="dxa"/>
                        <w:vMerge/>
                        <w:tcBorders>
                          <w:top w:val="nil"/>
                        </w:tcBorders>
                      </w:tcPr>
                      <w:p>
                        <w:pPr>
                          <w:rPr>
                            <w:sz w:val="2"/>
                            <w:szCs w:val="2"/>
                          </w:rPr>
                        </w:pPr>
                      </w:p>
                    </w:tc>
                  </w:tr>
                  <w:tr>
                    <w:trPr>
                      <w:trHeight w:val="825"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6"/>
                          <w:rPr>
                            <w:rFonts w:ascii="微軟正黑體"/>
                            <w:b/>
                            <w:sz w:val="23"/>
                          </w:rPr>
                        </w:pPr>
                      </w:p>
                      <w:p>
                        <w:pPr>
                          <w:pStyle w:val="TableParagraph"/>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630"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60"/>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799"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13"/>
                          <w:rPr>
                            <w:rFonts w:ascii="微軟正黑體"/>
                            <w:b/>
                            <w:sz w:val="12"/>
                          </w:rPr>
                        </w:pPr>
                      </w:p>
                      <w:p>
                        <w:pPr>
                          <w:pStyle w:val="TableParagraph"/>
                          <w:spacing w:before="1"/>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594"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8"/>
                          <w:rPr>
                            <w:rFonts w:ascii="微軟正黑體"/>
                            <w:b/>
                            <w:sz w:val="12"/>
                          </w:rPr>
                        </w:pPr>
                      </w:p>
                      <w:p>
                        <w:pPr>
                          <w:pStyle w:val="TableParagraph"/>
                          <w:spacing w:before="1"/>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29"/>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599"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29"/>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599"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13"/>
                          <w:rPr>
                            <w:rFonts w:ascii="微軟正黑體"/>
                            <w:b/>
                            <w:sz w:val="12"/>
                          </w:rPr>
                        </w:pPr>
                      </w:p>
                      <w:p>
                        <w:pPr>
                          <w:pStyle w:val="TableParagraph"/>
                          <w:spacing w:before="1"/>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29"/>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spacing w:before="29"/>
                          <w:ind w:right="478"/>
                          <w:jc w:val="right"/>
                          <w:rPr>
                            <w:rFonts w:ascii="新細明體" w:eastAsia="新細明體" w:hint="eastAsia"/>
                            <w:sz w:val="24"/>
                          </w:rPr>
                        </w:pPr>
                        <w:r>
                          <w:rPr>
                            <w:rFonts w:ascii="新細明體" w:eastAsia="新細明體" w:hint="eastAsia"/>
                            <w:color w:val="231F20"/>
                            <w:sz w:val="24"/>
                          </w:rPr>
                          <w:t>口</w:t>
                        </w:r>
                      </w:p>
                    </w:tc>
                    <w:tc>
                      <w:tcPr>
                        <w:tcW w:w="1005"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394"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spacing w:before="29"/>
                          <w:ind w:right="478"/>
                          <w:jc w:val="right"/>
                          <w:rPr>
                            <w:rFonts w:ascii="新細明體" w:eastAsia="新細明體" w:hint="eastAsia"/>
                            <w:sz w:val="24"/>
                          </w:rPr>
                        </w:pPr>
                        <w:r>
                          <w:rPr>
                            <w:rFonts w:ascii="新細明體" w:eastAsia="新細明體" w:hint="eastAsia"/>
                            <w:color w:val="231F20"/>
                            <w:sz w:val="24"/>
                          </w:rPr>
                          <w:t>口</w:t>
                        </w:r>
                      </w:p>
                    </w:tc>
                    <w:tc>
                      <w:tcPr>
                        <w:tcW w:w="1005"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599" w:hRule="atLeast"/>
                    </w:trPr>
                    <w:tc>
                      <w:tcPr>
                        <w:tcW w:w="970" w:type="dxa"/>
                        <w:tcBorders>
                          <w:top w:val="nil"/>
                          <w:bottom w:val="nil"/>
                        </w:tcBorders>
                      </w:tcPr>
                      <w:p>
                        <w:pPr>
                          <w:pStyle w:val="TableParagraph"/>
                          <w:spacing w:before="29"/>
                          <w:ind w:left="14"/>
                          <w:jc w:val="center"/>
                          <w:rPr>
                            <w:rFonts w:ascii="新細明體" w:eastAsia="新細明體" w:hint="eastAsia"/>
                            <w:sz w:val="24"/>
                          </w:rPr>
                        </w:pPr>
                        <w:r>
                          <w:rPr>
                            <w:rFonts w:ascii="新細明體" w:eastAsia="新細明體" w:hint="eastAsia"/>
                            <w:color w:val="231F20"/>
                            <w:sz w:val="24"/>
                          </w:rPr>
                          <w:t>口</w:t>
                        </w: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rPr>
                            <w:rFonts w:ascii="Times New Roman"/>
                            <w:sz w:val="22"/>
                          </w:rPr>
                        </w:pP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599" w:hRule="atLeast"/>
                    </w:trPr>
                    <w:tc>
                      <w:tcPr>
                        <w:tcW w:w="970"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1005" w:type="dxa"/>
                        <w:tcBorders>
                          <w:top w:val="nil"/>
                          <w:bottom w:val="nil"/>
                        </w:tcBorders>
                      </w:tcPr>
                      <w:p>
                        <w:pPr>
                          <w:pStyle w:val="TableParagraph"/>
                          <w:spacing w:before="13"/>
                          <w:rPr>
                            <w:rFonts w:ascii="微軟正黑體"/>
                            <w:b/>
                            <w:sz w:val="12"/>
                          </w:rPr>
                        </w:pPr>
                      </w:p>
                      <w:p>
                        <w:pPr>
                          <w:pStyle w:val="TableParagraph"/>
                          <w:spacing w:before="1"/>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bottom w:val="nil"/>
                        </w:tcBorders>
                      </w:tcPr>
                      <w:p>
                        <w:pPr>
                          <w:pStyle w:val="TableParagraph"/>
                          <w:rPr>
                            <w:rFonts w:ascii="Times New Roman"/>
                            <w:sz w:val="22"/>
                          </w:rPr>
                        </w:pPr>
                      </w:p>
                    </w:tc>
                    <w:tc>
                      <w:tcPr>
                        <w:tcW w:w="5496" w:type="dxa"/>
                        <w:vMerge/>
                        <w:tcBorders>
                          <w:top w:val="nil"/>
                        </w:tcBorders>
                      </w:tcPr>
                      <w:p>
                        <w:pPr>
                          <w:rPr>
                            <w:sz w:val="2"/>
                            <w:szCs w:val="2"/>
                          </w:rPr>
                        </w:pPr>
                      </w:p>
                    </w:tc>
                  </w:tr>
                  <w:tr>
                    <w:trPr>
                      <w:trHeight w:val="1222" w:hRule="atLeast"/>
                    </w:trPr>
                    <w:tc>
                      <w:tcPr>
                        <w:tcW w:w="970" w:type="dxa"/>
                        <w:tcBorders>
                          <w:top w:val="nil"/>
                        </w:tcBorders>
                      </w:tcPr>
                      <w:p>
                        <w:pPr>
                          <w:pStyle w:val="TableParagraph"/>
                          <w:rPr>
                            <w:rFonts w:ascii="Times New Roman"/>
                            <w:sz w:val="22"/>
                          </w:rPr>
                        </w:pPr>
                      </w:p>
                    </w:tc>
                    <w:tc>
                      <w:tcPr>
                        <w:tcW w:w="1232" w:type="dxa"/>
                        <w:tcBorders>
                          <w:top w:val="nil"/>
                        </w:tcBorders>
                      </w:tcPr>
                      <w:p>
                        <w:pPr>
                          <w:pStyle w:val="TableParagraph"/>
                          <w:rPr>
                            <w:rFonts w:ascii="Times New Roman"/>
                            <w:sz w:val="22"/>
                          </w:rPr>
                        </w:pPr>
                      </w:p>
                    </w:tc>
                    <w:tc>
                      <w:tcPr>
                        <w:tcW w:w="1005" w:type="dxa"/>
                        <w:tcBorders>
                          <w:top w:val="nil"/>
                        </w:tcBorders>
                      </w:tcPr>
                      <w:p>
                        <w:pPr>
                          <w:pStyle w:val="TableParagraph"/>
                          <w:spacing w:before="29"/>
                          <w:ind w:left="16"/>
                          <w:jc w:val="center"/>
                          <w:rPr>
                            <w:rFonts w:ascii="新細明體" w:eastAsia="新細明體" w:hint="eastAsia"/>
                            <w:sz w:val="24"/>
                          </w:rPr>
                        </w:pPr>
                        <w:r>
                          <w:rPr>
                            <w:rFonts w:ascii="新細明體" w:eastAsia="新細明體" w:hint="eastAsia"/>
                            <w:color w:val="231F20"/>
                            <w:sz w:val="24"/>
                          </w:rPr>
                          <w:t>口</w:t>
                        </w:r>
                      </w:p>
                    </w:tc>
                    <w:tc>
                      <w:tcPr>
                        <w:tcW w:w="913" w:type="dxa"/>
                        <w:tcBorders>
                          <w:top w:val="nil"/>
                        </w:tcBorders>
                      </w:tcPr>
                      <w:p>
                        <w:pPr>
                          <w:pStyle w:val="TableParagraph"/>
                          <w:rPr>
                            <w:rFonts w:ascii="Times New Roman"/>
                            <w:sz w:val="22"/>
                          </w:rPr>
                        </w:pPr>
                      </w:p>
                    </w:tc>
                    <w:tc>
                      <w:tcPr>
                        <w:tcW w:w="5496" w:type="dxa"/>
                        <w:vMerge/>
                        <w:tcBorders>
                          <w:top w:val="nil"/>
                        </w:tcBorders>
                      </w:tcPr>
                      <w:p>
                        <w:pPr>
                          <w:rPr>
                            <w:sz w:val="2"/>
                            <w:szCs w:val="2"/>
                          </w:rPr>
                        </w:pPr>
                      </w:p>
                    </w:tc>
                  </w:tr>
                </w:tbl>
                <w:p>
                  <w:pPr>
                    <w:pStyle w:val="BodyText"/>
                  </w:pPr>
                </w:p>
              </w:txbxContent>
            </v:textbox>
            <w10:wrap type="none"/>
          </v:shape>
        </w:pict>
      </w:r>
      <w:r>
        <w:rPr>
          <w:color w:val="231F20"/>
        </w:rPr>
        <w:t>柒、結核病個案通報登記工作項目檢核表</w:t>
      </w:r>
    </w:p>
    <w:p>
      <w:pPr>
        <w:spacing w:after="0" w:line="240" w:lineRule="auto"/>
        <w:sectPr>
          <w:pgSz w:w="11910" w:h="16840"/>
          <w:pgMar w:top="1060" w:bottom="0" w:left="980" w:right="0"/>
        </w:sectPr>
      </w:pPr>
    </w:p>
    <w:p>
      <w:pPr>
        <w:spacing w:line="581" w:lineRule="exact" w:before="0"/>
        <w:ind w:left="3330" w:right="0" w:firstLine="0"/>
        <w:jc w:val="left"/>
        <w:rPr>
          <w:rFonts w:ascii="微軟正黑體" w:eastAsia="微軟正黑體" w:hint="eastAsia"/>
          <w:b/>
          <w:sz w:val="32"/>
        </w:rPr>
      </w:pPr>
      <w:r>
        <w:rPr>
          <w:rFonts w:ascii="微軟正黑體" w:eastAsia="微軟正黑體" w:hint="eastAsia"/>
          <w:b/>
          <w:color w:val="231F20"/>
          <w:sz w:val="32"/>
        </w:rPr>
        <w:t>第六章 結核病個案管理</w:t>
      </w:r>
    </w:p>
    <w:p>
      <w:pPr>
        <w:pStyle w:val="BodyText"/>
        <w:spacing w:before="3"/>
        <w:rPr>
          <w:rFonts w:ascii="微軟正黑體"/>
          <w:b/>
          <w:sz w:val="14"/>
        </w:rPr>
      </w:pPr>
    </w:p>
    <w:p>
      <w:pPr>
        <w:spacing w:line="436" w:lineRule="exact" w:before="39"/>
        <w:ind w:left="153" w:right="0" w:firstLine="0"/>
        <w:jc w:val="left"/>
        <w:rPr>
          <w:rFonts w:ascii="微軟正黑體" w:eastAsia="微軟正黑體" w:hint="eastAsia"/>
          <w:b/>
          <w:sz w:val="24"/>
        </w:rPr>
      </w:pPr>
      <w:r>
        <w:rPr>
          <w:rFonts w:ascii="微軟正黑體" w:eastAsia="微軟正黑體" w:hint="eastAsia"/>
          <w:b/>
          <w:color w:val="231F20"/>
          <w:sz w:val="24"/>
        </w:rPr>
        <w:t>壹、目的</w:t>
      </w:r>
    </w:p>
    <w:p>
      <w:pPr>
        <w:pStyle w:val="BodyText"/>
        <w:spacing w:line="413" w:lineRule="exact"/>
        <w:ind w:left="1116"/>
      </w:pPr>
      <w:r>
        <w:rPr>
          <w:color w:val="231F20"/>
        </w:rPr>
        <w:t>透過密切與醫療及檢驗等單位溝通聯繫及轉介，提供「以病人為中心」的「全人」</w:t>
      </w:r>
    </w:p>
    <w:p>
      <w:pPr>
        <w:pStyle w:val="BodyText"/>
        <w:spacing w:line="230" w:lineRule="auto"/>
        <w:ind w:left="635" w:right="1136"/>
        <w:jc w:val="both"/>
      </w:pPr>
      <w:r>
        <w:rPr/>
        <w:pict>
          <v:group style="position:absolute;margin-left:557.684509pt;margin-top:38.976948pt;width:37.35pt;height:663.55pt;mso-position-horizontal-relative:page;mso-position-vertical-relative:paragraph;z-index:251738112" coordorigin="11154,780" coordsize="747,13271">
            <v:shape style="position:absolute;left:11283;top:1290;width:438;height:12760" type="#_x0000_t75" stroked="false">
              <v:imagedata r:id="rId49" o:title=""/>
            </v:shape>
            <v:shape style="position:absolute;left:11153;top:779;width:747;height:812" coordorigin="11154,780" coordsize="747,812" path="m11900,780l11536,780,11514,782,11454,816,11188,1098,11154,1185,11162,1232,11454,1555,11514,1589,11536,1591,11900,1591,11900,780xe" filled="true" fillcolor="#7c8ac4" stroked="false">
              <v:path arrowok="t"/>
              <v:fill type="solid"/>
            </v:shape>
            <v:shape style="position:absolute;left:11307;top:1046;width:393;height:278" type="#_x0000_t75" stroked="false">
              <v:imagedata r:id="rId50" o:title=""/>
            </v:shape>
            <v:shape style="position:absolute;left:11378;top:1726;width:249;height:2257" type="#_x0000_t75" stroked="false">
              <v:imagedata r:id="rId51" o:title=""/>
            </v:shape>
            <v:shape style="position:absolute;left:11412;top:13488;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41</w:t>
                    </w:r>
                  </w:p>
                </w:txbxContent>
              </v:textbox>
              <w10:wrap type="none"/>
            </v:shape>
            <w10:wrap type="none"/>
          </v:group>
        </w:pict>
      </w:r>
      <w:r>
        <w:rPr>
          <w:color w:val="231F20"/>
        </w:rPr>
        <w:t>照護服務，於結核病個案治療期間，提高個案對結核病之認知、加速診斷的確立、陪伴其安心完成療程，並協助追蹤複查以評估治療成效等作為，確保個案完成治療，並降氐後續抗藥與復發之機會，終止結核菌傳播。</w:t>
      </w:r>
    </w:p>
    <w:p>
      <w:pPr>
        <w:pStyle w:val="BodyText"/>
        <w:spacing w:before="13"/>
        <w:rPr>
          <w:sz w:val="19"/>
        </w:rPr>
      </w:pPr>
    </w:p>
    <w:p>
      <w:pPr>
        <w:pStyle w:val="Heading2"/>
      </w:pPr>
      <w:r>
        <w:rPr>
          <w:color w:val="231F20"/>
        </w:rPr>
        <w:t>貳、一般管理程序與原則</w:t>
      </w:r>
    </w:p>
    <w:p>
      <w:pPr>
        <w:pStyle w:val="BodyText"/>
        <w:spacing w:line="404" w:lineRule="exact"/>
        <w:ind w:left="391"/>
      </w:pPr>
      <w:r>
        <w:rPr>
          <w:color w:val="231F20"/>
        </w:rPr>
        <w:t>＿、管理對象：所有完成通報登記之結核病個案。</w:t>
      </w:r>
    </w:p>
    <w:p>
      <w:pPr>
        <w:pStyle w:val="BodyText"/>
        <w:spacing w:line="230" w:lineRule="auto" w:before="3"/>
        <w:ind w:left="391" w:right="5485"/>
      </w:pPr>
      <w:r>
        <w:rPr>
          <w:color w:val="231F20"/>
        </w:rPr>
        <w:t>—、管理期間：自通報日起至完成銷案作業止。二、收案作業：</w:t>
      </w:r>
    </w:p>
    <w:p>
      <w:pPr>
        <w:pStyle w:val="BodyText"/>
        <w:tabs>
          <w:tab w:pos="1349" w:val="left" w:leader="none"/>
        </w:tabs>
        <w:spacing w:line="395" w:lineRule="exact"/>
        <w:ind w:left="629"/>
      </w:pPr>
      <w:r>
        <w:rPr>
          <w:color w:val="231F20"/>
          <w:spacing w:val="-5"/>
        </w:rPr>
        <w:t>( </w:t>
      </w:r>
      <w:r>
        <w:rPr>
          <w:color w:val="231F20"/>
        </w:rPr>
        <w:t>＿</w:t>
      </w:r>
      <w:r>
        <w:rPr>
          <w:color w:val="231F20"/>
          <w:spacing w:val="-4"/>
        </w:rPr>
        <w:t> )</w:t>
      </w:r>
      <w:r>
        <w:rPr>
          <w:color w:val="231F20"/>
        </w:rPr>
        <w:tab/>
        <w:t>收案管理單位：</w:t>
      </w:r>
    </w:p>
    <w:p>
      <w:pPr>
        <w:pStyle w:val="ListParagraph"/>
        <w:numPr>
          <w:ilvl w:val="0"/>
          <w:numId w:val="66"/>
        </w:numPr>
        <w:tabs>
          <w:tab w:pos="1350" w:val="left" w:leader="none"/>
        </w:tabs>
        <w:spacing w:line="230" w:lineRule="auto" w:before="2" w:after="0"/>
        <w:ind w:left="1349" w:right="1132" w:hanging="255"/>
        <w:jc w:val="both"/>
        <w:rPr>
          <w:sz w:val="24"/>
        </w:rPr>
      </w:pPr>
      <w:r>
        <w:rPr>
          <w:color w:val="231F20"/>
          <w:spacing w:val="4"/>
          <w:sz w:val="24"/>
        </w:rPr>
        <w:t>由個案居住地衛生所於通報後 </w:t>
      </w:r>
      <w:r>
        <w:rPr>
          <w:color w:val="231F20"/>
          <w:sz w:val="24"/>
        </w:rPr>
        <w:t>7</w:t>
      </w:r>
      <w:r>
        <w:rPr>
          <w:color w:val="231F20"/>
          <w:spacing w:val="5"/>
          <w:sz w:val="24"/>
        </w:rPr>
        <w:t> 個工作天內至結核病追蹤管理系統(下稱</w:t>
      </w:r>
      <w:r>
        <w:rPr>
          <w:color w:val="231F20"/>
          <w:sz w:val="24"/>
        </w:rPr>
        <w:t>TB</w:t>
      </w:r>
      <w:r>
        <w:rPr>
          <w:color w:val="231F20"/>
          <w:spacing w:val="17"/>
          <w:sz w:val="24"/>
        </w:rPr>
        <w:t> 系</w:t>
      </w:r>
      <w:r>
        <w:rPr>
          <w:color w:val="231F20"/>
          <w:spacing w:val="4"/>
          <w:sz w:val="24"/>
        </w:rPr>
        <w:t>統 網址：</w:t>
      </w:r>
      <w:r>
        <w:rPr>
          <w:color w:val="231F20"/>
          <w:sz w:val="24"/>
        </w:rPr>
        <w:t>https:／／tb2035.cdc.gov.tw</w:t>
      </w:r>
      <w:r>
        <w:rPr>
          <w:color w:val="231F20"/>
          <w:spacing w:val="-2"/>
          <w:sz w:val="24"/>
        </w:rPr>
        <w:t>)完成收案作業，或運用行動裝置登入行動</w:t>
      </w:r>
      <w:r>
        <w:rPr>
          <w:color w:val="231F20"/>
          <w:spacing w:val="6"/>
          <w:sz w:val="24"/>
        </w:rPr>
        <w:t>版網頁進行收案</w:t>
      </w:r>
      <w:r>
        <w:rPr>
          <w:color w:val="231F20"/>
          <w:spacing w:val="5"/>
          <w:w w:val="128"/>
          <w:sz w:val="24"/>
        </w:rPr>
        <w:t>(網址</w:t>
      </w:r>
      <w:r>
        <w:rPr>
          <w:color w:val="231F20"/>
          <w:sz w:val="24"/>
        </w:rPr>
        <w:t>：</w:t>
      </w:r>
      <w:r>
        <w:rPr>
          <w:color w:val="231F20"/>
          <w:w w:val="109"/>
          <w:sz w:val="24"/>
        </w:rPr>
        <w:t>h</w:t>
      </w:r>
      <w:r>
        <w:rPr>
          <w:color w:val="231F20"/>
          <w:w w:val="130"/>
          <w:sz w:val="24"/>
        </w:rPr>
        <w:t>tt</w:t>
      </w:r>
      <w:r>
        <w:rPr>
          <w:color w:val="231F20"/>
          <w:spacing w:val="-1"/>
          <w:w w:val="113"/>
          <w:sz w:val="24"/>
        </w:rPr>
        <w:t>p</w:t>
      </w:r>
      <w:r>
        <w:rPr>
          <w:color w:val="231F20"/>
          <w:spacing w:val="-1"/>
          <w:w w:val="91"/>
          <w:sz w:val="24"/>
        </w:rPr>
        <w:t>s</w:t>
      </w:r>
      <w:r>
        <w:rPr>
          <w:color w:val="231F20"/>
          <w:spacing w:val="-1"/>
          <w:w w:val="82"/>
          <w:sz w:val="24"/>
        </w:rPr>
        <w:t>:</w:t>
      </w:r>
      <w:r>
        <w:rPr>
          <w:color w:val="231F20"/>
          <w:w w:val="41"/>
          <w:sz w:val="24"/>
        </w:rPr>
        <w:t>／／</w:t>
      </w:r>
      <w:r>
        <w:rPr>
          <w:color w:val="231F20"/>
          <w:spacing w:val="-1"/>
          <w:w w:val="111"/>
          <w:sz w:val="24"/>
        </w:rPr>
        <w:t>m</w:t>
      </w:r>
      <w:r>
        <w:rPr>
          <w:color w:val="231F20"/>
          <w:w w:val="113"/>
          <w:sz w:val="24"/>
        </w:rPr>
        <w:t>o</w:t>
      </w:r>
      <w:r>
        <w:rPr>
          <w:color w:val="231F20"/>
          <w:spacing w:val="-1"/>
          <w:w w:val="105"/>
          <w:sz w:val="24"/>
        </w:rPr>
        <w:t>bile.cdc.go</w:t>
      </w:r>
      <w:r>
        <w:rPr>
          <w:color w:val="231F20"/>
          <w:spacing w:val="-17"/>
          <w:w w:val="105"/>
          <w:sz w:val="24"/>
        </w:rPr>
        <w:t>v</w:t>
      </w:r>
      <w:r>
        <w:rPr>
          <w:color w:val="231F20"/>
          <w:spacing w:val="-1"/>
          <w:w w:val="103"/>
          <w:sz w:val="24"/>
        </w:rPr>
        <w:t>.tw</w:t>
      </w:r>
      <w:r>
        <w:rPr>
          <w:color w:val="231F20"/>
          <w:spacing w:val="8"/>
          <w:w w:val="103"/>
          <w:sz w:val="24"/>
        </w:rPr>
        <w:t>，</w:t>
      </w:r>
      <w:r>
        <w:rPr>
          <w:color w:val="231F20"/>
          <w:spacing w:val="1"/>
          <w:sz w:val="24"/>
        </w:rPr>
        <w:t>下稱 </w:t>
      </w:r>
      <w:r>
        <w:rPr>
          <w:color w:val="231F20"/>
          <w:spacing w:val="-1"/>
          <w:w w:val="111"/>
          <w:sz w:val="24"/>
        </w:rPr>
        <w:t>mobil</w:t>
      </w:r>
      <w:r>
        <w:rPr>
          <w:color w:val="231F20"/>
          <w:w w:val="111"/>
          <w:sz w:val="24"/>
        </w:rPr>
        <w:t>e</w:t>
      </w:r>
      <w:r>
        <w:rPr>
          <w:color w:val="231F20"/>
          <w:spacing w:val="3"/>
          <w:sz w:val="24"/>
        </w:rPr>
        <w:t> 網頁</w:t>
      </w:r>
      <w:r>
        <w:rPr>
          <w:color w:val="231F20"/>
          <w:w w:val="300"/>
          <w:sz w:val="24"/>
        </w:rPr>
        <w:t>)</w:t>
      </w:r>
      <w:r>
        <w:rPr>
          <w:color w:val="231F20"/>
          <w:spacing w:val="4"/>
          <w:sz w:val="24"/>
        </w:rPr>
        <w:t>。如</w:t>
      </w:r>
      <w:r>
        <w:rPr>
          <w:color w:val="231F20"/>
          <w:sz w:val="24"/>
        </w:rPr>
        <w:t>通報地址非現住地，收案後移轉現住地續管，請參閱「遷出入作業須知」(附件</w:t>
      </w:r>
      <w:r>
        <w:rPr>
          <w:color w:val="231F20"/>
          <w:w w:val="110"/>
          <w:sz w:val="24"/>
        </w:rPr>
        <w:t>6-1)。</w:t>
      </w:r>
    </w:p>
    <w:p>
      <w:pPr>
        <w:pStyle w:val="ListParagraph"/>
        <w:numPr>
          <w:ilvl w:val="0"/>
          <w:numId w:val="66"/>
        </w:numPr>
        <w:tabs>
          <w:tab w:pos="1351" w:val="left" w:leader="none"/>
        </w:tabs>
        <w:spacing w:line="230" w:lineRule="auto" w:before="0" w:after="0"/>
        <w:ind w:left="1349" w:right="1131" w:hanging="255"/>
        <w:jc w:val="both"/>
        <w:rPr>
          <w:sz w:val="24"/>
        </w:rPr>
      </w:pPr>
      <w:r>
        <w:rPr>
          <w:color w:val="231F20"/>
          <w:spacing w:val="-1"/>
          <w:sz w:val="24"/>
        </w:rPr>
        <w:t>如經至少於不同日期實地訪查通報時的地址 </w:t>
      </w:r>
      <w:r>
        <w:rPr>
          <w:color w:val="231F20"/>
          <w:sz w:val="24"/>
        </w:rPr>
        <w:t>3</w:t>
      </w:r>
      <w:r>
        <w:rPr>
          <w:color w:val="231F20"/>
          <w:spacing w:val="-2"/>
          <w:sz w:val="24"/>
        </w:rPr>
        <w:t> 次，仍無法查明現住地，或戶籍地</w:t>
      </w:r>
      <w:r>
        <w:rPr>
          <w:color w:val="231F20"/>
          <w:sz w:val="24"/>
        </w:rPr>
        <w:t>無親友可聯絡時，應將訪查經過詳實紀錄於 TB</w:t>
      </w:r>
      <w:r>
        <w:rPr>
          <w:color w:val="231F20"/>
          <w:spacing w:val="-2"/>
          <w:sz w:val="24"/>
        </w:rPr>
        <w:t> 系統，於通報日起 </w:t>
      </w:r>
      <w:r>
        <w:rPr>
          <w:color w:val="231F20"/>
          <w:sz w:val="24"/>
        </w:rPr>
        <w:t>1</w:t>
      </w:r>
      <w:r>
        <w:rPr>
          <w:color w:val="231F20"/>
          <w:spacing w:val="-1"/>
          <w:sz w:val="24"/>
        </w:rPr>
        <w:t> 個月內遷移至戶籍地衛生所管理續查，超過 </w:t>
      </w:r>
      <w:r>
        <w:rPr>
          <w:color w:val="231F20"/>
          <w:sz w:val="24"/>
        </w:rPr>
        <w:t>1</w:t>
      </w:r>
      <w:r>
        <w:rPr>
          <w:color w:val="231F20"/>
          <w:spacing w:val="-2"/>
          <w:sz w:val="24"/>
        </w:rPr>
        <w:t> 個月未遷移者，即由原收案單位管理續查。</w:t>
      </w:r>
    </w:p>
    <w:p>
      <w:pPr>
        <w:pStyle w:val="BodyText"/>
        <w:spacing w:line="394" w:lineRule="exact"/>
        <w:ind w:left="629"/>
        <w:jc w:val="both"/>
      </w:pPr>
      <w:r>
        <w:rPr>
          <w:color w:val="231F20"/>
          <w:spacing w:val="-3"/>
        </w:rPr>
        <w:t>( — )   執行方式：</w:t>
      </w:r>
    </w:p>
    <w:p>
      <w:pPr>
        <w:pStyle w:val="BodyText"/>
        <w:spacing w:line="230" w:lineRule="auto"/>
        <w:ind w:left="629" w:right="3096" w:firstLine="719"/>
        <w:jc w:val="both"/>
      </w:pPr>
      <w:r>
        <w:rPr>
          <w:color w:val="231F20"/>
          <w:spacing w:val="-1"/>
        </w:rPr>
        <w:t>收案作業應以家訪為主，以便透過實體訪查，完成收案重點。</w:t>
      </w:r>
      <w:r>
        <w:rPr>
          <w:color w:val="231F20"/>
          <w:spacing w:val="-3"/>
        </w:rPr>
        <w:t>( 二 ) 收案重點：</w:t>
      </w:r>
    </w:p>
    <w:p>
      <w:pPr>
        <w:pStyle w:val="BodyText"/>
        <w:spacing w:line="230" w:lineRule="auto"/>
        <w:ind w:left="1349" w:right="1132"/>
        <w:jc w:val="both"/>
      </w:pPr>
      <w:r>
        <w:rPr>
          <w:color w:val="231F20"/>
        </w:rPr>
        <w:t>首次訪視個案應瞭解其結核病診療情形，並進＿步評估其身體、心理及社會之整體狀態，居家環境通風換氣情形與配合治療相關之需求，以掌握及規劃後續管理重點。另，透過收案期間與個案建立良好關係，將有助於後續追蹤、管理及接觸者調查作業，收案重點內容可另參考表 1。</w:t>
      </w:r>
    </w:p>
    <w:p>
      <w:pPr>
        <w:pStyle w:val="ListParagraph"/>
        <w:numPr>
          <w:ilvl w:val="0"/>
          <w:numId w:val="67"/>
        </w:numPr>
        <w:tabs>
          <w:tab w:pos="1350" w:val="left" w:leader="none"/>
        </w:tabs>
        <w:spacing w:line="392" w:lineRule="exact" w:before="0" w:after="0"/>
        <w:ind w:left="1349" w:right="0" w:hanging="256"/>
        <w:jc w:val="both"/>
        <w:rPr>
          <w:sz w:val="24"/>
        </w:rPr>
      </w:pPr>
      <w:r>
        <w:rPr>
          <w:color w:val="231F20"/>
          <w:sz w:val="24"/>
        </w:rPr>
        <w:t>疑似個案：</w:t>
      </w:r>
    </w:p>
    <w:p>
      <w:pPr>
        <w:pStyle w:val="ListParagraph"/>
        <w:numPr>
          <w:ilvl w:val="1"/>
          <w:numId w:val="67"/>
        </w:numPr>
        <w:tabs>
          <w:tab w:pos="1591" w:val="left" w:leader="none"/>
        </w:tabs>
        <w:spacing w:line="230" w:lineRule="auto" w:before="0" w:after="0"/>
        <w:ind w:left="1591" w:right="1123" w:hanging="355"/>
        <w:jc w:val="both"/>
        <w:rPr>
          <w:sz w:val="24"/>
        </w:rPr>
      </w:pPr>
      <w:r>
        <w:rPr>
          <w:color w:val="231F20"/>
          <w:spacing w:val="1"/>
          <w:w w:val="105"/>
          <w:sz w:val="24"/>
        </w:rPr>
        <w:t>需與臨床合作，協助疑似個案完成必要之相關檢驗(查)(例如：胸部</w:t>
      </w:r>
      <w:r>
        <w:rPr>
          <w:color w:val="231F20"/>
          <w:w w:val="105"/>
          <w:sz w:val="24"/>
        </w:rPr>
        <w:t>X</w:t>
      </w:r>
      <w:r>
        <w:rPr>
          <w:color w:val="231F20"/>
          <w:spacing w:val="18"/>
          <w:w w:val="105"/>
          <w:sz w:val="24"/>
        </w:rPr>
        <w:t> 光、</w:t>
      </w:r>
      <w:r>
        <w:rPr>
          <w:color w:val="231F20"/>
          <w:spacing w:val="4"/>
          <w:sz w:val="24"/>
        </w:rPr>
        <w:t>痰液塗片及培養等)，以利診斷之確立。(詳細內容請參閱「結核病診治指  </w:t>
      </w:r>
      <w:r>
        <w:rPr>
          <w:color w:val="231F20"/>
          <w:w w:val="110"/>
          <w:sz w:val="24"/>
        </w:rPr>
        <w:t>引」)</w:t>
      </w:r>
    </w:p>
    <w:p>
      <w:pPr>
        <w:pStyle w:val="ListParagraph"/>
        <w:numPr>
          <w:ilvl w:val="1"/>
          <w:numId w:val="67"/>
        </w:numPr>
        <w:tabs>
          <w:tab w:pos="1592" w:val="left" w:leader="none"/>
        </w:tabs>
        <w:spacing w:line="230" w:lineRule="auto" w:before="0" w:after="0"/>
        <w:ind w:left="1591" w:right="1137" w:hanging="355"/>
        <w:jc w:val="both"/>
        <w:rPr>
          <w:sz w:val="24"/>
        </w:rPr>
      </w:pPr>
      <w:r>
        <w:rPr>
          <w:color w:val="231F20"/>
          <w:spacing w:val="4"/>
          <w:sz w:val="24"/>
        </w:rPr>
        <w:t>疑似肺結核個案均建議進行核酸增幅</w:t>
      </w:r>
      <w:r>
        <w:rPr>
          <w:color w:val="231F20"/>
          <w:w w:val="300"/>
          <w:sz w:val="24"/>
        </w:rPr>
        <w:t>(</w:t>
      </w:r>
      <w:r>
        <w:rPr>
          <w:color w:val="231F20"/>
          <w:spacing w:val="-1"/>
          <w:w w:val="109"/>
          <w:sz w:val="24"/>
        </w:rPr>
        <w:t>nu</w:t>
      </w:r>
      <w:r>
        <w:rPr>
          <w:color w:val="231F20"/>
          <w:w w:val="99"/>
          <w:sz w:val="24"/>
        </w:rPr>
        <w:t>c</w:t>
      </w:r>
      <w:r>
        <w:rPr>
          <w:color w:val="231F20"/>
          <w:spacing w:val="-1"/>
          <w:w w:val="116"/>
          <w:sz w:val="24"/>
        </w:rPr>
        <w:t>l</w:t>
      </w:r>
      <w:r>
        <w:rPr>
          <w:color w:val="231F20"/>
          <w:w w:val="101"/>
          <w:sz w:val="24"/>
        </w:rPr>
        <w:t>e</w:t>
      </w:r>
      <w:r>
        <w:rPr>
          <w:color w:val="231F20"/>
          <w:spacing w:val="-1"/>
          <w:w w:val="116"/>
          <w:sz w:val="24"/>
        </w:rPr>
        <w:t>i</w:t>
      </w:r>
      <w:r>
        <w:rPr>
          <w:color w:val="231F20"/>
          <w:w w:val="99"/>
          <w:sz w:val="24"/>
        </w:rPr>
        <w:t>c</w:t>
      </w:r>
      <w:r>
        <w:rPr>
          <w:color w:val="231F20"/>
          <w:spacing w:val="14"/>
          <w:sz w:val="24"/>
        </w:rPr>
        <w:t> </w:t>
      </w:r>
      <w:r>
        <w:rPr>
          <w:color w:val="231F20"/>
          <w:spacing w:val="-1"/>
          <w:w w:val="98"/>
          <w:sz w:val="24"/>
        </w:rPr>
        <w:t>a</w:t>
      </w:r>
      <w:r>
        <w:rPr>
          <w:color w:val="231F20"/>
          <w:w w:val="99"/>
          <w:sz w:val="24"/>
        </w:rPr>
        <w:t>c</w:t>
      </w:r>
      <w:r>
        <w:rPr>
          <w:color w:val="231F20"/>
          <w:spacing w:val="-1"/>
          <w:w w:val="116"/>
          <w:sz w:val="24"/>
        </w:rPr>
        <w:t>i</w:t>
      </w:r>
      <w:r>
        <w:rPr>
          <w:color w:val="231F20"/>
          <w:w w:val="113"/>
          <w:sz w:val="24"/>
        </w:rPr>
        <w:t>d</w:t>
      </w:r>
      <w:r>
        <w:rPr>
          <w:color w:val="231F20"/>
          <w:spacing w:val="13"/>
          <w:sz w:val="24"/>
        </w:rPr>
        <w:t> </w:t>
      </w:r>
      <w:r>
        <w:rPr>
          <w:color w:val="231F20"/>
          <w:w w:val="98"/>
          <w:sz w:val="24"/>
        </w:rPr>
        <w:t>a</w:t>
      </w:r>
      <w:r>
        <w:rPr>
          <w:color w:val="231F20"/>
          <w:spacing w:val="-1"/>
          <w:w w:val="109"/>
          <w:sz w:val="24"/>
        </w:rPr>
        <w:t>mplification</w:t>
      </w:r>
      <w:r>
        <w:rPr>
          <w:color w:val="231F20"/>
          <w:w w:val="109"/>
          <w:sz w:val="24"/>
        </w:rPr>
        <w:t>,</w:t>
      </w:r>
      <w:r>
        <w:rPr>
          <w:color w:val="231F20"/>
          <w:spacing w:val="13"/>
          <w:sz w:val="24"/>
        </w:rPr>
        <w:t> </w:t>
      </w:r>
      <w:r>
        <w:rPr>
          <w:color w:val="231F20"/>
          <w:spacing w:val="-1"/>
          <w:w w:val="111"/>
          <w:sz w:val="24"/>
        </w:rPr>
        <w:t>N</w:t>
      </w:r>
      <w:r>
        <w:rPr>
          <w:color w:val="231F20"/>
          <w:w w:val="143"/>
          <w:sz w:val="24"/>
        </w:rPr>
        <w:t>AA</w:t>
      </w:r>
      <w:r>
        <w:rPr>
          <w:color w:val="231F20"/>
          <w:spacing w:val="5"/>
          <w:w w:val="143"/>
          <w:sz w:val="24"/>
        </w:rPr>
        <w:t>)</w:t>
      </w:r>
      <w:r>
        <w:rPr>
          <w:color w:val="231F20"/>
          <w:sz w:val="24"/>
        </w:rPr>
        <w:t>檢驗，依下列說明儘速與院所溝通送驗，並追蹤其結果，以有效縮短診斷時間。</w:t>
      </w:r>
    </w:p>
    <w:p>
      <w:pPr>
        <w:pStyle w:val="ListParagraph"/>
        <w:numPr>
          <w:ilvl w:val="2"/>
          <w:numId w:val="67"/>
        </w:numPr>
        <w:tabs>
          <w:tab w:pos="1837" w:val="left" w:leader="none"/>
        </w:tabs>
        <w:spacing w:line="230" w:lineRule="auto" w:before="0" w:after="0"/>
        <w:ind w:left="1836" w:right="1075" w:hanging="284"/>
        <w:jc w:val="both"/>
        <w:rPr>
          <w:sz w:val="24"/>
        </w:rPr>
      </w:pPr>
      <w:r>
        <w:rPr>
          <w:color w:val="231F20"/>
          <w:spacing w:val="3"/>
          <w:sz w:val="24"/>
        </w:rPr>
        <w:t>塗片陽性者，</w:t>
      </w:r>
      <w:r>
        <w:rPr>
          <w:color w:val="231F20"/>
          <w:sz w:val="24"/>
        </w:rPr>
        <w:t>NAA</w:t>
      </w:r>
      <w:r>
        <w:rPr>
          <w:color w:val="231F20"/>
          <w:spacing w:val="5"/>
          <w:sz w:val="24"/>
        </w:rPr>
        <w:t> 敏感度及特異性都很高，可提早區分結核菌或是非結核</w:t>
      </w:r>
      <w:r>
        <w:rPr>
          <w:color w:val="231F20"/>
          <w:spacing w:val="-12"/>
          <w:sz w:val="24"/>
        </w:rPr>
        <w:t>分枝桿菌</w:t>
      </w:r>
      <w:r>
        <w:rPr>
          <w:color w:val="231F20"/>
          <w:w w:val="133"/>
          <w:sz w:val="24"/>
        </w:rPr>
        <w:t>(NTM</w:t>
      </w:r>
      <w:r>
        <w:rPr>
          <w:color w:val="231F20"/>
          <w:spacing w:val="-46"/>
          <w:w w:val="300"/>
          <w:sz w:val="24"/>
        </w:rPr>
        <w:t>)</w:t>
      </w:r>
      <w:r>
        <w:rPr>
          <w:color w:val="231F20"/>
          <w:spacing w:val="-13"/>
          <w:sz w:val="24"/>
        </w:rPr>
        <w:t>，建議均應送驗，若未送驗應與診療醫師確認未送驗原因；</w:t>
      </w:r>
    </w:p>
    <w:p>
      <w:pPr>
        <w:spacing w:after="0" w:line="230" w:lineRule="auto"/>
        <w:jc w:val="both"/>
        <w:rPr>
          <w:sz w:val="24"/>
        </w:rPr>
        <w:sectPr>
          <w:pgSz w:w="11910" w:h="16840"/>
          <w:pgMar w:top="1060" w:bottom="0" w:left="980" w:right="0"/>
        </w:sectPr>
      </w:pPr>
    </w:p>
    <w:p>
      <w:pPr>
        <w:pStyle w:val="BodyText"/>
        <w:spacing w:line="230" w:lineRule="auto" w:before="70"/>
        <w:ind w:left="1836" w:right="1126"/>
        <w:jc w:val="both"/>
      </w:pPr>
      <w:r>
        <w:rPr/>
        <w:pict>
          <v:group style="position:absolute;margin-left:-.000001pt;margin-top:178.154007pt;width:37.35pt;height:663.55pt;mso-position-horizontal-relative:page;mso-position-vertical-relative:page;z-index:251740160"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53"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42</w:t>
                    </w:r>
                  </w:p>
                </w:txbxContent>
              </v:textbox>
              <w10:wrap type="none"/>
            </v:shape>
            <w10:wrap type="none"/>
          </v:group>
        </w:pict>
      </w:r>
      <w:r>
        <w:rPr>
          <w:color w:val="231F20"/>
        </w:rPr>
        <w:t>對於塗片陰性者，NAA 可以提供比塗片更高的敏感度，由診療醫師綜合評估是否檢驗。</w:t>
      </w:r>
    </w:p>
    <w:p>
      <w:pPr>
        <w:pStyle w:val="ListParagraph"/>
        <w:numPr>
          <w:ilvl w:val="2"/>
          <w:numId w:val="67"/>
        </w:numPr>
        <w:tabs>
          <w:tab w:pos="1836" w:val="left" w:leader="none"/>
        </w:tabs>
        <w:spacing w:line="230" w:lineRule="auto" w:before="0" w:after="0"/>
        <w:ind w:left="1836" w:right="1135" w:hanging="284"/>
        <w:jc w:val="both"/>
        <w:rPr>
          <w:sz w:val="24"/>
        </w:rPr>
      </w:pPr>
      <w:r>
        <w:rPr>
          <w:color w:val="231F20"/>
          <w:sz w:val="24"/>
        </w:rPr>
        <w:t>若使用快速分子診斷工具，如結核菌群與抗藥基因分子檢測</w:t>
      </w:r>
      <w:r>
        <w:rPr>
          <w:color w:val="231F20"/>
          <w:spacing w:val="1"/>
          <w:w w:val="120"/>
          <w:sz w:val="24"/>
        </w:rPr>
        <w:t>(詳見表</w:t>
      </w:r>
      <w:r>
        <w:rPr>
          <w:color w:val="231F20"/>
          <w:spacing w:val="-6"/>
          <w:sz w:val="24"/>
        </w:rPr>
        <w:t> </w:t>
      </w:r>
      <w:r>
        <w:rPr>
          <w:color w:val="231F20"/>
          <w:w w:val="104"/>
          <w:sz w:val="24"/>
        </w:rPr>
        <w:t>1</w:t>
      </w:r>
      <w:r>
        <w:rPr>
          <w:color w:val="231F20"/>
          <w:spacing w:val="2"/>
          <w:w w:val="300"/>
          <w:sz w:val="24"/>
        </w:rPr>
        <w:t>)</w:t>
      </w:r>
      <w:r>
        <w:rPr>
          <w:color w:val="231F20"/>
          <w:sz w:val="24"/>
        </w:rPr>
        <w:t>則</w:t>
      </w:r>
      <w:r>
        <w:rPr>
          <w:color w:val="231F20"/>
          <w:w w:val="110"/>
          <w:sz w:val="24"/>
        </w:rPr>
        <w:t>可及早診斷抗藥情形，提供有效用藥參考。</w:t>
      </w:r>
    </w:p>
    <w:p>
      <w:pPr>
        <w:pStyle w:val="ListParagraph"/>
        <w:numPr>
          <w:ilvl w:val="2"/>
          <w:numId w:val="67"/>
        </w:numPr>
        <w:tabs>
          <w:tab w:pos="1837" w:val="left" w:leader="none"/>
        </w:tabs>
        <w:spacing w:line="230" w:lineRule="auto" w:before="0" w:after="0"/>
        <w:ind w:left="1836" w:right="1132" w:hanging="284"/>
        <w:jc w:val="both"/>
        <w:rPr>
          <w:sz w:val="24"/>
        </w:rPr>
      </w:pPr>
      <w:r>
        <w:rPr>
          <w:color w:val="231F20"/>
          <w:spacing w:val="2"/>
          <w:sz w:val="24"/>
        </w:rPr>
        <w:t>疾管署快速分子檢測送驗對象(請參閱疾管署＞ 傳染病與防疫專題 ＞ 傳染</w:t>
      </w:r>
      <w:r>
        <w:rPr>
          <w:color w:val="231F20"/>
          <w:spacing w:val="-17"/>
          <w:sz w:val="24"/>
        </w:rPr>
        <w:t>病介紹 ＞ 第二類法定傳染病 ＞ 結核病 ＞ 防治政策 ＞ 抗藥性結核菌快速分子檢測對象)，符合者請儘速完成送驗作業。</w:t>
      </w:r>
    </w:p>
    <w:p>
      <w:pPr>
        <w:pStyle w:val="ListParagraph"/>
        <w:numPr>
          <w:ilvl w:val="1"/>
          <w:numId w:val="67"/>
        </w:numPr>
        <w:tabs>
          <w:tab w:pos="1592" w:val="left" w:leader="none"/>
        </w:tabs>
        <w:spacing w:line="230" w:lineRule="auto" w:before="0" w:after="0"/>
        <w:ind w:left="1591" w:right="1132" w:hanging="355"/>
        <w:jc w:val="both"/>
        <w:rPr>
          <w:sz w:val="24"/>
        </w:rPr>
      </w:pPr>
      <w:r>
        <w:rPr>
          <w:color w:val="231F20"/>
          <w:spacing w:val="-5"/>
          <w:sz w:val="24"/>
        </w:rPr>
        <w:t>目前 </w:t>
      </w:r>
      <w:r>
        <w:rPr>
          <w:color w:val="231F20"/>
          <w:sz w:val="24"/>
        </w:rPr>
        <w:t>TB</w:t>
      </w:r>
      <w:r>
        <w:rPr>
          <w:color w:val="231F20"/>
          <w:spacing w:val="-2"/>
          <w:sz w:val="24"/>
        </w:rPr>
        <w:t> 系統已將多項實驗室檢查結果自動帶入，符合以下確診定義者，系統</w:t>
      </w:r>
      <w:r>
        <w:rPr>
          <w:color w:val="231F20"/>
          <w:sz w:val="24"/>
        </w:rPr>
        <w:t>將自動判定確診狀態：</w:t>
      </w:r>
    </w:p>
    <w:p>
      <w:pPr>
        <w:pStyle w:val="ListParagraph"/>
        <w:numPr>
          <w:ilvl w:val="2"/>
          <w:numId w:val="67"/>
        </w:numPr>
        <w:tabs>
          <w:tab w:pos="1837" w:val="left" w:leader="none"/>
        </w:tabs>
        <w:spacing w:line="389" w:lineRule="exact" w:before="0" w:after="0"/>
        <w:ind w:left="1836" w:right="0" w:hanging="284"/>
        <w:jc w:val="both"/>
        <w:rPr>
          <w:sz w:val="24"/>
        </w:rPr>
      </w:pPr>
      <w:r>
        <w:rPr>
          <w:color w:val="231F20"/>
          <w:spacing w:val="-2"/>
          <w:w w:val="105"/>
          <w:sz w:val="24"/>
        </w:rPr>
        <w:t>塗片陽性且 </w:t>
      </w:r>
      <w:r>
        <w:rPr>
          <w:color w:val="231F20"/>
          <w:w w:val="105"/>
          <w:sz w:val="24"/>
        </w:rPr>
        <w:t>NAA</w:t>
      </w:r>
      <w:r>
        <w:rPr>
          <w:color w:val="231F20"/>
          <w:spacing w:val="-3"/>
          <w:w w:val="105"/>
          <w:sz w:val="24"/>
        </w:rPr>
        <w:t> 陽性。</w:t>
      </w:r>
    </w:p>
    <w:p>
      <w:pPr>
        <w:pStyle w:val="ListParagraph"/>
        <w:numPr>
          <w:ilvl w:val="2"/>
          <w:numId w:val="67"/>
        </w:numPr>
        <w:tabs>
          <w:tab w:pos="1836" w:val="left" w:leader="none"/>
        </w:tabs>
        <w:spacing w:line="228" w:lineRule="auto" w:before="0" w:after="0"/>
        <w:ind w:left="1836" w:right="1137" w:hanging="284"/>
        <w:jc w:val="both"/>
        <w:rPr>
          <w:sz w:val="24"/>
        </w:rPr>
      </w:pPr>
      <w:r>
        <w:rPr>
          <w:color w:val="231F20"/>
          <w:spacing w:val="-6"/>
          <w:sz w:val="24"/>
        </w:rPr>
        <w:t>培養陽性且鑑定為結核分枝桿菌屬</w:t>
      </w:r>
      <w:r>
        <w:rPr>
          <w:color w:val="231F20"/>
          <w:spacing w:val="-37"/>
          <w:w w:val="300"/>
          <w:sz w:val="24"/>
        </w:rPr>
        <w:t>(</w:t>
      </w:r>
      <w:r>
        <w:rPr>
          <w:color w:val="231F20"/>
          <w:spacing w:val="-3"/>
          <w:w w:val="106"/>
          <w:sz w:val="25"/>
        </w:rPr>
        <w:t>M</w:t>
      </w:r>
      <w:r>
        <w:rPr>
          <w:color w:val="231F20"/>
          <w:spacing w:val="-4"/>
          <w:w w:val="106"/>
          <w:sz w:val="25"/>
        </w:rPr>
        <w:t>y</w:t>
      </w:r>
      <w:r>
        <w:rPr>
          <w:color w:val="231F20"/>
          <w:spacing w:val="-3"/>
          <w:w w:val="104"/>
          <w:sz w:val="25"/>
        </w:rPr>
        <w:t>co</w:t>
      </w:r>
      <w:r>
        <w:rPr>
          <w:color w:val="231F20"/>
          <w:spacing w:val="-6"/>
          <w:w w:val="104"/>
          <w:sz w:val="25"/>
        </w:rPr>
        <w:t>b</w:t>
      </w:r>
      <w:r>
        <w:rPr>
          <w:color w:val="231F20"/>
          <w:spacing w:val="-3"/>
          <w:w w:val="94"/>
          <w:sz w:val="25"/>
        </w:rPr>
        <w:t>a</w:t>
      </w:r>
      <w:r>
        <w:rPr>
          <w:color w:val="231F20"/>
          <w:spacing w:val="-3"/>
          <w:w w:val="106"/>
          <w:sz w:val="25"/>
        </w:rPr>
        <w:t>c</w:t>
      </w:r>
      <w:r>
        <w:rPr>
          <w:color w:val="231F20"/>
          <w:spacing w:val="-5"/>
          <w:w w:val="106"/>
          <w:sz w:val="25"/>
        </w:rPr>
        <w:t>t</w:t>
      </w:r>
      <w:r>
        <w:rPr>
          <w:color w:val="231F20"/>
          <w:spacing w:val="-3"/>
          <w:w w:val="104"/>
          <w:sz w:val="25"/>
        </w:rPr>
        <w:t>eriu</w:t>
      </w:r>
      <w:r>
        <w:rPr>
          <w:color w:val="231F20"/>
          <w:w w:val="104"/>
          <w:sz w:val="25"/>
        </w:rPr>
        <w:t>m</w:t>
      </w:r>
      <w:r>
        <w:rPr>
          <w:color w:val="231F20"/>
          <w:spacing w:val="-15"/>
          <w:sz w:val="25"/>
        </w:rPr>
        <w:t> </w:t>
      </w:r>
      <w:r>
        <w:rPr>
          <w:color w:val="231F20"/>
          <w:spacing w:val="-3"/>
          <w:w w:val="106"/>
          <w:sz w:val="25"/>
        </w:rPr>
        <w:t>tube</w:t>
      </w:r>
      <w:r>
        <w:rPr>
          <w:color w:val="231F20"/>
          <w:spacing w:val="-6"/>
          <w:w w:val="106"/>
          <w:sz w:val="25"/>
        </w:rPr>
        <w:t>r</w:t>
      </w:r>
      <w:r>
        <w:rPr>
          <w:color w:val="231F20"/>
          <w:spacing w:val="-3"/>
          <w:w w:val="95"/>
          <w:sz w:val="25"/>
        </w:rPr>
        <w:t>c</w:t>
      </w:r>
      <w:r>
        <w:rPr>
          <w:color w:val="231F20"/>
          <w:spacing w:val="-3"/>
          <w:w w:val="100"/>
          <w:sz w:val="25"/>
        </w:rPr>
        <w:t>ulosi</w:t>
      </w:r>
      <w:r>
        <w:rPr>
          <w:color w:val="231F20"/>
          <w:w w:val="100"/>
          <w:sz w:val="25"/>
        </w:rPr>
        <w:t>s</w:t>
      </w:r>
      <w:r>
        <w:rPr>
          <w:color w:val="231F20"/>
          <w:spacing w:val="21"/>
          <w:sz w:val="25"/>
        </w:rPr>
        <w:t> </w:t>
      </w:r>
      <w:r>
        <w:rPr>
          <w:color w:val="231F20"/>
          <w:spacing w:val="-3"/>
          <w:w w:val="105"/>
          <w:sz w:val="24"/>
        </w:rPr>
        <w:t>complex,</w:t>
      </w:r>
      <w:r>
        <w:rPr>
          <w:color w:val="231F20"/>
          <w:spacing w:val="-4"/>
          <w:w w:val="105"/>
          <w:sz w:val="24"/>
        </w:rPr>
        <w:t>下稱 </w:t>
      </w:r>
      <w:r>
        <w:rPr>
          <w:color w:val="231F20"/>
          <w:w w:val="105"/>
          <w:sz w:val="24"/>
        </w:rPr>
        <w:t>MTBC)。</w:t>
      </w:r>
    </w:p>
    <w:p>
      <w:pPr>
        <w:pStyle w:val="ListParagraph"/>
        <w:numPr>
          <w:ilvl w:val="2"/>
          <w:numId w:val="67"/>
        </w:numPr>
        <w:tabs>
          <w:tab w:pos="1837" w:val="left" w:leader="none"/>
        </w:tabs>
        <w:spacing w:line="395" w:lineRule="exact" w:before="0" w:after="0"/>
        <w:ind w:left="1836" w:right="0" w:hanging="284"/>
        <w:jc w:val="both"/>
        <w:rPr>
          <w:sz w:val="24"/>
        </w:rPr>
      </w:pPr>
      <w:r>
        <w:rPr>
          <w:color w:val="231F20"/>
          <w:spacing w:val="-1"/>
          <w:sz w:val="24"/>
        </w:rPr>
        <w:t>接受抗結核藥物治療後，胸部 </w:t>
      </w:r>
      <w:r>
        <w:rPr>
          <w:color w:val="231F20"/>
          <w:sz w:val="24"/>
        </w:rPr>
        <w:t>X</w:t>
      </w:r>
      <w:r>
        <w:rPr>
          <w:color w:val="231F20"/>
          <w:spacing w:val="-3"/>
          <w:sz w:val="24"/>
        </w:rPr>
        <w:t> 光進步或臨床症狀改善。</w:t>
      </w:r>
    </w:p>
    <w:p>
      <w:pPr>
        <w:pStyle w:val="ListParagraph"/>
        <w:numPr>
          <w:ilvl w:val="1"/>
          <w:numId w:val="67"/>
        </w:numPr>
        <w:tabs>
          <w:tab w:pos="1595" w:val="left" w:leader="none"/>
        </w:tabs>
        <w:spacing w:line="230" w:lineRule="auto" w:before="0" w:after="0"/>
        <w:ind w:left="1591" w:right="1131" w:hanging="355"/>
        <w:jc w:val="both"/>
        <w:rPr>
          <w:sz w:val="24"/>
        </w:rPr>
      </w:pPr>
      <w:r>
        <w:rPr>
          <w:color w:val="231F20"/>
          <w:sz w:val="24"/>
        </w:rPr>
        <w:t>若缺乏相關檢查資料，公衛管理人員應積極追蹤，以利確診，痰液檢查結果如出現「汙染」或「有鑑定報告，但培養為陰性」等疑義，應立即向檢驗單位查詢及確認。</w:t>
      </w:r>
    </w:p>
    <w:p>
      <w:pPr>
        <w:pStyle w:val="BodyText"/>
        <w:spacing w:line="230" w:lineRule="auto"/>
        <w:ind w:left="1591" w:right="1135"/>
        <w:jc w:val="both"/>
      </w:pPr>
      <w:r>
        <w:rPr>
          <w:color w:val="231F20"/>
          <w:spacing w:val="-1"/>
        </w:rPr>
        <w:t>無細菌學證據者，儘速與診療醫師釐清個案接受抗結核藥物治療後胸部 </w:t>
      </w:r>
      <w:r>
        <w:rPr>
          <w:color w:val="231F20"/>
        </w:rPr>
        <w:t>X</w:t>
      </w:r>
      <w:r>
        <w:rPr>
          <w:color w:val="231F20"/>
          <w:spacing w:val="-8"/>
        </w:rPr>
        <w:t> 光檢</w:t>
      </w:r>
      <w:r>
        <w:rPr>
          <w:color w:val="231F20"/>
        </w:rPr>
        <w:t>查或臨床症狀改善情形，以利確診。</w:t>
      </w:r>
    </w:p>
    <w:p>
      <w:pPr>
        <w:pStyle w:val="ListParagraph"/>
        <w:numPr>
          <w:ilvl w:val="1"/>
          <w:numId w:val="67"/>
        </w:numPr>
        <w:tabs>
          <w:tab w:pos="1592" w:val="left" w:leader="none"/>
        </w:tabs>
        <w:spacing w:line="395" w:lineRule="exact" w:before="0" w:after="0"/>
        <w:ind w:left="1591" w:right="0" w:hanging="356"/>
        <w:jc w:val="both"/>
        <w:rPr>
          <w:sz w:val="24"/>
        </w:rPr>
      </w:pPr>
      <w:r>
        <w:rPr>
          <w:color w:val="231F20"/>
          <w:spacing w:val="5"/>
          <w:sz w:val="24"/>
        </w:rPr>
        <w:t>儘可能於通報後 </w:t>
      </w:r>
      <w:r>
        <w:rPr>
          <w:color w:val="231F20"/>
          <w:sz w:val="24"/>
        </w:rPr>
        <w:t>2</w:t>
      </w:r>
      <w:r>
        <w:rPr>
          <w:color w:val="231F20"/>
          <w:spacing w:val="3"/>
          <w:sz w:val="24"/>
        </w:rPr>
        <w:t> 個月內完成確診作業，必要時提送縣市「結核病診療諮詢</w:t>
      </w:r>
    </w:p>
    <w:p>
      <w:pPr>
        <w:pStyle w:val="BodyText"/>
        <w:spacing w:line="230" w:lineRule="auto"/>
        <w:ind w:left="1591" w:right="1133"/>
        <w:jc w:val="both"/>
      </w:pPr>
      <w:r>
        <w:rPr>
          <w:color w:val="231F20"/>
        </w:rPr>
        <w:t>\組」病例討論(下稱病例討論，詳細內容請另參考第十匹章「防治資源及診   </w:t>
      </w:r>
      <w:r>
        <w:rPr>
          <w:color w:val="231F20"/>
          <w:spacing w:val="3"/>
        </w:rPr>
        <w:t>療諮詢\</w:t>
      </w:r>
      <w:r>
        <w:rPr>
          <w:color w:val="231F20"/>
          <w:spacing w:val="1"/>
        </w:rPr>
        <w:t>組」</w:t>
      </w:r>
      <w:r>
        <w:rPr>
          <w:color w:val="231F20"/>
          <w:w w:val="280"/>
        </w:rPr>
        <w:t>)</w:t>
      </w:r>
      <w:r>
        <w:rPr>
          <w:color w:val="231F20"/>
          <w:spacing w:val="1"/>
        </w:rPr>
        <w:t>。如病例討論原因為「診斷疑義 </w:t>
      </w:r>
      <w:r>
        <w:rPr>
          <w:color w:val="231F20"/>
          <w:w w:val="80"/>
        </w:rPr>
        <w:t>」</w:t>
      </w:r>
      <w:r>
        <w:rPr>
          <w:color w:val="231F20"/>
          <w:spacing w:val="2"/>
        </w:rPr>
        <w:t>，經討論結果為「確定結核</w:t>
      </w:r>
      <w:r>
        <w:rPr>
          <w:color w:val="231F20"/>
          <w:spacing w:val="-1"/>
        </w:rPr>
        <w:t>病」、診療醫師同意委員建議且衛生局將「病例討論建議暨診療醫師回復單」</w:t>
      </w:r>
      <w:r>
        <w:rPr>
          <w:color w:val="231F20"/>
          <w:spacing w:val="-3"/>
        </w:rPr>
        <w:t>上傳 </w:t>
      </w:r>
      <w:r>
        <w:rPr>
          <w:color w:val="231F20"/>
        </w:rPr>
        <w:t>TB</w:t>
      </w:r>
      <w:r>
        <w:rPr>
          <w:color w:val="231F20"/>
          <w:spacing w:val="-3"/>
        </w:rPr>
        <w:t> 系統後，系統將自動判定確診狀況。</w:t>
      </w:r>
    </w:p>
    <w:p>
      <w:pPr>
        <w:pStyle w:val="ListParagraph"/>
        <w:numPr>
          <w:ilvl w:val="0"/>
          <w:numId w:val="67"/>
        </w:numPr>
        <w:tabs>
          <w:tab w:pos="1349" w:val="left" w:leader="none"/>
        </w:tabs>
        <w:spacing w:line="392" w:lineRule="exact" w:before="0" w:after="0"/>
        <w:ind w:left="1348" w:right="0" w:hanging="255"/>
        <w:jc w:val="both"/>
        <w:rPr>
          <w:sz w:val="24"/>
        </w:rPr>
      </w:pPr>
      <w:r>
        <w:rPr>
          <w:color w:val="231F20"/>
          <w:sz w:val="24"/>
        </w:rPr>
        <w:t>發放智慧關懷卡並說明使用方式。</w:t>
      </w:r>
    </w:p>
    <w:p>
      <w:pPr>
        <w:pStyle w:val="ListParagraph"/>
        <w:numPr>
          <w:ilvl w:val="0"/>
          <w:numId w:val="67"/>
        </w:numPr>
        <w:tabs>
          <w:tab w:pos="1350" w:val="left" w:leader="none"/>
        </w:tabs>
        <w:spacing w:line="230" w:lineRule="auto" w:before="0" w:after="0"/>
        <w:ind w:left="1349" w:right="1125" w:hanging="255"/>
        <w:jc w:val="left"/>
        <w:rPr>
          <w:sz w:val="24"/>
        </w:rPr>
      </w:pPr>
      <w:r>
        <w:rPr>
          <w:color w:val="231F20"/>
          <w:spacing w:val="1"/>
          <w:sz w:val="24"/>
        </w:rPr>
        <w:t>未滿 </w:t>
      </w:r>
      <w:r>
        <w:rPr>
          <w:color w:val="231F20"/>
          <w:sz w:val="24"/>
        </w:rPr>
        <w:t>5</w:t>
      </w:r>
      <w:r>
        <w:rPr>
          <w:color w:val="231F20"/>
          <w:spacing w:val="4"/>
          <w:sz w:val="24"/>
        </w:rPr>
        <w:t> 歲兒童，或痰塗片陽性且診療醫師認為其幾乎可確認為結核病而開始抗</w:t>
      </w:r>
      <w:r>
        <w:rPr>
          <w:color w:val="231F20"/>
          <w:sz w:val="24"/>
        </w:rPr>
        <w:t>結核藥物治療者，可及早辦理接觸者調查及檢查作業(詳細內容請參閱第十＿章</w:t>
      </w:r>
    </w:p>
    <w:p>
      <w:pPr>
        <w:pStyle w:val="BodyText"/>
        <w:spacing w:line="395" w:lineRule="exact"/>
        <w:ind w:left="1349"/>
      </w:pPr>
      <w:r>
        <w:rPr>
          <w:color w:val="231F20"/>
          <w:w w:val="105"/>
        </w:rPr>
        <w:t>「結核病接觸者追蹤管理」)。</w:t>
      </w:r>
    </w:p>
    <w:p>
      <w:pPr>
        <w:pStyle w:val="BodyText"/>
        <w:spacing w:line="230" w:lineRule="auto"/>
        <w:ind w:left="1349" w:right="1131" w:hanging="720"/>
        <w:jc w:val="both"/>
      </w:pPr>
      <w:r>
        <w:rPr>
          <w:color w:val="231F20"/>
        </w:rPr>
        <w:t>( 匹 ) 完成訪視後，將相關資料維護於 TB 系統</w:t>
      </w:r>
      <w:r>
        <w:rPr>
          <w:color w:val="231F20"/>
          <w:w w:val="130"/>
        </w:rPr>
        <w:t>(或</w:t>
      </w:r>
      <w:r>
        <w:rPr>
          <w:color w:val="231F20"/>
        </w:rPr>
        <w:t>mobile 網頁</w:t>
      </w:r>
      <w:r>
        <w:rPr>
          <w:color w:val="231F20"/>
          <w:w w:val="270"/>
        </w:rPr>
        <w:t>)</w:t>
      </w:r>
      <w:r>
        <w:rPr>
          <w:color w:val="231F20"/>
        </w:rPr>
        <w:t>之「收案訪視調查表」，收案超過 60 天(排除死亡、失聯)，訪視調查表中有聽力、辨色力、移</w:t>
      </w:r>
      <w:r>
        <w:rPr>
          <w:color w:val="231F20"/>
          <w:w w:val="95"/>
        </w:rPr>
        <w:t>工境外經常停留註記、發病症狀、共病及高風險等必填欄位任＿項未維護，TB   </w:t>
      </w:r>
      <w:r>
        <w:rPr>
          <w:color w:val="231F20"/>
        </w:rPr>
        <w:t>系統將提醒視為尚未完成訪視調查表。</w:t>
      </w:r>
    </w:p>
    <w:p>
      <w:pPr>
        <w:pStyle w:val="BodyText"/>
        <w:spacing w:line="392" w:lineRule="exact"/>
        <w:ind w:left="391"/>
      </w:pPr>
      <w:r>
        <w:rPr>
          <w:color w:val="231F20"/>
        </w:rPr>
        <w:t>匹、管理方式：</w:t>
      </w:r>
    </w:p>
    <w:p>
      <w:pPr>
        <w:pStyle w:val="BodyText"/>
        <w:tabs>
          <w:tab w:pos="1349" w:val="left" w:leader="none"/>
        </w:tabs>
        <w:spacing w:line="400" w:lineRule="exact"/>
        <w:ind w:left="629"/>
      </w:pPr>
      <w:r>
        <w:rPr>
          <w:color w:val="231F20"/>
          <w:spacing w:val="-5"/>
        </w:rPr>
        <w:t>( </w:t>
      </w:r>
      <w:r>
        <w:rPr>
          <w:color w:val="231F20"/>
        </w:rPr>
        <w:t>＿</w:t>
      </w:r>
      <w:r>
        <w:rPr>
          <w:color w:val="231F20"/>
          <w:spacing w:val="-4"/>
        </w:rPr>
        <w:t> )</w:t>
      </w:r>
      <w:r>
        <w:rPr>
          <w:color w:val="231F20"/>
        </w:rPr>
        <w:tab/>
        <w:t>訪視方式：</w:t>
      </w:r>
    </w:p>
    <w:p>
      <w:pPr>
        <w:pStyle w:val="ListParagraph"/>
        <w:numPr>
          <w:ilvl w:val="0"/>
          <w:numId w:val="68"/>
        </w:numPr>
        <w:tabs>
          <w:tab w:pos="1350" w:val="left" w:leader="none"/>
        </w:tabs>
        <w:spacing w:line="230" w:lineRule="auto" w:before="1" w:after="0"/>
        <w:ind w:left="1349" w:right="1132" w:hanging="255"/>
        <w:jc w:val="left"/>
        <w:rPr>
          <w:sz w:val="24"/>
        </w:rPr>
      </w:pPr>
      <w:r>
        <w:rPr>
          <w:color w:val="231F20"/>
          <w:sz w:val="24"/>
        </w:rPr>
        <w:t>以家(面)訪為原則，或視個案需求及服藥順從性等，運用不同形式，達到可客  </w:t>
      </w:r>
      <w:r>
        <w:rPr>
          <w:color w:val="231F20"/>
          <w:w w:val="105"/>
          <w:sz w:val="24"/>
        </w:rPr>
        <w:t>觀評估個案治療、服藥及副作用等狀態為原則。</w:t>
      </w:r>
    </w:p>
    <w:p>
      <w:pPr>
        <w:pStyle w:val="ListParagraph"/>
        <w:numPr>
          <w:ilvl w:val="0"/>
          <w:numId w:val="68"/>
        </w:numPr>
        <w:tabs>
          <w:tab w:pos="1349" w:val="left" w:leader="none"/>
        </w:tabs>
        <w:spacing w:line="404" w:lineRule="exact" w:before="0" w:after="0"/>
        <w:ind w:left="1348" w:right="0" w:hanging="255"/>
        <w:jc w:val="left"/>
        <w:rPr>
          <w:sz w:val="24"/>
        </w:rPr>
      </w:pPr>
      <w:r>
        <w:rPr>
          <w:color w:val="231F20"/>
          <w:sz w:val="24"/>
        </w:rPr>
        <w:t>未加入都治個案需以面訪方式進行訪視，以確認服藥狀態及副作用評估。</w:t>
      </w:r>
    </w:p>
    <w:p>
      <w:pPr>
        <w:spacing w:after="0" w:line="404" w:lineRule="exact"/>
        <w:jc w:val="left"/>
        <w:rPr>
          <w:sz w:val="24"/>
        </w:rPr>
        <w:sectPr>
          <w:pgSz w:w="11910" w:h="16840"/>
          <w:pgMar w:top="1060" w:bottom="0" w:left="980" w:right="0"/>
        </w:sectPr>
      </w:pPr>
    </w:p>
    <w:p>
      <w:pPr>
        <w:pStyle w:val="BodyText"/>
        <w:tabs>
          <w:tab w:pos="1349" w:val="left" w:leader="none"/>
        </w:tabs>
        <w:spacing w:line="409" w:lineRule="exact" w:before="59"/>
        <w:ind w:left="629"/>
      </w:pPr>
      <w:r>
        <w:rPr>
          <w:color w:val="231F20"/>
          <w:spacing w:val="-4"/>
        </w:rPr>
        <w:t>( — )</w:t>
      </w:r>
      <w:r>
        <w:rPr>
          <w:color w:val="231F20"/>
        </w:rPr>
        <w:tab/>
        <w:t>訪視頻率：依個案需求規劃訪視頻率，但至少應每月訪視＿次。</w:t>
      </w:r>
    </w:p>
    <w:p>
      <w:pPr>
        <w:pStyle w:val="BodyText"/>
        <w:tabs>
          <w:tab w:pos="1349" w:val="left" w:leader="none"/>
        </w:tabs>
        <w:spacing w:line="230" w:lineRule="auto" w:before="2"/>
        <w:ind w:left="1349" w:right="1131" w:hanging="720"/>
      </w:pPr>
      <w:r>
        <w:rPr>
          <w:color w:val="231F20"/>
        </w:rPr>
        <w:t>(</w:t>
      </w:r>
      <w:r>
        <w:rPr>
          <w:color w:val="231F20"/>
          <w:spacing w:val="-9"/>
        </w:rPr>
        <w:t> </w:t>
      </w:r>
      <w:r>
        <w:rPr>
          <w:color w:val="231F20"/>
        </w:rPr>
        <w:t>二</w:t>
      </w:r>
      <w:r>
        <w:rPr>
          <w:color w:val="231F20"/>
          <w:spacing w:val="-8"/>
        </w:rPr>
        <w:t> </w:t>
      </w:r>
      <w:r>
        <w:rPr>
          <w:color w:val="231F20"/>
        </w:rPr>
        <w:t>)</w:t>
        <w:tab/>
        <w:t>訪視對象：以個案本人為主，或對於個案治療決策具影響力之主要照顧者、資訊傳遞者或共同居住者等。</w:t>
      </w:r>
    </w:p>
    <w:p>
      <w:pPr>
        <w:pStyle w:val="BodyText"/>
        <w:tabs>
          <w:tab w:pos="1349" w:val="left" w:leader="none"/>
        </w:tabs>
        <w:spacing w:line="230" w:lineRule="auto"/>
        <w:ind w:left="635" w:right="1309" w:hanging="6"/>
      </w:pPr>
      <w:r>
        <w:rPr/>
        <w:pict>
          <v:group style="position:absolute;margin-left:557.684509pt;margin-top:61.64278pt;width:37.35pt;height:663.55pt;mso-position-horizontal-relative:page;mso-position-vertical-relative:paragraph;z-index:251742208" coordorigin="11154,1233" coordsize="747,13271">
            <v:shape style="position:absolute;left:11283;top:1744;width:438;height:12760" type="#_x0000_t75" stroked="false">
              <v:imagedata r:id="rId49" o:title=""/>
            </v:shape>
            <v:shape style="position:absolute;left:11153;top:1232;width:747;height:812" coordorigin="11154,1233" coordsize="747,812" path="m11900,1233l11536,1233,11514,1235,11454,1269,11188,1551,11154,1638,11162,1685,11454,2008,11514,2042,11536,2044,11900,2044,11900,1233xe" filled="true" fillcolor="#7c8ac4" stroked="false">
              <v:path arrowok="t"/>
              <v:fill type="solid"/>
            </v:shape>
            <v:shape style="position:absolute;left:11307;top:1499;width:393;height:278" type="#_x0000_t75" stroked="false">
              <v:imagedata r:id="rId55" o:title=""/>
            </v:shape>
            <v:shape style="position:absolute;left:11378;top:2179;width:249;height:2257" type="#_x0000_t75" stroked="false">
              <v:imagedata r:id="rId51" o:title=""/>
            </v:shape>
            <v:shape style="position:absolute;left:11412;top:1394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43</w:t>
                    </w:r>
                  </w:p>
                </w:txbxContent>
              </v:textbox>
              <w10:wrap type="none"/>
            </v:shape>
            <w10:wrap type="none"/>
          </v:group>
        </w:pict>
      </w:r>
      <w:r>
        <w:rPr/>
        <w:pict>
          <v:shape style="position:absolute;margin-left:80.752502pt;margin-top:37.950283pt;width:458pt;height:600.5pt;mso-position-horizontal-relative:page;mso-position-vertical-relative:paragraph;z-index:251743232"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138"/>
                  </w:tblGrid>
                  <w:tr>
                    <w:trPr>
                      <w:trHeight w:val="451" w:hRule="atLeast"/>
                    </w:trPr>
                    <w:tc>
                      <w:tcPr>
                        <w:tcW w:w="9138" w:type="dxa"/>
                        <w:shd w:val="clear" w:color="auto" w:fill="E6E7E8"/>
                      </w:tcPr>
                      <w:p>
                        <w:pPr>
                          <w:pStyle w:val="TableParagraph"/>
                          <w:spacing w:line="431" w:lineRule="exact"/>
                          <w:ind w:left="112"/>
                          <w:rPr>
                            <w:rFonts w:ascii="微軟正黑體" w:eastAsia="微軟正黑體" w:hint="eastAsia"/>
                            <w:b/>
                            <w:sz w:val="24"/>
                          </w:rPr>
                        </w:pPr>
                        <w:r>
                          <w:rPr>
                            <w:rFonts w:ascii="微軟正黑體" w:eastAsia="微軟正黑體" w:hint="eastAsia"/>
                            <w:b/>
                            <w:color w:val="231F20"/>
                            <w:sz w:val="24"/>
                          </w:rPr>
                          <w:t>A. 確認個案基本資料</w:t>
                        </w:r>
                      </w:p>
                    </w:tc>
                  </w:tr>
                  <w:tr>
                    <w:trPr>
                      <w:trHeight w:val="4849" w:hRule="atLeast"/>
                    </w:trPr>
                    <w:tc>
                      <w:tcPr>
                        <w:tcW w:w="9138" w:type="dxa"/>
                      </w:tcPr>
                      <w:p>
                        <w:pPr>
                          <w:pStyle w:val="TableParagraph"/>
                          <w:numPr>
                            <w:ilvl w:val="0"/>
                            <w:numId w:val="69"/>
                          </w:numPr>
                          <w:tabs>
                            <w:tab w:pos="357" w:val="left" w:leader="none"/>
                          </w:tabs>
                          <w:spacing w:line="230" w:lineRule="auto" w:before="43" w:after="0"/>
                          <w:ind w:left="356" w:right="95" w:hanging="244"/>
                          <w:jc w:val="both"/>
                          <w:rPr>
                            <w:sz w:val="24"/>
                          </w:rPr>
                        </w:pPr>
                        <w:r>
                          <w:rPr>
                            <w:color w:val="231F20"/>
                            <w:sz w:val="24"/>
                          </w:rPr>
                          <w:t>核對及詢問基本資料</w:t>
                        </w:r>
                        <w:r>
                          <w:rPr>
                            <w:color w:val="231F20"/>
                            <w:w w:val="280"/>
                            <w:sz w:val="24"/>
                          </w:rPr>
                          <w:t>(</w:t>
                        </w:r>
                        <w:r>
                          <w:rPr>
                            <w:color w:val="231F20"/>
                            <w:spacing w:val="-1"/>
                            <w:sz w:val="24"/>
                          </w:rPr>
                          <w:t>如：年齡、性別、體重、戶籍地、身分別 </w:t>
                        </w:r>
                        <w:r>
                          <w:rPr>
                            <w:color w:val="231F20"/>
                            <w:spacing w:val="1"/>
                            <w:w w:val="70"/>
                            <w:sz w:val="24"/>
                          </w:rPr>
                          <w:t>／ </w:t>
                        </w:r>
                        <w:r>
                          <w:rPr>
                            <w:color w:val="231F20"/>
                            <w:sz w:val="24"/>
                          </w:rPr>
                          <w:t>國籍別、職業及其形態、教育程度、經濟狀況、宗教信仰等)、可聯絡家屬或主要照顧者之姓名及</w:t>
                        </w:r>
                        <w:r>
                          <w:rPr>
                            <w:color w:val="231F20"/>
                            <w:spacing w:val="-2"/>
                            <w:sz w:val="24"/>
                          </w:rPr>
                          <w:t>電話、發病經過、結核病史 </w:t>
                        </w:r>
                        <w:r>
                          <w:rPr>
                            <w:color w:val="231F20"/>
                            <w:spacing w:val="2"/>
                            <w:w w:val="70"/>
                            <w:sz w:val="24"/>
                          </w:rPr>
                          <w:t>／ </w:t>
                        </w:r>
                        <w:r>
                          <w:rPr>
                            <w:color w:val="231F20"/>
                            <w:spacing w:val="-4"/>
                            <w:sz w:val="24"/>
                          </w:rPr>
                          <w:t>治療史 </w:t>
                        </w:r>
                        <w:r>
                          <w:rPr>
                            <w:color w:val="231F20"/>
                            <w:spacing w:val="2"/>
                            <w:w w:val="70"/>
                            <w:sz w:val="24"/>
                          </w:rPr>
                          <w:t>／ </w:t>
                        </w:r>
                        <w:r>
                          <w:rPr>
                            <w:color w:val="231F20"/>
                            <w:spacing w:val="-2"/>
                            <w:sz w:val="24"/>
                          </w:rPr>
                          <w:t>接觸史，及境外停留 </w:t>
                        </w:r>
                        <w:r>
                          <w:rPr>
                            <w:color w:val="231F20"/>
                            <w:spacing w:val="2"/>
                            <w:w w:val="70"/>
                            <w:sz w:val="24"/>
                          </w:rPr>
                          <w:t>／ </w:t>
                        </w:r>
                        <w:r>
                          <w:rPr>
                            <w:color w:val="231F20"/>
                            <w:sz w:val="24"/>
                          </w:rPr>
                          <w:t>旅遊史等。</w:t>
                        </w:r>
                      </w:p>
                      <w:p>
                        <w:pPr>
                          <w:pStyle w:val="TableParagraph"/>
                          <w:numPr>
                            <w:ilvl w:val="0"/>
                            <w:numId w:val="69"/>
                          </w:numPr>
                          <w:tabs>
                            <w:tab w:pos="357" w:val="left" w:leader="none"/>
                          </w:tabs>
                          <w:spacing w:line="230" w:lineRule="auto" w:before="0" w:after="0"/>
                          <w:ind w:left="356" w:right="89" w:hanging="244"/>
                          <w:jc w:val="both"/>
                          <w:rPr>
                            <w:sz w:val="24"/>
                          </w:rPr>
                        </w:pPr>
                        <w:r>
                          <w:rPr>
                            <w:color w:val="231F20"/>
                            <w:spacing w:val="3"/>
                            <w:sz w:val="24"/>
                          </w:rPr>
                          <w:t>確實維護個案通訊及活動地址資料</w:t>
                        </w:r>
                        <w:r>
                          <w:rPr>
                            <w:color w:val="231F20"/>
                            <w:spacing w:val="4"/>
                            <w:w w:val="275"/>
                            <w:sz w:val="24"/>
                          </w:rPr>
                          <w:t>(</w:t>
                        </w:r>
                        <w:r>
                          <w:rPr>
                            <w:color w:val="231F20"/>
                            <w:spacing w:val="1"/>
                            <w:sz w:val="24"/>
                          </w:rPr>
                          <w:t>勿寫非地址以外之備註)，藉由 </w:t>
                        </w:r>
                        <w:r>
                          <w:rPr>
                            <w:color w:val="231F20"/>
                            <w:sz w:val="24"/>
                          </w:rPr>
                          <w:t>TB</w:t>
                        </w:r>
                        <w:r>
                          <w:rPr>
                            <w:color w:val="231F20"/>
                            <w:spacing w:val="7"/>
                            <w:sz w:val="24"/>
                          </w:rPr>
                          <w:t> 系統 </w:t>
                        </w:r>
                        <w:r>
                          <w:rPr>
                            <w:color w:val="231F20"/>
                            <w:spacing w:val="14"/>
                            <w:w w:val="75"/>
                            <w:sz w:val="24"/>
                          </w:rPr>
                          <w:t>／ </w:t>
                        </w:r>
                        <w:r>
                          <w:rPr>
                            <w:color w:val="231F20"/>
                            <w:sz w:val="24"/>
                          </w:rPr>
                          <w:t>專案管理 </w:t>
                        </w:r>
                        <w:r>
                          <w:rPr>
                            <w:color w:val="231F20"/>
                            <w:spacing w:val="-1"/>
                            <w:w w:val="41"/>
                            <w:sz w:val="24"/>
                          </w:rPr>
                          <w:t>／</w:t>
                        </w:r>
                        <w:r>
                          <w:rPr>
                            <w:color w:val="231F20"/>
                            <w:w w:val="94"/>
                            <w:sz w:val="24"/>
                          </w:rPr>
                          <w:t>G</w:t>
                        </w:r>
                        <w:r>
                          <w:rPr>
                            <w:color w:val="231F20"/>
                            <w:spacing w:val="-1"/>
                            <w:w w:val="102"/>
                            <w:sz w:val="24"/>
                          </w:rPr>
                          <w:t>I</w:t>
                        </w:r>
                        <w:r>
                          <w:rPr>
                            <w:color w:val="231F20"/>
                            <w:w w:val="85"/>
                            <w:sz w:val="24"/>
                          </w:rPr>
                          <w:t>S</w:t>
                        </w:r>
                        <w:r>
                          <w:rPr>
                            <w:color w:val="231F20"/>
                            <w:sz w:val="24"/>
                          </w:rPr>
                          <w:t> 地址比對異常清單進行確認，如有比對地址異常，儘速進行修正，以利即時掌握疑似聚集事件。</w:t>
                        </w:r>
                      </w:p>
                      <w:p>
                        <w:pPr>
                          <w:pStyle w:val="TableParagraph"/>
                          <w:numPr>
                            <w:ilvl w:val="0"/>
                            <w:numId w:val="69"/>
                          </w:numPr>
                          <w:tabs>
                            <w:tab w:pos="357" w:val="left" w:leader="none"/>
                          </w:tabs>
                          <w:spacing w:line="230" w:lineRule="auto" w:before="0" w:after="0"/>
                          <w:ind w:left="356" w:right="89" w:hanging="244"/>
                          <w:jc w:val="both"/>
                          <w:rPr>
                            <w:sz w:val="24"/>
                          </w:rPr>
                        </w:pPr>
                        <w:r>
                          <w:rPr>
                            <w:color w:val="231F20"/>
                            <w:w w:val="105"/>
                            <w:sz w:val="24"/>
                          </w:rPr>
                          <w:t>確認個案是否屬於特定職業、族群，如教師(含校園工作者)、學生(含升學補習班)、醫護(含醫院工作者)、役男、軍人(含單位工作者)、監獄拘留所、人口   </w:t>
                        </w:r>
                        <w:r>
                          <w:rPr>
                            <w:color w:val="231F20"/>
                            <w:spacing w:val="5"/>
                            <w:sz w:val="24"/>
                          </w:rPr>
                          <w:t>密集機構、臨時工或畜牧 </w:t>
                        </w:r>
                        <w:r>
                          <w:rPr>
                            <w:color w:val="231F20"/>
                            <w:spacing w:val="5"/>
                            <w:w w:val="75"/>
                            <w:sz w:val="24"/>
                          </w:rPr>
                          <w:t>／ </w:t>
                        </w:r>
                        <w:r>
                          <w:rPr>
                            <w:color w:val="231F20"/>
                            <w:spacing w:val="2"/>
                            <w:sz w:val="24"/>
                          </w:rPr>
                          <w:t>屠宰業人員(牛、鹿、羊)者等，並於 </w:t>
                        </w:r>
                        <w:r>
                          <w:rPr>
                            <w:color w:val="231F20"/>
                            <w:sz w:val="24"/>
                          </w:rPr>
                          <w:t>TB</w:t>
                        </w:r>
                        <w:r>
                          <w:rPr>
                            <w:color w:val="231F20"/>
                            <w:spacing w:val="8"/>
                            <w:sz w:val="24"/>
                          </w:rPr>
                          <w:t> 系統確實維</w:t>
                        </w:r>
                        <w:r>
                          <w:rPr>
                            <w:color w:val="231F20"/>
                            <w:spacing w:val="-2"/>
                            <w:w w:val="105"/>
                            <w:sz w:val="24"/>
                          </w:rPr>
                          <w:t>護身分別、職場 </w:t>
                        </w:r>
                        <w:r>
                          <w:rPr>
                            <w:color w:val="231F20"/>
                            <w:spacing w:val="3"/>
                            <w:w w:val="75"/>
                            <w:sz w:val="24"/>
                          </w:rPr>
                          <w:t>／ </w:t>
                        </w:r>
                        <w:r>
                          <w:rPr>
                            <w:color w:val="231F20"/>
                            <w:w w:val="105"/>
                            <w:sz w:val="24"/>
                          </w:rPr>
                          <w:t>機構名稱及活動地址。</w:t>
                        </w:r>
                      </w:p>
                      <w:p>
                        <w:pPr>
                          <w:pStyle w:val="TableParagraph"/>
                          <w:numPr>
                            <w:ilvl w:val="0"/>
                            <w:numId w:val="69"/>
                          </w:numPr>
                          <w:tabs>
                            <w:tab w:pos="357" w:val="left" w:leader="none"/>
                          </w:tabs>
                          <w:spacing w:line="392" w:lineRule="exact" w:before="0" w:after="0"/>
                          <w:ind w:left="356" w:right="0" w:hanging="245"/>
                          <w:jc w:val="both"/>
                          <w:rPr>
                            <w:sz w:val="24"/>
                          </w:rPr>
                        </w:pPr>
                        <w:r>
                          <w:rPr>
                            <w:color w:val="231F20"/>
                            <w:sz w:val="24"/>
                          </w:rPr>
                          <w:t>身分別為移工者，提供翻譯人員說明留臺治療之權益，並享有與國人相同之公平待</w:t>
                        </w:r>
                      </w:p>
                      <w:p>
                        <w:pPr>
                          <w:pStyle w:val="TableParagraph"/>
                          <w:spacing w:line="391" w:lineRule="exact"/>
                          <w:ind w:left="356"/>
                          <w:jc w:val="both"/>
                          <w:rPr>
                            <w:sz w:val="24"/>
                          </w:rPr>
                        </w:pPr>
                        <w:r>
                          <w:rPr>
                            <w:color w:val="231F20"/>
                            <w:sz w:val="24"/>
                          </w:rPr>
                          <w:t>遇，且須於系統維護「是否申請留臺治療 」。</w:t>
                        </w:r>
                      </w:p>
                    </w:tc>
                  </w:tr>
                  <w:tr>
                    <w:trPr>
                      <w:trHeight w:val="451" w:hRule="atLeast"/>
                    </w:trPr>
                    <w:tc>
                      <w:tcPr>
                        <w:tcW w:w="9138" w:type="dxa"/>
                        <w:shd w:val="clear" w:color="auto" w:fill="E6E7E8"/>
                      </w:tcPr>
                      <w:p>
                        <w:pPr>
                          <w:pStyle w:val="TableParagraph"/>
                          <w:spacing w:line="431" w:lineRule="exact"/>
                          <w:ind w:left="112"/>
                          <w:rPr>
                            <w:rFonts w:ascii="微軟正黑體" w:eastAsia="微軟正黑體" w:hint="eastAsia"/>
                            <w:b/>
                            <w:sz w:val="24"/>
                          </w:rPr>
                        </w:pPr>
                        <w:r>
                          <w:rPr>
                            <w:rFonts w:ascii="微軟正黑體" w:eastAsia="微軟正黑體" w:hint="eastAsia"/>
                            <w:b/>
                            <w:color w:val="231F20"/>
                            <w:sz w:val="24"/>
                          </w:rPr>
                          <w:t>B. 釐清個案疾病診斷情形</w:t>
                        </w:r>
                      </w:p>
                    </w:tc>
                  </w:tr>
                  <w:tr>
                    <w:trPr>
                      <w:trHeight w:val="4449" w:hRule="atLeast"/>
                    </w:trPr>
                    <w:tc>
                      <w:tcPr>
                        <w:tcW w:w="9138" w:type="dxa"/>
                      </w:tcPr>
                      <w:p>
                        <w:pPr>
                          <w:pStyle w:val="TableParagraph"/>
                          <w:numPr>
                            <w:ilvl w:val="0"/>
                            <w:numId w:val="70"/>
                          </w:numPr>
                          <w:tabs>
                            <w:tab w:pos="357" w:val="left" w:leader="none"/>
                          </w:tabs>
                          <w:spacing w:line="230" w:lineRule="auto" w:before="43" w:after="0"/>
                          <w:ind w:left="356" w:right="37" w:hanging="244"/>
                          <w:jc w:val="both"/>
                          <w:rPr>
                            <w:sz w:val="24"/>
                          </w:rPr>
                        </w:pPr>
                        <w:r>
                          <w:rPr>
                            <w:color w:val="231F20"/>
                            <w:spacing w:val="4"/>
                            <w:w w:val="95"/>
                            <w:sz w:val="24"/>
                          </w:rPr>
                          <w:t>疾病狀態及各類檢體</w:t>
                        </w:r>
                        <w:r>
                          <w:rPr>
                            <w:color w:val="231F20"/>
                            <w:w w:val="70"/>
                            <w:sz w:val="24"/>
                          </w:rPr>
                          <w:t>／      </w:t>
                        </w:r>
                        <w:r>
                          <w:rPr>
                            <w:color w:val="231F20"/>
                            <w:spacing w:val="-10"/>
                            <w:w w:val="95"/>
                            <w:sz w:val="24"/>
                          </w:rPr>
                          <w:t>檢驗方式執行情形、檢查結果及藥物感受性試驗，請參考「圖 </w:t>
                        </w:r>
                        <w:r>
                          <w:rPr>
                            <w:color w:val="231F20"/>
                            <w:spacing w:val="-10"/>
                            <w:sz w:val="24"/>
                          </w:rPr>
                          <w:t>1</w:t>
                        </w:r>
                        <w:r>
                          <w:rPr>
                            <w:color w:val="231F20"/>
                            <w:spacing w:val="-8"/>
                            <w:sz w:val="24"/>
                          </w:rPr>
                          <w:t>、結核病檢驗項目與時程」，各項檢驗報告超出期限未有結果或報告結果有疑義， </w:t>
                        </w:r>
                        <w:r>
                          <w:rPr>
                            <w:color w:val="231F20"/>
                            <w:sz w:val="24"/>
                          </w:rPr>
                          <w:t>應主動追蹤及釐清。</w:t>
                        </w:r>
                      </w:p>
                      <w:p>
                        <w:pPr>
                          <w:pStyle w:val="TableParagraph"/>
                          <w:numPr>
                            <w:ilvl w:val="0"/>
                            <w:numId w:val="70"/>
                          </w:numPr>
                          <w:tabs>
                            <w:tab w:pos="357" w:val="left" w:leader="none"/>
                          </w:tabs>
                          <w:spacing w:line="394" w:lineRule="exact" w:before="0" w:after="0"/>
                          <w:ind w:left="356" w:right="0" w:hanging="245"/>
                          <w:jc w:val="both"/>
                          <w:rPr>
                            <w:sz w:val="24"/>
                          </w:rPr>
                        </w:pPr>
                        <w:r>
                          <w:rPr>
                            <w:color w:val="231F20"/>
                            <w:spacing w:val="-1"/>
                            <w:sz w:val="24"/>
                          </w:rPr>
                          <w:t>肺外結核病人需注意並於 </w:t>
                        </w:r>
                        <w:r>
                          <w:rPr>
                            <w:color w:val="231F20"/>
                            <w:sz w:val="24"/>
                          </w:rPr>
                          <w:t>TB</w:t>
                        </w:r>
                        <w:r>
                          <w:rPr>
                            <w:color w:val="231F20"/>
                            <w:spacing w:val="-3"/>
                            <w:sz w:val="24"/>
                          </w:rPr>
                          <w:t> 系統維護相關資料如下：</w:t>
                        </w:r>
                      </w:p>
                      <w:p>
                        <w:pPr>
                          <w:pStyle w:val="TableParagraph"/>
                          <w:numPr>
                            <w:ilvl w:val="1"/>
                            <w:numId w:val="70"/>
                          </w:numPr>
                          <w:tabs>
                            <w:tab w:pos="595" w:val="left" w:leader="none"/>
                          </w:tabs>
                          <w:spacing w:line="400" w:lineRule="exact" w:before="0" w:after="0"/>
                          <w:ind w:left="594" w:right="0" w:hanging="256"/>
                          <w:jc w:val="left"/>
                          <w:rPr>
                            <w:sz w:val="24"/>
                          </w:rPr>
                        </w:pPr>
                        <w:r>
                          <w:rPr>
                            <w:color w:val="231F20"/>
                            <w:spacing w:val="-1"/>
                            <w:sz w:val="24"/>
                          </w:rPr>
                          <w:t>確認是否合併肺內病灶，如：疑似合併肺內結核應進行胸部 </w:t>
                        </w:r>
                        <w:r>
                          <w:rPr>
                            <w:color w:val="231F20"/>
                            <w:sz w:val="24"/>
                          </w:rPr>
                          <w:t>X</w:t>
                        </w:r>
                        <w:r>
                          <w:rPr>
                            <w:color w:val="231F20"/>
                            <w:spacing w:val="-3"/>
                            <w:sz w:val="24"/>
                          </w:rPr>
                          <w:t> 光檢查及驗痰。</w:t>
                        </w:r>
                      </w:p>
                      <w:p>
                        <w:pPr>
                          <w:pStyle w:val="TableParagraph"/>
                          <w:numPr>
                            <w:ilvl w:val="1"/>
                            <w:numId w:val="70"/>
                          </w:numPr>
                          <w:tabs>
                            <w:tab w:pos="597" w:val="left" w:leader="none"/>
                          </w:tabs>
                          <w:spacing w:line="230" w:lineRule="auto" w:before="2" w:after="0"/>
                          <w:ind w:left="594" w:right="99" w:hanging="255"/>
                          <w:jc w:val="left"/>
                          <w:rPr>
                            <w:sz w:val="24"/>
                          </w:rPr>
                        </w:pPr>
                        <w:r>
                          <w:rPr>
                            <w:color w:val="231F20"/>
                            <w:sz w:val="24"/>
                          </w:rPr>
                          <w:t>肺外檢體(胸水、腦脊髓液、組織切片或其他)應進行結核分枝桿菌細菌學檢驗  </w:t>
                        </w:r>
                        <w:r>
                          <w:rPr>
                            <w:color w:val="231F20"/>
                            <w:w w:val="105"/>
                            <w:sz w:val="24"/>
                          </w:rPr>
                          <w:t>如：塗片、培養、NAA、組織培養等，以利確定診斷。</w:t>
                        </w:r>
                      </w:p>
                      <w:p>
                        <w:pPr>
                          <w:pStyle w:val="TableParagraph"/>
                          <w:numPr>
                            <w:ilvl w:val="1"/>
                            <w:numId w:val="70"/>
                          </w:numPr>
                          <w:tabs>
                            <w:tab w:pos="595" w:val="left" w:leader="none"/>
                          </w:tabs>
                          <w:spacing w:line="395" w:lineRule="exact" w:before="0" w:after="0"/>
                          <w:ind w:left="594" w:right="0" w:hanging="256"/>
                          <w:jc w:val="left"/>
                          <w:rPr>
                            <w:sz w:val="24"/>
                          </w:rPr>
                        </w:pPr>
                        <w:r>
                          <w:rPr>
                            <w:color w:val="231F20"/>
                            <w:spacing w:val="-1"/>
                            <w:w w:val="110"/>
                            <w:sz w:val="24"/>
                          </w:rPr>
                          <w:t>追蹤並上傳肺外檢體之病理報告(參考表 </w:t>
                        </w:r>
                        <w:r>
                          <w:rPr>
                            <w:color w:val="231F20"/>
                            <w:w w:val="120"/>
                            <w:sz w:val="24"/>
                          </w:rPr>
                          <w:t>2)。</w:t>
                        </w:r>
                      </w:p>
                      <w:p>
                        <w:pPr>
                          <w:pStyle w:val="TableParagraph"/>
                          <w:numPr>
                            <w:ilvl w:val="1"/>
                            <w:numId w:val="70"/>
                          </w:numPr>
                          <w:tabs>
                            <w:tab w:pos="595" w:val="left" w:leader="none"/>
                          </w:tabs>
                          <w:spacing w:line="400" w:lineRule="exact" w:before="0" w:after="0"/>
                          <w:ind w:left="594" w:right="0" w:hanging="256"/>
                          <w:jc w:val="left"/>
                          <w:rPr>
                            <w:sz w:val="24"/>
                          </w:rPr>
                        </w:pPr>
                        <w:r>
                          <w:rPr>
                            <w:color w:val="231F20"/>
                            <w:sz w:val="24"/>
                          </w:rPr>
                          <w:t>確認是否有肋膜積水。</w:t>
                        </w:r>
                      </w:p>
                      <w:p>
                        <w:pPr>
                          <w:pStyle w:val="TableParagraph"/>
                          <w:numPr>
                            <w:ilvl w:val="1"/>
                            <w:numId w:val="70"/>
                          </w:numPr>
                          <w:tabs>
                            <w:tab w:pos="597" w:val="left" w:leader="none"/>
                          </w:tabs>
                          <w:spacing w:line="400" w:lineRule="exact" w:before="0" w:after="0"/>
                          <w:ind w:left="596" w:right="0" w:hanging="258"/>
                          <w:jc w:val="left"/>
                          <w:rPr>
                            <w:sz w:val="24"/>
                          </w:rPr>
                        </w:pPr>
                        <w:r>
                          <w:rPr>
                            <w:color w:val="231F20"/>
                            <w:sz w:val="24"/>
                          </w:rPr>
                          <w:t>肺外部位請確實維護，肺外病灶超過＿處以上者，註記最嚴重部位，並於肺外說</w:t>
                        </w:r>
                      </w:p>
                      <w:p>
                        <w:pPr>
                          <w:pStyle w:val="TableParagraph"/>
                          <w:spacing w:line="391" w:lineRule="exact"/>
                          <w:ind w:left="594"/>
                          <w:rPr>
                            <w:sz w:val="24"/>
                          </w:rPr>
                        </w:pPr>
                        <w:r>
                          <w:rPr>
                            <w:color w:val="231F20"/>
                            <w:sz w:val="24"/>
                          </w:rPr>
                          <w:t>明欄位詳列其他所有肺外病灶部位。</w:t>
                        </w:r>
                      </w:p>
                    </w:tc>
                  </w:tr>
                  <w:tr>
                    <w:trPr>
                      <w:trHeight w:val="451" w:hRule="atLeast"/>
                    </w:trPr>
                    <w:tc>
                      <w:tcPr>
                        <w:tcW w:w="9138" w:type="dxa"/>
                        <w:shd w:val="clear" w:color="auto" w:fill="E6E7E8"/>
                      </w:tcPr>
                      <w:p>
                        <w:pPr>
                          <w:pStyle w:val="TableParagraph"/>
                          <w:spacing w:line="431" w:lineRule="exact"/>
                          <w:ind w:left="112"/>
                          <w:rPr>
                            <w:rFonts w:ascii="微軟正黑體" w:eastAsia="微軟正黑體" w:hint="eastAsia"/>
                            <w:b/>
                            <w:sz w:val="24"/>
                          </w:rPr>
                        </w:pPr>
                        <w:r>
                          <w:rPr>
                            <w:rFonts w:ascii="微軟正黑體" w:eastAsia="微軟正黑體" w:hint="eastAsia"/>
                            <w:b/>
                            <w:color w:val="231F20"/>
                            <w:sz w:val="24"/>
                          </w:rPr>
                          <w:t>C. 共病狀態及高風險因子調查</w:t>
                        </w:r>
                      </w:p>
                    </w:tc>
                  </w:tr>
                  <w:tr>
                    <w:trPr>
                      <w:trHeight w:val="1251" w:hRule="atLeast"/>
                    </w:trPr>
                    <w:tc>
                      <w:tcPr>
                        <w:tcW w:w="9138" w:type="dxa"/>
                      </w:tcPr>
                      <w:p>
                        <w:pPr>
                          <w:pStyle w:val="TableParagraph"/>
                          <w:numPr>
                            <w:ilvl w:val="0"/>
                            <w:numId w:val="71"/>
                          </w:numPr>
                          <w:tabs>
                            <w:tab w:pos="357" w:val="left" w:leader="none"/>
                          </w:tabs>
                          <w:spacing w:line="230" w:lineRule="auto" w:before="43" w:after="0"/>
                          <w:ind w:left="356" w:right="96" w:hanging="244"/>
                          <w:jc w:val="left"/>
                          <w:rPr>
                            <w:sz w:val="24"/>
                          </w:rPr>
                        </w:pPr>
                        <w:r>
                          <w:rPr>
                            <w:color w:val="231F20"/>
                            <w:spacing w:val="-2"/>
                            <w:sz w:val="24"/>
                          </w:rPr>
                          <w:t>糖尿病、腎臟病、癌症、使用免疫抑制劑、胃切除及</w:t>
                        </w:r>
                        <w:r>
                          <w:rPr>
                            <w:color w:val="231F20"/>
                            <w:sz w:val="24"/>
                          </w:rPr>
                          <w:t>HIV</w:t>
                        </w:r>
                        <w:r>
                          <w:rPr>
                            <w:color w:val="231F20"/>
                            <w:spacing w:val="-4"/>
                            <w:sz w:val="24"/>
                          </w:rPr>
                          <w:t> 等共病或有酒癮、曲菸、</w:t>
                        </w:r>
                        <w:r>
                          <w:rPr>
                            <w:color w:val="231F20"/>
                            <w:sz w:val="24"/>
                          </w:rPr>
                          <w:t>物質濫用等情形，將使結核病治療成效受到影響，部分共病之用藥或醫療處置，亦</w:t>
                        </w:r>
                      </w:p>
                      <w:p>
                        <w:pPr>
                          <w:pStyle w:val="TableParagraph"/>
                          <w:spacing w:line="386" w:lineRule="exact"/>
                          <w:ind w:left="356"/>
                          <w:rPr>
                            <w:sz w:val="24"/>
                          </w:rPr>
                        </w:pPr>
                        <w:r>
                          <w:rPr>
                            <w:color w:val="231F20"/>
                            <w:sz w:val="24"/>
                          </w:rPr>
                          <w:t>影響診療用藥之種類、劑量或頻次。</w:t>
                        </w:r>
                      </w:p>
                    </w:tc>
                  </w:tr>
                </w:tbl>
                <w:p>
                  <w:pPr>
                    <w:pStyle w:val="BodyText"/>
                  </w:pPr>
                </w:p>
              </w:txbxContent>
            </v:textbox>
            <w10:wrap type="none"/>
          </v:shape>
        </w:pict>
      </w:r>
      <w:r>
        <w:rPr>
          <w:color w:val="231F20"/>
          <w:w w:val="105"/>
        </w:rPr>
        <w:t>(</w:t>
      </w:r>
      <w:r>
        <w:rPr>
          <w:color w:val="231F20"/>
          <w:spacing w:val="-16"/>
          <w:w w:val="105"/>
        </w:rPr>
        <w:t> </w:t>
      </w:r>
      <w:r>
        <w:rPr>
          <w:color w:val="231F20"/>
          <w:w w:val="105"/>
        </w:rPr>
        <w:t>匹</w:t>
      </w:r>
      <w:r>
        <w:rPr>
          <w:color w:val="231F20"/>
          <w:spacing w:val="-15"/>
          <w:w w:val="105"/>
        </w:rPr>
        <w:t> </w:t>
      </w:r>
      <w:r>
        <w:rPr>
          <w:color w:val="231F20"/>
          <w:w w:val="105"/>
        </w:rPr>
        <w:t>)</w:t>
        <w:tab/>
        <w:t>訪視紀錄：訪視日期及內容記錄於</w:t>
      </w:r>
      <w:r>
        <w:rPr>
          <w:color w:val="231F20"/>
          <w:spacing w:val="-13"/>
          <w:w w:val="105"/>
        </w:rPr>
        <w:t> </w:t>
      </w:r>
      <w:r>
        <w:rPr>
          <w:color w:val="231F20"/>
          <w:w w:val="105"/>
        </w:rPr>
        <w:t>TB</w:t>
      </w:r>
      <w:r>
        <w:rPr>
          <w:color w:val="231F20"/>
          <w:spacing w:val="-13"/>
          <w:w w:val="105"/>
        </w:rPr>
        <w:t> </w:t>
      </w:r>
      <w:r>
        <w:rPr>
          <w:color w:val="231F20"/>
          <w:w w:val="105"/>
        </w:rPr>
        <w:t>系統(或</w:t>
      </w:r>
      <w:r>
        <w:rPr>
          <w:color w:val="231F20"/>
          <w:spacing w:val="-14"/>
          <w:w w:val="105"/>
        </w:rPr>
        <w:t> </w:t>
      </w:r>
      <w:r>
        <w:rPr>
          <w:color w:val="231F20"/>
          <w:w w:val="105"/>
        </w:rPr>
        <w:t>mobile</w:t>
      </w:r>
      <w:r>
        <w:rPr>
          <w:color w:val="231F20"/>
          <w:spacing w:val="-13"/>
          <w:w w:val="105"/>
        </w:rPr>
        <w:t> </w:t>
      </w:r>
      <w:r>
        <w:rPr>
          <w:color w:val="231F20"/>
          <w:w w:val="105"/>
        </w:rPr>
        <w:t>網頁)地段訪視日誌</w:t>
      </w:r>
      <w:r>
        <w:rPr>
          <w:color w:val="231F20"/>
          <w:spacing w:val="-15"/>
          <w:w w:val="105"/>
        </w:rPr>
        <w:t>。</w:t>
      </w:r>
      <w:r>
        <w:rPr>
          <w:color w:val="231F20"/>
          <w:w w:val="105"/>
        </w:rPr>
        <w:t>表</w:t>
      </w:r>
      <w:r>
        <w:rPr>
          <w:color w:val="231F20"/>
          <w:spacing w:val="-12"/>
          <w:w w:val="105"/>
        </w:rPr>
        <w:t> </w:t>
      </w:r>
      <w:r>
        <w:rPr>
          <w:color w:val="231F20"/>
          <w:w w:val="105"/>
        </w:rPr>
        <w:t>1、結核病個案收案重點</w:t>
      </w:r>
    </w:p>
    <w:p>
      <w:pPr>
        <w:spacing w:after="0" w:line="230" w:lineRule="auto"/>
        <w:sectPr>
          <w:pgSz w:w="11910" w:h="16840"/>
          <w:pgMar w:top="1060" w:bottom="0" w:left="980" w:right="0"/>
        </w:sectPr>
      </w:pPr>
    </w:p>
    <w:tbl>
      <w:tblPr>
        <w:tblW w:w="0" w:type="auto"/>
        <w:jc w:val="left"/>
        <w:tblInd w:w="650"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138"/>
      </w:tblGrid>
      <w:tr>
        <w:trPr>
          <w:trHeight w:val="451" w:hRule="atLeast"/>
        </w:trPr>
        <w:tc>
          <w:tcPr>
            <w:tcW w:w="9138" w:type="dxa"/>
            <w:shd w:val="clear" w:color="auto" w:fill="E6E7E8"/>
          </w:tcPr>
          <w:p>
            <w:pPr>
              <w:pStyle w:val="TableParagraph"/>
              <w:spacing w:line="432" w:lineRule="exact"/>
              <w:ind w:left="112"/>
              <w:rPr>
                <w:rFonts w:ascii="微軟正黑體" w:eastAsia="微軟正黑體" w:hint="eastAsia"/>
                <w:b/>
                <w:sz w:val="24"/>
              </w:rPr>
            </w:pPr>
            <w:r>
              <w:rPr>
                <w:rFonts w:ascii="微軟正黑體" w:eastAsia="微軟正黑體" w:hint="eastAsia"/>
                <w:b/>
                <w:color w:val="231F20"/>
                <w:sz w:val="24"/>
              </w:rPr>
              <w:t>C. 共病狀態及高風險因子調查</w:t>
            </w:r>
          </w:p>
        </w:tc>
      </w:tr>
      <w:tr>
        <w:trPr>
          <w:trHeight w:val="8048" w:hRule="atLeast"/>
        </w:trPr>
        <w:tc>
          <w:tcPr>
            <w:tcW w:w="9138" w:type="dxa"/>
          </w:tcPr>
          <w:p>
            <w:pPr>
              <w:pStyle w:val="TableParagraph"/>
              <w:numPr>
                <w:ilvl w:val="0"/>
                <w:numId w:val="72"/>
              </w:numPr>
              <w:tabs>
                <w:tab w:pos="357" w:val="left" w:leader="none"/>
              </w:tabs>
              <w:spacing w:line="230" w:lineRule="auto" w:before="36" w:after="0"/>
              <w:ind w:left="356" w:right="93" w:hanging="244"/>
              <w:jc w:val="both"/>
              <w:rPr>
                <w:sz w:val="24"/>
              </w:rPr>
            </w:pPr>
            <w:r>
              <w:rPr>
                <w:color w:val="231F20"/>
                <w:sz w:val="24"/>
              </w:rPr>
              <w:t>確認個案通報時是否處於懷孕(應進＿步確認預產期)或產後  3  個月內之狀態，以避免母子垂直感染結核病的可能性，掌握新生兒出生時程，以及早轉介潛伏結核感</w:t>
            </w:r>
            <w:r>
              <w:rPr>
                <w:color w:val="231F20"/>
                <w:spacing w:val="14"/>
                <w:sz w:val="24"/>
              </w:rPr>
              <w:t>染(簡稱</w:t>
            </w:r>
            <w:r>
              <w:rPr>
                <w:color w:val="231F20"/>
                <w:spacing w:val="-4"/>
                <w:sz w:val="24"/>
              </w:rPr>
              <w:t>LTBI)</w:t>
            </w:r>
            <w:r>
              <w:rPr>
                <w:color w:val="231F20"/>
                <w:sz w:val="24"/>
              </w:rPr>
              <w:t>合作醫師提供必要之評估與治療。</w:t>
            </w:r>
          </w:p>
          <w:p>
            <w:pPr>
              <w:pStyle w:val="TableParagraph"/>
              <w:numPr>
                <w:ilvl w:val="0"/>
                <w:numId w:val="72"/>
              </w:numPr>
              <w:tabs>
                <w:tab w:pos="357" w:val="left" w:leader="none"/>
              </w:tabs>
              <w:spacing w:line="394" w:lineRule="exact" w:before="0" w:after="0"/>
              <w:ind w:left="356" w:right="0" w:hanging="245"/>
              <w:jc w:val="both"/>
              <w:rPr>
                <w:sz w:val="24"/>
              </w:rPr>
            </w:pPr>
            <w:r>
              <w:rPr>
                <w:color w:val="231F20"/>
                <w:sz w:val="24"/>
              </w:rPr>
              <w:t>確認是否符合快速分子檢測送驗對象：</w:t>
            </w:r>
          </w:p>
          <w:p>
            <w:pPr>
              <w:pStyle w:val="TableParagraph"/>
              <w:numPr>
                <w:ilvl w:val="1"/>
                <w:numId w:val="72"/>
              </w:numPr>
              <w:tabs>
                <w:tab w:pos="595" w:val="left" w:leader="none"/>
              </w:tabs>
              <w:spacing w:line="230" w:lineRule="auto" w:before="3" w:after="0"/>
              <w:ind w:left="594" w:right="87" w:hanging="255"/>
              <w:jc w:val="both"/>
              <w:rPr>
                <w:sz w:val="24"/>
              </w:rPr>
            </w:pPr>
            <w:r>
              <w:rPr>
                <w:color w:val="231F20"/>
                <w:w w:val="105"/>
                <w:sz w:val="24"/>
              </w:rPr>
              <w:t>Xpert 檢驗對象：結核病再治個案(包含治療失落、失敗、復發)、多重抗藥結</w:t>
            </w:r>
            <w:r>
              <w:rPr>
                <w:color w:val="231F20"/>
                <w:spacing w:val="4"/>
                <w:w w:val="105"/>
                <w:sz w:val="24"/>
              </w:rPr>
              <w:t>核病</w:t>
            </w:r>
            <w:r>
              <w:rPr>
                <w:color w:val="231F20"/>
                <w:w w:val="105"/>
                <w:sz w:val="24"/>
              </w:rPr>
              <w:t>(MDR-TB</w:t>
            </w:r>
            <w:r>
              <w:rPr>
                <w:color w:val="231F20"/>
                <w:spacing w:val="2"/>
                <w:w w:val="105"/>
                <w:sz w:val="24"/>
              </w:rPr>
              <w:t>)及 </w:t>
            </w:r>
            <w:r>
              <w:rPr>
                <w:color w:val="231F20"/>
                <w:w w:val="105"/>
                <w:sz w:val="24"/>
              </w:rPr>
              <w:t>rifampin</w:t>
            </w:r>
            <w:r>
              <w:rPr>
                <w:color w:val="231F20"/>
                <w:spacing w:val="7"/>
                <w:w w:val="105"/>
                <w:sz w:val="24"/>
              </w:rPr>
              <w:t> 抗藥結核病接觸者轉為個案者、每年因疫情分析</w:t>
            </w:r>
            <w:r>
              <w:rPr>
                <w:color w:val="231F20"/>
                <w:spacing w:val="7"/>
                <w:sz w:val="24"/>
              </w:rPr>
              <w:t>公告的國內高風險地區之新發生個案、曾停留在 </w:t>
            </w:r>
            <w:r>
              <w:rPr>
                <w:color w:val="231F20"/>
                <w:sz w:val="24"/>
              </w:rPr>
              <w:t>WHO</w:t>
            </w:r>
            <w:r>
              <w:rPr>
                <w:color w:val="231F20"/>
                <w:spacing w:val="8"/>
                <w:sz w:val="24"/>
              </w:rPr>
              <w:t> 公布之結核病或 </w:t>
            </w:r>
            <w:r>
              <w:rPr>
                <w:color w:val="231F20"/>
                <w:sz w:val="24"/>
              </w:rPr>
              <w:t>MDR- TB</w:t>
            </w:r>
            <w:r>
              <w:rPr>
                <w:color w:val="231F20"/>
                <w:spacing w:val="4"/>
                <w:sz w:val="24"/>
              </w:rPr>
              <w:t> 高負擔國家</w:t>
            </w:r>
            <w:r>
              <w:rPr>
                <w:color w:val="231F20"/>
                <w:spacing w:val="9"/>
                <w:sz w:val="24"/>
              </w:rPr>
              <w:t>，＿</w:t>
            </w:r>
            <w:r>
              <w:rPr>
                <w:color w:val="231F20"/>
                <w:spacing w:val="5"/>
                <w:sz w:val="24"/>
              </w:rPr>
              <w:t>年內累積時間達 </w:t>
            </w:r>
            <w:r>
              <w:rPr>
                <w:color w:val="231F20"/>
                <w:sz w:val="24"/>
              </w:rPr>
              <w:t>30</w:t>
            </w:r>
            <w:r>
              <w:rPr>
                <w:color w:val="231F20"/>
                <w:spacing w:val="3"/>
                <w:sz w:val="24"/>
              </w:rPr>
              <w:t> 天以上之個案、臨床經快速分子檢測為</w:t>
            </w:r>
            <w:r>
              <w:rPr>
                <w:color w:val="231F20"/>
                <w:sz w:val="24"/>
              </w:rPr>
              <w:t>rifampin</w:t>
            </w:r>
            <w:r>
              <w:rPr>
                <w:color w:val="231F20"/>
                <w:spacing w:val="4"/>
                <w:sz w:val="24"/>
              </w:rPr>
              <w:t> 抗藥之結核病個案、治療 </w:t>
            </w:r>
            <w:r>
              <w:rPr>
                <w:color w:val="231F20"/>
                <w:sz w:val="24"/>
              </w:rPr>
              <w:t>2</w:t>
            </w:r>
            <w:r>
              <w:rPr>
                <w:color w:val="231F20"/>
                <w:spacing w:val="3"/>
                <w:sz w:val="24"/>
              </w:rPr>
              <w:t> 個月之痰培養仍為陽性者、</w:t>
            </w:r>
            <w:r>
              <w:rPr>
                <w:color w:val="231F20"/>
                <w:sz w:val="24"/>
              </w:rPr>
              <w:t>isoniazid</w:t>
            </w:r>
            <w:r>
              <w:rPr>
                <w:color w:val="231F20"/>
                <w:spacing w:val="11"/>
                <w:sz w:val="24"/>
              </w:rPr>
              <w:t> 抗藥</w:t>
            </w:r>
            <w:r>
              <w:rPr>
                <w:color w:val="231F20"/>
                <w:w w:val="105"/>
                <w:sz w:val="24"/>
              </w:rPr>
              <w:t>或因藥物副作用，擬申請—線藥物者。</w:t>
            </w:r>
          </w:p>
          <w:p>
            <w:pPr>
              <w:pStyle w:val="TableParagraph"/>
              <w:numPr>
                <w:ilvl w:val="1"/>
                <w:numId w:val="72"/>
              </w:numPr>
              <w:tabs>
                <w:tab w:pos="595" w:val="left" w:leader="none"/>
              </w:tabs>
              <w:spacing w:line="230" w:lineRule="auto" w:before="0" w:after="0"/>
              <w:ind w:left="594" w:right="87" w:hanging="255"/>
              <w:jc w:val="both"/>
              <w:rPr>
                <w:sz w:val="24"/>
              </w:rPr>
            </w:pPr>
            <w:r>
              <w:rPr>
                <w:color w:val="231F20"/>
                <w:spacing w:val="-3"/>
                <w:sz w:val="24"/>
              </w:rPr>
              <w:t>GenoType</w:t>
            </w:r>
            <w:r>
              <w:rPr>
                <w:color w:val="231F20"/>
                <w:spacing w:val="6"/>
                <w:sz w:val="24"/>
              </w:rPr>
              <w:t> 檢驗對象：通報結核病之畜牧場人員、</w:t>
            </w:r>
            <w:r>
              <w:rPr>
                <w:color w:val="231F20"/>
                <w:sz w:val="24"/>
              </w:rPr>
              <w:t>M</w:t>
            </w:r>
            <w:r>
              <w:rPr>
                <w:color w:val="231F20"/>
                <w:spacing w:val="23"/>
                <w:sz w:val="24"/>
              </w:rPr>
              <w:t>. </w:t>
            </w:r>
            <w:r>
              <w:rPr>
                <w:color w:val="231F20"/>
                <w:sz w:val="24"/>
              </w:rPr>
              <w:t>bovis</w:t>
            </w:r>
            <w:r>
              <w:rPr>
                <w:color w:val="231F20"/>
                <w:spacing w:val="9"/>
                <w:sz w:val="24"/>
              </w:rPr>
              <w:t> 結核病病人或動物</w:t>
            </w:r>
            <w:r>
              <w:rPr>
                <w:color w:val="231F20"/>
                <w:sz w:val="24"/>
              </w:rPr>
              <w:t>之接觸者轉為個案者、</w:t>
            </w:r>
            <w:r>
              <w:rPr>
                <w:color w:val="231F20"/>
                <w:spacing w:val="-4"/>
                <w:sz w:val="24"/>
              </w:rPr>
              <w:t>LTBI</w:t>
            </w:r>
            <w:r>
              <w:rPr>
                <w:color w:val="231F20"/>
                <w:spacing w:val="-3"/>
                <w:sz w:val="24"/>
              </w:rPr>
              <w:t> 治療個案結核病發病。</w:t>
            </w:r>
          </w:p>
          <w:p>
            <w:pPr>
              <w:pStyle w:val="TableParagraph"/>
              <w:numPr>
                <w:ilvl w:val="1"/>
                <w:numId w:val="72"/>
              </w:numPr>
              <w:tabs>
                <w:tab w:pos="595" w:val="left" w:leader="none"/>
              </w:tabs>
              <w:spacing w:line="395" w:lineRule="exact" w:before="0" w:after="0"/>
              <w:ind w:left="594" w:right="0" w:hanging="256"/>
              <w:jc w:val="both"/>
              <w:rPr>
                <w:sz w:val="24"/>
              </w:rPr>
            </w:pPr>
            <w:r>
              <w:rPr>
                <w:color w:val="231F20"/>
                <w:sz w:val="24"/>
              </w:rPr>
              <w:t>檢測對象依防治政策需要進行調整，請依最新公布函文對象辦理。</w:t>
            </w:r>
          </w:p>
          <w:p>
            <w:pPr>
              <w:pStyle w:val="TableParagraph"/>
              <w:numPr>
                <w:ilvl w:val="0"/>
                <w:numId w:val="72"/>
              </w:numPr>
              <w:tabs>
                <w:tab w:pos="357" w:val="left" w:leader="none"/>
              </w:tabs>
              <w:spacing w:line="230" w:lineRule="auto" w:before="0" w:after="0"/>
              <w:ind w:left="356" w:right="92" w:hanging="244"/>
              <w:jc w:val="both"/>
              <w:rPr>
                <w:sz w:val="24"/>
              </w:rPr>
            </w:pPr>
            <w:r>
              <w:rPr>
                <w:color w:val="231F20"/>
                <w:spacing w:val="3"/>
                <w:sz w:val="24"/>
              </w:rPr>
              <w:t>曾經停留在 </w:t>
            </w:r>
            <w:r>
              <w:rPr>
                <w:color w:val="231F20"/>
                <w:sz w:val="24"/>
              </w:rPr>
              <w:t>WHO</w:t>
            </w:r>
            <w:r>
              <w:rPr>
                <w:color w:val="231F20"/>
                <w:spacing w:val="3"/>
                <w:sz w:val="24"/>
              </w:rPr>
              <w:t> 公布之結核病或 </w:t>
            </w:r>
            <w:r>
              <w:rPr>
                <w:color w:val="231F20"/>
                <w:sz w:val="24"/>
              </w:rPr>
              <w:t>MDR-TB</w:t>
            </w:r>
            <w:r>
              <w:rPr>
                <w:color w:val="231F20"/>
                <w:spacing w:val="2"/>
                <w:sz w:val="24"/>
              </w:rPr>
              <w:t> 高負擔國家，且停留天數曾於 </w:t>
            </w:r>
            <w:r>
              <w:rPr>
                <w:color w:val="231F20"/>
                <w:sz w:val="24"/>
              </w:rPr>
              <w:t>1</w:t>
            </w:r>
            <w:r>
              <w:rPr>
                <w:color w:val="231F20"/>
                <w:spacing w:val="2"/>
                <w:sz w:val="24"/>
              </w:rPr>
              <w:t> 年內</w:t>
            </w:r>
            <w:r>
              <w:rPr>
                <w:color w:val="231F20"/>
                <w:spacing w:val="-6"/>
                <w:w w:val="105"/>
                <w:sz w:val="24"/>
              </w:rPr>
              <w:t>累積達 </w:t>
            </w:r>
            <w:r>
              <w:rPr>
                <w:color w:val="231F20"/>
                <w:w w:val="105"/>
                <w:sz w:val="24"/>
              </w:rPr>
              <w:t>30</w:t>
            </w:r>
            <w:r>
              <w:rPr>
                <w:color w:val="231F20"/>
                <w:spacing w:val="-1"/>
                <w:w w:val="105"/>
                <w:sz w:val="24"/>
              </w:rPr>
              <w:t> 天以上者(非限於通報前</w:t>
            </w:r>
            <w:r>
              <w:rPr>
                <w:color w:val="231F20"/>
                <w:spacing w:val="6"/>
                <w:w w:val="105"/>
                <w:sz w:val="24"/>
              </w:rPr>
              <w:t>＿</w:t>
            </w:r>
            <w:r>
              <w:rPr>
                <w:color w:val="231F20"/>
                <w:spacing w:val="-3"/>
                <w:w w:val="105"/>
                <w:sz w:val="24"/>
              </w:rPr>
              <w:t>年)，另須於 </w:t>
            </w:r>
            <w:r>
              <w:rPr>
                <w:color w:val="231F20"/>
                <w:w w:val="105"/>
                <w:sz w:val="24"/>
              </w:rPr>
              <w:t>TB</w:t>
            </w:r>
            <w:r>
              <w:rPr>
                <w:color w:val="231F20"/>
                <w:spacing w:val="-1"/>
                <w:w w:val="105"/>
                <w:sz w:val="24"/>
              </w:rPr>
              <w:t> 系統上完成「境外經常性</w:t>
            </w:r>
            <w:r>
              <w:rPr>
                <w:color w:val="231F20"/>
                <w:w w:val="105"/>
                <w:sz w:val="24"/>
              </w:rPr>
              <w:t>停留註記」。</w:t>
            </w:r>
          </w:p>
          <w:p>
            <w:pPr>
              <w:pStyle w:val="TableParagraph"/>
              <w:numPr>
                <w:ilvl w:val="0"/>
                <w:numId w:val="72"/>
              </w:numPr>
              <w:tabs>
                <w:tab w:pos="357" w:val="left" w:leader="none"/>
              </w:tabs>
              <w:spacing w:line="225" w:lineRule="auto" w:before="0" w:after="0"/>
              <w:ind w:left="356" w:right="90" w:hanging="244"/>
              <w:jc w:val="both"/>
              <w:rPr>
                <w:sz w:val="24"/>
              </w:rPr>
            </w:pPr>
            <w:r>
              <w:rPr>
                <w:color w:val="231F20"/>
                <w:spacing w:val="2"/>
                <w:sz w:val="24"/>
              </w:rPr>
              <w:t>身分別為「通報結核病之畜牧場人員 </w:t>
            </w:r>
            <w:r>
              <w:rPr>
                <w:color w:val="231F20"/>
                <w:spacing w:val="-7"/>
                <w:w w:val="90"/>
                <w:sz w:val="24"/>
              </w:rPr>
              <w:t>」 </w:t>
            </w:r>
            <w:r>
              <w:rPr>
                <w:color w:val="231F20"/>
                <w:spacing w:val="-17"/>
                <w:sz w:val="24"/>
              </w:rPr>
              <w:t>及「</w:t>
            </w:r>
            <w:r>
              <w:rPr>
                <w:color w:val="231F20"/>
                <w:sz w:val="25"/>
              </w:rPr>
              <w:t>M</w:t>
            </w:r>
            <w:r>
              <w:rPr>
                <w:color w:val="231F20"/>
                <w:spacing w:val="-5"/>
                <w:sz w:val="25"/>
              </w:rPr>
              <w:t>. </w:t>
            </w:r>
            <w:r>
              <w:rPr>
                <w:color w:val="231F20"/>
                <w:sz w:val="25"/>
              </w:rPr>
              <w:t>bovis</w:t>
            </w:r>
            <w:r>
              <w:rPr>
                <w:color w:val="231F20"/>
                <w:spacing w:val="4"/>
                <w:sz w:val="25"/>
              </w:rPr>
              <w:t> </w:t>
            </w:r>
            <w:r>
              <w:rPr>
                <w:color w:val="231F20"/>
                <w:spacing w:val="7"/>
                <w:sz w:val="24"/>
              </w:rPr>
              <w:t>結核病病人或動物之接觸者</w:t>
            </w:r>
            <w:r>
              <w:rPr>
                <w:color w:val="231F20"/>
                <w:spacing w:val="-10"/>
                <w:sz w:val="24"/>
              </w:rPr>
              <w:t>轉為個案者 」，請通報院所將 </w:t>
            </w:r>
            <w:r>
              <w:rPr>
                <w:color w:val="231F20"/>
                <w:sz w:val="24"/>
              </w:rPr>
              <w:t>MTBC</w:t>
            </w:r>
            <w:r>
              <w:rPr>
                <w:color w:val="231F20"/>
                <w:spacing w:val="-7"/>
                <w:sz w:val="24"/>
              </w:rPr>
              <w:t> 菌株送疾病管制署檢驗及疫苗研製中心分枝桿</w:t>
            </w:r>
          </w:p>
          <w:p>
            <w:pPr>
              <w:pStyle w:val="TableParagraph"/>
              <w:spacing w:line="401" w:lineRule="exact"/>
              <w:ind w:left="356"/>
              <w:rPr>
                <w:sz w:val="24"/>
              </w:rPr>
            </w:pPr>
            <w:r>
              <w:rPr>
                <w:color w:val="231F20"/>
                <w:w w:val="105"/>
                <w:sz w:val="24"/>
              </w:rPr>
              <w:t>菌實驗室(下稱疾管署分枝桿菌實驗室)進行菌株鑑定，釐清是否牛結核感染。</w:t>
            </w:r>
          </w:p>
          <w:p>
            <w:pPr>
              <w:pStyle w:val="TableParagraph"/>
              <w:numPr>
                <w:ilvl w:val="0"/>
                <w:numId w:val="72"/>
              </w:numPr>
              <w:tabs>
                <w:tab w:pos="357" w:val="left" w:leader="none"/>
              </w:tabs>
              <w:spacing w:line="398" w:lineRule="exact" w:before="0" w:after="0"/>
              <w:ind w:left="356" w:right="0" w:hanging="245"/>
              <w:jc w:val="left"/>
              <w:rPr>
                <w:sz w:val="24"/>
              </w:rPr>
            </w:pPr>
            <w:r>
              <w:rPr>
                <w:color w:val="231F20"/>
                <w:sz w:val="24"/>
              </w:rPr>
              <w:t>&lt;5</w:t>
            </w:r>
            <w:r>
              <w:rPr>
                <w:color w:val="231F20"/>
                <w:spacing w:val="-2"/>
                <w:sz w:val="24"/>
              </w:rPr>
              <w:t> 歲個案儘速辦理接觸者檢查，以溯源找出傳染給該個案之結核病病人。</w:t>
            </w:r>
          </w:p>
        </w:tc>
      </w:tr>
      <w:tr>
        <w:trPr>
          <w:trHeight w:val="451" w:hRule="atLeast"/>
        </w:trPr>
        <w:tc>
          <w:tcPr>
            <w:tcW w:w="9138" w:type="dxa"/>
            <w:shd w:val="clear" w:color="auto" w:fill="E6E7E8"/>
          </w:tcPr>
          <w:p>
            <w:pPr>
              <w:pStyle w:val="TableParagraph"/>
              <w:spacing w:line="432" w:lineRule="exact"/>
              <w:ind w:left="112"/>
              <w:rPr>
                <w:rFonts w:ascii="微軟正黑體" w:eastAsia="微軟正黑體" w:hint="eastAsia"/>
                <w:b/>
                <w:sz w:val="24"/>
              </w:rPr>
            </w:pPr>
            <w:r>
              <w:rPr>
                <w:rFonts w:ascii="微軟正黑體" w:eastAsia="微軟正黑體" w:hint="eastAsia"/>
                <w:b/>
                <w:color w:val="231F20"/>
                <w:sz w:val="24"/>
              </w:rPr>
              <w:t>D. 治療過程及用藥狀態</w:t>
            </w:r>
          </w:p>
        </w:tc>
      </w:tr>
      <w:tr>
        <w:trPr>
          <w:trHeight w:val="5249" w:hRule="atLeast"/>
        </w:trPr>
        <w:tc>
          <w:tcPr>
            <w:tcW w:w="9138" w:type="dxa"/>
          </w:tcPr>
          <w:p>
            <w:pPr>
              <w:pStyle w:val="TableParagraph"/>
              <w:numPr>
                <w:ilvl w:val="0"/>
                <w:numId w:val="73"/>
              </w:numPr>
              <w:tabs>
                <w:tab w:pos="357" w:val="left" w:leader="none"/>
              </w:tabs>
              <w:spacing w:line="409" w:lineRule="exact" w:before="25" w:after="0"/>
              <w:ind w:left="356" w:right="0" w:hanging="245"/>
              <w:jc w:val="left"/>
              <w:rPr>
                <w:sz w:val="24"/>
              </w:rPr>
            </w:pPr>
            <w:r>
              <w:rPr>
                <w:color w:val="231F20"/>
                <w:sz w:val="24"/>
              </w:rPr>
              <w:t>瞭解醫病關係是否良好，例如有無固定醫師、是否瞭解結核病等。</w:t>
            </w:r>
          </w:p>
          <w:p>
            <w:pPr>
              <w:pStyle w:val="TableParagraph"/>
              <w:numPr>
                <w:ilvl w:val="0"/>
                <w:numId w:val="73"/>
              </w:numPr>
              <w:tabs>
                <w:tab w:pos="357" w:val="left" w:leader="none"/>
              </w:tabs>
              <w:spacing w:line="400" w:lineRule="exact" w:before="0" w:after="0"/>
              <w:ind w:left="356" w:right="0" w:hanging="245"/>
              <w:jc w:val="left"/>
              <w:rPr>
                <w:sz w:val="24"/>
              </w:rPr>
            </w:pPr>
            <w:r>
              <w:rPr>
                <w:color w:val="231F20"/>
                <w:sz w:val="24"/>
              </w:rPr>
              <w:t>瞭解回診時間及能否按時就醫或有無遭遇困難。</w:t>
            </w:r>
          </w:p>
          <w:p>
            <w:pPr>
              <w:pStyle w:val="TableParagraph"/>
              <w:numPr>
                <w:ilvl w:val="0"/>
                <w:numId w:val="73"/>
              </w:numPr>
              <w:tabs>
                <w:tab w:pos="357" w:val="left" w:leader="none"/>
              </w:tabs>
              <w:spacing w:line="400" w:lineRule="exact" w:before="0" w:after="0"/>
              <w:ind w:left="356" w:right="0" w:hanging="245"/>
              <w:jc w:val="left"/>
              <w:rPr>
                <w:sz w:val="24"/>
              </w:rPr>
            </w:pPr>
            <w:r>
              <w:rPr>
                <w:color w:val="231F20"/>
                <w:sz w:val="24"/>
              </w:rPr>
              <w:t>確認個案體重變化，評估處方是否符合「結核病診治指引」之建議。</w:t>
            </w:r>
          </w:p>
          <w:p>
            <w:pPr>
              <w:pStyle w:val="TableParagraph"/>
              <w:numPr>
                <w:ilvl w:val="0"/>
                <w:numId w:val="73"/>
              </w:numPr>
              <w:tabs>
                <w:tab w:pos="357" w:val="left" w:leader="none"/>
              </w:tabs>
              <w:spacing w:line="230" w:lineRule="auto" w:before="2" w:after="0"/>
              <w:ind w:left="356" w:right="37" w:hanging="244"/>
              <w:jc w:val="left"/>
              <w:rPr>
                <w:sz w:val="24"/>
              </w:rPr>
            </w:pPr>
            <w:r>
              <w:rPr>
                <w:color w:val="231F20"/>
                <w:spacing w:val="-5"/>
                <w:w w:val="105"/>
                <w:sz w:val="24"/>
              </w:rPr>
              <w:t>輔導用藥個案加入直接觀察治療</w:t>
            </w:r>
            <w:r>
              <w:rPr>
                <w:color w:val="231F20"/>
                <w:w w:val="105"/>
                <w:sz w:val="24"/>
              </w:rPr>
              <w:t>(Directly</w:t>
            </w:r>
            <w:r>
              <w:rPr>
                <w:color w:val="231F20"/>
                <w:spacing w:val="8"/>
                <w:w w:val="105"/>
                <w:sz w:val="24"/>
              </w:rPr>
              <w:t> </w:t>
            </w:r>
            <w:r>
              <w:rPr>
                <w:color w:val="231F20"/>
                <w:w w:val="105"/>
                <w:sz w:val="24"/>
              </w:rPr>
              <w:t>Observed</w:t>
            </w:r>
            <w:r>
              <w:rPr>
                <w:color w:val="231F20"/>
                <w:spacing w:val="9"/>
                <w:w w:val="105"/>
                <w:sz w:val="24"/>
              </w:rPr>
              <w:t> </w:t>
            </w:r>
            <w:r>
              <w:rPr>
                <w:color w:val="231F20"/>
                <w:spacing w:val="-4"/>
                <w:w w:val="105"/>
                <w:sz w:val="24"/>
              </w:rPr>
              <w:t>Treatment</w:t>
            </w:r>
            <w:r>
              <w:rPr>
                <w:color w:val="231F20"/>
                <w:spacing w:val="2"/>
                <w:w w:val="105"/>
                <w:sz w:val="24"/>
              </w:rPr>
              <w:t>, </w:t>
            </w:r>
            <w:r>
              <w:rPr>
                <w:color w:val="231F20"/>
                <w:spacing w:val="-18"/>
                <w:w w:val="105"/>
                <w:sz w:val="24"/>
              </w:rPr>
              <w:t>DOT</w:t>
            </w:r>
            <w:r>
              <w:rPr>
                <w:color w:val="231F20"/>
                <w:spacing w:val="-4"/>
                <w:w w:val="105"/>
                <w:sz w:val="24"/>
              </w:rPr>
              <w:t>，下稱都治) </w:t>
            </w:r>
            <w:r>
              <w:rPr>
                <w:color w:val="231F20"/>
                <w:spacing w:val="-4"/>
                <w:w w:val="110"/>
                <w:sz w:val="24"/>
              </w:rPr>
              <w:t>計畫，確保服藥順從性。</w:t>
            </w:r>
          </w:p>
          <w:p>
            <w:pPr>
              <w:pStyle w:val="TableParagraph"/>
              <w:numPr>
                <w:ilvl w:val="0"/>
                <w:numId w:val="73"/>
              </w:numPr>
              <w:tabs>
                <w:tab w:pos="357" w:val="left" w:leader="none"/>
              </w:tabs>
              <w:spacing w:line="395" w:lineRule="exact" w:before="0" w:after="0"/>
              <w:ind w:left="356" w:right="0" w:hanging="245"/>
              <w:jc w:val="left"/>
              <w:rPr>
                <w:sz w:val="24"/>
              </w:rPr>
            </w:pPr>
            <w:r>
              <w:rPr>
                <w:color w:val="231F20"/>
                <w:sz w:val="24"/>
              </w:rPr>
              <w:t>教導病人了解抗結核病藥物常見之副作用及自我監測。</w:t>
            </w:r>
          </w:p>
          <w:p>
            <w:pPr>
              <w:pStyle w:val="TableParagraph"/>
              <w:numPr>
                <w:ilvl w:val="0"/>
                <w:numId w:val="73"/>
              </w:numPr>
              <w:tabs>
                <w:tab w:pos="357" w:val="left" w:leader="none"/>
              </w:tabs>
              <w:spacing w:line="230" w:lineRule="auto" w:before="3" w:after="0"/>
              <w:ind w:left="356" w:right="95" w:hanging="244"/>
              <w:jc w:val="both"/>
              <w:rPr>
                <w:sz w:val="24"/>
              </w:rPr>
            </w:pPr>
            <w:r>
              <w:rPr>
                <w:color w:val="231F20"/>
                <w:sz w:val="24"/>
              </w:rPr>
              <w:t>治療過程如產生抗藥情形、藥物副作用或困難個案，轉介抗藥性結核病醫療照護體</w:t>
            </w:r>
            <w:r>
              <w:rPr>
                <w:color w:val="231F20"/>
                <w:spacing w:val="-37"/>
                <w:sz w:val="24"/>
              </w:rPr>
              <w:t>系</w:t>
            </w:r>
            <w:r>
              <w:rPr>
                <w:color w:val="231F20"/>
                <w:w w:val="300"/>
                <w:sz w:val="24"/>
              </w:rPr>
              <w:t>(</w:t>
            </w:r>
            <w:r>
              <w:rPr>
                <w:color w:val="231F20"/>
                <w:spacing w:val="-28"/>
                <w:w w:val="91"/>
                <w:sz w:val="24"/>
              </w:rPr>
              <w:t>T</w:t>
            </w:r>
            <w:r>
              <w:rPr>
                <w:color w:val="231F20"/>
                <w:spacing w:val="-1"/>
                <w:w w:val="98"/>
                <w:sz w:val="24"/>
              </w:rPr>
              <w:t>a</w:t>
            </w:r>
            <w:r>
              <w:rPr>
                <w:color w:val="231F20"/>
                <w:spacing w:val="-1"/>
                <w:w w:val="106"/>
                <w:sz w:val="24"/>
              </w:rPr>
              <w:t>iwa</w:t>
            </w:r>
            <w:r>
              <w:rPr>
                <w:color w:val="231F20"/>
                <w:w w:val="106"/>
                <w:sz w:val="24"/>
              </w:rPr>
              <w:t>n</w:t>
            </w:r>
            <w:r>
              <w:rPr>
                <w:color w:val="231F20"/>
                <w:spacing w:val="-7"/>
                <w:sz w:val="24"/>
              </w:rPr>
              <w:t> </w:t>
            </w:r>
            <w:r>
              <w:rPr>
                <w:color w:val="231F20"/>
                <w:spacing w:val="-1"/>
                <w:w w:val="115"/>
                <w:sz w:val="24"/>
              </w:rPr>
              <w:t>Multidrug-</w:t>
            </w:r>
            <w:r>
              <w:rPr>
                <w:color w:val="231F20"/>
                <w:spacing w:val="-3"/>
                <w:w w:val="115"/>
                <w:sz w:val="24"/>
              </w:rPr>
              <w:t>r</w:t>
            </w:r>
            <w:r>
              <w:rPr>
                <w:color w:val="231F20"/>
                <w:spacing w:val="-1"/>
                <w:w w:val="101"/>
                <w:sz w:val="24"/>
              </w:rPr>
              <w:t>e</w:t>
            </w:r>
            <w:r>
              <w:rPr>
                <w:color w:val="231F20"/>
                <w:spacing w:val="-1"/>
                <w:w w:val="105"/>
                <w:sz w:val="24"/>
              </w:rPr>
              <w:t>sistan</w:t>
            </w:r>
            <w:r>
              <w:rPr>
                <w:color w:val="231F20"/>
                <w:w w:val="105"/>
                <w:sz w:val="24"/>
              </w:rPr>
              <w:t>t</w:t>
            </w:r>
            <w:r>
              <w:rPr>
                <w:color w:val="231F20"/>
                <w:spacing w:val="-7"/>
                <w:sz w:val="24"/>
              </w:rPr>
              <w:t> </w:t>
            </w:r>
            <w:r>
              <w:rPr>
                <w:color w:val="231F20"/>
                <w:spacing w:val="-23"/>
                <w:w w:val="91"/>
                <w:sz w:val="24"/>
              </w:rPr>
              <w:t>T</w:t>
            </w:r>
            <w:r>
              <w:rPr>
                <w:color w:val="231F20"/>
                <w:spacing w:val="-1"/>
                <w:w w:val="108"/>
                <w:sz w:val="24"/>
              </w:rPr>
              <w:t>ube</w:t>
            </w:r>
            <w:r>
              <w:rPr>
                <w:color w:val="231F20"/>
                <w:spacing w:val="-4"/>
                <w:w w:val="108"/>
                <w:sz w:val="24"/>
              </w:rPr>
              <w:t>r</w:t>
            </w:r>
            <w:r>
              <w:rPr>
                <w:color w:val="231F20"/>
                <w:w w:val="103"/>
                <w:sz w:val="24"/>
              </w:rPr>
              <w:t>culosis</w:t>
            </w:r>
            <w:r>
              <w:rPr>
                <w:color w:val="231F20"/>
                <w:spacing w:val="-7"/>
                <w:sz w:val="24"/>
              </w:rPr>
              <w:t> </w:t>
            </w:r>
            <w:r>
              <w:rPr>
                <w:color w:val="231F20"/>
                <w:spacing w:val="-1"/>
                <w:w w:val="104"/>
                <w:sz w:val="24"/>
              </w:rPr>
              <w:t>Conso</w:t>
            </w:r>
            <w:r>
              <w:rPr>
                <w:color w:val="231F20"/>
                <w:spacing w:val="7"/>
                <w:w w:val="104"/>
                <w:sz w:val="24"/>
              </w:rPr>
              <w:t>r</w:t>
            </w:r>
            <w:r>
              <w:rPr>
                <w:color w:val="231F20"/>
                <w:w w:val="110"/>
                <w:sz w:val="24"/>
              </w:rPr>
              <w:t>tium,</w:t>
            </w:r>
            <w:r>
              <w:rPr>
                <w:color w:val="231F20"/>
                <w:spacing w:val="-7"/>
                <w:sz w:val="24"/>
              </w:rPr>
              <w:t> </w:t>
            </w:r>
            <w:r>
              <w:rPr>
                <w:color w:val="231F20"/>
                <w:w w:val="101"/>
                <w:sz w:val="24"/>
              </w:rPr>
              <w:t>TM</w:t>
            </w:r>
            <w:r>
              <w:rPr>
                <w:color w:val="231F20"/>
                <w:spacing w:val="-12"/>
                <w:w w:val="101"/>
                <w:sz w:val="24"/>
              </w:rPr>
              <w:t>T</w:t>
            </w:r>
            <w:r>
              <w:rPr>
                <w:color w:val="231F20"/>
                <w:w w:val="92"/>
                <w:sz w:val="24"/>
              </w:rPr>
              <w:t>C</w:t>
            </w:r>
            <w:r>
              <w:rPr>
                <w:color w:val="231F20"/>
                <w:spacing w:val="-37"/>
                <w:w w:val="300"/>
                <w:sz w:val="24"/>
              </w:rPr>
              <w:t>)</w:t>
            </w:r>
            <w:r>
              <w:rPr>
                <w:color w:val="231F20"/>
                <w:spacing w:val="-10"/>
                <w:sz w:val="24"/>
              </w:rPr>
              <w:t>團隊治療</w:t>
            </w:r>
            <w:r>
              <w:rPr>
                <w:color w:val="231F20"/>
                <w:w w:val="150"/>
                <w:sz w:val="24"/>
              </w:rPr>
              <w:t>(詳</w:t>
            </w:r>
            <w:r>
              <w:rPr>
                <w:color w:val="231F20"/>
                <w:w w:val="105"/>
                <w:sz w:val="24"/>
              </w:rPr>
              <w:t>細內容請參閱第十章「抗藥性結核病照護與管理」)。</w:t>
            </w:r>
          </w:p>
          <w:p>
            <w:pPr>
              <w:pStyle w:val="TableParagraph"/>
              <w:numPr>
                <w:ilvl w:val="0"/>
                <w:numId w:val="73"/>
              </w:numPr>
              <w:tabs>
                <w:tab w:pos="357" w:val="left" w:leader="none"/>
              </w:tabs>
              <w:spacing w:line="230" w:lineRule="auto" w:before="0" w:after="0"/>
              <w:ind w:left="356" w:right="88" w:hanging="244"/>
              <w:jc w:val="both"/>
              <w:rPr>
                <w:sz w:val="24"/>
              </w:rPr>
            </w:pPr>
            <w:r>
              <w:rPr>
                <w:color w:val="231F20"/>
                <w:spacing w:val="2"/>
                <w:sz w:val="24"/>
              </w:rPr>
              <w:t>治療過程中檢驗(查)結果如有變化，如：痰液陽轉、胸部 </w:t>
            </w:r>
            <w:r>
              <w:rPr>
                <w:color w:val="231F20"/>
                <w:sz w:val="24"/>
              </w:rPr>
              <w:t>X</w:t>
            </w:r>
            <w:r>
              <w:rPr>
                <w:color w:val="231F20"/>
                <w:spacing w:val="5"/>
                <w:sz w:val="24"/>
              </w:rPr>
              <w:t>  光惡化有空洞或產</w:t>
            </w:r>
            <w:r>
              <w:rPr>
                <w:color w:val="231F20"/>
                <w:sz w:val="24"/>
              </w:rPr>
              <w:t>生抗藥情形，須重新界定其可傳染期起迄日期、再評估是否有新增符合接觸者檢查</w:t>
            </w:r>
            <w:r>
              <w:rPr>
                <w:color w:val="231F20"/>
                <w:spacing w:val="3"/>
                <w:sz w:val="24"/>
              </w:rPr>
              <w:t>的對象，前次 </w:t>
            </w:r>
            <w:r>
              <w:rPr>
                <w:color w:val="231F20"/>
                <w:spacing w:val="-4"/>
                <w:sz w:val="24"/>
              </w:rPr>
              <w:t>LTBI</w:t>
            </w:r>
            <w:r>
              <w:rPr>
                <w:color w:val="231F20"/>
                <w:spacing w:val="1"/>
                <w:sz w:val="24"/>
              </w:rPr>
              <w:t> 檢驗結果為陰性者，應再次進行 </w:t>
            </w:r>
            <w:r>
              <w:rPr>
                <w:color w:val="231F20"/>
                <w:spacing w:val="-4"/>
                <w:sz w:val="24"/>
              </w:rPr>
              <w:t>LTBI</w:t>
            </w:r>
            <w:r>
              <w:rPr>
                <w:color w:val="231F20"/>
                <w:sz w:val="24"/>
              </w:rPr>
              <w:t> 檢驗(詳細內容請參閱第</w:t>
            </w:r>
          </w:p>
          <w:p>
            <w:pPr>
              <w:pStyle w:val="TableParagraph"/>
              <w:spacing w:line="391" w:lineRule="exact"/>
              <w:ind w:left="356"/>
              <w:rPr>
                <w:sz w:val="24"/>
              </w:rPr>
            </w:pPr>
            <w:r>
              <w:rPr>
                <w:color w:val="231F20"/>
                <w:w w:val="105"/>
                <w:sz w:val="24"/>
              </w:rPr>
              <w:t>十＿章「結核病接觸者追蹤管理」)。</w:t>
            </w:r>
          </w:p>
        </w:tc>
      </w:tr>
    </w:tbl>
    <w:p>
      <w:pPr>
        <w:rPr>
          <w:sz w:val="2"/>
          <w:szCs w:val="2"/>
        </w:rPr>
      </w:pPr>
      <w:r>
        <w:rPr/>
        <w:pict>
          <v:group style="position:absolute;margin-left:-.000001pt;margin-top:178.154007pt;width:37.35pt;height:663.55pt;mso-position-horizontal-relative:page;mso-position-vertical-relative:page;z-index:251745280"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56"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44</w:t>
                    </w:r>
                  </w:p>
                </w:txbxContent>
              </v:textbox>
              <w10:wrap type="none"/>
            </v:shape>
            <w10:wrap type="none"/>
          </v:group>
        </w:pict>
      </w:r>
    </w:p>
    <w:p>
      <w:pPr>
        <w:spacing w:after="0"/>
        <w:rPr>
          <w:sz w:val="2"/>
          <w:szCs w:val="2"/>
        </w:rPr>
        <w:sectPr>
          <w:pgSz w:w="11910" w:h="16840"/>
          <w:pgMar w:top="1200" w:bottom="0" w:left="980" w:right="0"/>
        </w:sectPr>
      </w:pPr>
    </w:p>
    <w:tbl>
      <w:tblPr>
        <w:tblW w:w="0" w:type="auto"/>
        <w:jc w:val="left"/>
        <w:tblInd w:w="650"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138"/>
      </w:tblGrid>
      <w:tr>
        <w:trPr>
          <w:trHeight w:val="451" w:hRule="atLeast"/>
        </w:trPr>
        <w:tc>
          <w:tcPr>
            <w:tcW w:w="9138" w:type="dxa"/>
            <w:shd w:val="clear" w:color="auto" w:fill="E6E7E8"/>
          </w:tcPr>
          <w:p>
            <w:pPr>
              <w:pStyle w:val="TableParagraph"/>
              <w:spacing w:line="432" w:lineRule="exact"/>
              <w:ind w:left="112"/>
              <w:rPr>
                <w:rFonts w:ascii="微軟正黑體" w:eastAsia="微軟正黑體" w:hint="eastAsia"/>
                <w:b/>
                <w:sz w:val="24"/>
              </w:rPr>
            </w:pPr>
            <w:r>
              <w:rPr>
                <w:rFonts w:ascii="微軟正黑體" w:eastAsia="微軟正黑體" w:hint="eastAsia"/>
                <w:b/>
                <w:color w:val="231F20"/>
                <w:sz w:val="24"/>
              </w:rPr>
              <w:t>E. 疾病衛教</w:t>
            </w:r>
          </w:p>
        </w:tc>
      </w:tr>
      <w:tr>
        <w:trPr>
          <w:trHeight w:val="6848" w:hRule="atLeast"/>
        </w:trPr>
        <w:tc>
          <w:tcPr>
            <w:tcW w:w="9138" w:type="dxa"/>
          </w:tcPr>
          <w:p>
            <w:pPr>
              <w:pStyle w:val="TableParagraph"/>
              <w:numPr>
                <w:ilvl w:val="0"/>
                <w:numId w:val="74"/>
              </w:numPr>
              <w:tabs>
                <w:tab w:pos="357" w:val="left" w:leader="none"/>
              </w:tabs>
              <w:spacing w:line="230" w:lineRule="auto" w:before="36" w:after="0"/>
              <w:ind w:left="356" w:right="98" w:hanging="244"/>
              <w:jc w:val="both"/>
              <w:rPr>
                <w:sz w:val="24"/>
              </w:rPr>
            </w:pPr>
            <w:r>
              <w:rPr>
                <w:color w:val="231F20"/>
                <w:sz w:val="24"/>
              </w:rPr>
              <w:t>結核病的病因、傳染途徑、臨床症狀、藥物副作用監測、治療時間，詳細內容可合併參考「結核病診治指引」。</w:t>
            </w:r>
          </w:p>
          <w:p>
            <w:pPr>
              <w:pStyle w:val="TableParagraph"/>
              <w:numPr>
                <w:ilvl w:val="0"/>
                <w:numId w:val="74"/>
              </w:numPr>
              <w:tabs>
                <w:tab w:pos="357" w:val="left" w:leader="none"/>
              </w:tabs>
              <w:spacing w:line="230" w:lineRule="auto" w:before="0" w:after="0"/>
              <w:ind w:left="356" w:right="96" w:hanging="244"/>
              <w:jc w:val="both"/>
              <w:rPr>
                <w:sz w:val="24"/>
              </w:rPr>
            </w:pPr>
            <w:r>
              <w:rPr>
                <w:color w:val="231F20"/>
                <w:sz w:val="24"/>
              </w:rPr>
              <w:t>發放智慧關懷卡並說明使用方式，包含：卡片作為就醫免部分負擔憑證，管理期間妥善保管，回診時應攜帶卡片，可提供診療醫師查詢維護診療訊息，銷案時須繳回卡片等訊息。</w:t>
            </w:r>
          </w:p>
          <w:p>
            <w:pPr>
              <w:pStyle w:val="TableParagraph"/>
              <w:numPr>
                <w:ilvl w:val="0"/>
                <w:numId w:val="74"/>
              </w:numPr>
              <w:tabs>
                <w:tab w:pos="357" w:val="left" w:leader="none"/>
              </w:tabs>
              <w:spacing w:line="230" w:lineRule="auto" w:before="0" w:after="0"/>
              <w:ind w:left="356" w:right="95" w:hanging="244"/>
              <w:jc w:val="both"/>
              <w:rPr>
                <w:sz w:val="24"/>
              </w:rPr>
            </w:pPr>
            <w:r>
              <w:rPr>
                <w:color w:val="231F20"/>
                <w:sz w:val="24"/>
              </w:rPr>
              <w:t>說明限制搭乘大眾飛航器規範(詳細內容請參閱第十二章「結核病病人飛航限制及</w:t>
            </w:r>
            <w:r>
              <w:rPr>
                <w:color w:val="231F20"/>
                <w:w w:val="105"/>
                <w:sz w:val="24"/>
              </w:rPr>
              <w:t>航空器接觸者追蹤」)。</w:t>
            </w:r>
          </w:p>
          <w:p>
            <w:pPr>
              <w:pStyle w:val="TableParagraph"/>
              <w:numPr>
                <w:ilvl w:val="0"/>
                <w:numId w:val="74"/>
              </w:numPr>
              <w:tabs>
                <w:tab w:pos="357" w:val="left" w:leader="none"/>
              </w:tabs>
              <w:spacing w:line="395" w:lineRule="exact" w:before="0" w:after="0"/>
              <w:ind w:left="356" w:right="0" w:hanging="245"/>
              <w:jc w:val="left"/>
              <w:rPr>
                <w:sz w:val="24"/>
              </w:rPr>
            </w:pPr>
            <w:r>
              <w:rPr>
                <w:color w:val="231F20"/>
                <w:w w:val="105"/>
                <w:sz w:val="24"/>
              </w:rPr>
              <w:t>遵從醫囑按規服藥的重要性及未(中斷)治療之影響。</w:t>
            </w:r>
          </w:p>
          <w:p>
            <w:pPr>
              <w:pStyle w:val="TableParagraph"/>
              <w:numPr>
                <w:ilvl w:val="0"/>
                <w:numId w:val="74"/>
              </w:numPr>
              <w:tabs>
                <w:tab w:pos="357" w:val="left" w:leader="none"/>
              </w:tabs>
              <w:spacing w:line="400" w:lineRule="exact" w:before="0" w:after="0"/>
              <w:ind w:left="356" w:right="0" w:hanging="245"/>
              <w:jc w:val="left"/>
              <w:rPr>
                <w:sz w:val="24"/>
              </w:rPr>
            </w:pPr>
            <w:r>
              <w:rPr>
                <w:color w:val="231F20"/>
                <w:sz w:val="24"/>
              </w:rPr>
              <w:t>按時回診，接受驗痰、胸部X光與曲血追蹤檢查，並教導正確取痰之技巧。</w:t>
            </w:r>
          </w:p>
          <w:p>
            <w:pPr>
              <w:pStyle w:val="TableParagraph"/>
              <w:numPr>
                <w:ilvl w:val="0"/>
                <w:numId w:val="74"/>
              </w:numPr>
              <w:tabs>
                <w:tab w:pos="357" w:val="left" w:leader="none"/>
              </w:tabs>
              <w:spacing w:line="400" w:lineRule="exact" w:before="0" w:after="0"/>
              <w:ind w:left="356" w:right="0" w:hanging="245"/>
              <w:jc w:val="left"/>
              <w:rPr>
                <w:sz w:val="24"/>
              </w:rPr>
            </w:pPr>
            <w:r>
              <w:rPr>
                <w:color w:val="231F20"/>
                <w:sz w:val="24"/>
              </w:rPr>
              <w:t>落實接觸者調查、匡列及衛教作業，並確實完成接觸者檢查等防疫作為。</w:t>
            </w:r>
          </w:p>
          <w:p>
            <w:pPr>
              <w:pStyle w:val="TableParagraph"/>
              <w:numPr>
                <w:ilvl w:val="0"/>
                <w:numId w:val="74"/>
              </w:numPr>
              <w:tabs>
                <w:tab w:pos="357" w:val="left" w:leader="none"/>
              </w:tabs>
              <w:spacing w:line="230" w:lineRule="auto" w:before="0" w:after="0"/>
              <w:ind w:left="356" w:right="96" w:hanging="244"/>
              <w:jc w:val="left"/>
              <w:rPr>
                <w:sz w:val="24"/>
              </w:rPr>
            </w:pPr>
            <w:r>
              <w:rPr>
                <w:color w:val="231F20"/>
                <w:sz w:val="24"/>
              </w:rPr>
              <w:t>告知個案痰液處理方式、傳染期間應居家隔腐、外出需佩戴醫療口罩、保持居家室內通風及避免傳染他人等防護措施。</w:t>
            </w:r>
          </w:p>
          <w:p>
            <w:pPr>
              <w:pStyle w:val="TableParagraph"/>
              <w:numPr>
                <w:ilvl w:val="0"/>
                <w:numId w:val="74"/>
              </w:numPr>
              <w:tabs>
                <w:tab w:pos="357" w:val="left" w:leader="none"/>
              </w:tabs>
              <w:spacing w:line="230" w:lineRule="auto" w:before="0" w:after="0"/>
              <w:ind w:left="356" w:right="90" w:hanging="244"/>
              <w:jc w:val="left"/>
              <w:rPr>
                <w:sz w:val="24"/>
              </w:rPr>
            </w:pPr>
            <w:r>
              <w:rPr>
                <w:color w:val="231F20"/>
                <w:spacing w:val="5"/>
                <w:sz w:val="24"/>
              </w:rPr>
              <w:t>給予心理支持，讓個案瞭解公衛人員及都治關懷員會陪伴並協助個案直至完成治</w:t>
            </w:r>
            <w:r>
              <w:rPr>
                <w:color w:val="231F20"/>
                <w:sz w:val="24"/>
              </w:rPr>
              <w:t>療。</w:t>
            </w:r>
          </w:p>
          <w:p>
            <w:pPr>
              <w:pStyle w:val="TableParagraph"/>
              <w:numPr>
                <w:ilvl w:val="0"/>
                <w:numId w:val="74"/>
              </w:numPr>
              <w:tabs>
                <w:tab w:pos="357" w:val="left" w:leader="none"/>
              </w:tabs>
              <w:spacing w:line="230" w:lineRule="auto" w:before="0" w:after="0"/>
              <w:ind w:left="356" w:right="94" w:hanging="244"/>
              <w:jc w:val="left"/>
              <w:rPr>
                <w:sz w:val="24"/>
              </w:rPr>
            </w:pPr>
            <w:r>
              <w:rPr>
                <w:color w:val="231F20"/>
                <w:sz w:val="24"/>
              </w:rPr>
              <w:t>如為重開案者，應了解前次治療及管理情形，如為 </w:t>
            </w:r>
            <w:r>
              <w:rPr>
                <w:color w:val="231F20"/>
                <w:spacing w:val="13"/>
                <w:w w:val="80"/>
                <w:sz w:val="24"/>
              </w:rPr>
              <w:t>「 </w:t>
            </w:r>
            <w:r>
              <w:rPr>
                <w:color w:val="231F20"/>
                <w:sz w:val="24"/>
              </w:rPr>
              <w:t>其他完</w:t>
            </w:r>
            <w:r>
              <w:rPr>
                <w:color w:val="231F20"/>
                <w:spacing w:val="41"/>
                <w:w w:val="80"/>
                <w:sz w:val="24"/>
              </w:rPr>
              <w:t>治」或「 </w:t>
            </w:r>
            <w:r>
              <w:rPr>
                <w:color w:val="231F20"/>
                <w:spacing w:val="-3"/>
                <w:sz w:val="24"/>
              </w:rPr>
              <w:t>其他(視同結</w:t>
            </w:r>
            <w:r>
              <w:rPr>
                <w:color w:val="231F20"/>
                <w:sz w:val="24"/>
              </w:rPr>
              <w:t>果失落)</w:t>
            </w:r>
            <w:r>
              <w:rPr>
                <w:color w:val="231F20"/>
                <w:spacing w:val="1"/>
                <w:w w:val="80"/>
                <w:sz w:val="24"/>
              </w:rPr>
              <w:t>」 </w:t>
            </w:r>
            <w:r>
              <w:rPr>
                <w:color w:val="231F20"/>
                <w:sz w:val="24"/>
              </w:rPr>
              <w:t>銷案者，應特別了解前次管理曾遭遇的問題，作為此次重啟治療之衛教</w:t>
            </w:r>
          </w:p>
          <w:p>
            <w:pPr>
              <w:pStyle w:val="TableParagraph"/>
              <w:spacing w:line="393" w:lineRule="exact"/>
              <w:ind w:left="356"/>
              <w:rPr>
                <w:sz w:val="24"/>
              </w:rPr>
            </w:pPr>
            <w:r>
              <w:rPr>
                <w:color w:val="231F20"/>
                <w:sz w:val="24"/>
              </w:rPr>
              <w:t>與管理重點。此外，應加強服藥順從性與抗藥性監測等相關作為。</w:t>
            </w:r>
          </w:p>
        </w:tc>
      </w:tr>
    </w:tbl>
    <w:p>
      <w:pPr>
        <w:pStyle w:val="BodyText"/>
        <w:spacing w:before="15"/>
        <w:rPr>
          <w:sz w:val="23"/>
        </w:rPr>
      </w:pPr>
    </w:p>
    <w:p>
      <w:pPr>
        <w:pStyle w:val="BodyText"/>
        <w:spacing w:before="70"/>
        <w:ind w:left="635"/>
      </w:pPr>
      <w:r>
        <w:rPr/>
        <w:pict>
          <v:group style="position:absolute;margin-left:557.684509pt;margin-top:-269.86969pt;width:37.35pt;height:663.55pt;mso-position-horizontal-relative:page;mso-position-vertical-relative:paragraph;z-index:251747328" coordorigin="11154,-5397" coordsize="747,13271">
            <v:shape style="position:absolute;left:11283;top:-4886;width:438;height:12760" type="#_x0000_t75" stroked="false">
              <v:imagedata r:id="rId49" o:title=""/>
            </v:shape>
            <v:shape style="position:absolute;left:11153;top:-5398;width:747;height:812" coordorigin="11154,-5397" coordsize="747,812" path="m11900,-5397l11536,-5397,11514,-5395,11454,-5361,11188,-5079,11154,-4992,11162,-4945,11454,-4622,11514,-4588,11536,-4586,11900,-4586,11900,-5397xe" filled="true" fillcolor="#7c8ac4" stroked="false">
              <v:path arrowok="t"/>
              <v:fill type="solid"/>
            </v:shape>
            <v:shape style="position:absolute;left:11307;top:-5131;width:393;height:278" type="#_x0000_t75" stroked="false">
              <v:imagedata r:id="rId57" o:title=""/>
            </v:shape>
            <v:shape style="position:absolute;left:11378;top:-4451;width:249;height:2257" type="#_x0000_t75" stroked="false">
              <v:imagedata r:id="rId51" o:title=""/>
            </v:shape>
            <v:shape style="position:absolute;left:11412;top:731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45</w:t>
                    </w:r>
                  </w:p>
                </w:txbxContent>
              </v:textbox>
              <w10:wrap type="none"/>
            </v:shape>
            <w10:wrap type="none"/>
          </v:group>
        </w:pict>
      </w:r>
      <w:r>
        <w:rPr/>
        <w:drawing>
          <wp:anchor distT="0" distB="0" distL="0" distR="0" allowOverlap="1" layoutInCell="1" locked="0" behindDoc="0" simplePos="0" relativeHeight="251748352">
            <wp:simplePos x="0" y="0"/>
            <wp:positionH relativeFrom="page">
              <wp:posOffset>719696</wp:posOffset>
            </wp:positionH>
            <wp:positionV relativeFrom="paragraph">
              <wp:posOffset>294643</wp:posOffset>
            </wp:positionV>
            <wp:extent cx="6126035" cy="3301631"/>
            <wp:effectExtent l="0" t="0" r="0" b="0"/>
            <wp:wrapNone/>
            <wp:docPr id="15" name="image54.jpeg"/>
            <wp:cNvGraphicFramePr>
              <a:graphicFrameLocks noChangeAspect="1"/>
            </wp:cNvGraphicFramePr>
            <a:graphic>
              <a:graphicData uri="http://schemas.openxmlformats.org/drawingml/2006/picture">
                <pic:pic>
                  <pic:nvPicPr>
                    <pic:cNvPr id="16" name="image54.jpeg"/>
                    <pic:cNvPicPr/>
                  </pic:nvPicPr>
                  <pic:blipFill>
                    <a:blip r:embed="rId58" cstate="print"/>
                    <a:stretch>
                      <a:fillRect/>
                    </a:stretch>
                  </pic:blipFill>
                  <pic:spPr>
                    <a:xfrm>
                      <a:off x="0" y="0"/>
                      <a:ext cx="6126035" cy="3301631"/>
                    </a:xfrm>
                    <a:prstGeom prst="rect">
                      <a:avLst/>
                    </a:prstGeom>
                  </pic:spPr>
                </pic:pic>
              </a:graphicData>
            </a:graphic>
          </wp:anchor>
        </w:drawing>
      </w:r>
      <w:r>
        <w:rPr>
          <w:color w:val="231F20"/>
        </w:rPr>
        <w:t>圖 1、結核病檢驗項目與時程</w:t>
      </w:r>
    </w:p>
    <w:p>
      <w:pPr>
        <w:spacing w:after="0"/>
        <w:sectPr>
          <w:pgSz w:w="11910" w:h="16840"/>
          <w:pgMar w:top="1200" w:bottom="0" w:left="980" w:right="0"/>
        </w:sectPr>
      </w:pPr>
    </w:p>
    <w:p>
      <w:pPr>
        <w:pStyle w:val="BodyText"/>
        <w:spacing w:before="59"/>
        <w:ind w:left="635"/>
      </w:pPr>
      <w:r>
        <w:rPr/>
        <w:pict>
          <v:group style="position:absolute;margin-left:-.000001pt;margin-top:178.154007pt;width:37.35pt;height:663.55pt;mso-position-horizontal-relative:page;mso-position-vertical-relative:page;z-index:251750400"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59"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46</w:t>
                    </w:r>
                  </w:p>
                </w:txbxContent>
              </v:textbox>
              <w10:wrap type="none"/>
            </v:shape>
            <w10:wrap type="none"/>
          </v:group>
        </w:pict>
      </w:r>
      <w:r>
        <w:rPr/>
        <w:pict>
          <v:shape style="position:absolute;margin-left:80.752502pt;margin-top:21.48588pt;width:458pt;height:187.35pt;mso-position-horizontal-relative:page;mso-position-vertical-relative:paragraph;z-index:251751424"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5643"/>
                    <w:gridCol w:w="3495"/>
                  </w:tblGrid>
                  <w:tr>
                    <w:trPr>
                      <w:trHeight w:val="451" w:hRule="atLeast"/>
                    </w:trPr>
                    <w:tc>
                      <w:tcPr>
                        <w:tcW w:w="5643" w:type="dxa"/>
                        <w:shd w:val="clear" w:color="auto" w:fill="E6E7E8"/>
                      </w:tcPr>
                      <w:p>
                        <w:pPr>
                          <w:pStyle w:val="TableParagraph"/>
                          <w:spacing w:line="431" w:lineRule="exact"/>
                          <w:ind w:left="2530" w:right="2517"/>
                          <w:jc w:val="center"/>
                          <w:rPr>
                            <w:rFonts w:ascii="微軟正黑體" w:eastAsia="微軟正黑體" w:hint="eastAsia"/>
                            <w:b/>
                            <w:sz w:val="24"/>
                          </w:rPr>
                        </w:pPr>
                        <w:r>
                          <w:rPr>
                            <w:rFonts w:ascii="微軟正黑體" w:eastAsia="微軟正黑體" w:hint="eastAsia"/>
                            <w:b/>
                            <w:color w:val="231F20"/>
                            <w:sz w:val="24"/>
                          </w:rPr>
                          <w:t>英 文</w:t>
                        </w:r>
                      </w:p>
                    </w:tc>
                    <w:tc>
                      <w:tcPr>
                        <w:tcW w:w="3495" w:type="dxa"/>
                        <w:shd w:val="clear" w:color="auto" w:fill="E6E7E8"/>
                      </w:tcPr>
                      <w:p>
                        <w:pPr>
                          <w:pStyle w:val="TableParagraph"/>
                          <w:spacing w:line="431" w:lineRule="exact"/>
                          <w:ind w:left="1456" w:right="1443"/>
                          <w:jc w:val="center"/>
                          <w:rPr>
                            <w:rFonts w:ascii="微軟正黑體" w:eastAsia="微軟正黑體" w:hint="eastAsia"/>
                            <w:b/>
                            <w:sz w:val="24"/>
                          </w:rPr>
                        </w:pPr>
                        <w:r>
                          <w:rPr>
                            <w:rFonts w:ascii="微軟正黑體" w:eastAsia="微軟正黑體" w:hint="eastAsia"/>
                            <w:b/>
                            <w:color w:val="231F20"/>
                            <w:sz w:val="24"/>
                          </w:rPr>
                          <w:t>中 文</w:t>
                        </w:r>
                      </w:p>
                    </w:tc>
                  </w:tr>
                  <w:tr>
                    <w:trPr>
                      <w:trHeight w:val="451" w:hRule="atLeast"/>
                    </w:trPr>
                    <w:tc>
                      <w:tcPr>
                        <w:tcW w:w="5643" w:type="dxa"/>
                      </w:tcPr>
                      <w:p>
                        <w:pPr>
                          <w:pStyle w:val="TableParagraph"/>
                          <w:spacing w:line="400" w:lineRule="exact" w:before="31"/>
                          <w:ind w:left="112"/>
                          <w:rPr>
                            <w:sz w:val="24"/>
                          </w:rPr>
                        </w:pPr>
                        <w:r>
                          <w:rPr>
                            <w:color w:val="231F20"/>
                            <w:sz w:val="24"/>
                          </w:rPr>
                          <w:t>Granuloma </w:t>
                        </w:r>
                        <w:r>
                          <w:rPr>
                            <w:color w:val="231F20"/>
                            <w:w w:val="80"/>
                            <w:sz w:val="24"/>
                          </w:rPr>
                          <w:t>／ </w:t>
                        </w:r>
                        <w:r>
                          <w:rPr>
                            <w:color w:val="231F20"/>
                            <w:sz w:val="24"/>
                          </w:rPr>
                          <w:t>granulomatous inflammation</w:t>
                        </w:r>
                      </w:p>
                    </w:tc>
                    <w:tc>
                      <w:tcPr>
                        <w:tcW w:w="3495" w:type="dxa"/>
                      </w:tcPr>
                      <w:p>
                        <w:pPr>
                          <w:pStyle w:val="TableParagraph"/>
                          <w:spacing w:line="400" w:lineRule="exact" w:before="31"/>
                          <w:ind w:left="115"/>
                          <w:rPr>
                            <w:sz w:val="24"/>
                          </w:rPr>
                        </w:pPr>
                        <w:r>
                          <w:rPr>
                            <w:color w:val="231F20"/>
                            <w:sz w:val="24"/>
                          </w:rPr>
                          <w:t>肉芽腫 </w:t>
                        </w:r>
                        <w:r>
                          <w:rPr>
                            <w:color w:val="231F20"/>
                            <w:w w:val="70"/>
                            <w:sz w:val="24"/>
                          </w:rPr>
                          <w:t>／ </w:t>
                        </w:r>
                        <w:r>
                          <w:rPr>
                            <w:color w:val="231F20"/>
                            <w:sz w:val="24"/>
                          </w:rPr>
                          <w:t>肉芽腫性發炎</w:t>
                        </w:r>
                      </w:p>
                    </w:tc>
                  </w:tr>
                  <w:tr>
                    <w:trPr>
                      <w:trHeight w:val="451" w:hRule="atLeast"/>
                    </w:trPr>
                    <w:tc>
                      <w:tcPr>
                        <w:tcW w:w="5643" w:type="dxa"/>
                      </w:tcPr>
                      <w:p>
                        <w:pPr>
                          <w:pStyle w:val="TableParagraph"/>
                          <w:spacing w:line="400" w:lineRule="exact" w:before="31"/>
                          <w:ind w:left="112"/>
                          <w:rPr>
                            <w:sz w:val="24"/>
                          </w:rPr>
                        </w:pPr>
                        <w:r>
                          <w:rPr>
                            <w:color w:val="231F20"/>
                            <w:w w:val="105"/>
                            <w:sz w:val="24"/>
                          </w:rPr>
                          <w:t>Granulomatous change</w:t>
                        </w:r>
                      </w:p>
                    </w:tc>
                    <w:tc>
                      <w:tcPr>
                        <w:tcW w:w="3495" w:type="dxa"/>
                      </w:tcPr>
                      <w:p>
                        <w:pPr>
                          <w:pStyle w:val="TableParagraph"/>
                          <w:spacing w:line="400" w:lineRule="exact" w:before="31"/>
                          <w:ind w:left="114"/>
                          <w:rPr>
                            <w:sz w:val="24"/>
                          </w:rPr>
                        </w:pPr>
                        <w:r>
                          <w:rPr>
                            <w:color w:val="231F20"/>
                            <w:sz w:val="24"/>
                          </w:rPr>
                          <w:t>肉芽腫性變化</w:t>
                        </w:r>
                      </w:p>
                    </w:tc>
                  </w:tr>
                  <w:tr>
                    <w:trPr>
                      <w:trHeight w:val="451" w:hRule="atLeast"/>
                    </w:trPr>
                    <w:tc>
                      <w:tcPr>
                        <w:tcW w:w="5643" w:type="dxa"/>
                      </w:tcPr>
                      <w:p>
                        <w:pPr>
                          <w:pStyle w:val="TableParagraph"/>
                          <w:spacing w:line="400" w:lineRule="exact" w:before="31"/>
                          <w:ind w:left="112"/>
                          <w:rPr>
                            <w:sz w:val="24"/>
                          </w:rPr>
                        </w:pPr>
                        <w:r>
                          <w:rPr>
                            <w:color w:val="231F20"/>
                            <w:w w:val="110"/>
                            <w:sz w:val="24"/>
                          </w:rPr>
                          <w:t>Necrotizing granulomatous inflammation</w:t>
                        </w:r>
                      </w:p>
                    </w:tc>
                    <w:tc>
                      <w:tcPr>
                        <w:tcW w:w="3495" w:type="dxa"/>
                      </w:tcPr>
                      <w:p>
                        <w:pPr>
                          <w:pStyle w:val="TableParagraph"/>
                          <w:spacing w:line="400" w:lineRule="exact" w:before="31"/>
                          <w:ind w:left="113"/>
                          <w:rPr>
                            <w:sz w:val="24"/>
                          </w:rPr>
                        </w:pPr>
                        <w:r>
                          <w:rPr>
                            <w:color w:val="231F20"/>
                            <w:sz w:val="24"/>
                          </w:rPr>
                          <w:t>壞死性肉芽腫發炎</w:t>
                        </w:r>
                      </w:p>
                    </w:tc>
                  </w:tr>
                  <w:tr>
                    <w:trPr>
                      <w:trHeight w:val="451" w:hRule="atLeast"/>
                    </w:trPr>
                    <w:tc>
                      <w:tcPr>
                        <w:tcW w:w="5643" w:type="dxa"/>
                      </w:tcPr>
                      <w:p>
                        <w:pPr>
                          <w:pStyle w:val="TableParagraph"/>
                          <w:spacing w:line="400" w:lineRule="exact" w:before="31"/>
                          <w:ind w:left="112"/>
                          <w:rPr>
                            <w:sz w:val="24"/>
                          </w:rPr>
                        </w:pPr>
                        <w:r>
                          <w:rPr>
                            <w:color w:val="231F20"/>
                            <w:w w:val="115"/>
                            <w:sz w:val="24"/>
                          </w:rPr>
                          <w:t>Chronic necrotizing(caseating)</w:t>
                        </w:r>
                      </w:p>
                    </w:tc>
                    <w:tc>
                      <w:tcPr>
                        <w:tcW w:w="3495" w:type="dxa"/>
                      </w:tcPr>
                      <w:p>
                        <w:pPr>
                          <w:pStyle w:val="TableParagraph"/>
                          <w:spacing w:line="400" w:lineRule="exact" w:before="31"/>
                          <w:ind w:left="112"/>
                          <w:rPr>
                            <w:sz w:val="24"/>
                          </w:rPr>
                        </w:pPr>
                        <w:r>
                          <w:rPr>
                            <w:color w:val="231F20"/>
                            <w:w w:val="115"/>
                            <w:sz w:val="24"/>
                          </w:rPr>
                          <w:t>慢性壞死性(乾酪性)</w:t>
                        </w:r>
                      </w:p>
                    </w:tc>
                  </w:tr>
                  <w:tr>
                    <w:trPr>
                      <w:trHeight w:val="451" w:hRule="atLeast"/>
                    </w:trPr>
                    <w:tc>
                      <w:tcPr>
                        <w:tcW w:w="5643" w:type="dxa"/>
                      </w:tcPr>
                      <w:p>
                        <w:pPr>
                          <w:pStyle w:val="TableParagraph"/>
                          <w:spacing w:line="400" w:lineRule="exact" w:before="31"/>
                          <w:ind w:left="112"/>
                          <w:rPr>
                            <w:sz w:val="24"/>
                          </w:rPr>
                        </w:pPr>
                        <w:r>
                          <w:rPr>
                            <w:color w:val="231F20"/>
                            <w:sz w:val="24"/>
                          </w:rPr>
                          <w:t>Caseous necrosis</w:t>
                        </w:r>
                      </w:p>
                    </w:tc>
                    <w:tc>
                      <w:tcPr>
                        <w:tcW w:w="3495" w:type="dxa"/>
                      </w:tcPr>
                      <w:p>
                        <w:pPr>
                          <w:pStyle w:val="TableParagraph"/>
                          <w:spacing w:line="400" w:lineRule="exact" w:before="31"/>
                          <w:ind w:left="112"/>
                          <w:rPr>
                            <w:sz w:val="24"/>
                          </w:rPr>
                        </w:pPr>
                        <w:r>
                          <w:rPr>
                            <w:color w:val="231F20"/>
                            <w:sz w:val="24"/>
                          </w:rPr>
                          <w:t>乾酪性壞死</w:t>
                        </w:r>
                      </w:p>
                    </w:tc>
                  </w:tr>
                  <w:tr>
                    <w:trPr>
                      <w:trHeight w:val="451" w:hRule="atLeast"/>
                    </w:trPr>
                    <w:tc>
                      <w:tcPr>
                        <w:tcW w:w="5643" w:type="dxa"/>
                      </w:tcPr>
                      <w:p>
                        <w:pPr>
                          <w:pStyle w:val="TableParagraph"/>
                          <w:spacing w:line="400" w:lineRule="exact" w:before="31"/>
                          <w:ind w:left="112"/>
                          <w:rPr>
                            <w:sz w:val="24"/>
                          </w:rPr>
                        </w:pPr>
                        <w:r>
                          <w:rPr>
                            <w:color w:val="231F20"/>
                            <w:w w:val="115"/>
                            <w:sz w:val="24"/>
                          </w:rPr>
                          <w:t>Langhan's(multinucleated)giant cells</w:t>
                        </w:r>
                      </w:p>
                    </w:tc>
                    <w:tc>
                      <w:tcPr>
                        <w:tcW w:w="3495" w:type="dxa"/>
                      </w:tcPr>
                      <w:p>
                        <w:pPr>
                          <w:pStyle w:val="TableParagraph"/>
                          <w:spacing w:line="400" w:lineRule="exact" w:before="31"/>
                          <w:ind w:left="110"/>
                          <w:rPr>
                            <w:sz w:val="24"/>
                          </w:rPr>
                        </w:pPr>
                        <w:r>
                          <w:rPr>
                            <w:color w:val="231F20"/>
                            <w:w w:val="120"/>
                            <w:sz w:val="24"/>
                          </w:rPr>
                          <w:t>Langhan's(多核)巨細胞</w:t>
                        </w:r>
                      </w:p>
                    </w:tc>
                  </w:tr>
                  <w:tr>
                    <w:trPr>
                      <w:trHeight w:val="451" w:hRule="atLeast"/>
                    </w:trPr>
                    <w:tc>
                      <w:tcPr>
                        <w:tcW w:w="5643" w:type="dxa"/>
                      </w:tcPr>
                      <w:p>
                        <w:pPr>
                          <w:pStyle w:val="TableParagraph"/>
                          <w:spacing w:line="400" w:lineRule="exact" w:before="31"/>
                          <w:ind w:left="112"/>
                          <w:rPr>
                            <w:sz w:val="24"/>
                          </w:rPr>
                        </w:pPr>
                        <w:r>
                          <w:rPr>
                            <w:color w:val="231F20"/>
                            <w:w w:val="110"/>
                            <w:sz w:val="24"/>
                          </w:rPr>
                          <w:t>epithelioid cells</w:t>
                        </w:r>
                      </w:p>
                    </w:tc>
                    <w:tc>
                      <w:tcPr>
                        <w:tcW w:w="3495" w:type="dxa"/>
                      </w:tcPr>
                      <w:p>
                        <w:pPr>
                          <w:pStyle w:val="TableParagraph"/>
                          <w:spacing w:line="400" w:lineRule="exact" w:before="31"/>
                          <w:ind w:left="110"/>
                          <w:rPr>
                            <w:sz w:val="24"/>
                          </w:rPr>
                        </w:pPr>
                        <w:r>
                          <w:rPr>
                            <w:color w:val="231F20"/>
                            <w:sz w:val="24"/>
                          </w:rPr>
                          <w:t>類上皮細胞</w:t>
                        </w:r>
                      </w:p>
                    </w:tc>
                  </w:tr>
                </w:tbl>
                <w:p>
                  <w:pPr>
                    <w:pStyle w:val="BodyText"/>
                  </w:pPr>
                </w:p>
              </w:txbxContent>
            </v:textbox>
            <w10:wrap type="none"/>
          </v:shape>
        </w:pict>
      </w:r>
      <w:r>
        <w:rPr>
          <w:color w:val="231F20"/>
        </w:rPr>
        <w:t>表 2、結核病之病理檢查報告常見參考用字</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4"/>
        <w:rPr>
          <w:sz w:val="16"/>
        </w:rPr>
      </w:pPr>
    </w:p>
    <w:p>
      <w:pPr>
        <w:pStyle w:val="BodyText"/>
        <w:spacing w:line="409" w:lineRule="exact"/>
        <w:ind w:left="391"/>
      </w:pPr>
      <w:r>
        <w:rPr>
          <w:color w:val="231F20"/>
        </w:rPr>
        <w:t>五、銷案作業</w:t>
      </w:r>
    </w:p>
    <w:p>
      <w:pPr>
        <w:pStyle w:val="BodyText"/>
        <w:tabs>
          <w:tab w:pos="1349" w:val="left" w:leader="none"/>
        </w:tabs>
        <w:spacing w:line="400" w:lineRule="exact"/>
        <w:ind w:left="629"/>
      </w:pPr>
      <w:r>
        <w:rPr>
          <w:color w:val="231F20"/>
          <w:spacing w:val="-5"/>
        </w:rPr>
        <w:t>( </w:t>
      </w:r>
      <w:r>
        <w:rPr>
          <w:color w:val="231F20"/>
        </w:rPr>
        <w:t>＿</w:t>
      </w:r>
      <w:r>
        <w:rPr>
          <w:color w:val="231F20"/>
          <w:spacing w:val="-4"/>
        </w:rPr>
        <w:t> )</w:t>
      </w:r>
      <w:r>
        <w:rPr>
          <w:color w:val="231F20"/>
        </w:rPr>
        <w:tab/>
        <w:t>啟動時機：</w:t>
      </w:r>
    </w:p>
    <w:p>
      <w:pPr>
        <w:pStyle w:val="ListParagraph"/>
        <w:numPr>
          <w:ilvl w:val="0"/>
          <w:numId w:val="75"/>
        </w:numPr>
        <w:tabs>
          <w:tab w:pos="1351" w:val="left" w:leader="none"/>
        </w:tabs>
        <w:spacing w:line="230" w:lineRule="auto" w:before="3" w:after="0"/>
        <w:ind w:left="1349" w:right="1136" w:hanging="255"/>
        <w:jc w:val="both"/>
        <w:rPr>
          <w:sz w:val="24"/>
        </w:rPr>
      </w:pPr>
      <w:r>
        <w:rPr>
          <w:color w:val="231F20"/>
          <w:w w:val="105"/>
          <w:sz w:val="24"/>
        </w:rPr>
        <w:t>結核病個案＿</w:t>
      </w:r>
      <w:r>
        <w:rPr>
          <w:color w:val="231F20"/>
          <w:spacing w:val="-9"/>
          <w:w w:val="105"/>
          <w:sz w:val="24"/>
        </w:rPr>
        <w:t>般治療約 </w:t>
      </w:r>
      <w:r>
        <w:rPr>
          <w:color w:val="231F20"/>
          <w:w w:val="105"/>
          <w:sz w:val="24"/>
        </w:rPr>
        <w:t>6</w:t>
      </w:r>
      <w:r>
        <w:rPr>
          <w:color w:val="231F20"/>
          <w:spacing w:val="-6"/>
          <w:w w:val="105"/>
          <w:sz w:val="24"/>
        </w:rPr>
        <w:t> 個月，除有特殊情形(註)，治療期間會延長，管理中</w:t>
      </w:r>
      <w:r>
        <w:rPr>
          <w:color w:val="231F20"/>
          <w:spacing w:val="-6"/>
          <w:sz w:val="24"/>
        </w:rPr>
        <w:t>個案治療超過 </w:t>
      </w:r>
      <w:r>
        <w:rPr>
          <w:color w:val="231F20"/>
          <w:sz w:val="24"/>
        </w:rPr>
        <w:t>9</w:t>
      </w:r>
      <w:r>
        <w:rPr>
          <w:color w:val="231F20"/>
          <w:spacing w:val="-2"/>
          <w:sz w:val="24"/>
        </w:rPr>
        <w:t> 個月，應瞭解個案治療情形，可利用「結核病個案診斷、治療情</w:t>
      </w:r>
      <w:r>
        <w:rPr>
          <w:color w:val="231F20"/>
          <w:spacing w:val="-3"/>
          <w:w w:val="105"/>
          <w:sz w:val="24"/>
        </w:rPr>
        <w:t>形調查表」(附件 </w:t>
      </w:r>
      <w:r>
        <w:rPr>
          <w:color w:val="231F20"/>
          <w:w w:val="105"/>
          <w:sz w:val="24"/>
        </w:rPr>
        <w:t>6-2)，與診療醫師溝通。</w:t>
      </w:r>
    </w:p>
    <w:p>
      <w:pPr>
        <w:pStyle w:val="BodyText"/>
        <w:spacing w:line="230" w:lineRule="auto"/>
        <w:ind w:left="1349" w:right="1136"/>
        <w:jc w:val="both"/>
      </w:pPr>
      <w:r>
        <w:rPr>
          <w:color w:val="231F20"/>
        </w:rPr>
        <w:t>註：加強期沒有全程使用PZA、MDR </w:t>
      </w:r>
      <w:r>
        <w:rPr>
          <w:color w:val="231F20"/>
          <w:w w:val="80"/>
        </w:rPr>
        <w:t>／ </w:t>
      </w:r>
      <w:r>
        <w:rPr>
          <w:color w:val="231F20"/>
        </w:rPr>
        <w:t>RR-TB、某些肺外結核、共病(糖尿病、免疫功能不全或肝腎疾病等)、胸部X 光有廣泛的結核侵犯或是開洞病灶、或者是治療 2 個月後痰培養仍為陽性者，治療期間會延長。詳細內容請參閱「結核病診治指引」第匹章。</w:t>
      </w:r>
    </w:p>
    <w:p>
      <w:pPr>
        <w:pStyle w:val="ListParagraph"/>
        <w:numPr>
          <w:ilvl w:val="0"/>
          <w:numId w:val="75"/>
        </w:numPr>
        <w:tabs>
          <w:tab w:pos="1349" w:val="left" w:leader="none"/>
        </w:tabs>
        <w:spacing w:line="230" w:lineRule="auto" w:before="0" w:after="0"/>
        <w:ind w:left="1349" w:right="1074" w:hanging="255"/>
        <w:jc w:val="both"/>
        <w:rPr>
          <w:sz w:val="24"/>
        </w:rPr>
      </w:pPr>
      <w:r>
        <w:rPr>
          <w:color w:val="231F20"/>
          <w:spacing w:val="-3"/>
          <w:sz w:val="24"/>
        </w:rPr>
        <w:t>通報列管之結核病個案，如經以下</w:t>
      </w:r>
      <w:r>
        <w:rPr>
          <w:color w:val="231F20"/>
          <w:sz w:val="24"/>
        </w:rPr>
        <w:t>2</w:t>
      </w:r>
      <w:r>
        <w:rPr>
          <w:color w:val="231F20"/>
          <w:spacing w:val="-10"/>
          <w:sz w:val="24"/>
        </w:rPr>
        <w:t> 種方式宣告表示完成或停止治療、排除診斷， </w:t>
      </w:r>
      <w:r>
        <w:rPr>
          <w:color w:val="231F20"/>
          <w:sz w:val="24"/>
        </w:rPr>
        <w:t>且經公衛管理人員評估確實符合可終止個案管理程序：</w:t>
      </w:r>
    </w:p>
    <w:p>
      <w:pPr>
        <w:pStyle w:val="ListParagraph"/>
        <w:numPr>
          <w:ilvl w:val="1"/>
          <w:numId w:val="75"/>
        </w:numPr>
        <w:tabs>
          <w:tab w:pos="1591" w:val="left" w:leader="none"/>
        </w:tabs>
        <w:spacing w:line="230" w:lineRule="auto" w:before="0" w:after="0"/>
        <w:ind w:left="1591" w:right="1128" w:hanging="355"/>
        <w:jc w:val="both"/>
        <w:rPr>
          <w:sz w:val="24"/>
        </w:rPr>
      </w:pPr>
      <w:r>
        <w:rPr>
          <w:color w:val="231F20"/>
          <w:spacing w:val="-2"/>
          <w:sz w:val="24"/>
        </w:rPr>
        <w:t>經診療醫師於智慧關懷卡診間讀卡系統宣告完成或停止治療</w:t>
      </w:r>
      <w:r>
        <w:rPr>
          <w:color w:val="231F20"/>
          <w:spacing w:val="13"/>
          <w:w w:val="110"/>
          <w:sz w:val="24"/>
        </w:rPr>
        <w:t>(可由</w:t>
      </w:r>
      <w:r>
        <w:rPr>
          <w:color w:val="231F20"/>
          <w:sz w:val="24"/>
        </w:rPr>
        <w:t>TB</w:t>
      </w:r>
      <w:r>
        <w:rPr>
          <w:color w:val="231F20"/>
          <w:spacing w:val="-7"/>
          <w:sz w:val="24"/>
        </w:rPr>
        <w:t> 系統「卡</w:t>
      </w:r>
      <w:r>
        <w:rPr>
          <w:color w:val="231F20"/>
          <w:spacing w:val="-12"/>
          <w:sz w:val="24"/>
        </w:rPr>
        <w:t>片管理」＞ 智慧關懷卡管理 ＞ 智慧關懷卡訊息管理 ＞ 智慧關懷卡停止治療通</w:t>
      </w:r>
      <w:r>
        <w:rPr>
          <w:color w:val="231F20"/>
          <w:spacing w:val="2"/>
          <w:sz w:val="24"/>
        </w:rPr>
        <w:t>知清單查閱)，並經醫院個管師於完成結束治療宣告後 </w:t>
      </w:r>
      <w:r>
        <w:rPr>
          <w:color w:val="231F20"/>
          <w:sz w:val="24"/>
        </w:rPr>
        <w:t>3</w:t>
      </w:r>
      <w:r>
        <w:rPr>
          <w:color w:val="231F20"/>
          <w:spacing w:val="4"/>
          <w:sz w:val="24"/>
        </w:rPr>
        <w:t> 個工作天內，至「結</w:t>
      </w:r>
      <w:r>
        <w:rPr>
          <w:color w:val="231F20"/>
          <w:spacing w:val="2"/>
          <w:sz w:val="24"/>
        </w:rPr>
        <w:t>核病健保口質支付個案管理主畫面 </w:t>
      </w:r>
      <w:r>
        <w:rPr>
          <w:color w:val="231F20"/>
          <w:spacing w:val="-6"/>
          <w:w w:val="80"/>
          <w:sz w:val="24"/>
        </w:rPr>
        <w:t>」 </w:t>
      </w:r>
      <w:r>
        <w:rPr>
          <w:color w:val="231F20"/>
          <w:sz w:val="24"/>
        </w:rPr>
        <w:t>完成或停止治療相關欄位之維護，公衛管理人員確認維護資料無誤後，可據以辦理銷案作業。</w:t>
      </w:r>
    </w:p>
    <w:p>
      <w:pPr>
        <w:pStyle w:val="BodyText"/>
        <w:spacing w:line="230" w:lineRule="auto"/>
        <w:ind w:left="1591" w:right="1137"/>
      </w:pPr>
      <w:r>
        <w:rPr>
          <w:color w:val="231F20"/>
        </w:rPr>
        <w:t>未接受健保口質專案之個案，則應透過「結核病個案診斷、治療情形調查表」向診療醫師確認個案停止治療日期、原因及正確性。</w:t>
      </w:r>
    </w:p>
    <w:p>
      <w:pPr>
        <w:pStyle w:val="ListParagraph"/>
        <w:numPr>
          <w:ilvl w:val="1"/>
          <w:numId w:val="75"/>
        </w:numPr>
        <w:tabs>
          <w:tab w:pos="1595" w:val="left" w:leader="none"/>
        </w:tabs>
        <w:spacing w:line="230" w:lineRule="auto" w:before="0" w:after="0"/>
        <w:ind w:left="1591" w:right="1134" w:hanging="355"/>
        <w:jc w:val="left"/>
        <w:rPr>
          <w:sz w:val="24"/>
        </w:rPr>
      </w:pPr>
      <w:r>
        <w:rPr>
          <w:color w:val="231F20"/>
          <w:spacing w:val="-1"/>
          <w:sz w:val="24"/>
        </w:rPr>
        <w:t>經諮詢委員病例討論同意無須提供醫療處置等情形，且公衛評估確實符合可終</w:t>
      </w:r>
      <w:r>
        <w:rPr>
          <w:color w:val="231F20"/>
          <w:sz w:val="24"/>
        </w:rPr>
        <w:t>止個案管理程序。</w:t>
      </w:r>
    </w:p>
    <w:p>
      <w:pPr>
        <w:pStyle w:val="ListParagraph"/>
        <w:numPr>
          <w:ilvl w:val="0"/>
          <w:numId w:val="75"/>
        </w:numPr>
        <w:tabs>
          <w:tab w:pos="1349" w:val="left" w:leader="none"/>
        </w:tabs>
        <w:spacing w:line="395" w:lineRule="exact" w:before="0" w:after="0"/>
        <w:ind w:left="1348" w:right="0" w:hanging="255"/>
        <w:jc w:val="left"/>
        <w:rPr>
          <w:sz w:val="24"/>
        </w:rPr>
      </w:pPr>
      <w:r>
        <w:rPr>
          <w:color w:val="231F20"/>
          <w:sz w:val="24"/>
        </w:rPr>
        <w:t>其他特殊對象之銷案條件，請參閱本章「肆、特定結核病個案管理重點」。</w:t>
      </w:r>
    </w:p>
    <w:p>
      <w:pPr>
        <w:pStyle w:val="BodyText"/>
        <w:tabs>
          <w:tab w:pos="1349" w:val="left" w:leader="none"/>
        </w:tabs>
        <w:spacing w:line="230" w:lineRule="auto"/>
        <w:ind w:left="1349" w:right="1135" w:hanging="720"/>
      </w:pPr>
      <w:r>
        <w:rPr>
          <w:color w:val="231F20"/>
          <w:spacing w:val="-8"/>
          <w:w w:val="105"/>
        </w:rPr>
        <w:t>( — )</w:t>
      </w:r>
      <w:r>
        <w:rPr>
          <w:color w:val="231F20"/>
          <w:w w:val="105"/>
        </w:rPr>
        <w:tab/>
      </w:r>
      <w:r>
        <w:rPr>
          <w:color w:val="231F20"/>
        </w:rPr>
        <w:t>銷案原因分類包含：完成管理、其他完治、死亡、轉出、排除診斷(醫師診療判</w:t>
      </w:r>
      <w:r>
        <w:rPr>
          <w:color w:val="231F20"/>
          <w:w w:val="105"/>
        </w:rPr>
        <w:t>定、NTM</w:t>
      </w:r>
      <w:r>
        <w:rPr>
          <w:color w:val="231F20"/>
          <w:spacing w:val="-4"/>
          <w:w w:val="105"/>
        </w:rPr>
        <w:t> 或 </w:t>
      </w:r>
      <w:r>
        <w:rPr>
          <w:color w:val="231F20"/>
          <w:spacing w:val="-3"/>
          <w:w w:val="105"/>
        </w:rPr>
        <w:t>BCG)</w:t>
      </w:r>
      <w:r>
        <w:rPr>
          <w:color w:val="231F20"/>
          <w:w w:val="105"/>
        </w:rPr>
        <w:t>或其他(視同結果失落)，定義說明如下：</w:t>
      </w:r>
    </w:p>
    <w:p>
      <w:pPr>
        <w:pStyle w:val="ListParagraph"/>
        <w:numPr>
          <w:ilvl w:val="0"/>
          <w:numId w:val="76"/>
        </w:numPr>
        <w:tabs>
          <w:tab w:pos="1349" w:val="left" w:leader="none"/>
        </w:tabs>
        <w:spacing w:line="395" w:lineRule="exact" w:before="0" w:after="0"/>
        <w:ind w:left="1348" w:right="0" w:hanging="255"/>
        <w:jc w:val="left"/>
        <w:rPr>
          <w:sz w:val="24"/>
        </w:rPr>
      </w:pPr>
      <w:r>
        <w:rPr>
          <w:color w:val="231F20"/>
          <w:sz w:val="24"/>
        </w:rPr>
        <w:t>完成管理：治療處方總類、劑量或天數符合「結核病診治指引」之標準處方。</w:t>
      </w:r>
    </w:p>
    <w:p>
      <w:pPr>
        <w:pStyle w:val="ListParagraph"/>
        <w:numPr>
          <w:ilvl w:val="0"/>
          <w:numId w:val="76"/>
        </w:numPr>
        <w:tabs>
          <w:tab w:pos="1350" w:val="left" w:leader="none"/>
        </w:tabs>
        <w:spacing w:line="409" w:lineRule="exact" w:before="0" w:after="0"/>
        <w:ind w:left="1349" w:right="0" w:hanging="256"/>
        <w:jc w:val="left"/>
        <w:rPr>
          <w:sz w:val="24"/>
        </w:rPr>
      </w:pPr>
      <w:r>
        <w:rPr>
          <w:color w:val="231F20"/>
          <w:sz w:val="24"/>
        </w:rPr>
        <w:t>其他完治：治療處方總類、劑量或天數未符合「結核病診治指引」之標準處方，</w:t>
      </w:r>
    </w:p>
    <w:p>
      <w:pPr>
        <w:spacing w:after="0" w:line="409" w:lineRule="exact"/>
        <w:jc w:val="left"/>
        <w:rPr>
          <w:sz w:val="24"/>
        </w:rPr>
        <w:sectPr>
          <w:pgSz w:w="11910" w:h="16840"/>
          <w:pgMar w:top="1060" w:bottom="0" w:left="980" w:right="0"/>
        </w:sectPr>
      </w:pPr>
    </w:p>
    <w:p>
      <w:pPr>
        <w:pStyle w:val="BodyText"/>
        <w:spacing w:line="409" w:lineRule="exact" w:before="59"/>
        <w:ind w:left="1349"/>
      </w:pPr>
      <w:r>
        <w:rPr>
          <w:color w:val="231F20"/>
        </w:rPr>
        <w:t>但經縣市病例討論確認個案無須繼續治療及管理。</w:t>
      </w:r>
    </w:p>
    <w:p>
      <w:pPr>
        <w:pStyle w:val="ListParagraph"/>
        <w:numPr>
          <w:ilvl w:val="0"/>
          <w:numId w:val="76"/>
        </w:numPr>
        <w:tabs>
          <w:tab w:pos="1350" w:val="left" w:leader="none"/>
        </w:tabs>
        <w:spacing w:line="400" w:lineRule="exact" w:before="0" w:after="0"/>
        <w:ind w:left="1349" w:right="0" w:hanging="256"/>
        <w:jc w:val="left"/>
        <w:rPr>
          <w:sz w:val="24"/>
        </w:rPr>
      </w:pPr>
      <w:r>
        <w:rPr>
          <w:color w:val="231F20"/>
          <w:sz w:val="24"/>
        </w:rPr>
        <w:t>死亡：包含管理期間死亡、通報即死亡或死亡後補通報。</w:t>
      </w:r>
    </w:p>
    <w:p>
      <w:pPr>
        <w:pStyle w:val="ListParagraph"/>
        <w:numPr>
          <w:ilvl w:val="0"/>
          <w:numId w:val="76"/>
        </w:numPr>
        <w:tabs>
          <w:tab w:pos="1350" w:val="left" w:leader="none"/>
        </w:tabs>
        <w:spacing w:line="400" w:lineRule="exact" w:before="0" w:after="0"/>
        <w:ind w:left="1349" w:right="0" w:hanging="256"/>
        <w:jc w:val="left"/>
        <w:rPr>
          <w:sz w:val="24"/>
        </w:rPr>
      </w:pPr>
      <w:r>
        <w:rPr>
          <w:color w:val="231F20"/>
          <w:sz w:val="24"/>
        </w:rPr>
        <w:t>轉出：移居他國。</w:t>
      </w:r>
    </w:p>
    <w:p>
      <w:pPr>
        <w:pStyle w:val="ListParagraph"/>
        <w:numPr>
          <w:ilvl w:val="0"/>
          <w:numId w:val="76"/>
        </w:numPr>
        <w:tabs>
          <w:tab w:pos="1350" w:val="left" w:leader="none"/>
        </w:tabs>
        <w:spacing w:line="400" w:lineRule="exact" w:before="0" w:after="0"/>
        <w:ind w:left="1349" w:right="0" w:hanging="256"/>
        <w:jc w:val="left"/>
        <w:rPr>
          <w:sz w:val="24"/>
        </w:rPr>
      </w:pPr>
      <w:r>
        <w:rPr>
          <w:color w:val="231F20"/>
          <w:sz w:val="24"/>
        </w:rPr>
        <w:t>排除診斷：</w:t>
      </w:r>
    </w:p>
    <w:p>
      <w:pPr>
        <w:pStyle w:val="ListParagraph"/>
        <w:numPr>
          <w:ilvl w:val="1"/>
          <w:numId w:val="76"/>
        </w:numPr>
        <w:tabs>
          <w:tab w:pos="1591" w:val="left" w:leader="none"/>
        </w:tabs>
        <w:spacing w:line="400" w:lineRule="exact" w:before="0" w:after="0"/>
        <w:ind w:left="1590" w:right="0" w:hanging="355"/>
        <w:jc w:val="left"/>
        <w:rPr>
          <w:sz w:val="24"/>
        </w:rPr>
      </w:pPr>
      <w:r>
        <w:rPr>
          <w:color w:val="231F20"/>
          <w:sz w:val="24"/>
        </w:rPr>
        <w:t>醫師診療排除：經診療醫師或縣市病例討論確認個案無須繼續治療。</w:t>
      </w:r>
    </w:p>
    <w:p>
      <w:pPr>
        <w:pStyle w:val="ListParagraph"/>
        <w:numPr>
          <w:ilvl w:val="1"/>
          <w:numId w:val="76"/>
        </w:numPr>
        <w:tabs>
          <w:tab w:pos="1591" w:val="left" w:leader="none"/>
        </w:tabs>
        <w:spacing w:line="230" w:lineRule="auto" w:before="2" w:after="0"/>
        <w:ind w:left="1590" w:right="1136" w:hanging="355"/>
        <w:jc w:val="left"/>
        <w:rPr>
          <w:sz w:val="24"/>
        </w:rPr>
      </w:pPr>
      <w:r>
        <w:rPr/>
        <w:pict>
          <v:group style="position:absolute;margin-left:557.684509pt;margin-top:21.741316pt;width:37.35pt;height:663.55pt;mso-position-horizontal-relative:page;mso-position-vertical-relative:paragraph;z-index:251753472" coordorigin="11154,435" coordsize="747,13271">
            <v:shape style="position:absolute;left:11283;top:946;width:438;height:12760" type="#_x0000_t75" stroked="false">
              <v:imagedata r:id="rId49" o:title=""/>
            </v:shape>
            <v:shape style="position:absolute;left:11153;top:434;width:747;height:812" coordorigin="11154,435" coordsize="747,812" path="m11900,435l11536,435,11514,437,11454,471,11188,753,11154,840,11162,887,11454,1210,11514,1244,11536,1246,11900,1246,11900,435xe" filled="true" fillcolor="#7c8ac4" stroked="false">
              <v:path arrowok="t"/>
              <v:fill type="solid"/>
            </v:shape>
            <v:shape style="position:absolute;left:11307;top:701;width:393;height:278" type="#_x0000_t75" stroked="false">
              <v:imagedata r:id="rId60" o:title=""/>
            </v:shape>
            <v:shape style="position:absolute;left:11378;top:1381;width:249;height:2257" type="#_x0000_t75" stroked="false">
              <v:imagedata r:id="rId51" o:title=""/>
            </v:shape>
            <v:shape style="position:absolute;left:11412;top:13143;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47</w:t>
                    </w:r>
                  </w:p>
                </w:txbxContent>
              </v:textbox>
              <w10:wrap type="none"/>
            </v:shape>
            <w10:wrap type="none"/>
          </v:group>
        </w:pict>
      </w:r>
      <w:r>
        <w:rPr>
          <w:color w:val="231F20"/>
          <w:sz w:val="24"/>
        </w:rPr>
        <w:t>NTM</w:t>
      </w:r>
      <w:r>
        <w:rPr>
          <w:color w:val="231F20"/>
          <w:spacing w:val="1"/>
          <w:sz w:val="24"/>
        </w:rPr>
        <w:t> 排除：菌株鑑定為 </w:t>
      </w:r>
      <w:r>
        <w:rPr>
          <w:color w:val="231F20"/>
          <w:sz w:val="24"/>
        </w:rPr>
        <w:t>NTM，且經診療醫師或縣市病例討論確認個案無須繼續治療結核病。</w:t>
      </w:r>
    </w:p>
    <w:p>
      <w:pPr>
        <w:pStyle w:val="ListParagraph"/>
        <w:numPr>
          <w:ilvl w:val="1"/>
          <w:numId w:val="76"/>
        </w:numPr>
        <w:tabs>
          <w:tab w:pos="1593" w:val="left" w:leader="none"/>
        </w:tabs>
        <w:spacing w:line="225" w:lineRule="auto" w:before="0" w:after="0"/>
        <w:ind w:left="1591" w:right="1133" w:hanging="355"/>
        <w:jc w:val="left"/>
        <w:rPr>
          <w:sz w:val="24"/>
        </w:rPr>
      </w:pPr>
      <w:r>
        <w:rPr>
          <w:color w:val="231F20"/>
          <w:spacing w:val="-3"/>
          <w:sz w:val="24"/>
        </w:rPr>
        <w:t>BCG</w:t>
      </w:r>
      <w:r>
        <w:rPr>
          <w:color w:val="231F20"/>
          <w:spacing w:val="-4"/>
          <w:sz w:val="24"/>
        </w:rPr>
        <w:t> 排除：菌株鑑定為「</w:t>
      </w:r>
      <w:r>
        <w:rPr>
          <w:color w:val="231F20"/>
          <w:sz w:val="25"/>
        </w:rPr>
        <w:t>M</w:t>
      </w:r>
      <w:r>
        <w:rPr>
          <w:color w:val="231F20"/>
          <w:spacing w:val="14"/>
          <w:sz w:val="25"/>
        </w:rPr>
        <w:t>. </w:t>
      </w:r>
      <w:r>
        <w:rPr>
          <w:color w:val="231F20"/>
          <w:sz w:val="25"/>
        </w:rPr>
        <w:t>bovis</w:t>
      </w:r>
      <w:r>
        <w:rPr>
          <w:color w:val="231F20"/>
          <w:spacing w:val="2"/>
          <w:sz w:val="25"/>
        </w:rPr>
        <w:t> </w:t>
      </w:r>
      <w:r>
        <w:rPr>
          <w:color w:val="231F20"/>
          <w:spacing w:val="-3"/>
          <w:sz w:val="24"/>
        </w:rPr>
        <w:t>BCG</w:t>
      </w:r>
      <w:r>
        <w:rPr>
          <w:color w:val="231F20"/>
          <w:spacing w:val="2"/>
          <w:sz w:val="24"/>
        </w:rPr>
        <w:t>」或 </w:t>
      </w:r>
      <w:r>
        <w:rPr>
          <w:color w:val="231F20"/>
          <w:spacing w:val="-3"/>
          <w:sz w:val="24"/>
        </w:rPr>
        <w:t>BCG</w:t>
      </w:r>
      <w:r>
        <w:rPr>
          <w:color w:val="231F20"/>
          <w:sz w:val="24"/>
        </w:rPr>
        <w:t> 疫苗不良反應(同側腋下淋巴結腫大或接種部位局部病兆)。</w:t>
      </w:r>
    </w:p>
    <w:p>
      <w:pPr>
        <w:pStyle w:val="ListParagraph"/>
        <w:numPr>
          <w:ilvl w:val="0"/>
          <w:numId w:val="76"/>
        </w:numPr>
        <w:tabs>
          <w:tab w:pos="1350" w:val="left" w:leader="none"/>
        </w:tabs>
        <w:spacing w:line="230" w:lineRule="auto" w:before="0" w:after="0"/>
        <w:ind w:left="1349" w:right="1131" w:hanging="255"/>
        <w:jc w:val="left"/>
        <w:rPr>
          <w:sz w:val="24"/>
        </w:rPr>
      </w:pPr>
      <w:r>
        <w:rPr>
          <w:color w:val="231F20"/>
          <w:spacing w:val="-3"/>
          <w:sz w:val="24"/>
        </w:rPr>
        <w:t>其他 ( 結果視同失落 )：不符上述銷案原因，經縣市病例討論確認個案無法排除</w:t>
      </w:r>
      <w:r>
        <w:rPr>
          <w:color w:val="231F20"/>
          <w:sz w:val="24"/>
        </w:rPr>
        <w:t>診斷或無須繼續治療及管理。</w:t>
      </w:r>
    </w:p>
    <w:p>
      <w:pPr>
        <w:pStyle w:val="BodyText"/>
        <w:tabs>
          <w:tab w:pos="1349" w:val="left" w:leader="none"/>
        </w:tabs>
        <w:spacing w:line="230" w:lineRule="auto"/>
        <w:ind w:left="1349" w:right="1131" w:hanging="720"/>
      </w:pPr>
      <w:r>
        <w:rPr>
          <w:color w:val="231F20"/>
        </w:rPr>
        <w:t>(</w:t>
      </w:r>
      <w:r>
        <w:rPr>
          <w:color w:val="231F20"/>
          <w:spacing w:val="-9"/>
        </w:rPr>
        <w:t> </w:t>
      </w:r>
      <w:r>
        <w:rPr>
          <w:color w:val="231F20"/>
        </w:rPr>
        <w:t>二</w:t>
      </w:r>
      <w:r>
        <w:rPr>
          <w:color w:val="231F20"/>
          <w:spacing w:val="-8"/>
        </w:rPr>
        <w:t> </w:t>
      </w:r>
      <w:r>
        <w:rPr>
          <w:color w:val="231F20"/>
        </w:rPr>
        <w:t>)</w:t>
        <w:tab/>
        <w:t>銷案期限：銷案原因發生(如診療醫師簽署完治或排除日期、死亡或轉出)且符  合銷案條件者，應儘速辦理，辦理期限自發生日計算如下：</w:t>
      </w:r>
    </w:p>
    <w:p>
      <w:pPr>
        <w:pStyle w:val="ListParagraph"/>
        <w:numPr>
          <w:ilvl w:val="0"/>
          <w:numId w:val="77"/>
        </w:numPr>
        <w:tabs>
          <w:tab w:pos="1350" w:val="left" w:leader="none"/>
        </w:tabs>
        <w:spacing w:line="395" w:lineRule="exact" w:before="0" w:after="0"/>
        <w:ind w:left="1349" w:right="0" w:hanging="256"/>
        <w:jc w:val="left"/>
        <w:rPr>
          <w:sz w:val="24"/>
        </w:rPr>
      </w:pPr>
      <w:r>
        <w:rPr>
          <w:color w:val="231F20"/>
          <w:sz w:val="24"/>
        </w:rPr>
        <w:t>30</w:t>
      </w:r>
      <w:r>
        <w:rPr>
          <w:color w:val="231F20"/>
          <w:spacing w:val="-5"/>
          <w:sz w:val="24"/>
        </w:rPr>
        <w:t> 個日曆天內：「完治 」、「其他完治 </w:t>
      </w:r>
      <w:r>
        <w:rPr>
          <w:color w:val="231F20"/>
          <w:spacing w:val="3"/>
          <w:w w:val="80"/>
          <w:sz w:val="24"/>
        </w:rPr>
        <w:t>」 </w:t>
      </w:r>
      <w:r>
        <w:rPr>
          <w:color w:val="231F20"/>
          <w:spacing w:val="-1"/>
          <w:sz w:val="24"/>
        </w:rPr>
        <w:t>或「其他(視同結果失落)」 者。</w:t>
      </w:r>
    </w:p>
    <w:p>
      <w:pPr>
        <w:pStyle w:val="ListParagraph"/>
        <w:numPr>
          <w:ilvl w:val="0"/>
          <w:numId w:val="77"/>
        </w:numPr>
        <w:tabs>
          <w:tab w:pos="1350" w:val="left" w:leader="none"/>
        </w:tabs>
        <w:spacing w:line="400" w:lineRule="exact" w:before="0" w:after="0"/>
        <w:ind w:left="1349" w:right="0" w:hanging="256"/>
        <w:jc w:val="left"/>
        <w:rPr>
          <w:sz w:val="24"/>
        </w:rPr>
      </w:pPr>
      <w:r>
        <w:rPr>
          <w:color w:val="231F20"/>
          <w:sz w:val="24"/>
        </w:rPr>
        <w:t>90</w:t>
      </w:r>
      <w:r>
        <w:rPr>
          <w:color w:val="231F20"/>
          <w:spacing w:val="-5"/>
          <w:sz w:val="24"/>
        </w:rPr>
        <w:t> 個日曆天內：「排除診斷 」、「死亡 </w:t>
      </w:r>
      <w:r>
        <w:rPr>
          <w:color w:val="231F20"/>
          <w:spacing w:val="1"/>
          <w:w w:val="80"/>
          <w:sz w:val="24"/>
        </w:rPr>
        <w:t>」 </w:t>
      </w:r>
      <w:r>
        <w:rPr>
          <w:color w:val="231F20"/>
          <w:spacing w:val="-2"/>
          <w:sz w:val="24"/>
        </w:rPr>
        <w:t>或「轉出 </w:t>
      </w:r>
      <w:r>
        <w:rPr>
          <w:color w:val="231F20"/>
          <w:spacing w:val="1"/>
          <w:w w:val="80"/>
          <w:sz w:val="24"/>
        </w:rPr>
        <w:t>」 </w:t>
      </w:r>
      <w:r>
        <w:rPr>
          <w:color w:val="231F20"/>
          <w:sz w:val="24"/>
        </w:rPr>
        <w:t>者。</w:t>
      </w:r>
    </w:p>
    <w:p>
      <w:pPr>
        <w:pStyle w:val="BodyText"/>
        <w:spacing w:line="230" w:lineRule="auto"/>
        <w:ind w:left="1349" w:right="1074" w:hanging="720"/>
        <w:jc w:val="both"/>
      </w:pPr>
      <w:r>
        <w:rPr>
          <w:color w:val="231F20"/>
        </w:rPr>
        <w:t>( 匹 ) 衛教：收回智慧關懷卡辦理銷案作業，宣告該名結核病個案解除列管，衛教個案</w:t>
      </w:r>
      <w:r>
        <w:rPr>
          <w:color w:val="231F20"/>
          <w:spacing w:val="-2"/>
        </w:rPr>
        <w:t>在完治後第 </w:t>
      </w:r>
      <w:r>
        <w:rPr>
          <w:color w:val="231F20"/>
        </w:rPr>
        <w:t>1</w:t>
      </w:r>
      <w:r>
        <w:rPr>
          <w:color w:val="231F20"/>
          <w:spacing w:val="-4"/>
        </w:rPr>
        <w:t> 年，每半年追蹤複查胸部 </w:t>
      </w:r>
      <w:r>
        <w:rPr>
          <w:color w:val="231F20"/>
        </w:rPr>
        <w:t>X</w:t>
      </w:r>
      <w:r>
        <w:rPr>
          <w:color w:val="231F20"/>
          <w:spacing w:val="-4"/>
        </w:rPr>
        <w:t> 光，之後每年 </w:t>
      </w:r>
      <w:r>
        <w:rPr>
          <w:color w:val="231F20"/>
        </w:rPr>
        <w:t>1</w:t>
      </w:r>
      <w:r>
        <w:rPr>
          <w:color w:val="231F20"/>
          <w:spacing w:val="-4"/>
        </w:rPr>
        <w:t> 次追蹤胸部 </w:t>
      </w:r>
      <w:r>
        <w:rPr>
          <w:color w:val="231F20"/>
        </w:rPr>
        <w:t>X</w:t>
      </w:r>
      <w:r>
        <w:rPr>
          <w:color w:val="231F20"/>
          <w:spacing w:val="-6"/>
        </w:rPr>
        <w:t> 光檢查。</w:t>
      </w:r>
    </w:p>
    <w:p>
      <w:pPr>
        <w:pStyle w:val="BodyText"/>
        <w:spacing w:line="230" w:lineRule="auto"/>
        <w:ind w:left="1349" w:right="1133" w:hanging="720"/>
        <w:jc w:val="both"/>
      </w:pPr>
      <w:r>
        <w:rPr>
          <w:color w:val="231F20"/>
        </w:rPr>
        <w:t>( 五 )  銷案管理作業：依各類銷案作業注意事項及檢核表</w:t>
      </w:r>
      <w:r>
        <w:rPr>
          <w:color w:val="231F20"/>
          <w:w w:val="125"/>
        </w:rPr>
        <w:t>(附件 6-3)</w:t>
      </w:r>
      <w:r>
        <w:rPr>
          <w:color w:val="231F20"/>
        </w:rPr>
        <w:t>辦理，公衛管理人員依檢核表確認無誤後，於 TB 系統提出銷案申請，由衛生局進行覆核，確認符合銷案條件後，即可於 TB 系統完成銷案作業。</w:t>
      </w:r>
    </w:p>
    <w:p>
      <w:pPr>
        <w:pStyle w:val="BodyText"/>
        <w:spacing w:line="394" w:lineRule="exact"/>
        <w:ind w:left="629"/>
        <w:jc w:val="both"/>
      </w:pPr>
      <w:r>
        <w:rPr>
          <w:color w:val="231F20"/>
        </w:rPr>
        <w:t>( 、 ) 預後追蹤：相關追蹤結果維護於 TB 系統</w:t>
      </w:r>
    </w:p>
    <w:p>
      <w:pPr>
        <w:pStyle w:val="ListParagraph"/>
        <w:numPr>
          <w:ilvl w:val="0"/>
          <w:numId w:val="78"/>
        </w:numPr>
        <w:tabs>
          <w:tab w:pos="1350" w:val="left" w:leader="none"/>
        </w:tabs>
        <w:spacing w:line="230" w:lineRule="auto" w:before="0" w:after="0"/>
        <w:ind w:left="1349" w:right="1133" w:hanging="255"/>
        <w:jc w:val="both"/>
        <w:rPr>
          <w:sz w:val="24"/>
        </w:rPr>
      </w:pPr>
      <w:r>
        <w:rPr>
          <w:color w:val="231F20"/>
          <w:spacing w:val="1"/>
          <w:sz w:val="24"/>
        </w:rPr>
        <w:t>治療期間疑似使用 </w:t>
      </w:r>
      <w:r>
        <w:rPr>
          <w:color w:val="231F20"/>
          <w:sz w:val="24"/>
        </w:rPr>
        <w:t>EMB 藥物造成視力受損的個案，銷案時應進行註記，於銷案</w:t>
      </w:r>
      <w:r>
        <w:rPr>
          <w:color w:val="231F20"/>
          <w:spacing w:val="-1"/>
          <w:sz w:val="24"/>
        </w:rPr>
        <w:t>後半年及 </w:t>
      </w:r>
      <w:r>
        <w:rPr>
          <w:color w:val="231F20"/>
          <w:sz w:val="24"/>
        </w:rPr>
        <w:t>1</w:t>
      </w:r>
      <w:r>
        <w:rPr>
          <w:color w:val="231F20"/>
          <w:spacing w:val="-2"/>
          <w:sz w:val="24"/>
        </w:rPr>
        <w:t> 年，追蹤個案視力恢復情形，未恢復者轉介眼科醫師，倘達視覺功能障礙等級，告知可申請身心障礙證明及藥害救濟等權益。</w:t>
      </w:r>
    </w:p>
    <w:p>
      <w:pPr>
        <w:pStyle w:val="ListParagraph"/>
        <w:numPr>
          <w:ilvl w:val="0"/>
          <w:numId w:val="78"/>
        </w:numPr>
        <w:tabs>
          <w:tab w:pos="1350" w:val="left" w:leader="none"/>
        </w:tabs>
        <w:spacing w:line="403" w:lineRule="exact" w:before="0" w:after="0"/>
        <w:ind w:left="1349" w:right="0" w:hanging="256"/>
        <w:jc w:val="both"/>
        <w:rPr>
          <w:sz w:val="24"/>
        </w:rPr>
      </w:pPr>
      <w:r>
        <w:rPr>
          <w:color w:val="231F20"/>
          <w:w w:val="105"/>
          <w:sz w:val="24"/>
        </w:rPr>
        <w:t>5</w:t>
      </w:r>
      <w:r>
        <w:rPr>
          <w:color w:val="231F20"/>
          <w:spacing w:val="-5"/>
          <w:w w:val="105"/>
          <w:sz w:val="24"/>
        </w:rPr>
        <w:t> 歲以下肺外結核幼童，於銷案時及銷案 </w:t>
      </w:r>
      <w:r>
        <w:rPr>
          <w:color w:val="231F20"/>
          <w:w w:val="105"/>
          <w:sz w:val="24"/>
        </w:rPr>
        <w:t>1</w:t>
      </w:r>
      <w:r>
        <w:rPr>
          <w:color w:val="231F20"/>
          <w:spacing w:val="-5"/>
          <w:w w:val="105"/>
          <w:sz w:val="24"/>
        </w:rPr>
        <w:t> 年，追蹤其預後情形(參見表 </w:t>
      </w:r>
      <w:r>
        <w:rPr>
          <w:color w:val="231F20"/>
          <w:w w:val="120"/>
          <w:sz w:val="24"/>
        </w:rPr>
        <w:t>6)。</w:t>
      </w:r>
    </w:p>
    <w:p>
      <w:pPr>
        <w:pStyle w:val="BodyText"/>
        <w:spacing w:before="13"/>
        <w:rPr>
          <w:sz w:val="19"/>
        </w:rPr>
      </w:pPr>
    </w:p>
    <w:p>
      <w:pPr>
        <w:pStyle w:val="Heading2"/>
      </w:pPr>
      <w:r>
        <w:rPr>
          <w:color w:val="231F20"/>
        </w:rPr>
        <w:t>參、一般結核病個案管理重點：（參見圖 2）</w:t>
      </w:r>
    </w:p>
    <w:p>
      <w:pPr>
        <w:pStyle w:val="BodyText"/>
        <w:spacing w:line="218" w:lineRule="auto" w:before="20"/>
        <w:ind w:left="827" w:right="1087" w:hanging="437"/>
      </w:pPr>
      <w:r>
        <w:rPr>
          <w:color w:val="231F20"/>
        </w:rPr>
        <w:t>＿、疑似個案儘速辦理確診作業，當通報 45 日未確診或排除診斷，TB 系統會主動提供警示清單，應儘速利用「結核病個案診斷、治療情形調查表」(附件        6-2)與診療醫師瞭解個案情形及治療狀況，必要時提送病例討論。</w:t>
      </w:r>
    </w:p>
    <w:p>
      <w:pPr>
        <w:pStyle w:val="BodyText"/>
        <w:spacing w:before="6"/>
        <w:ind w:left="391"/>
      </w:pPr>
      <w:r>
        <w:rPr>
          <w:color w:val="231F20"/>
        </w:rPr>
        <w:t>—、結核病診斷確定後：</w:t>
      </w:r>
    </w:p>
    <w:p>
      <w:pPr>
        <w:pStyle w:val="BodyText"/>
        <w:spacing w:line="230" w:lineRule="auto" w:before="21"/>
        <w:ind w:left="1349" w:right="1125" w:hanging="720"/>
        <w:jc w:val="both"/>
      </w:pPr>
      <w:r>
        <w:rPr>
          <w:color w:val="231F20"/>
        </w:rPr>
        <w:t>( ＿ ) 儘速辦理結核病個案接觸者調查、匡列、檢查及衛教作業，釐清每位接觸者與個案之終止有效暴露日並維護於 </w:t>
      </w:r>
      <w:r>
        <w:rPr>
          <w:color w:val="231F20"/>
          <w:w w:val="91"/>
        </w:rPr>
        <w:t>T</w:t>
      </w:r>
      <w:r>
        <w:rPr>
          <w:color w:val="231F20"/>
          <w:w w:val="92"/>
        </w:rPr>
        <w:t>B</w:t>
      </w:r>
      <w:r>
        <w:rPr>
          <w:color w:val="231F20"/>
        </w:rPr>
        <w:t> 系統，以利接觸者辦理潛伏結核感染</w:t>
      </w:r>
      <w:r>
        <w:rPr>
          <w:color w:val="231F20"/>
          <w:w w:val="300"/>
        </w:rPr>
        <w:t>(</w:t>
      </w:r>
      <w:r>
        <w:rPr>
          <w:color w:val="231F20"/>
          <w:w w:val="90"/>
        </w:rPr>
        <w:t>L</w:t>
      </w:r>
      <w:r>
        <w:rPr>
          <w:color w:val="231F20"/>
          <w:w w:val="91"/>
        </w:rPr>
        <w:t>T</w:t>
      </w:r>
      <w:r>
        <w:rPr>
          <w:color w:val="231F20"/>
          <w:w w:val="92"/>
        </w:rPr>
        <w:t>B</w:t>
      </w:r>
      <w:r>
        <w:rPr>
          <w:color w:val="231F20"/>
          <w:w w:val="102"/>
        </w:rPr>
        <w:t>I</w:t>
      </w:r>
      <w:r>
        <w:rPr>
          <w:color w:val="231F20"/>
          <w:w w:val="300"/>
        </w:rPr>
        <w:t>)</w:t>
      </w:r>
      <w:r>
        <w:rPr>
          <w:color w:val="231F20"/>
        </w:rPr>
        <w:t>檢驗，檢驗結果陽性者，儘速轉介接受治療評估，以避免接觸者發病，詳細內容請參閱第十＿章「結核病接觸者追蹤管理」及第二章「潛伏結核感染診斷及治療」。</w:t>
      </w:r>
    </w:p>
    <w:p>
      <w:pPr>
        <w:spacing w:after="0" w:line="230" w:lineRule="auto"/>
        <w:jc w:val="both"/>
        <w:sectPr>
          <w:pgSz w:w="11910" w:h="16840"/>
          <w:pgMar w:top="1060" w:bottom="0" w:left="980" w:right="0"/>
        </w:sectPr>
      </w:pPr>
    </w:p>
    <w:p>
      <w:pPr>
        <w:pStyle w:val="BodyText"/>
        <w:spacing w:line="230" w:lineRule="auto" w:before="70"/>
        <w:ind w:left="1349" w:right="1131" w:hanging="720"/>
        <w:jc w:val="both"/>
      </w:pPr>
      <w:r>
        <w:rPr/>
        <w:pict>
          <v:group style="position:absolute;margin-left:-.000001pt;margin-top:178.154007pt;width:37.35pt;height:663.55pt;mso-position-horizontal-relative:page;mso-position-vertical-relative:page;z-index:251755520"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61"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48</w:t>
                    </w:r>
                  </w:p>
                </w:txbxContent>
              </v:textbox>
              <w10:wrap type="none"/>
            </v:shape>
            <w10:wrap type="none"/>
          </v:group>
        </w:pict>
      </w:r>
      <w:r>
        <w:rPr>
          <w:color w:val="231F20"/>
        </w:rPr>
        <w:t>( — ) 對於痰液檢體僅 </w:t>
      </w:r>
      <w:r>
        <w:rPr>
          <w:color w:val="231F20"/>
          <w:w w:val="110"/>
        </w:rPr>
        <w:t>1 </w:t>
      </w:r>
      <w:r>
        <w:rPr>
          <w:color w:val="231F20"/>
        </w:rPr>
        <w:t>套培養為結核菌，或僅有分子診斷陽性但培養不出結核菌的個案，醫師或衛生單位對其診斷有疑義者，應提送縣市病例討論。若委員認為非結核病，對檢驗結果有疑義時，由衛生局轉知轄屬各區管制中心，由各區管制中心提請疾管署分枝桿菌實驗室進行「實驗室檢驗報告異常案件調查」作業，並將調查結果維護於 TB </w:t>
      </w:r>
      <w:r>
        <w:rPr>
          <w:color w:val="231F20"/>
          <w:w w:val="110"/>
        </w:rPr>
        <w:t>系統(流程如附件 6-4)。</w:t>
      </w:r>
    </w:p>
    <w:p>
      <w:pPr>
        <w:pStyle w:val="BodyText"/>
        <w:spacing w:line="391" w:lineRule="exact"/>
        <w:ind w:left="391"/>
      </w:pPr>
      <w:r>
        <w:rPr>
          <w:color w:val="231F20"/>
        </w:rPr>
        <w:t>二、確認處方合適性</w:t>
      </w:r>
    </w:p>
    <w:p>
      <w:pPr>
        <w:pStyle w:val="BodyText"/>
        <w:tabs>
          <w:tab w:pos="1349" w:val="left" w:leader="none"/>
        </w:tabs>
        <w:spacing w:line="230" w:lineRule="auto" w:before="3"/>
        <w:ind w:left="1349" w:right="1131" w:hanging="720"/>
      </w:pPr>
      <w:r>
        <w:rPr>
          <w:color w:val="231F20"/>
          <w:spacing w:val="-5"/>
        </w:rPr>
        <w:t>( </w:t>
      </w:r>
      <w:r>
        <w:rPr>
          <w:color w:val="231F20"/>
        </w:rPr>
        <w:t>＿</w:t>
      </w:r>
      <w:r>
        <w:rPr>
          <w:color w:val="231F20"/>
          <w:spacing w:val="-4"/>
        </w:rPr>
        <w:t> )</w:t>
      </w:r>
      <w:r>
        <w:rPr>
          <w:color w:val="231F20"/>
        </w:rPr>
        <w:tab/>
        <w:t>病人每次領藥，應協助確認藥袋之藥物及劑型、劑量是否與開立之處方相同、且處方符合「結核病診治指引」建議之標準處方，需參考資訊包含：</w:t>
      </w:r>
    </w:p>
    <w:p>
      <w:pPr>
        <w:pStyle w:val="ListParagraph"/>
        <w:numPr>
          <w:ilvl w:val="0"/>
          <w:numId w:val="79"/>
        </w:numPr>
        <w:tabs>
          <w:tab w:pos="1350" w:val="left" w:leader="none"/>
        </w:tabs>
        <w:spacing w:line="230" w:lineRule="auto" w:before="0" w:after="0"/>
        <w:ind w:left="1349" w:right="1126" w:hanging="255"/>
        <w:jc w:val="both"/>
        <w:rPr>
          <w:sz w:val="24"/>
        </w:rPr>
      </w:pPr>
      <w:r>
        <w:rPr>
          <w:color w:val="231F20"/>
          <w:spacing w:val="6"/>
          <w:sz w:val="24"/>
        </w:rPr>
        <w:t>藥物敏感性試驗結果：當快速分子檢測(如：結核菌群與抗藥基因分子檢測或</w:t>
      </w:r>
      <w:r>
        <w:rPr>
          <w:color w:val="231F20"/>
          <w:spacing w:val="-3"/>
          <w:sz w:val="24"/>
        </w:rPr>
        <w:t>GenoType</w:t>
      </w:r>
      <w:r>
        <w:rPr>
          <w:color w:val="231F20"/>
          <w:spacing w:val="8"/>
          <w:sz w:val="24"/>
        </w:rPr>
        <w:t> 等)或傳統藥敏檢驗結果為</w:t>
      </w:r>
      <w:r>
        <w:rPr>
          <w:color w:val="231F20"/>
          <w:sz w:val="24"/>
        </w:rPr>
        <w:t>RMP</w:t>
      </w:r>
      <w:r>
        <w:rPr>
          <w:color w:val="231F20"/>
          <w:spacing w:val="3"/>
          <w:sz w:val="24"/>
        </w:rPr>
        <w:t> 抗藥者，應將同</w:t>
      </w:r>
      <w:r>
        <w:rPr>
          <w:color w:val="231F20"/>
          <w:spacing w:val="4"/>
          <w:sz w:val="24"/>
        </w:rPr>
        <w:t>＿套痰檢體或菌株</w:t>
      </w:r>
      <w:r>
        <w:rPr>
          <w:color w:val="231F20"/>
          <w:w w:val="105"/>
          <w:sz w:val="24"/>
        </w:rPr>
        <w:t>送疾管署指定實驗室進行其他＿線分子及—線藥物敏感性檢驗。</w:t>
      </w:r>
    </w:p>
    <w:p>
      <w:pPr>
        <w:pStyle w:val="ListParagraph"/>
        <w:numPr>
          <w:ilvl w:val="0"/>
          <w:numId w:val="79"/>
        </w:numPr>
        <w:tabs>
          <w:tab w:pos="1349" w:val="left" w:leader="none"/>
        </w:tabs>
        <w:spacing w:line="394" w:lineRule="exact" w:before="0" w:after="0"/>
        <w:ind w:left="1348" w:right="0" w:hanging="255"/>
        <w:jc w:val="both"/>
        <w:rPr>
          <w:sz w:val="24"/>
        </w:rPr>
      </w:pPr>
      <w:r>
        <w:rPr>
          <w:color w:val="231F20"/>
          <w:sz w:val="24"/>
        </w:rPr>
        <w:t>藥物副作用評估：各類檢驗值與副作用表現。</w:t>
      </w:r>
    </w:p>
    <w:p>
      <w:pPr>
        <w:pStyle w:val="ListParagraph"/>
        <w:numPr>
          <w:ilvl w:val="0"/>
          <w:numId w:val="79"/>
        </w:numPr>
        <w:tabs>
          <w:tab w:pos="1349" w:val="left" w:leader="none"/>
        </w:tabs>
        <w:spacing w:line="400" w:lineRule="exact" w:before="0" w:after="0"/>
        <w:ind w:left="1348" w:right="0" w:hanging="255"/>
        <w:jc w:val="both"/>
        <w:rPr>
          <w:sz w:val="24"/>
        </w:rPr>
      </w:pPr>
      <w:r>
        <w:rPr>
          <w:color w:val="231F20"/>
          <w:spacing w:val="-1"/>
          <w:sz w:val="24"/>
        </w:rPr>
        <w:t>痰液陰轉時間、胸部 </w:t>
      </w:r>
      <w:r>
        <w:rPr>
          <w:color w:val="231F20"/>
          <w:sz w:val="24"/>
        </w:rPr>
        <w:t>X</w:t>
      </w:r>
      <w:r>
        <w:rPr>
          <w:color w:val="231F20"/>
          <w:spacing w:val="-3"/>
          <w:sz w:val="24"/>
        </w:rPr>
        <w:t> 光變化、臨床反應等情形。</w:t>
      </w:r>
    </w:p>
    <w:p>
      <w:pPr>
        <w:pStyle w:val="ListParagraph"/>
        <w:numPr>
          <w:ilvl w:val="0"/>
          <w:numId w:val="79"/>
        </w:numPr>
        <w:tabs>
          <w:tab w:pos="1350" w:val="left" w:leader="none"/>
        </w:tabs>
        <w:spacing w:line="230" w:lineRule="auto" w:before="0" w:after="0"/>
        <w:ind w:left="1349" w:right="1126" w:hanging="255"/>
        <w:jc w:val="left"/>
        <w:rPr>
          <w:sz w:val="24"/>
        </w:rPr>
      </w:pPr>
      <w:r>
        <w:rPr>
          <w:color w:val="231F20"/>
          <w:spacing w:val="1"/>
          <w:sz w:val="24"/>
        </w:rPr>
        <w:t>使用 </w:t>
      </w:r>
      <w:r>
        <w:rPr>
          <w:color w:val="231F20"/>
          <w:w w:val="85"/>
          <w:sz w:val="24"/>
        </w:rPr>
        <w:t>F</w:t>
      </w:r>
      <w:r>
        <w:rPr>
          <w:color w:val="231F20"/>
          <w:spacing w:val="-1"/>
          <w:w w:val="116"/>
          <w:sz w:val="24"/>
        </w:rPr>
        <w:t>l</w:t>
      </w:r>
      <w:r>
        <w:rPr>
          <w:color w:val="231F20"/>
          <w:spacing w:val="-1"/>
          <w:w w:val="109"/>
          <w:sz w:val="24"/>
        </w:rPr>
        <w:t>u</w:t>
      </w:r>
      <w:r>
        <w:rPr>
          <w:color w:val="231F20"/>
          <w:w w:val="113"/>
          <w:sz w:val="24"/>
        </w:rPr>
        <w:t>o</w:t>
      </w:r>
      <w:r>
        <w:rPr>
          <w:color w:val="231F20"/>
          <w:spacing w:val="-4"/>
          <w:w w:val="111"/>
          <w:sz w:val="24"/>
        </w:rPr>
        <w:t>r</w:t>
      </w:r>
      <w:r>
        <w:rPr>
          <w:color w:val="231F20"/>
          <w:w w:val="113"/>
          <w:sz w:val="24"/>
        </w:rPr>
        <w:t>o</w:t>
      </w:r>
      <w:r>
        <w:rPr>
          <w:color w:val="231F20"/>
          <w:w w:val="113"/>
          <w:sz w:val="24"/>
        </w:rPr>
        <w:t>q</w:t>
      </w:r>
      <w:r>
        <w:rPr>
          <w:color w:val="231F20"/>
          <w:spacing w:val="-1"/>
          <w:w w:val="109"/>
          <w:sz w:val="24"/>
        </w:rPr>
        <w:t>u</w:t>
      </w:r>
      <w:r>
        <w:rPr>
          <w:color w:val="231F20"/>
          <w:spacing w:val="-1"/>
          <w:w w:val="116"/>
          <w:sz w:val="24"/>
        </w:rPr>
        <w:t>i</w:t>
      </w:r>
      <w:r>
        <w:rPr>
          <w:color w:val="231F20"/>
          <w:spacing w:val="-1"/>
          <w:w w:val="109"/>
          <w:sz w:val="24"/>
        </w:rPr>
        <w:t>n</w:t>
      </w:r>
      <w:r>
        <w:rPr>
          <w:color w:val="231F20"/>
          <w:w w:val="113"/>
          <w:sz w:val="24"/>
        </w:rPr>
        <w:t>o</w:t>
      </w:r>
      <w:r>
        <w:rPr>
          <w:color w:val="231F20"/>
          <w:spacing w:val="-1"/>
          <w:w w:val="116"/>
          <w:sz w:val="24"/>
        </w:rPr>
        <w:t>l</w:t>
      </w:r>
      <w:r>
        <w:rPr>
          <w:color w:val="231F20"/>
          <w:w w:val="113"/>
          <w:sz w:val="24"/>
        </w:rPr>
        <w:t>o</w:t>
      </w:r>
      <w:r>
        <w:rPr>
          <w:color w:val="231F20"/>
          <w:spacing w:val="-1"/>
          <w:w w:val="109"/>
          <w:sz w:val="24"/>
        </w:rPr>
        <w:t>n</w:t>
      </w:r>
      <w:r>
        <w:rPr>
          <w:color w:val="231F20"/>
          <w:w w:val="101"/>
          <w:sz w:val="24"/>
        </w:rPr>
        <w:t>e</w:t>
      </w:r>
      <w:r>
        <w:rPr>
          <w:color w:val="231F20"/>
          <w:w w:val="300"/>
          <w:sz w:val="24"/>
        </w:rPr>
        <w:t>(</w:t>
      </w:r>
      <w:r>
        <w:rPr>
          <w:color w:val="231F20"/>
          <w:w w:val="85"/>
          <w:sz w:val="24"/>
        </w:rPr>
        <w:t>F</w:t>
      </w:r>
      <w:r>
        <w:rPr>
          <w:color w:val="231F20"/>
          <w:w w:val="104"/>
          <w:sz w:val="24"/>
        </w:rPr>
        <w:t>Q</w:t>
      </w:r>
      <w:r>
        <w:rPr>
          <w:color w:val="231F20"/>
          <w:spacing w:val="6"/>
          <w:w w:val="120"/>
          <w:sz w:val="24"/>
        </w:rPr>
        <w:t>)等藥物</w:t>
      </w:r>
      <w:r>
        <w:rPr>
          <w:color w:val="231F20"/>
          <w:spacing w:val="8"/>
          <w:sz w:val="24"/>
        </w:rPr>
        <w:t>，須向疾管署進行公費藥物申請</w:t>
      </w:r>
      <w:r>
        <w:rPr>
          <w:color w:val="231F20"/>
          <w:spacing w:val="9"/>
          <w:w w:val="120"/>
          <w:sz w:val="24"/>
        </w:rPr>
        <w:t>(詳細內</w:t>
      </w:r>
      <w:r>
        <w:rPr>
          <w:color w:val="231F20"/>
          <w:sz w:val="24"/>
        </w:rPr>
        <w:t>容請參閱第十章「抗藥性結核病照護與管理」及第十匹章「防治資源及診療諮詢</w:t>
      </w:r>
    </w:p>
    <w:p>
      <w:pPr>
        <w:pStyle w:val="BodyText"/>
        <w:spacing w:line="395" w:lineRule="exact"/>
        <w:ind w:left="1349"/>
      </w:pPr>
      <w:r>
        <w:rPr>
          <w:color w:val="231F20"/>
          <w:w w:val="140"/>
        </w:rPr>
        <w:t>\組」)。</w:t>
      </w:r>
    </w:p>
    <w:p>
      <w:pPr>
        <w:pStyle w:val="ListParagraph"/>
        <w:numPr>
          <w:ilvl w:val="0"/>
          <w:numId w:val="79"/>
        </w:numPr>
        <w:tabs>
          <w:tab w:pos="1350" w:val="left" w:leader="none"/>
        </w:tabs>
        <w:spacing w:line="230" w:lineRule="auto" w:before="3" w:after="0"/>
        <w:ind w:left="1349" w:right="1129" w:hanging="255"/>
        <w:jc w:val="both"/>
        <w:rPr>
          <w:sz w:val="24"/>
        </w:rPr>
      </w:pPr>
      <w:r>
        <w:rPr>
          <w:color w:val="231F20"/>
          <w:sz w:val="24"/>
        </w:rPr>
        <w:t>共病用藥、醫療處置之影響：糖尿病、洗腎、HIV、COVID-19</w:t>
      </w:r>
      <w:r>
        <w:rPr>
          <w:color w:val="231F20"/>
          <w:spacing w:val="3"/>
          <w:sz w:val="24"/>
        </w:rPr>
        <w:t> 等共病之用藥及</w:t>
      </w:r>
      <w:r>
        <w:rPr>
          <w:color w:val="231F20"/>
          <w:sz w:val="24"/>
        </w:rPr>
        <w:t>醫療處置，常因藥物代謝或交互作用，產生副作用等情形，致影響抗結核病藥物之種類、劑量與頻次。</w:t>
      </w:r>
    </w:p>
    <w:p>
      <w:pPr>
        <w:pStyle w:val="ListParagraph"/>
        <w:numPr>
          <w:ilvl w:val="0"/>
          <w:numId w:val="79"/>
        </w:numPr>
        <w:tabs>
          <w:tab w:pos="1349" w:val="left" w:leader="none"/>
        </w:tabs>
        <w:spacing w:line="230" w:lineRule="auto" w:before="0" w:after="0"/>
        <w:ind w:left="629" w:right="2136" w:firstLine="464"/>
        <w:jc w:val="both"/>
        <w:rPr>
          <w:sz w:val="24"/>
        </w:rPr>
      </w:pPr>
      <w:r>
        <w:rPr>
          <w:color w:val="231F20"/>
          <w:spacing w:val="-1"/>
          <w:sz w:val="24"/>
        </w:rPr>
        <w:t>每月量測體重，以即時調整藥物劑量及檢視是否符合診治指引之建議。</w:t>
      </w:r>
      <w:r>
        <w:rPr>
          <w:color w:val="231F20"/>
          <w:spacing w:val="-3"/>
          <w:sz w:val="24"/>
        </w:rPr>
        <w:t>( — ) 如對於醫師開立處方有疑義，則儘速擇下列方式進行處方確認：</w:t>
      </w:r>
    </w:p>
    <w:p>
      <w:pPr>
        <w:pStyle w:val="ListParagraph"/>
        <w:numPr>
          <w:ilvl w:val="0"/>
          <w:numId w:val="80"/>
        </w:numPr>
        <w:tabs>
          <w:tab w:pos="1350" w:val="left" w:leader="none"/>
        </w:tabs>
        <w:spacing w:line="230" w:lineRule="auto" w:before="0" w:after="0"/>
        <w:ind w:left="1349" w:right="1133" w:hanging="255"/>
        <w:jc w:val="both"/>
        <w:rPr>
          <w:sz w:val="24"/>
        </w:rPr>
      </w:pPr>
      <w:r>
        <w:rPr>
          <w:color w:val="231F20"/>
          <w:sz w:val="24"/>
        </w:rPr>
        <w:t>填寫「結核病個案診斷、治療情形調查表」</w:t>
      </w:r>
      <w:r>
        <w:rPr>
          <w:color w:val="231F20"/>
          <w:spacing w:val="1"/>
          <w:w w:val="128"/>
          <w:sz w:val="24"/>
        </w:rPr>
        <w:t>(附件</w:t>
      </w:r>
      <w:r>
        <w:rPr>
          <w:color w:val="231F20"/>
          <w:spacing w:val="-6"/>
          <w:sz w:val="24"/>
        </w:rPr>
        <w:t> </w:t>
      </w:r>
      <w:r>
        <w:rPr>
          <w:color w:val="231F20"/>
          <w:w w:val="104"/>
          <w:sz w:val="24"/>
        </w:rPr>
        <w:t>6</w:t>
      </w:r>
      <w:r>
        <w:rPr>
          <w:color w:val="231F20"/>
          <w:w w:val="129"/>
          <w:sz w:val="24"/>
        </w:rPr>
        <w:t>-</w:t>
      </w:r>
      <w:r>
        <w:rPr>
          <w:color w:val="231F20"/>
          <w:w w:val="104"/>
          <w:sz w:val="24"/>
        </w:rPr>
        <w:t>2</w:t>
      </w:r>
      <w:r>
        <w:rPr>
          <w:color w:val="231F20"/>
          <w:w w:val="300"/>
          <w:sz w:val="24"/>
        </w:rPr>
        <w:t>)</w:t>
      </w:r>
      <w:r>
        <w:rPr>
          <w:color w:val="231F20"/>
          <w:spacing w:val="2"/>
          <w:sz w:val="24"/>
        </w:rPr>
        <w:t>，與原診療醫師溝通是</w:t>
      </w:r>
      <w:r>
        <w:rPr>
          <w:color w:val="231F20"/>
          <w:w w:val="105"/>
          <w:sz w:val="24"/>
        </w:rPr>
        <w:t>否有其他特殊原因導致治療疑義。</w:t>
      </w:r>
    </w:p>
    <w:p>
      <w:pPr>
        <w:pStyle w:val="ListParagraph"/>
        <w:numPr>
          <w:ilvl w:val="0"/>
          <w:numId w:val="80"/>
        </w:numPr>
        <w:tabs>
          <w:tab w:pos="1349" w:val="left" w:leader="none"/>
        </w:tabs>
        <w:spacing w:line="395" w:lineRule="exact" w:before="0" w:after="0"/>
        <w:ind w:left="1348" w:right="0" w:hanging="255"/>
        <w:jc w:val="both"/>
        <w:rPr>
          <w:sz w:val="24"/>
        </w:rPr>
      </w:pPr>
      <w:r>
        <w:rPr>
          <w:color w:val="231F20"/>
          <w:sz w:val="24"/>
        </w:rPr>
        <w:t>透過醫院內部之結核病委員會討論。</w:t>
      </w:r>
    </w:p>
    <w:p>
      <w:pPr>
        <w:pStyle w:val="ListParagraph"/>
        <w:numPr>
          <w:ilvl w:val="0"/>
          <w:numId w:val="80"/>
        </w:numPr>
        <w:tabs>
          <w:tab w:pos="1349" w:val="left" w:leader="none"/>
        </w:tabs>
        <w:spacing w:line="230" w:lineRule="auto" w:before="0" w:after="0"/>
        <w:ind w:left="1349" w:right="1074" w:hanging="255"/>
        <w:jc w:val="both"/>
        <w:rPr>
          <w:sz w:val="24"/>
        </w:rPr>
      </w:pPr>
      <w:r>
        <w:rPr>
          <w:color w:val="231F20"/>
          <w:spacing w:val="-10"/>
          <w:sz w:val="24"/>
        </w:rPr>
        <w:t>若循上述管道仍有治療疑義，則備妥病歷與檢驗(查)、影像學檔案等診療資料，   </w:t>
      </w:r>
      <w:r>
        <w:rPr>
          <w:color w:val="231F20"/>
          <w:w w:val="105"/>
          <w:sz w:val="24"/>
        </w:rPr>
        <w:t>儘速提送縣市病例討論。</w:t>
      </w:r>
    </w:p>
    <w:p>
      <w:pPr>
        <w:pStyle w:val="BodyText"/>
        <w:spacing w:line="395" w:lineRule="exact"/>
        <w:ind w:left="391"/>
      </w:pPr>
      <w:r>
        <w:rPr>
          <w:color w:val="231F20"/>
        </w:rPr>
        <w:t>匹、觀察個案服藥順從性</w:t>
      </w:r>
    </w:p>
    <w:p>
      <w:pPr>
        <w:pStyle w:val="BodyText"/>
        <w:tabs>
          <w:tab w:pos="1349" w:val="left" w:leader="none"/>
        </w:tabs>
        <w:spacing w:line="400" w:lineRule="exact"/>
        <w:ind w:left="629"/>
      </w:pPr>
      <w:r>
        <w:rPr>
          <w:color w:val="231F20"/>
          <w:spacing w:val="-5"/>
        </w:rPr>
        <w:t>( </w:t>
      </w:r>
      <w:r>
        <w:rPr>
          <w:color w:val="231F20"/>
        </w:rPr>
        <w:t>＿</w:t>
      </w:r>
      <w:r>
        <w:rPr>
          <w:color w:val="231F20"/>
          <w:spacing w:val="-4"/>
        </w:rPr>
        <w:t> )</w:t>
      </w:r>
      <w:r>
        <w:rPr>
          <w:color w:val="231F20"/>
        </w:rPr>
        <w:tab/>
        <w:t>鼓勵個案加入都治計畫，落實都治送藥之精神，確保按規服藥。</w:t>
      </w:r>
    </w:p>
    <w:p>
      <w:pPr>
        <w:pStyle w:val="BodyText"/>
        <w:tabs>
          <w:tab w:pos="1349" w:val="left" w:leader="none"/>
        </w:tabs>
        <w:spacing w:line="230" w:lineRule="auto"/>
        <w:ind w:left="1349" w:right="1131" w:hanging="720"/>
      </w:pPr>
      <w:r>
        <w:rPr>
          <w:color w:val="231F20"/>
          <w:spacing w:val="-4"/>
        </w:rPr>
        <w:t>( — )</w:t>
      </w:r>
      <w:r>
        <w:rPr>
          <w:color w:val="231F20"/>
        </w:rPr>
        <w:tab/>
        <w:t>實際核對領藥日期及剩藥數量，指導藥口適當保存，了解是否按時按量服藥；如未按時按量服藥應查明原因。</w:t>
      </w:r>
    </w:p>
    <w:p>
      <w:pPr>
        <w:pStyle w:val="BodyText"/>
        <w:tabs>
          <w:tab w:pos="1349" w:val="left" w:leader="none"/>
        </w:tabs>
        <w:spacing w:line="230" w:lineRule="auto"/>
        <w:ind w:left="629" w:right="3335"/>
      </w:pPr>
      <w:r>
        <w:rPr>
          <w:color w:val="231F20"/>
        </w:rPr>
        <w:t>(</w:t>
      </w:r>
      <w:r>
        <w:rPr>
          <w:color w:val="231F20"/>
          <w:spacing w:val="-9"/>
        </w:rPr>
        <w:t> </w:t>
      </w:r>
      <w:r>
        <w:rPr>
          <w:color w:val="231F20"/>
        </w:rPr>
        <w:t>二</w:t>
      </w:r>
      <w:r>
        <w:rPr>
          <w:color w:val="231F20"/>
          <w:spacing w:val="-8"/>
        </w:rPr>
        <w:t> </w:t>
      </w:r>
      <w:r>
        <w:rPr>
          <w:color w:val="231F20"/>
        </w:rPr>
        <w:t>)</w:t>
        <w:tab/>
        <w:t>不按規服藥或出現副作用時，應記錄並指導儘速回診就醫</w:t>
      </w:r>
      <w:r>
        <w:rPr>
          <w:color w:val="231F20"/>
          <w:spacing w:val="-20"/>
        </w:rPr>
        <w:t>。</w:t>
      </w:r>
      <w:r>
        <w:rPr>
          <w:color w:val="231F20"/>
        </w:rPr>
        <w:t>(</w:t>
      </w:r>
      <w:r>
        <w:rPr>
          <w:color w:val="231F20"/>
          <w:spacing w:val="-9"/>
        </w:rPr>
        <w:t> </w:t>
      </w:r>
      <w:r>
        <w:rPr>
          <w:color w:val="231F20"/>
        </w:rPr>
        <w:t>匹</w:t>
      </w:r>
      <w:r>
        <w:rPr>
          <w:color w:val="231F20"/>
          <w:spacing w:val="-8"/>
        </w:rPr>
        <w:t> </w:t>
      </w:r>
      <w:r>
        <w:rPr>
          <w:color w:val="231F20"/>
        </w:rPr>
        <w:t>)</w:t>
        <w:tab/>
        <w:t>透過家人或主要照顧者支持確認個案服藥順從性。</w:t>
      </w:r>
    </w:p>
    <w:p>
      <w:pPr>
        <w:pStyle w:val="BodyText"/>
        <w:spacing w:line="395" w:lineRule="exact"/>
        <w:ind w:left="629"/>
        <w:jc w:val="both"/>
      </w:pPr>
      <w:r>
        <w:rPr>
          <w:color w:val="231F20"/>
        </w:rPr>
        <w:t>( 五 ) 提供使用針劑治療個案，可施打針劑的地點。</w:t>
      </w:r>
    </w:p>
    <w:p>
      <w:pPr>
        <w:pStyle w:val="BodyText"/>
        <w:spacing w:line="230" w:lineRule="auto"/>
        <w:ind w:left="1349" w:right="1128" w:hanging="720"/>
        <w:jc w:val="both"/>
      </w:pPr>
      <w:r>
        <w:rPr>
          <w:color w:val="231F20"/>
        </w:rPr>
        <w:t>( 、 ) 定期查看 TB 系統之「就醫照護日誌」及「智慧關懷卡照護交流訊息 </w:t>
      </w:r>
      <w:r>
        <w:rPr>
          <w:color w:val="231F20"/>
          <w:w w:val="80"/>
        </w:rPr>
        <w:t>」</w:t>
      </w:r>
      <w:r>
        <w:rPr>
          <w:color w:val="231F20"/>
        </w:rPr>
        <w:t>，掌握個案就醫、用藥情形；如個案確實未回診就醫，應主動瞭解原因並協助處理；如個案已回診就醫，則應儘速登錄就醫資料。</w:t>
      </w:r>
    </w:p>
    <w:p>
      <w:pPr>
        <w:spacing w:after="0" w:line="230" w:lineRule="auto"/>
        <w:jc w:val="both"/>
        <w:sectPr>
          <w:pgSz w:w="11910" w:h="16840"/>
          <w:pgMar w:top="1060" w:bottom="0" w:left="980" w:right="0"/>
        </w:sectPr>
      </w:pPr>
    </w:p>
    <w:p>
      <w:pPr>
        <w:pStyle w:val="BodyText"/>
        <w:spacing w:line="409" w:lineRule="exact" w:before="59"/>
        <w:ind w:left="391"/>
      </w:pPr>
      <w:r>
        <w:rPr>
          <w:color w:val="231F20"/>
        </w:rPr>
        <w:t>五、副作用評估</w:t>
      </w:r>
    </w:p>
    <w:p>
      <w:pPr>
        <w:pStyle w:val="BodyText"/>
        <w:spacing w:line="230" w:lineRule="auto" w:before="2"/>
        <w:ind w:left="1349" w:right="1075" w:hanging="720"/>
        <w:jc w:val="both"/>
      </w:pPr>
      <w:r>
        <w:rPr/>
        <w:pict>
          <v:group style="position:absolute;margin-left:557.684509pt;margin-top:101.726242pt;width:37.35pt;height:663.55pt;mso-position-horizontal-relative:page;mso-position-vertical-relative:paragraph;z-index:251757568" coordorigin="11154,2035" coordsize="747,13271">
            <v:shape style="position:absolute;left:11283;top:2545;width:438;height:12760" type="#_x0000_t75" stroked="false">
              <v:imagedata r:id="rId49" o:title=""/>
            </v:shape>
            <v:shape style="position:absolute;left:11153;top:2034;width:747;height:812" coordorigin="11154,2035" coordsize="747,812" path="m11900,2035l11536,2035,11514,2037,11454,2071,11188,2353,11154,2440,11162,2487,11454,2810,11514,2844,11536,2846,11900,2846,11900,2035xe" filled="true" fillcolor="#7c8ac4" stroked="false">
              <v:path arrowok="t"/>
              <v:fill type="solid"/>
            </v:shape>
            <v:shape style="position:absolute;left:11307;top:2301;width:393;height:278" type="#_x0000_t75" stroked="false">
              <v:imagedata r:id="rId62" o:title=""/>
            </v:shape>
            <v:shape style="position:absolute;left:11378;top:2981;width:249;height:2257" type="#_x0000_t75" stroked="false">
              <v:imagedata r:id="rId51" o:title=""/>
            </v:shape>
            <v:shape style="position:absolute;left:11412;top:14743;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49</w:t>
                    </w:r>
                  </w:p>
                </w:txbxContent>
              </v:textbox>
              <w10:wrap type="none"/>
            </v:shape>
            <w10:wrap type="none"/>
          </v:group>
        </w:pict>
      </w:r>
      <w:r>
        <w:rPr>
          <w:color w:val="231F20"/>
          <w:w w:val="96"/>
        </w:rPr>
        <w:t>(</w:t>
      </w:r>
      <w:r>
        <w:rPr>
          <w:color w:val="231F20"/>
          <w:spacing w:val="-7"/>
        </w:rPr>
        <w:t> </w:t>
      </w:r>
      <w:r>
        <w:rPr>
          <w:color w:val="231F20"/>
        </w:rPr>
        <w:t>＿</w:t>
      </w:r>
      <w:r>
        <w:rPr>
          <w:color w:val="231F20"/>
          <w:spacing w:val="-7"/>
        </w:rPr>
        <w:t> </w:t>
      </w:r>
      <w:r>
        <w:rPr>
          <w:color w:val="231F20"/>
          <w:w w:val="96"/>
        </w:rPr>
        <w:t>)</w:t>
      </w:r>
      <w:r>
        <w:rPr>
          <w:color w:val="231F20"/>
        </w:rPr>
        <w:t>   評估個案副作用並妥善處置</w:t>
      </w:r>
      <w:r>
        <w:rPr>
          <w:color w:val="231F20"/>
          <w:spacing w:val="2"/>
          <w:w w:val="300"/>
        </w:rPr>
        <w:t>(</w:t>
      </w:r>
      <w:r>
        <w:rPr>
          <w:color w:val="231F20"/>
          <w:spacing w:val="-3"/>
        </w:rPr>
        <w:t>表 </w:t>
      </w:r>
      <w:r>
        <w:rPr>
          <w:color w:val="231F20"/>
          <w:w w:val="104"/>
        </w:rPr>
        <w:t>3</w:t>
      </w:r>
      <w:r>
        <w:rPr>
          <w:color w:val="231F20"/>
          <w:spacing w:val="-1"/>
          <w:w w:val="300"/>
        </w:rPr>
        <w:t>)</w:t>
      </w:r>
      <w:r>
        <w:rPr>
          <w:color w:val="231F20"/>
        </w:rPr>
        <w:t>，將可增進病人服藥順從性，提升完治率。</w:t>
      </w:r>
      <w:r>
        <w:rPr>
          <w:color w:val="231F20"/>
          <w:spacing w:val="-3"/>
        </w:rPr>
        <w:t>個案如有不適主訴，應提醒 </w:t>
      </w:r>
      <w:r>
        <w:rPr>
          <w:color w:val="231F20"/>
          <w:spacing w:val="12"/>
          <w:w w:val="75"/>
        </w:rPr>
        <w:t>／ </w:t>
      </w:r>
      <w:r>
        <w:rPr>
          <w:color w:val="231F20"/>
          <w:spacing w:val="-7"/>
        </w:rPr>
        <w:t>告知個案即時回診，如嚴重藥物副作用(皮膚過敏， </w:t>
      </w:r>
      <w:r>
        <w:rPr>
          <w:color w:val="231F20"/>
          <w:spacing w:val="12"/>
        </w:rPr>
        <w:t>黃疸 </w:t>
      </w:r>
      <w:r>
        <w:rPr>
          <w:color w:val="231F20"/>
          <w:spacing w:val="2"/>
          <w:w w:val="75"/>
        </w:rPr>
        <w:t>／ </w:t>
      </w:r>
      <w:r>
        <w:rPr>
          <w:color w:val="231F20"/>
        </w:rPr>
        <w:t>藥物性肝炎、視力模糊、聽力異常或周邊神經障礙等)，或合併其他慢性病(癌症、糖尿病、腎臟病、免疫疾病等)者，個案回診後但原診療單位仍無法   處理者，可與原診療醫師聯絡，視個案需要，提送縣市病例討論是否轉介 </w:t>
      </w:r>
      <w:r>
        <w:rPr>
          <w:color w:val="231F20"/>
          <w:spacing w:val="-4"/>
        </w:rPr>
        <w:t>TMTC </w:t>
      </w:r>
      <w:r>
        <w:rPr>
          <w:color w:val="231F20"/>
        </w:rPr>
        <w:t>團隊評估收案治療，必要時協助原診療醫師與團隊進行溝通，或依個案情形提供</w:t>
      </w:r>
      <w:r>
        <w:rPr>
          <w:color w:val="231F20"/>
          <w:spacing w:val="-10"/>
          <w:w w:val="105"/>
        </w:rPr>
        <w:t>建議，以 </w:t>
      </w:r>
      <w:r>
        <w:rPr>
          <w:color w:val="231F20"/>
          <w:spacing w:val="-13"/>
          <w:w w:val="75"/>
        </w:rPr>
        <w:t>「 </w:t>
      </w:r>
      <w:r>
        <w:rPr>
          <w:color w:val="231F20"/>
          <w:spacing w:val="-8"/>
          <w:w w:val="105"/>
        </w:rPr>
        <w:t>病人為中心 </w:t>
      </w:r>
      <w:r>
        <w:rPr>
          <w:color w:val="231F20"/>
          <w:spacing w:val="-13"/>
          <w:w w:val="75"/>
        </w:rPr>
        <w:t>」 </w:t>
      </w:r>
      <w:r>
        <w:rPr>
          <w:color w:val="231F20"/>
          <w:w w:val="105"/>
        </w:rPr>
        <w:t>提供整合性照護醫療，達結核病完成治療之目的。</w:t>
      </w:r>
    </w:p>
    <w:p>
      <w:pPr>
        <w:pStyle w:val="BodyText"/>
        <w:spacing w:line="230" w:lineRule="auto"/>
        <w:ind w:left="1349" w:right="1132" w:hanging="720"/>
        <w:jc w:val="both"/>
      </w:pPr>
      <w:r>
        <w:rPr>
          <w:color w:val="231F20"/>
        </w:rPr>
        <w:t>( — ) 使用 EMB 個案，關懷員須至少每週及公衛管理人員須至少每月監測視力</w:t>
      </w:r>
      <w:r>
        <w:rPr>
          <w:color w:val="231F20"/>
          <w:w w:val="130"/>
        </w:rPr>
        <w:t>(辨色力)，</w:t>
      </w:r>
      <w:r>
        <w:rPr>
          <w:color w:val="231F20"/>
        </w:rPr>
        <w:t>並做成追蹤紀錄，如出現視力減弱，或辨色力異常等疑似藥物不良反應， 應立即安排個案回診，請原診療醫師轉介個案至眼科專科醫師評估，並追蹤評估之結果；即使因疑似副作用已停止使用 EMB 藥物，管理期間仍應持續每月監測視力及辨色力之變化，並於 TB 系統確實詳加維護，若於銷案時，視力異常仍未恢復，請依貳、五、銷案作業之(、)預後追蹤辦理。</w:t>
      </w:r>
    </w:p>
    <w:p>
      <w:pPr>
        <w:pStyle w:val="BodyText"/>
        <w:spacing w:line="230" w:lineRule="auto"/>
        <w:ind w:left="1349" w:right="1133" w:hanging="720"/>
        <w:jc w:val="both"/>
      </w:pPr>
      <w:r>
        <w:rPr>
          <w:color w:val="231F20"/>
        </w:rPr>
        <w:t>( 二 ) 倘懷疑服用抗結核藥物造成嚴重不良反應，除應於 TB</w:t>
      </w:r>
      <w:r>
        <w:rPr>
          <w:color w:val="231F20"/>
          <w:spacing w:val="-1"/>
        </w:rPr>
        <w:t> 系統之地段訪視日誌及副</w:t>
      </w:r>
      <w:r>
        <w:rPr>
          <w:color w:val="231F20"/>
          <w:spacing w:val="-1"/>
          <w:w w:val="95"/>
        </w:rPr>
        <w:t>作用評估確實紀錄維護外，另提醒院所通報「全國藥物不良反應通報中心   </w:t>
      </w:r>
      <w:r>
        <w:rPr>
          <w:color w:val="231F20"/>
          <w:w w:val="80"/>
        </w:rPr>
        <w:t>」</w:t>
      </w:r>
      <w:r>
        <w:rPr>
          <w:color w:val="231F20"/>
          <w:spacing w:val="1"/>
          <w:w w:val="95"/>
        </w:rPr>
        <w:t>，如</w:t>
      </w:r>
      <w:r>
        <w:rPr>
          <w:color w:val="231F20"/>
        </w:rPr>
        <w:t>符合藥害救濟條件，協助個案向藥害救濟基金會申請救濟，以保障病人用藥安全之權益。</w:t>
      </w:r>
    </w:p>
    <w:p>
      <w:pPr>
        <w:pStyle w:val="BodyText"/>
        <w:spacing w:line="392" w:lineRule="exact"/>
        <w:ind w:left="391"/>
      </w:pPr>
      <w:r>
        <w:rPr>
          <w:color w:val="231F20"/>
        </w:rPr>
        <w:t>、、治療成效評估</w:t>
      </w:r>
    </w:p>
    <w:p>
      <w:pPr>
        <w:pStyle w:val="BodyText"/>
        <w:spacing w:line="230" w:lineRule="auto"/>
        <w:ind w:left="878" w:right="1075"/>
        <w:jc w:val="both"/>
      </w:pPr>
      <w:r>
        <w:rPr>
          <w:color w:val="231F20"/>
          <w:spacing w:val="-7"/>
          <w:w w:val="105"/>
        </w:rPr>
        <w:t>為使痰陽性個案儘速陰轉，針對已服藥之個案，應定時進行治療成效之評估(表</w:t>
      </w:r>
      <w:r>
        <w:rPr>
          <w:color w:val="231F20"/>
          <w:spacing w:val="-19"/>
          <w:w w:val="105"/>
        </w:rPr>
        <w:t>4</w:t>
      </w:r>
      <w:r>
        <w:rPr>
          <w:color w:val="231F20"/>
          <w:spacing w:val="-20"/>
          <w:w w:val="105"/>
        </w:rPr>
        <w:t>)。</w:t>
      </w:r>
      <w:r>
        <w:rPr>
          <w:color w:val="231F20"/>
        </w:rPr>
        <w:t>如發現治療成效不如預期者，則進＿步評估原因或與診療醫師討論，及早提供介入措</w:t>
      </w:r>
      <w:r>
        <w:rPr>
          <w:color w:val="231F20"/>
          <w:w w:val="110"/>
        </w:rPr>
        <w:t>施，以提升治療成效。</w:t>
      </w:r>
    </w:p>
    <w:p>
      <w:pPr>
        <w:spacing w:after="0" w:line="230" w:lineRule="auto"/>
        <w:jc w:val="both"/>
        <w:sectPr>
          <w:pgSz w:w="11910" w:h="16840"/>
          <w:pgMar w:top="1060" w:bottom="0" w:left="980" w:right="0"/>
        </w:sectPr>
      </w:pPr>
    </w:p>
    <w:p>
      <w:pPr>
        <w:pStyle w:val="BodyText"/>
        <w:spacing w:before="59" w:after="37"/>
        <w:ind w:left="878"/>
      </w:pPr>
      <w:r>
        <w:rPr>
          <w:color w:val="231F20"/>
          <w:w w:val="105"/>
        </w:rPr>
        <w:t>圖 2、結核病個案管理重點(詳見表 1、收案重點及陸、工作檢核表)</w:t>
      </w:r>
    </w:p>
    <w:tbl>
      <w:tblPr>
        <w:tblW w:w="0" w:type="auto"/>
        <w:jc w:val="left"/>
        <w:tblInd w:w="995" w:type="dxa"/>
        <w:tblBorders>
          <w:top w:val="single" w:sz="4" w:space="0" w:color="93B266"/>
          <w:left w:val="single" w:sz="4" w:space="0" w:color="93B266"/>
          <w:bottom w:val="single" w:sz="4" w:space="0" w:color="93B266"/>
          <w:right w:val="single" w:sz="4" w:space="0" w:color="93B266"/>
          <w:insideH w:val="single" w:sz="4" w:space="0" w:color="93B266"/>
          <w:insideV w:val="single" w:sz="4" w:space="0" w:color="93B266"/>
        </w:tblBorders>
        <w:tblLayout w:type="fixed"/>
        <w:tblCellMar>
          <w:top w:w="0" w:type="dxa"/>
          <w:left w:w="0" w:type="dxa"/>
          <w:bottom w:w="0" w:type="dxa"/>
          <w:right w:w="0" w:type="dxa"/>
        </w:tblCellMar>
        <w:tblLook w:val="01E0"/>
      </w:tblPr>
      <w:tblGrid>
        <w:gridCol w:w="1401"/>
        <w:gridCol w:w="1402"/>
        <w:gridCol w:w="1500"/>
        <w:gridCol w:w="1499"/>
        <w:gridCol w:w="1499"/>
        <w:gridCol w:w="1500"/>
      </w:tblGrid>
      <w:tr>
        <w:trPr>
          <w:trHeight w:val="529" w:hRule="atLeast"/>
        </w:trPr>
        <w:tc>
          <w:tcPr>
            <w:tcW w:w="8801" w:type="dxa"/>
            <w:gridSpan w:val="6"/>
            <w:shd w:val="clear" w:color="auto" w:fill="E0E8D5"/>
          </w:tcPr>
          <w:p>
            <w:pPr>
              <w:pStyle w:val="TableParagraph"/>
              <w:spacing w:line="510" w:lineRule="exact"/>
              <w:ind w:left="3222" w:right="3219"/>
              <w:jc w:val="center"/>
              <w:rPr>
                <w:rFonts w:ascii="微軟正黑體" w:eastAsia="微軟正黑體" w:hint="eastAsia"/>
                <w:b/>
                <w:sz w:val="33"/>
              </w:rPr>
            </w:pPr>
            <w:r>
              <w:rPr>
                <w:rFonts w:ascii="微軟正黑體" w:eastAsia="微軟正黑體" w:hint="eastAsia"/>
                <w:b/>
                <w:color w:val="231F20"/>
                <w:sz w:val="33"/>
              </w:rPr>
              <w:t>結核病治療月數</w:t>
            </w:r>
          </w:p>
        </w:tc>
      </w:tr>
      <w:tr>
        <w:trPr>
          <w:trHeight w:val="409" w:hRule="atLeast"/>
        </w:trPr>
        <w:tc>
          <w:tcPr>
            <w:tcW w:w="1401" w:type="dxa"/>
          </w:tcPr>
          <w:p>
            <w:pPr>
              <w:pStyle w:val="TableParagraph"/>
              <w:spacing w:line="389" w:lineRule="exact"/>
              <w:ind w:left="8"/>
              <w:jc w:val="center"/>
              <w:rPr>
                <w:rFonts w:ascii="微軟正黑體"/>
                <w:b/>
                <w:sz w:val="29"/>
              </w:rPr>
            </w:pPr>
            <w:r>
              <w:rPr>
                <w:rFonts w:ascii="微軟正黑體"/>
                <w:b/>
                <w:color w:val="231F20"/>
                <w:w w:val="100"/>
                <w:sz w:val="29"/>
              </w:rPr>
              <w:t>1</w:t>
            </w:r>
          </w:p>
        </w:tc>
        <w:tc>
          <w:tcPr>
            <w:tcW w:w="1402" w:type="dxa"/>
          </w:tcPr>
          <w:p>
            <w:pPr>
              <w:pStyle w:val="TableParagraph"/>
              <w:spacing w:line="389" w:lineRule="exact"/>
              <w:ind w:left="7"/>
              <w:jc w:val="center"/>
              <w:rPr>
                <w:rFonts w:ascii="微軟正黑體"/>
                <w:b/>
                <w:sz w:val="29"/>
              </w:rPr>
            </w:pPr>
            <w:r>
              <w:rPr>
                <w:rFonts w:ascii="微軟正黑體"/>
                <w:b/>
                <w:color w:val="231F20"/>
                <w:w w:val="100"/>
                <w:sz w:val="29"/>
              </w:rPr>
              <w:t>2</w:t>
            </w:r>
          </w:p>
        </w:tc>
        <w:tc>
          <w:tcPr>
            <w:tcW w:w="1500" w:type="dxa"/>
          </w:tcPr>
          <w:p>
            <w:pPr>
              <w:pStyle w:val="TableParagraph"/>
              <w:spacing w:line="389" w:lineRule="exact"/>
              <w:ind w:left="6"/>
              <w:jc w:val="center"/>
              <w:rPr>
                <w:rFonts w:ascii="微軟正黑體"/>
                <w:b/>
                <w:sz w:val="29"/>
              </w:rPr>
            </w:pPr>
            <w:r>
              <w:rPr>
                <w:rFonts w:ascii="微軟正黑體"/>
                <w:b/>
                <w:color w:val="231F20"/>
                <w:w w:val="100"/>
                <w:sz w:val="29"/>
              </w:rPr>
              <w:t>3</w:t>
            </w:r>
          </w:p>
        </w:tc>
        <w:tc>
          <w:tcPr>
            <w:tcW w:w="1499" w:type="dxa"/>
          </w:tcPr>
          <w:p>
            <w:pPr>
              <w:pStyle w:val="TableParagraph"/>
              <w:spacing w:line="389" w:lineRule="exact"/>
              <w:ind w:left="5"/>
              <w:jc w:val="center"/>
              <w:rPr>
                <w:rFonts w:ascii="微軟正黑體"/>
                <w:b/>
                <w:sz w:val="29"/>
              </w:rPr>
            </w:pPr>
            <w:r>
              <w:rPr>
                <w:rFonts w:ascii="微軟正黑體"/>
                <w:b/>
                <w:color w:val="231F20"/>
                <w:w w:val="100"/>
                <w:sz w:val="29"/>
              </w:rPr>
              <w:t>4</w:t>
            </w:r>
          </w:p>
        </w:tc>
        <w:tc>
          <w:tcPr>
            <w:tcW w:w="1499" w:type="dxa"/>
          </w:tcPr>
          <w:p>
            <w:pPr>
              <w:pStyle w:val="TableParagraph"/>
              <w:spacing w:line="389" w:lineRule="exact"/>
              <w:ind w:left="4"/>
              <w:jc w:val="center"/>
              <w:rPr>
                <w:rFonts w:ascii="微軟正黑體"/>
                <w:b/>
                <w:sz w:val="29"/>
              </w:rPr>
            </w:pPr>
            <w:r>
              <w:rPr>
                <w:rFonts w:ascii="微軟正黑體"/>
                <w:b/>
                <w:color w:val="231F20"/>
                <w:w w:val="100"/>
                <w:sz w:val="29"/>
              </w:rPr>
              <w:t>5</w:t>
            </w:r>
          </w:p>
        </w:tc>
        <w:tc>
          <w:tcPr>
            <w:tcW w:w="1500" w:type="dxa"/>
          </w:tcPr>
          <w:p>
            <w:pPr>
              <w:pStyle w:val="TableParagraph"/>
              <w:spacing w:line="389" w:lineRule="exact"/>
              <w:ind w:left="2"/>
              <w:jc w:val="center"/>
              <w:rPr>
                <w:rFonts w:ascii="微軟正黑體"/>
                <w:b/>
                <w:sz w:val="29"/>
              </w:rPr>
            </w:pPr>
            <w:r>
              <w:rPr>
                <w:rFonts w:ascii="微軟正黑體"/>
                <w:b/>
                <w:color w:val="231F20"/>
                <w:w w:val="100"/>
                <w:sz w:val="29"/>
              </w:rPr>
              <w:t>6</w:t>
            </w:r>
          </w:p>
        </w:tc>
      </w:tr>
      <w:tr>
        <w:trPr>
          <w:trHeight w:val="820" w:hRule="atLeast"/>
        </w:trPr>
        <w:tc>
          <w:tcPr>
            <w:tcW w:w="2803" w:type="dxa"/>
            <w:gridSpan w:val="2"/>
            <w:shd w:val="clear" w:color="auto" w:fill="F6F6C7"/>
          </w:tcPr>
          <w:p>
            <w:pPr>
              <w:pStyle w:val="TableParagraph"/>
              <w:spacing w:line="404" w:lineRule="exact"/>
              <w:ind w:left="334" w:right="327"/>
              <w:jc w:val="center"/>
              <w:rPr>
                <w:rFonts w:ascii="微軟正黑體" w:eastAsia="微軟正黑體" w:hint="eastAsia"/>
                <w:b/>
                <w:sz w:val="22"/>
              </w:rPr>
            </w:pPr>
            <w:r>
              <w:rPr>
                <w:rFonts w:ascii="微軟正黑體" w:eastAsia="微軟正黑體" w:hint="eastAsia"/>
                <w:b/>
                <w:color w:val="231F20"/>
                <w:sz w:val="22"/>
              </w:rPr>
              <w:t>加強期</w:t>
            </w:r>
          </w:p>
          <w:p>
            <w:pPr>
              <w:pStyle w:val="TableParagraph"/>
              <w:spacing w:line="390" w:lineRule="exact" w:before="6"/>
              <w:ind w:left="334" w:right="327"/>
              <w:jc w:val="center"/>
              <w:rPr>
                <w:rFonts w:ascii="微軟正黑體" w:eastAsia="微軟正黑體" w:hint="eastAsia"/>
                <w:b/>
                <w:sz w:val="22"/>
              </w:rPr>
            </w:pPr>
            <w:r>
              <w:rPr>
                <w:rFonts w:ascii="微軟正黑體" w:eastAsia="微軟正黑體" w:hint="eastAsia"/>
                <w:b/>
                <w:color w:val="231F20"/>
                <w:sz w:val="22"/>
              </w:rPr>
              <w:t>（Intensive phase）</w:t>
            </w:r>
          </w:p>
        </w:tc>
        <w:tc>
          <w:tcPr>
            <w:tcW w:w="5998" w:type="dxa"/>
            <w:gridSpan w:val="4"/>
            <w:shd w:val="clear" w:color="auto" w:fill="CBE2EB"/>
          </w:tcPr>
          <w:p>
            <w:pPr>
              <w:pStyle w:val="TableParagraph"/>
              <w:spacing w:line="404" w:lineRule="exact"/>
              <w:ind w:left="1713" w:right="1711"/>
              <w:jc w:val="center"/>
              <w:rPr>
                <w:rFonts w:ascii="微軟正黑體" w:eastAsia="微軟正黑體" w:hint="eastAsia"/>
                <w:b/>
                <w:sz w:val="22"/>
              </w:rPr>
            </w:pPr>
            <w:r>
              <w:rPr>
                <w:rFonts w:ascii="微軟正黑體" w:eastAsia="微軟正黑體" w:hint="eastAsia"/>
                <w:b/>
                <w:color w:val="231F20"/>
                <w:sz w:val="22"/>
              </w:rPr>
              <w:t>持續期</w:t>
            </w:r>
          </w:p>
          <w:p>
            <w:pPr>
              <w:pStyle w:val="TableParagraph"/>
              <w:spacing w:line="390" w:lineRule="exact" w:before="6"/>
              <w:ind w:left="1714" w:right="1711"/>
              <w:jc w:val="center"/>
              <w:rPr>
                <w:rFonts w:ascii="微軟正黑體" w:eastAsia="微軟正黑體" w:hint="eastAsia"/>
                <w:b/>
                <w:sz w:val="22"/>
              </w:rPr>
            </w:pPr>
            <w:r>
              <w:rPr>
                <w:rFonts w:ascii="微軟正黑體" w:eastAsia="微軟正黑體" w:hint="eastAsia"/>
                <w:b/>
                <w:color w:val="231F20"/>
                <w:sz w:val="22"/>
              </w:rPr>
              <w:t>（Continuation phase）</w:t>
            </w:r>
          </w:p>
        </w:tc>
      </w:tr>
      <w:tr>
        <w:trPr>
          <w:trHeight w:val="410" w:hRule="atLeast"/>
        </w:trPr>
        <w:tc>
          <w:tcPr>
            <w:tcW w:w="2803" w:type="dxa"/>
            <w:gridSpan w:val="2"/>
          </w:tcPr>
          <w:p>
            <w:pPr>
              <w:pStyle w:val="TableParagraph"/>
              <w:spacing w:line="391" w:lineRule="exact"/>
              <w:ind w:left="333" w:right="327"/>
              <w:jc w:val="center"/>
              <w:rPr>
                <w:rFonts w:ascii="微軟正黑體"/>
                <w:b/>
                <w:sz w:val="25"/>
              </w:rPr>
            </w:pPr>
            <w:r>
              <w:rPr>
                <w:rFonts w:ascii="微軟正黑體"/>
                <w:b/>
                <w:color w:val="231F20"/>
                <w:sz w:val="25"/>
              </w:rPr>
              <w:t>HERZ</w:t>
            </w:r>
          </w:p>
        </w:tc>
        <w:tc>
          <w:tcPr>
            <w:tcW w:w="5998" w:type="dxa"/>
            <w:gridSpan w:val="4"/>
          </w:tcPr>
          <w:p>
            <w:pPr>
              <w:pStyle w:val="TableParagraph"/>
              <w:spacing w:line="391" w:lineRule="exact"/>
              <w:ind w:left="1712" w:right="1711"/>
              <w:jc w:val="center"/>
              <w:rPr>
                <w:rFonts w:ascii="微軟正黑體" w:eastAsia="微軟正黑體" w:hint="eastAsia"/>
                <w:b/>
                <w:sz w:val="25"/>
              </w:rPr>
            </w:pPr>
            <w:r>
              <w:rPr>
                <w:rFonts w:ascii="微軟正黑體" w:eastAsia="微軟正黑體" w:hint="eastAsia"/>
                <w:b/>
                <w:color w:val="231F20"/>
                <w:sz w:val="25"/>
              </w:rPr>
              <w:t>HR（E）</w:t>
            </w:r>
          </w:p>
        </w:tc>
      </w:tr>
    </w:tbl>
    <w:p>
      <w:pPr>
        <w:spacing w:after="0" w:line="391" w:lineRule="exact"/>
        <w:jc w:val="center"/>
        <w:rPr>
          <w:rFonts w:ascii="微軟正黑體" w:eastAsia="微軟正黑體" w:hint="eastAsia"/>
          <w:sz w:val="25"/>
        </w:rPr>
        <w:sectPr>
          <w:pgSz w:w="11910" w:h="16840"/>
          <w:pgMar w:top="1060" w:bottom="0" w:left="980" w:right="0"/>
        </w:sectPr>
      </w:pPr>
    </w:p>
    <w:p>
      <w:pPr>
        <w:pStyle w:val="BodyText"/>
        <w:spacing w:before="16"/>
        <w:rPr>
          <w:sz w:val="28"/>
        </w:rPr>
      </w:pPr>
    </w:p>
    <w:p>
      <w:pPr>
        <w:spacing w:line="381" w:lineRule="exact" w:before="0"/>
        <w:ind w:left="1278" w:right="0" w:firstLine="0"/>
        <w:jc w:val="left"/>
        <w:rPr>
          <w:rFonts w:ascii="微軟正黑體" w:eastAsia="微軟正黑體" w:hint="eastAsia"/>
          <w:b/>
          <w:sz w:val="21"/>
        </w:rPr>
      </w:pPr>
      <w:r>
        <w:rPr>
          <w:rFonts w:ascii="微軟正黑體" w:eastAsia="微軟正黑體" w:hint="eastAsia"/>
          <w:b/>
          <w:color w:val="231F20"/>
          <w:sz w:val="21"/>
        </w:rPr>
        <w:t>加強期注意事項 </w:t>
      </w:r>
      <w:r>
        <w:rPr>
          <w:rFonts w:ascii="微軟正黑體" w:eastAsia="微軟正黑體" w:hint="eastAsia"/>
          <w:b/>
          <w:color w:val="231F20"/>
          <w:w w:val="55"/>
          <w:sz w:val="21"/>
        </w:rPr>
        <w:t>：</w:t>
      </w:r>
    </w:p>
    <w:p>
      <w:pPr>
        <w:pStyle w:val="ListParagraph"/>
        <w:numPr>
          <w:ilvl w:val="1"/>
          <w:numId w:val="80"/>
        </w:numPr>
        <w:tabs>
          <w:tab w:pos="1522" w:val="left" w:leader="none"/>
        </w:tabs>
        <w:spacing w:line="184" w:lineRule="auto" w:before="42" w:after="0"/>
        <w:ind w:left="1521" w:right="104" w:hanging="244"/>
        <w:jc w:val="left"/>
        <w:rPr>
          <w:sz w:val="17"/>
        </w:rPr>
      </w:pPr>
      <w:r>
        <w:rPr>
          <w:color w:val="231F20"/>
          <w:sz w:val="17"/>
        </w:rPr>
        <w:t>7</w:t>
      </w:r>
      <w:r>
        <w:rPr>
          <w:color w:val="231F20"/>
          <w:spacing w:val="-2"/>
          <w:sz w:val="17"/>
        </w:rPr>
        <w:t> 日內收案，發放智慧關</w:t>
      </w:r>
      <w:r>
        <w:rPr>
          <w:color w:val="231F20"/>
          <w:w w:val="105"/>
          <w:sz w:val="17"/>
        </w:rPr>
        <w:t>懷卡及衛教說明</w:t>
      </w:r>
    </w:p>
    <w:p>
      <w:pPr>
        <w:pStyle w:val="ListParagraph"/>
        <w:numPr>
          <w:ilvl w:val="1"/>
          <w:numId w:val="80"/>
        </w:numPr>
        <w:tabs>
          <w:tab w:pos="1522" w:val="left" w:leader="none"/>
        </w:tabs>
        <w:spacing w:line="196" w:lineRule="auto" w:before="54" w:after="0"/>
        <w:ind w:left="1521" w:right="0" w:hanging="244"/>
        <w:jc w:val="left"/>
        <w:rPr>
          <w:sz w:val="17"/>
        </w:rPr>
      </w:pPr>
      <w:r>
        <w:rPr>
          <w:color w:val="231F20"/>
          <w:w w:val="105"/>
          <w:sz w:val="17"/>
        </w:rPr>
        <w:t>確認完成初查痰、NAA</w:t>
      </w:r>
      <w:r>
        <w:rPr>
          <w:color w:val="231F20"/>
          <w:spacing w:val="-22"/>
          <w:w w:val="105"/>
          <w:sz w:val="17"/>
        </w:rPr>
        <w:t> 或</w:t>
      </w:r>
      <w:r>
        <w:rPr>
          <w:color w:val="231F20"/>
          <w:w w:val="105"/>
          <w:sz w:val="17"/>
        </w:rPr>
        <w:t>肺外檢驗及結果，以利確診</w:t>
      </w:r>
    </w:p>
    <w:p>
      <w:pPr>
        <w:pStyle w:val="ListParagraph"/>
        <w:numPr>
          <w:ilvl w:val="1"/>
          <w:numId w:val="80"/>
        </w:numPr>
        <w:tabs>
          <w:tab w:pos="1522" w:val="left" w:leader="none"/>
        </w:tabs>
        <w:spacing w:line="184" w:lineRule="auto" w:before="62" w:after="0"/>
        <w:ind w:left="1521" w:right="74" w:hanging="244"/>
        <w:jc w:val="left"/>
        <w:rPr>
          <w:sz w:val="17"/>
        </w:rPr>
      </w:pPr>
      <w:r>
        <w:rPr>
          <w:color w:val="231F20"/>
          <w:spacing w:val="-2"/>
          <w:sz w:val="17"/>
        </w:rPr>
        <w:t>說明都治計畫精神及目的</w:t>
      </w:r>
      <w:r>
        <w:rPr>
          <w:color w:val="231F20"/>
          <w:sz w:val="17"/>
        </w:rPr>
        <w:t>並鼓勵加入</w:t>
      </w:r>
    </w:p>
    <w:p>
      <w:pPr>
        <w:pStyle w:val="ListParagraph"/>
        <w:numPr>
          <w:ilvl w:val="1"/>
          <w:numId w:val="80"/>
        </w:numPr>
        <w:tabs>
          <w:tab w:pos="1522" w:val="left" w:leader="none"/>
        </w:tabs>
        <w:spacing w:line="196" w:lineRule="auto" w:before="34" w:after="0"/>
        <w:ind w:left="1521" w:right="104" w:hanging="244"/>
        <w:jc w:val="left"/>
        <w:rPr>
          <w:sz w:val="17"/>
        </w:rPr>
      </w:pPr>
      <w:r>
        <w:rPr>
          <w:color w:val="231F20"/>
          <w:sz w:val="17"/>
        </w:rPr>
        <w:t>2</w:t>
      </w:r>
      <w:r>
        <w:rPr>
          <w:color w:val="231F20"/>
          <w:spacing w:val="-2"/>
          <w:sz w:val="17"/>
        </w:rPr>
        <w:t> 個月內完成收案訪視調</w:t>
      </w:r>
      <w:r>
        <w:rPr>
          <w:color w:val="231F20"/>
          <w:sz w:val="17"/>
        </w:rPr>
        <w:t>查表 ( 共病、特殊身分</w:t>
      </w:r>
      <w:r>
        <w:rPr>
          <w:color w:val="231F20"/>
          <w:spacing w:val="21"/>
          <w:sz w:val="17"/>
        </w:rPr>
        <w:t>等)</w:t>
      </w:r>
      <w:r>
        <w:rPr>
          <w:color w:val="231F20"/>
          <w:spacing w:val="-4"/>
          <w:sz w:val="17"/>
        </w:rPr>
        <w:t> </w:t>
      </w:r>
    </w:p>
    <w:p>
      <w:pPr>
        <w:pStyle w:val="ListParagraph"/>
        <w:numPr>
          <w:ilvl w:val="1"/>
          <w:numId w:val="80"/>
        </w:numPr>
        <w:tabs>
          <w:tab w:pos="1522" w:val="left" w:leader="none"/>
        </w:tabs>
        <w:spacing w:line="184" w:lineRule="auto" w:before="62" w:after="0"/>
        <w:ind w:left="1521" w:right="74" w:hanging="244"/>
        <w:jc w:val="left"/>
        <w:rPr>
          <w:sz w:val="17"/>
        </w:rPr>
      </w:pPr>
      <w:r>
        <w:rPr>
          <w:color w:val="231F20"/>
          <w:spacing w:val="-2"/>
          <w:sz w:val="17"/>
        </w:rPr>
        <w:t>高風險族群進行快速分子</w:t>
      </w:r>
      <w:r>
        <w:rPr>
          <w:color w:val="231F20"/>
          <w:sz w:val="17"/>
        </w:rPr>
        <w:t>檢測</w:t>
      </w:r>
    </w:p>
    <w:p>
      <w:pPr>
        <w:pStyle w:val="ListParagraph"/>
        <w:numPr>
          <w:ilvl w:val="1"/>
          <w:numId w:val="80"/>
        </w:numPr>
        <w:tabs>
          <w:tab w:pos="1522" w:val="left" w:leader="none"/>
        </w:tabs>
        <w:spacing w:line="184" w:lineRule="auto" w:before="64" w:after="0"/>
        <w:ind w:left="1521" w:right="74" w:hanging="244"/>
        <w:jc w:val="left"/>
        <w:rPr>
          <w:sz w:val="17"/>
        </w:rPr>
      </w:pPr>
      <w:r>
        <w:rPr>
          <w:color w:val="231F20"/>
          <w:spacing w:val="-2"/>
          <w:sz w:val="17"/>
        </w:rPr>
        <w:t>痰陽個案說明限搭大眾飛</w:t>
      </w:r>
      <w:r>
        <w:rPr>
          <w:color w:val="231F20"/>
          <w:sz w:val="17"/>
        </w:rPr>
        <w:t>航器之規定</w:t>
      </w:r>
    </w:p>
    <w:p>
      <w:pPr>
        <w:pStyle w:val="ListParagraph"/>
        <w:numPr>
          <w:ilvl w:val="1"/>
          <w:numId w:val="80"/>
        </w:numPr>
        <w:tabs>
          <w:tab w:pos="1522" w:val="left" w:leader="none"/>
        </w:tabs>
        <w:spacing w:line="240" w:lineRule="auto" w:before="17" w:after="0"/>
        <w:ind w:left="1521" w:right="0" w:hanging="244"/>
        <w:jc w:val="left"/>
        <w:rPr>
          <w:sz w:val="17"/>
        </w:rPr>
      </w:pPr>
      <w:r>
        <w:rPr>
          <w:color w:val="231F20"/>
          <w:sz w:val="17"/>
        </w:rPr>
        <w:t>完成確診或排除診斷</w:t>
      </w:r>
    </w:p>
    <w:p>
      <w:pPr>
        <w:pStyle w:val="BodyText"/>
        <w:spacing w:before="2"/>
        <w:rPr>
          <w:sz w:val="20"/>
        </w:rPr>
      </w:pPr>
      <w:r>
        <w:rPr/>
        <w:br w:type="column"/>
      </w:r>
      <w:r>
        <w:rPr>
          <w:sz w:val="20"/>
        </w:rPr>
      </w:r>
    </w:p>
    <w:p>
      <w:pPr>
        <w:spacing w:line="351" w:lineRule="exact" w:before="1"/>
        <w:ind w:left="285" w:right="0" w:firstLine="0"/>
        <w:jc w:val="left"/>
        <w:rPr>
          <w:rFonts w:ascii="微軟正黑體" w:eastAsia="微軟正黑體" w:hint="eastAsia"/>
          <w:b/>
          <w:sz w:val="21"/>
        </w:rPr>
      </w:pPr>
      <w:r>
        <w:rPr>
          <w:rFonts w:ascii="微軟正黑體" w:eastAsia="微軟正黑體" w:hint="eastAsia"/>
          <w:b/>
          <w:color w:val="231F20"/>
          <w:sz w:val="21"/>
        </w:rPr>
        <w:t>個案管理期間注意事項 </w:t>
      </w:r>
      <w:r>
        <w:rPr>
          <w:rFonts w:ascii="微軟正黑體" w:eastAsia="微軟正黑體" w:hint="eastAsia"/>
          <w:b/>
          <w:color w:val="231F20"/>
          <w:w w:val="55"/>
          <w:sz w:val="21"/>
        </w:rPr>
        <w:t>：</w:t>
      </w:r>
    </w:p>
    <w:p>
      <w:pPr>
        <w:pStyle w:val="ListParagraph"/>
        <w:numPr>
          <w:ilvl w:val="0"/>
          <w:numId w:val="81"/>
        </w:numPr>
        <w:tabs>
          <w:tab w:pos="529" w:val="left" w:leader="none"/>
        </w:tabs>
        <w:spacing w:line="168" w:lineRule="auto" w:before="26" w:after="0"/>
        <w:ind w:left="528" w:right="11" w:hanging="244"/>
        <w:jc w:val="both"/>
        <w:rPr>
          <w:sz w:val="17"/>
        </w:rPr>
      </w:pPr>
      <w:r>
        <w:rPr>
          <w:color w:val="231F20"/>
          <w:spacing w:val="-1"/>
          <w:sz w:val="17"/>
        </w:rPr>
        <w:t>痰陽個案每月驗痰直至陰轉；管理期間符合快速</w:t>
      </w:r>
      <w:r>
        <w:rPr>
          <w:color w:val="231F20"/>
          <w:spacing w:val="-2"/>
          <w:sz w:val="17"/>
        </w:rPr>
        <w:t>分子檢測對象盡速送驗 ( 參考表 </w:t>
      </w:r>
      <w:r>
        <w:rPr>
          <w:color w:val="231F20"/>
          <w:sz w:val="17"/>
        </w:rPr>
        <w:t>1)</w:t>
      </w:r>
    </w:p>
    <w:p>
      <w:pPr>
        <w:pStyle w:val="ListParagraph"/>
        <w:numPr>
          <w:ilvl w:val="0"/>
          <w:numId w:val="81"/>
        </w:numPr>
        <w:tabs>
          <w:tab w:pos="529" w:val="left" w:leader="none"/>
        </w:tabs>
        <w:spacing w:line="165" w:lineRule="auto" w:before="47" w:after="0"/>
        <w:ind w:left="528" w:right="11" w:hanging="244"/>
        <w:jc w:val="both"/>
        <w:rPr>
          <w:sz w:val="17"/>
        </w:rPr>
      </w:pPr>
      <w:r>
        <w:rPr>
          <w:color w:val="231F20"/>
          <w:spacing w:val="-1"/>
          <w:sz w:val="17"/>
        </w:rPr>
        <w:t>每月訪視個案、經濟狀況評估及處置、是否按時回診、藥物治療合宜性、體重、視力變化、服藥</w:t>
      </w:r>
      <w:r>
        <w:rPr>
          <w:color w:val="231F20"/>
          <w:sz w:val="17"/>
        </w:rPr>
        <w:t>副作用、治療成效、共病之處置</w:t>
      </w:r>
    </w:p>
    <w:p>
      <w:pPr>
        <w:pStyle w:val="ListParagraph"/>
        <w:numPr>
          <w:ilvl w:val="0"/>
          <w:numId w:val="81"/>
        </w:numPr>
        <w:tabs>
          <w:tab w:pos="529" w:val="left" w:leader="none"/>
        </w:tabs>
        <w:spacing w:line="168" w:lineRule="auto" w:before="45" w:after="0"/>
        <w:ind w:left="528" w:right="32" w:hanging="244"/>
        <w:jc w:val="left"/>
        <w:rPr>
          <w:sz w:val="17"/>
        </w:rPr>
      </w:pPr>
      <w:r>
        <w:rPr>
          <w:color w:val="231F20"/>
          <w:sz w:val="17"/>
        </w:rPr>
        <w:t>確診後 ( 或通報時已確診 )，依傳染力完成接觸</w:t>
      </w:r>
      <w:r>
        <w:rPr>
          <w:color w:val="231F20"/>
          <w:spacing w:val="2"/>
          <w:sz w:val="17"/>
        </w:rPr>
        <w:t>者調查、匡列及衛教，辦理接觸者檢查胸部 </w:t>
      </w:r>
      <w:r>
        <w:rPr>
          <w:color w:val="231F20"/>
          <w:sz w:val="17"/>
        </w:rPr>
        <w:t>X</w:t>
      </w:r>
      <w:r>
        <w:rPr>
          <w:color w:val="231F20"/>
          <w:spacing w:val="-17"/>
          <w:sz w:val="17"/>
        </w:rPr>
        <w:t>光</w:t>
      </w:r>
      <w:r>
        <w:rPr>
          <w:color w:val="231F20"/>
          <w:sz w:val="17"/>
        </w:rPr>
        <w:t>及符合對象之接觸者辦理 LTBI 檢驗，倘個案治療過程檢驗 ( 查 ) 結果有變化，應再次評估接觸者匡列對象，及前次檢查陰性者重新進行檢驗</w:t>
      </w:r>
    </w:p>
    <w:p>
      <w:pPr>
        <w:pStyle w:val="ListParagraph"/>
        <w:numPr>
          <w:ilvl w:val="0"/>
          <w:numId w:val="81"/>
        </w:numPr>
        <w:tabs>
          <w:tab w:pos="529" w:val="left" w:leader="none"/>
        </w:tabs>
        <w:spacing w:line="151" w:lineRule="auto" w:before="59" w:after="0"/>
        <w:ind w:left="528" w:right="11" w:hanging="244"/>
        <w:jc w:val="left"/>
        <w:rPr>
          <w:sz w:val="17"/>
        </w:rPr>
      </w:pPr>
      <w:r>
        <w:rPr>
          <w:color w:val="231F20"/>
          <w:spacing w:val="-1"/>
          <w:sz w:val="17"/>
        </w:rPr>
        <w:t>管理期間，如有診斷或治療疑義應盡速提送縣市</w:t>
      </w:r>
      <w:r>
        <w:rPr>
          <w:color w:val="231F20"/>
          <w:sz w:val="17"/>
        </w:rPr>
        <w:t>病例討論</w:t>
      </w:r>
    </w:p>
    <w:p>
      <w:pPr>
        <w:pStyle w:val="ListParagraph"/>
        <w:numPr>
          <w:ilvl w:val="0"/>
          <w:numId w:val="81"/>
        </w:numPr>
        <w:tabs>
          <w:tab w:pos="529" w:val="left" w:leader="none"/>
        </w:tabs>
        <w:spacing w:line="158" w:lineRule="auto" w:before="60" w:after="0"/>
        <w:ind w:left="528" w:right="0" w:hanging="244"/>
        <w:jc w:val="left"/>
        <w:rPr>
          <w:sz w:val="17"/>
        </w:rPr>
      </w:pPr>
      <w:r>
        <w:rPr>
          <w:color w:val="231F20"/>
          <w:spacing w:val="2"/>
          <w:sz w:val="17"/>
        </w:rPr>
        <w:t>個案如失聯，依規定查找 </w:t>
      </w:r>
      <w:r>
        <w:rPr>
          <w:color w:val="231F20"/>
          <w:sz w:val="17"/>
        </w:rPr>
        <w:t>3</w:t>
      </w:r>
      <w:r>
        <w:rPr>
          <w:color w:val="231F20"/>
          <w:spacing w:val="-1"/>
          <w:sz w:val="17"/>
        </w:rPr>
        <w:t> 年可暫停追蹤管理， </w:t>
      </w:r>
      <w:r>
        <w:rPr>
          <w:color w:val="231F20"/>
          <w:sz w:val="17"/>
        </w:rPr>
        <w:t>TB 系統持續與健保署、移民署 ( 出入境 )、法務部 ( 入出移監 ) 等單位勾稽，掌握行蹤後，重啟管理</w:t>
      </w:r>
    </w:p>
    <w:p>
      <w:pPr>
        <w:pStyle w:val="ListParagraph"/>
        <w:numPr>
          <w:ilvl w:val="0"/>
          <w:numId w:val="81"/>
        </w:numPr>
        <w:tabs>
          <w:tab w:pos="529" w:val="left" w:leader="none"/>
        </w:tabs>
        <w:spacing w:line="168" w:lineRule="auto" w:before="51" w:after="0"/>
        <w:ind w:left="528" w:right="11" w:hanging="244"/>
        <w:jc w:val="left"/>
        <w:rPr>
          <w:sz w:val="17"/>
        </w:rPr>
      </w:pPr>
      <w:r>
        <w:rPr>
          <w:color w:val="231F20"/>
          <w:spacing w:val="-1"/>
          <w:sz w:val="17"/>
        </w:rPr>
        <w:t>符合隔腐治療者，介入相關措施及評估未能改善</w:t>
      </w:r>
      <w:r>
        <w:rPr>
          <w:color w:val="231F20"/>
          <w:sz w:val="17"/>
        </w:rPr>
        <w:t>者，辦理隔腐治療處分</w:t>
      </w:r>
    </w:p>
    <w:p>
      <w:pPr>
        <w:pStyle w:val="ListParagraph"/>
        <w:numPr>
          <w:ilvl w:val="0"/>
          <w:numId w:val="81"/>
        </w:numPr>
        <w:tabs>
          <w:tab w:pos="529" w:val="left" w:leader="none"/>
        </w:tabs>
        <w:spacing w:line="168" w:lineRule="auto" w:before="66" w:after="0"/>
        <w:ind w:left="528" w:right="26" w:hanging="244"/>
        <w:jc w:val="left"/>
        <w:rPr>
          <w:sz w:val="17"/>
        </w:rPr>
      </w:pPr>
      <w:r>
        <w:rPr>
          <w:color w:val="231F20"/>
          <w:sz w:val="17"/>
        </w:rPr>
        <w:t>抗藥性、使用針劑、困難 </w:t>
      </w:r>
      <w:r>
        <w:rPr>
          <w:color w:val="231F20"/>
          <w:spacing w:val="5"/>
          <w:w w:val="80"/>
          <w:sz w:val="17"/>
        </w:rPr>
        <w:t>／ </w:t>
      </w:r>
      <w:r>
        <w:rPr>
          <w:color w:val="231F20"/>
          <w:spacing w:val="-2"/>
          <w:sz w:val="17"/>
        </w:rPr>
        <w:t>不合作等個案，轉介</w:t>
      </w:r>
      <w:r>
        <w:rPr>
          <w:color w:val="231F20"/>
          <w:sz w:val="17"/>
        </w:rPr>
        <w:t>TMTC</w:t>
      </w:r>
      <w:r>
        <w:rPr>
          <w:color w:val="231F20"/>
          <w:spacing w:val="-2"/>
          <w:sz w:val="17"/>
        </w:rPr>
        <w:t> 團隊評估收案治療</w:t>
      </w:r>
    </w:p>
    <w:p>
      <w:pPr>
        <w:spacing w:before="41"/>
        <w:ind w:left="0" w:right="1540" w:firstLine="0"/>
        <w:jc w:val="right"/>
        <w:rPr>
          <w:rFonts w:ascii="微軟正黑體" w:eastAsia="微軟正黑體" w:hint="eastAsia"/>
          <w:b/>
          <w:sz w:val="18"/>
        </w:rPr>
      </w:pPr>
      <w:r>
        <w:rPr/>
        <w:br w:type="column"/>
      </w:r>
      <w:r>
        <w:rPr>
          <w:rFonts w:ascii="微軟正黑體" w:eastAsia="微軟正黑體" w:hint="eastAsia"/>
          <w:b/>
          <w:color w:val="231F20"/>
          <w:sz w:val="18"/>
        </w:rPr>
        <w:t>元治</w:t>
      </w:r>
    </w:p>
    <w:p>
      <w:pPr>
        <w:spacing w:line="381" w:lineRule="exact" w:before="166"/>
        <w:ind w:left="0" w:right="1594" w:firstLine="0"/>
        <w:jc w:val="right"/>
        <w:rPr>
          <w:rFonts w:ascii="微軟正黑體" w:eastAsia="微軟正黑體" w:hint="eastAsia"/>
          <w:b/>
          <w:sz w:val="21"/>
        </w:rPr>
      </w:pPr>
      <w:r>
        <w:rPr/>
        <w:pict>
          <v:group style="position:absolute;margin-left:96.802002pt;margin-top:-130.873291pt;width:444.25pt;height:383.15pt;mso-position-horizontal-relative:page;mso-position-vertical-relative:paragraph;z-index:-266297344" coordorigin="1936,-2617" coordsize="8885,7663">
            <v:shape style="position:absolute;left:1936;top:-2587;width:4789;height:4154" type="#_x0000_t75" stroked="false">
              <v:imagedata r:id="rId63" o:title=""/>
            </v:shape>
            <v:shape style="position:absolute;left:6715;top:-2618;width:4105;height:4881" type="#_x0000_t75" stroked="false">
              <v:imagedata r:id="rId64" o:title=""/>
            </v:shape>
            <v:shape style="position:absolute;left:1936;top:1557;width:4789;height:3488" type="#_x0000_t75" stroked="false">
              <v:imagedata r:id="rId65" o:title=""/>
            </v:shape>
            <v:shape style="position:absolute;left:6715;top:2254;width:4105;height:2791" type="#_x0000_t75" stroked="false">
              <v:imagedata r:id="rId66" o:title=""/>
            </v:shape>
            <w10:wrap type="none"/>
          </v:group>
        </w:pict>
      </w:r>
      <w:r>
        <w:rPr>
          <w:rFonts w:ascii="微軟正黑體" w:eastAsia="微軟正黑體" w:hint="eastAsia"/>
          <w:b/>
          <w:color w:val="231F20"/>
          <w:w w:val="95"/>
          <w:sz w:val="21"/>
        </w:rPr>
        <w:t>元治注意事項 </w:t>
      </w:r>
      <w:r>
        <w:rPr>
          <w:rFonts w:ascii="微軟正黑體" w:eastAsia="微軟正黑體" w:hint="eastAsia"/>
          <w:b/>
          <w:color w:val="231F20"/>
          <w:w w:val="55"/>
          <w:sz w:val="21"/>
        </w:rPr>
        <w:t>：</w:t>
      </w:r>
    </w:p>
    <w:p>
      <w:pPr>
        <w:pStyle w:val="ListParagraph"/>
        <w:numPr>
          <w:ilvl w:val="0"/>
          <w:numId w:val="82"/>
        </w:numPr>
        <w:tabs>
          <w:tab w:pos="420" w:val="left" w:leader="none"/>
        </w:tabs>
        <w:spacing w:line="180" w:lineRule="auto" w:before="46" w:after="0"/>
        <w:ind w:left="419" w:right="1397" w:hanging="244"/>
        <w:jc w:val="left"/>
        <w:rPr>
          <w:sz w:val="17"/>
        </w:rPr>
      </w:pPr>
      <w:r>
        <w:rPr>
          <w:color w:val="231F20"/>
          <w:sz w:val="17"/>
        </w:rPr>
        <w:t>符合條件者，辦</w:t>
      </w:r>
      <w:r>
        <w:rPr>
          <w:color w:val="231F20"/>
          <w:spacing w:val="-13"/>
          <w:sz w:val="17"/>
        </w:rPr>
        <w:t>理銷案，收回「智</w:t>
      </w:r>
      <w:r>
        <w:rPr>
          <w:color w:val="231F20"/>
          <w:sz w:val="17"/>
        </w:rPr>
        <w:t>慧關懷卡」</w:t>
      </w:r>
    </w:p>
    <w:p>
      <w:pPr>
        <w:pStyle w:val="ListParagraph"/>
        <w:numPr>
          <w:ilvl w:val="0"/>
          <w:numId w:val="82"/>
        </w:numPr>
        <w:tabs>
          <w:tab w:pos="420" w:val="left" w:leader="none"/>
        </w:tabs>
        <w:spacing w:line="184" w:lineRule="auto" w:before="50" w:after="0"/>
        <w:ind w:left="419" w:right="1465" w:hanging="244"/>
        <w:jc w:val="both"/>
        <w:rPr>
          <w:sz w:val="17"/>
        </w:rPr>
      </w:pPr>
      <w:r>
        <w:rPr>
          <w:color w:val="231F20"/>
          <w:sz w:val="17"/>
        </w:rPr>
        <w:t>衛教完治後第 1 年，每半年追蹤</w:t>
      </w:r>
      <w:r>
        <w:rPr>
          <w:color w:val="231F20"/>
          <w:spacing w:val="-2"/>
          <w:sz w:val="17"/>
        </w:rPr>
        <w:t>複查 </w:t>
      </w:r>
      <w:r>
        <w:rPr>
          <w:color w:val="231F20"/>
          <w:sz w:val="17"/>
        </w:rPr>
        <w:t>CXR，</w:t>
      </w:r>
      <w:r>
        <w:rPr>
          <w:color w:val="231F20"/>
          <w:spacing w:val="-9"/>
          <w:sz w:val="17"/>
        </w:rPr>
        <w:t>之後</w:t>
      </w:r>
      <w:r>
        <w:rPr>
          <w:color w:val="231F20"/>
          <w:spacing w:val="-2"/>
          <w:sz w:val="17"/>
        </w:rPr>
        <w:t>每年追蹤 </w:t>
      </w:r>
      <w:r>
        <w:rPr>
          <w:color w:val="231F20"/>
          <w:sz w:val="17"/>
        </w:rPr>
        <w:t>CXR</w:t>
      </w:r>
    </w:p>
    <w:p>
      <w:pPr>
        <w:pStyle w:val="ListParagraph"/>
        <w:numPr>
          <w:ilvl w:val="0"/>
          <w:numId w:val="82"/>
        </w:numPr>
        <w:tabs>
          <w:tab w:pos="420" w:val="left" w:leader="none"/>
        </w:tabs>
        <w:spacing w:line="168" w:lineRule="auto" w:before="62" w:after="0"/>
        <w:ind w:left="419" w:right="1498" w:hanging="244"/>
        <w:jc w:val="both"/>
        <w:rPr>
          <w:sz w:val="17"/>
        </w:rPr>
      </w:pPr>
      <w:r>
        <w:rPr>
          <w:color w:val="231F20"/>
          <w:spacing w:val="-3"/>
          <w:sz w:val="17"/>
        </w:rPr>
        <w:t>銷案後追蹤預後</w:t>
      </w:r>
      <w:r>
        <w:rPr>
          <w:color w:val="231F20"/>
          <w:spacing w:val="-2"/>
          <w:sz w:val="17"/>
        </w:rPr>
        <w:t>對象 :</w:t>
      </w:r>
    </w:p>
    <w:p>
      <w:pPr>
        <w:pStyle w:val="ListParagraph"/>
        <w:numPr>
          <w:ilvl w:val="0"/>
          <w:numId w:val="83"/>
        </w:numPr>
        <w:tabs>
          <w:tab w:pos="674" w:val="left" w:leader="none"/>
        </w:tabs>
        <w:spacing w:line="194" w:lineRule="auto" w:before="10" w:after="0"/>
        <w:ind w:left="674" w:right="1404" w:hanging="239"/>
        <w:jc w:val="both"/>
        <w:rPr>
          <w:sz w:val="17"/>
        </w:rPr>
      </w:pPr>
      <w:r>
        <w:rPr>
          <w:color w:val="231F20"/>
          <w:spacing w:val="-5"/>
          <w:w w:val="105"/>
          <w:sz w:val="17"/>
        </w:rPr>
        <w:t>未滿 </w:t>
      </w:r>
      <w:r>
        <w:rPr>
          <w:color w:val="231F20"/>
          <w:w w:val="105"/>
          <w:sz w:val="17"/>
        </w:rPr>
        <w:t>5</w:t>
      </w:r>
      <w:r>
        <w:rPr>
          <w:color w:val="231F20"/>
          <w:spacing w:val="-8"/>
          <w:w w:val="105"/>
          <w:sz w:val="17"/>
        </w:rPr>
        <w:t> 歲肺外</w:t>
      </w:r>
      <w:r>
        <w:rPr>
          <w:color w:val="231F20"/>
          <w:w w:val="105"/>
          <w:sz w:val="17"/>
        </w:rPr>
        <w:t>結核個案</w:t>
      </w:r>
    </w:p>
    <w:p>
      <w:pPr>
        <w:pStyle w:val="ListParagraph"/>
        <w:numPr>
          <w:ilvl w:val="0"/>
          <w:numId w:val="83"/>
        </w:numPr>
        <w:tabs>
          <w:tab w:pos="675" w:val="left" w:leader="none"/>
        </w:tabs>
        <w:spacing w:line="194" w:lineRule="auto" w:before="1" w:after="0"/>
        <w:ind w:left="671" w:right="1416" w:hanging="235"/>
        <w:jc w:val="both"/>
        <w:rPr>
          <w:sz w:val="17"/>
        </w:rPr>
      </w:pPr>
      <w:r>
        <w:rPr>
          <w:color w:val="231F20"/>
          <w:spacing w:val="-3"/>
          <w:sz w:val="17"/>
        </w:rPr>
        <w:t>服用抗結核藥物造成視力損</w:t>
      </w:r>
      <w:r>
        <w:rPr>
          <w:color w:val="231F20"/>
          <w:sz w:val="17"/>
        </w:rPr>
        <w:t>傷個案</w:t>
      </w:r>
    </w:p>
    <w:p>
      <w:pPr>
        <w:spacing w:after="0" w:line="194" w:lineRule="auto"/>
        <w:jc w:val="both"/>
        <w:rPr>
          <w:sz w:val="17"/>
        </w:rPr>
        <w:sectPr>
          <w:type w:val="continuous"/>
          <w:pgSz w:w="11910" w:h="16840"/>
          <w:pgMar w:top="720" w:bottom="280" w:left="980" w:right="0"/>
          <w:cols w:num="3" w:equalWidth="0">
            <w:col w:w="3512" w:space="40"/>
            <w:col w:w="4196" w:space="39"/>
            <w:col w:w="3143"/>
          </w:cols>
        </w:sectPr>
      </w:pPr>
    </w:p>
    <w:p>
      <w:pPr>
        <w:pStyle w:val="BodyText"/>
        <w:rPr>
          <w:sz w:val="20"/>
        </w:rPr>
      </w:pPr>
      <w:r>
        <w:rPr/>
        <w:pict>
          <v:group style="position:absolute;margin-left:-.000001pt;margin-top:178.154007pt;width:37.35pt;height:663.55pt;mso-position-horizontal-relative:page;mso-position-vertical-relative:page;z-index:251759616"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67" o:title=""/>
            </v:shape>
            <v:shape style="position:absolute;left:273;top:4510;width:249;height:2257" type="#_x0000_t75" stroked="false">
              <v:imagedata r:id="rId68"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50</w:t>
                    </w:r>
                  </w:p>
                </w:txbxContent>
              </v:textbox>
              <w10:wrap type="none"/>
            </v:shape>
            <w10:wrap type="none"/>
          </v:group>
        </w:pict>
      </w:r>
    </w:p>
    <w:p>
      <w:pPr>
        <w:pStyle w:val="BodyText"/>
        <w:spacing w:before="10"/>
        <w:rPr>
          <w:sz w:val="22"/>
        </w:rPr>
      </w:pPr>
    </w:p>
    <w:p>
      <w:pPr>
        <w:pStyle w:val="BodyText"/>
        <w:spacing w:before="71"/>
        <w:ind w:left="878"/>
      </w:pPr>
      <w:r>
        <w:rPr/>
        <w:pict>
          <v:shape style="position:absolute;margin-left:92.936501pt;margin-top:22.086372pt;width:445.1pt;height:234pt;mso-position-horizontal-relative:page;mso-position-vertical-relative:paragraph;z-index:251761664"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2866"/>
                    <w:gridCol w:w="2352"/>
                    <w:gridCol w:w="3662"/>
                  </w:tblGrid>
                  <w:tr>
                    <w:trPr>
                      <w:trHeight w:val="451" w:hRule="atLeast"/>
                    </w:trPr>
                    <w:tc>
                      <w:tcPr>
                        <w:tcW w:w="8880" w:type="dxa"/>
                        <w:gridSpan w:val="3"/>
                        <w:shd w:val="clear" w:color="auto" w:fill="D1D3D4"/>
                      </w:tcPr>
                      <w:p>
                        <w:pPr>
                          <w:pStyle w:val="TableParagraph"/>
                          <w:spacing w:line="431" w:lineRule="exact"/>
                          <w:ind w:left="3459" w:right="3445"/>
                          <w:jc w:val="center"/>
                          <w:rPr>
                            <w:rFonts w:ascii="微軟正黑體" w:eastAsia="微軟正黑體" w:hint="eastAsia"/>
                            <w:b/>
                            <w:sz w:val="24"/>
                          </w:rPr>
                        </w:pPr>
                        <w:r>
                          <w:rPr>
                            <w:rFonts w:ascii="微軟正黑體" w:eastAsia="微軟正黑體" w:hint="eastAsia"/>
                            <w:b/>
                            <w:color w:val="231F20"/>
                            <w:sz w:val="24"/>
                          </w:rPr>
                          <w:t>不具傷害性的反應</w:t>
                        </w:r>
                      </w:p>
                    </w:tc>
                  </w:tr>
                  <w:tr>
                    <w:trPr>
                      <w:trHeight w:val="451" w:hRule="atLeast"/>
                    </w:trPr>
                    <w:tc>
                      <w:tcPr>
                        <w:tcW w:w="2866" w:type="dxa"/>
                        <w:shd w:val="clear" w:color="auto" w:fill="E6E7E8"/>
                      </w:tcPr>
                      <w:p>
                        <w:pPr>
                          <w:pStyle w:val="TableParagraph"/>
                          <w:spacing w:line="400" w:lineRule="exact" w:before="31"/>
                          <w:ind w:left="593"/>
                          <w:rPr>
                            <w:sz w:val="24"/>
                          </w:rPr>
                        </w:pPr>
                        <w:r>
                          <w:rPr>
                            <w:color w:val="231F20"/>
                            <w:sz w:val="24"/>
                          </w:rPr>
                          <w:t>可能的身體症狀</w:t>
                        </w:r>
                      </w:p>
                    </w:tc>
                    <w:tc>
                      <w:tcPr>
                        <w:tcW w:w="2352" w:type="dxa"/>
                        <w:shd w:val="clear" w:color="auto" w:fill="E6E7E8"/>
                      </w:tcPr>
                      <w:p>
                        <w:pPr>
                          <w:pStyle w:val="TableParagraph"/>
                          <w:spacing w:line="400" w:lineRule="exact" w:before="31"/>
                          <w:ind w:left="695"/>
                          <w:rPr>
                            <w:sz w:val="24"/>
                          </w:rPr>
                        </w:pPr>
                        <w:r>
                          <w:rPr>
                            <w:color w:val="231F20"/>
                            <w:sz w:val="24"/>
                          </w:rPr>
                          <w:t>相關藥物</w:t>
                        </w:r>
                      </w:p>
                    </w:tc>
                    <w:tc>
                      <w:tcPr>
                        <w:tcW w:w="3662" w:type="dxa"/>
                        <w:shd w:val="clear" w:color="auto" w:fill="E6E7E8"/>
                      </w:tcPr>
                      <w:p>
                        <w:pPr>
                          <w:pStyle w:val="TableParagraph"/>
                          <w:spacing w:line="400" w:lineRule="exact" w:before="31"/>
                          <w:ind w:left="1330" w:right="1317"/>
                          <w:jc w:val="center"/>
                          <w:rPr>
                            <w:sz w:val="24"/>
                          </w:rPr>
                        </w:pPr>
                        <w:r>
                          <w:rPr>
                            <w:color w:val="231F20"/>
                            <w:sz w:val="24"/>
                          </w:rPr>
                          <w:t>處理方式</w:t>
                        </w:r>
                      </w:p>
                    </w:tc>
                  </w:tr>
                  <w:tr>
                    <w:trPr>
                      <w:trHeight w:val="2450" w:hRule="atLeast"/>
                    </w:trPr>
                    <w:tc>
                      <w:tcPr>
                        <w:tcW w:w="2866" w:type="dxa"/>
                      </w:tcPr>
                      <w:p>
                        <w:pPr>
                          <w:pStyle w:val="TableParagraph"/>
                          <w:spacing w:before="4"/>
                          <w:rPr>
                            <w:sz w:val="36"/>
                          </w:rPr>
                        </w:pPr>
                      </w:p>
                      <w:p>
                        <w:pPr>
                          <w:pStyle w:val="TableParagraph"/>
                          <w:spacing w:line="409" w:lineRule="exact" w:before="1"/>
                          <w:ind w:left="113"/>
                          <w:rPr>
                            <w:sz w:val="24"/>
                          </w:rPr>
                        </w:pPr>
                        <w:r>
                          <w:rPr>
                            <w:color w:val="231F20"/>
                            <w:sz w:val="24"/>
                          </w:rPr>
                          <w:t>腸胃不適：</w:t>
                        </w:r>
                      </w:p>
                      <w:p>
                        <w:pPr>
                          <w:pStyle w:val="TableParagraph"/>
                          <w:spacing w:line="230" w:lineRule="auto" w:before="2"/>
                          <w:ind w:left="113" w:right="97"/>
                          <w:rPr>
                            <w:sz w:val="24"/>
                          </w:rPr>
                        </w:pPr>
                        <w:r>
                          <w:rPr>
                            <w:color w:val="231F20"/>
                            <w:sz w:val="24"/>
                          </w:rPr>
                          <w:t>噁心、胃部不適、腹脹、食慾不振</w:t>
                        </w:r>
                      </w:p>
                    </w:tc>
                    <w:tc>
                      <w:tcPr>
                        <w:tcW w:w="2352" w:type="dxa"/>
                      </w:tcPr>
                      <w:p>
                        <w:pPr>
                          <w:pStyle w:val="TableParagraph"/>
                          <w:rPr>
                            <w:sz w:val="32"/>
                          </w:rPr>
                        </w:pPr>
                      </w:p>
                      <w:p>
                        <w:pPr>
                          <w:pStyle w:val="TableParagraph"/>
                          <w:spacing w:before="4"/>
                          <w:rPr>
                            <w:sz w:val="27"/>
                          </w:rPr>
                        </w:pPr>
                      </w:p>
                      <w:p>
                        <w:pPr>
                          <w:pStyle w:val="TableParagraph"/>
                          <w:ind w:left="113"/>
                          <w:rPr>
                            <w:sz w:val="24"/>
                          </w:rPr>
                        </w:pPr>
                        <w:r>
                          <w:rPr>
                            <w:color w:val="231F20"/>
                            <w:sz w:val="24"/>
                          </w:rPr>
                          <w:t>PZA、INH、RMP</w:t>
                        </w:r>
                      </w:p>
                    </w:tc>
                    <w:tc>
                      <w:tcPr>
                        <w:tcW w:w="3662" w:type="dxa"/>
                      </w:tcPr>
                      <w:p>
                        <w:pPr>
                          <w:pStyle w:val="TableParagraph"/>
                          <w:numPr>
                            <w:ilvl w:val="0"/>
                            <w:numId w:val="84"/>
                          </w:numPr>
                          <w:tabs>
                            <w:tab w:pos="357" w:val="left" w:leader="none"/>
                          </w:tabs>
                          <w:spacing w:line="230" w:lineRule="auto" w:before="43" w:after="0"/>
                          <w:ind w:left="356" w:right="90" w:hanging="244"/>
                          <w:jc w:val="left"/>
                          <w:rPr>
                            <w:sz w:val="24"/>
                          </w:rPr>
                        </w:pPr>
                        <w:r>
                          <w:rPr>
                            <w:color w:val="231F20"/>
                            <w:spacing w:val="4"/>
                            <w:sz w:val="24"/>
                          </w:rPr>
                          <w:t>給予心理支持</w:t>
                        </w:r>
                        <w:r>
                          <w:rPr>
                            <w:color w:val="231F20"/>
                            <w:spacing w:val="5"/>
                            <w:sz w:val="24"/>
                          </w:rPr>
                          <w:t>，＿</w:t>
                        </w:r>
                        <w:r>
                          <w:rPr>
                            <w:color w:val="231F20"/>
                            <w:sz w:val="24"/>
                          </w:rPr>
                          <w:t>般約 2</w:t>
                        </w:r>
                        <w:r>
                          <w:rPr>
                            <w:color w:val="231F20"/>
                            <w:spacing w:val="2"/>
                            <w:sz w:val="24"/>
                          </w:rPr>
                          <w:t> 週後</w:t>
                        </w:r>
                        <w:r>
                          <w:rPr>
                            <w:color w:val="231F20"/>
                            <w:sz w:val="24"/>
                          </w:rPr>
                          <w:t>可減緩或消失</w:t>
                        </w:r>
                      </w:p>
                      <w:p>
                        <w:pPr>
                          <w:pStyle w:val="TableParagraph"/>
                          <w:numPr>
                            <w:ilvl w:val="0"/>
                            <w:numId w:val="84"/>
                          </w:numPr>
                          <w:tabs>
                            <w:tab w:pos="357" w:val="left" w:leader="none"/>
                          </w:tabs>
                          <w:spacing w:line="230" w:lineRule="auto" w:before="0" w:after="0"/>
                          <w:ind w:left="356" w:right="89" w:hanging="244"/>
                          <w:jc w:val="left"/>
                          <w:rPr>
                            <w:sz w:val="24"/>
                          </w:rPr>
                        </w:pPr>
                        <w:r>
                          <w:rPr>
                            <w:color w:val="231F20"/>
                            <w:spacing w:val="4"/>
                            <w:sz w:val="24"/>
                          </w:rPr>
                          <w:t>改飯後服藥、藥物與食物</w:t>
                        </w:r>
                        <w:r>
                          <w:rPr>
                            <w:color w:val="231F20"/>
                            <w:spacing w:val="6"/>
                            <w:sz w:val="24"/>
                          </w:rPr>
                          <w:t>＿併</w:t>
                        </w:r>
                        <w:r>
                          <w:rPr>
                            <w:color w:val="231F20"/>
                            <w:sz w:val="24"/>
                          </w:rPr>
                          <w:t>服用或睡前服用</w:t>
                        </w:r>
                      </w:p>
                      <w:p>
                        <w:pPr>
                          <w:pStyle w:val="TableParagraph"/>
                          <w:numPr>
                            <w:ilvl w:val="0"/>
                            <w:numId w:val="84"/>
                          </w:numPr>
                          <w:tabs>
                            <w:tab w:pos="357" w:val="left" w:leader="none"/>
                          </w:tabs>
                          <w:spacing w:line="395" w:lineRule="exact" w:before="0" w:after="0"/>
                          <w:ind w:left="356" w:right="0" w:hanging="245"/>
                          <w:jc w:val="left"/>
                          <w:rPr>
                            <w:sz w:val="24"/>
                          </w:rPr>
                        </w:pPr>
                        <w:r>
                          <w:rPr>
                            <w:color w:val="231F20"/>
                            <w:spacing w:val="6"/>
                            <w:sz w:val="24"/>
                          </w:rPr>
                          <w:t>必要時轉介醫師開立腸胃道藥</w:t>
                        </w:r>
                      </w:p>
                      <w:p>
                        <w:pPr>
                          <w:pStyle w:val="TableParagraph"/>
                          <w:spacing w:line="391" w:lineRule="exact"/>
                          <w:ind w:left="356"/>
                          <w:rPr>
                            <w:sz w:val="24"/>
                          </w:rPr>
                        </w:pPr>
                        <w:r>
                          <w:rPr>
                            <w:color w:val="231F20"/>
                            <w:sz w:val="24"/>
                          </w:rPr>
                          <w:t>物緩解</w:t>
                        </w:r>
                      </w:p>
                    </w:tc>
                  </w:tr>
                  <w:tr>
                    <w:trPr>
                      <w:trHeight w:val="1251" w:hRule="atLeast"/>
                    </w:trPr>
                    <w:tc>
                      <w:tcPr>
                        <w:tcW w:w="2866" w:type="dxa"/>
                      </w:tcPr>
                      <w:p>
                        <w:pPr>
                          <w:pStyle w:val="TableParagraph"/>
                          <w:spacing w:line="230" w:lineRule="auto" w:before="243"/>
                          <w:ind w:left="112" w:right="97"/>
                          <w:rPr>
                            <w:sz w:val="24"/>
                          </w:rPr>
                        </w:pPr>
                        <w:r>
                          <w:rPr>
                            <w:color w:val="231F20"/>
                            <w:sz w:val="24"/>
                          </w:rPr>
                          <w:t>尿液、淚液、體液變橘紅色、</w:t>
                        </w:r>
                      </w:p>
                    </w:tc>
                    <w:tc>
                      <w:tcPr>
                        <w:tcW w:w="2352" w:type="dxa"/>
                      </w:tcPr>
                      <w:p>
                        <w:pPr>
                          <w:pStyle w:val="TableParagraph"/>
                          <w:spacing w:before="13"/>
                          <w:rPr>
                            <w:sz w:val="24"/>
                          </w:rPr>
                        </w:pPr>
                      </w:p>
                      <w:p>
                        <w:pPr>
                          <w:pStyle w:val="TableParagraph"/>
                          <w:spacing w:before="1"/>
                          <w:ind w:left="112"/>
                          <w:rPr>
                            <w:sz w:val="24"/>
                          </w:rPr>
                        </w:pPr>
                        <w:r>
                          <w:rPr>
                            <w:color w:val="231F20"/>
                            <w:sz w:val="24"/>
                          </w:rPr>
                          <w:t>RMP</w:t>
                        </w:r>
                      </w:p>
                    </w:tc>
                    <w:tc>
                      <w:tcPr>
                        <w:tcW w:w="3662" w:type="dxa"/>
                      </w:tcPr>
                      <w:p>
                        <w:pPr>
                          <w:pStyle w:val="TableParagraph"/>
                          <w:numPr>
                            <w:ilvl w:val="0"/>
                            <w:numId w:val="85"/>
                          </w:numPr>
                          <w:tabs>
                            <w:tab w:pos="357" w:val="left" w:leader="none"/>
                          </w:tabs>
                          <w:spacing w:line="230" w:lineRule="auto" w:before="43" w:after="0"/>
                          <w:ind w:left="356" w:right="89" w:hanging="244"/>
                          <w:jc w:val="left"/>
                          <w:rPr>
                            <w:sz w:val="24"/>
                          </w:rPr>
                        </w:pPr>
                        <w:r>
                          <w:rPr>
                            <w:color w:val="231F20"/>
                            <w:spacing w:val="5"/>
                            <w:sz w:val="24"/>
                          </w:rPr>
                          <w:t>藥物吸收的正常反應，請病人</w:t>
                        </w:r>
                        <w:r>
                          <w:rPr>
                            <w:color w:val="231F20"/>
                            <w:sz w:val="24"/>
                          </w:rPr>
                          <w:t>安心</w:t>
                        </w:r>
                      </w:p>
                      <w:p>
                        <w:pPr>
                          <w:pStyle w:val="TableParagraph"/>
                          <w:numPr>
                            <w:ilvl w:val="0"/>
                            <w:numId w:val="85"/>
                          </w:numPr>
                          <w:tabs>
                            <w:tab w:pos="357" w:val="left" w:leader="none"/>
                          </w:tabs>
                          <w:spacing w:line="386" w:lineRule="exact" w:before="0" w:after="0"/>
                          <w:ind w:left="356" w:right="0" w:hanging="245"/>
                          <w:jc w:val="left"/>
                          <w:rPr>
                            <w:sz w:val="24"/>
                          </w:rPr>
                        </w:pPr>
                        <w:r>
                          <w:rPr>
                            <w:color w:val="231F20"/>
                            <w:sz w:val="24"/>
                          </w:rPr>
                          <w:t>隱形眼鏡會變色，可用拋棄式</w:t>
                        </w:r>
                      </w:p>
                    </w:tc>
                  </w:tr>
                </w:tbl>
                <w:p>
                  <w:pPr>
                    <w:pStyle w:val="BodyText"/>
                  </w:pPr>
                </w:p>
              </w:txbxContent>
            </v:textbox>
            <w10:wrap type="none"/>
          </v:shape>
        </w:pict>
      </w:r>
      <w:r>
        <w:rPr>
          <w:color w:val="231F20"/>
        </w:rPr>
        <w:t>表 3、抗結核＿線藥物副作用評估與建議處置</w:t>
      </w:r>
    </w:p>
    <w:p>
      <w:pPr>
        <w:spacing w:after="0"/>
        <w:sectPr>
          <w:type w:val="continuous"/>
          <w:pgSz w:w="11910" w:h="16840"/>
          <w:pgMar w:top="720" w:bottom="280" w:left="980" w:right="0"/>
        </w:sectPr>
      </w:pPr>
    </w:p>
    <w:tbl>
      <w:tblPr>
        <w:tblW w:w="0" w:type="auto"/>
        <w:jc w:val="left"/>
        <w:tblInd w:w="894"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2867"/>
        <w:gridCol w:w="2353"/>
        <w:gridCol w:w="3664"/>
      </w:tblGrid>
      <w:tr>
        <w:trPr>
          <w:trHeight w:val="451" w:hRule="atLeast"/>
        </w:trPr>
        <w:tc>
          <w:tcPr>
            <w:tcW w:w="8884" w:type="dxa"/>
            <w:gridSpan w:val="3"/>
            <w:shd w:val="clear" w:color="auto" w:fill="D1D3D4"/>
          </w:tcPr>
          <w:p>
            <w:pPr>
              <w:pStyle w:val="TableParagraph"/>
              <w:spacing w:line="432" w:lineRule="exact"/>
              <w:ind w:left="3461" w:right="3448"/>
              <w:jc w:val="center"/>
              <w:rPr>
                <w:rFonts w:ascii="微軟正黑體" w:eastAsia="微軟正黑體" w:hint="eastAsia"/>
                <w:b/>
                <w:sz w:val="24"/>
              </w:rPr>
            </w:pPr>
            <w:r>
              <w:rPr>
                <w:rFonts w:ascii="微軟正黑體" w:eastAsia="微軟正黑體" w:hint="eastAsia"/>
                <w:b/>
                <w:color w:val="231F20"/>
                <w:sz w:val="24"/>
              </w:rPr>
              <w:t>不具傷害性的反應</w:t>
            </w:r>
          </w:p>
        </w:tc>
      </w:tr>
      <w:tr>
        <w:trPr>
          <w:trHeight w:val="451" w:hRule="atLeast"/>
        </w:trPr>
        <w:tc>
          <w:tcPr>
            <w:tcW w:w="2867" w:type="dxa"/>
            <w:shd w:val="clear" w:color="auto" w:fill="E6E7E8"/>
          </w:tcPr>
          <w:p>
            <w:pPr>
              <w:pStyle w:val="TableParagraph"/>
              <w:spacing w:line="432" w:lineRule="exact"/>
              <w:ind w:left="593"/>
              <w:rPr>
                <w:rFonts w:ascii="微軟正黑體" w:eastAsia="微軟正黑體" w:hint="eastAsia"/>
                <w:sz w:val="24"/>
              </w:rPr>
            </w:pPr>
            <w:r>
              <w:rPr>
                <w:rFonts w:ascii="微軟正黑體" w:eastAsia="微軟正黑體" w:hint="eastAsia"/>
                <w:color w:val="231F20"/>
                <w:sz w:val="24"/>
              </w:rPr>
              <w:t>可能的身體症狀</w:t>
            </w:r>
          </w:p>
        </w:tc>
        <w:tc>
          <w:tcPr>
            <w:tcW w:w="2353" w:type="dxa"/>
            <w:shd w:val="clear" w:color="auto" w:fill="E6E7E8"/>
          </w:tcPr>
          <w:p>
            <w:pPr>
              <w:pStyle w:val="TableParagraph"/>
              <w:spacing w:line="432" w:lineRule="exact"/>
              <w:ind w:left="696"/>
              <w:rPr>
                <w:rFonts w:ascii="微軟正黑體" w:eastAsia="微軟正黑體" w:hint="eastAsia"/>
                <w:sz w:val="24"/>
              </w:rPr>
            </w:pPr>
            <w:r>
              <w:rPr>
                <w:rFonts w:ascii="微軟正黑體" w:eastAsia="微軟正黑體" w:hint="eastAsia"/>
                <w:color w:val="231F20"/>
                <w:sz w:val="24"/>
              </w:rPr>
              <w:t>相關藥物</w:t>
            </w:r>
          </w:p>
        </w:tc>
        <w:tc>
          <w:tcPr>
            <w:tcW w:w="3664" w:type="dxa"/>
            <w:shd w:val="clear" w:color="auto" w:fill="E6E7E8"/>
          </w:tcPr>
          <w:p>
            <w:pPr>
              <w:pStyle w:val="TableParagraph"/>
              <w:spacing w:line="432" w:lineRule="exact"/>
              <w:ind w:left="1351"/>
              <w:rPr>
                <w:rFonts w:ascii="微軟正黑體" w:eastAsia="微軟正黑體" w:hint="eastAsia"/>
                <w:sz w:val="24"/>
              </w:rPr>
            </w:pPr>
            <w:r>
              <w:rPr>
                <w:rFonts w:ascii="微軟正黑體" w:eastAsia="微軟正黑體" w:hint="eastAsia"/>
                <w:color w:val="231F20"/>
                <w:sz w:val="24"/>
              </w:rPr>
              <w:t>處理方式</w:t>
            </w:r>
          </w:p>
        </w:tc>
      </w:tr>
      <w:tr>
        <w:trPr>
          <w:trHeight w:val="1651" w:hRule="atLeast"/>
        </w:trPr>
        <w:tc>
          <w:tcPr>
            <w:tcW w:w="2867" w:type="dxa"/>
          </w:tcPr>
          <w:p>
            <w:pPr>
              <w:pStyle w:val="TableParagraph"/>
              <w:spacing w:before="1"/>
              <w:rPr>
                <w:sz w:val="34"/>
              </w:rPr>
            </w:pPr>
          </w:p>
          <w:p>
            <w:pPr>
              <w:pStyle w:val="TableParagraph"/>
              <w:ind w:left="113"/>
              <w:rPr>
                <w:rFonts w:ascii="微軟正黑體" w:eastAsia="微軟正黑體" w:hint="eastAsia"/>
                <w:sz w:val="24"/>
              </w:rPr>
            </w:pPr>
            <w:r>
              <w:rPr>
                <w:rFonts w:ascii="微軟正黑體" w:eastAsia="微軟正黑體" w:hint="eastAsia"/>
                <w:color w:val="231F20"/>
                <w:sz w:val="24"/>
              </w:rPr>
              <w:t>關節酸疼</w:t>
            </w:r>
          </w:p>
        </w:tc>
        <w:tc>
          <w:tcPr>
            <w:tcW w:w="2353" w:type="dxa"/>
          </w:tcPr>
          <w:p>
            <w:pPr>
              <w:pStyle w:val="TableParagraph"/>
              <w:spacing w:before="1"/>
              <w:rPr>
                <w:sz w:val="34"/>
              </w:rPr>
            </w:pPr>
          </w:p>
          <w:p>
            <w:pPr>
              <w:pStyle w:val="TableParagraph"/>
              <w:ind w:left="113"/>
              <w:rPr>
                <w:rFonts w:ascii="微軟正黑體"/>
                <w:sz w:val="24"/>
              </w:rPr>
            </w:pPr>
            <w:r>
              <w:rPr>
                <w:rFonts w:ascii="微軟正黑體"/>
                <w:color w:val="231F20"/>
                <w:sz w:val="24"/>
              </w:rPr>
              <w:t>PZA</w:t>
            </w:r>
          </w:p>
        </w:tc>
        <w:tc>
          <w:tcPr>
            <w:tcW w:w="3664" w:type="dxa"/>
          </w:tcPr>
          <w:p>
            <w:pPr>
              <w:pStyle w:val="TableParagraph"/>
              <w:numPr>
                <w:ilvl w:val="0"/>
                <w:numId w:val="86"/>
              </w:numPr>
              <w:tabs>
                <w:tab w:pos="357" w:val="left" w:leader="none"/>
              </w:tabs>
              <w:spacing w:line="414"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多喝水幫助普林代謝</w:t>
            </w:r>
          </w:p>
          <w:p>
            <w:pPr>
              <w:pStyle w:val="TableParagraph"/>
              <w:numPr>
                <w:ilvl w:val="0"/>
                <w:numId w:val="86"/>
              </w:numPr>
              <w:tabs>
                <w:tab w:pos="357" w:val="left" w:leader="none"/>
              </w:tabs>
              <w:spacing w:line="400"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採低普林飲食</w:t>
            </w:r>
          </w:p>
          <w:p>
            <w:pPr>
              <w:pStyle w:val="TableParagraph"/>
              <w:numPr>
                <w:ilvl w:val="0"/>
                <w:numId w:val="86"/>
              </w:numPr>
              <w:tabs>
                <w:tab w:pos="357" w:val="left" w:leader="none"/>
              </w:tabs>
              <w:spacing w:line="218" w:lineRule="auto" w:before="8" w:after="0"/>
              <w:ind w:left="356" w:right="92" w:hanging="244"/>
              <w:jc w:val="left"/>
              <w:rPr>
                <w:rFonts w:ascii="微軟正黑體" w:hAnsi="微軟正黑體" w:eastAsia="微軟正黑體" w:hint="eastAsia"/>
                <w:sz w:val="24"/>
              </w:rPr>
            </w:pPr>
            <w:r>
              <w:rPr>
                <w:rFonts w:ascii="微軟正黑體" w:hAnsi="微軟正黑體" w:eastAsia="微軟正黑體" w:hint="eastAsia"/>
                <w:color w:val="231F20"/>
                <w:spacing w:val="4"/>
                <w:sz w:val="24"/>
              </w:rPr>
              <w:t>必要時轉介醫師開立降尿酸或</w:t>
            </w:r>
            <w:r>
              <w:rPr>
                <w:rFonts w:ascii="微軟正黑體" w:hAnsi="微軟正黑體" w:eastAsia="微軟正黑體" w:hint="eastAsia"/>
                <w:color w:val="231F20"/>
                <w:sz w:val="24"/>
              </w:rPr>
              <w:t>緩解症狀藥物</w:t>
            </w:r>
          </w:p>
        </w:tc>
      </w:tr>
      <w:tr>
        <w:trPr>
          <w:trHeight w:val="851" w:hRule="atLeast"/>
        </w:trPr>
        <w:tc>
          <w:tcPr>
            <w:tcW w:w="2867" w:type="dxa"/>
          </w:tcPr>
          <w:p>
            <w:pPr>
              <w:pStyle w:val="TableParagraph"/>
              <w:spacing w:before="193"/>
              <w:ind w:left="112"/>
              <w:rPr>
                <w:rFonts w:ascii="微軟正黑體" w:eastAsia="微軟正黑體" w:hint="eastAsia"/>
                <w:sz w:val="24"/>
              </w:rPr>
            </w:pPr>
            <w:r>
              <w:rPr>
                <w:rFonts w:ascii="微軟正黑體" w:eastAsia="微軟正黑體" w:hint="eastAsia"/>
                <w:color w:val="231F20"/>
                <w:sz w:val="24"/>
              </w:rPr>
              <w:t>手腳麻木</w:t>
            </w:r>
          </w:p>
        </w:tc>
        <w:tc>
          <w:tcPr>
            <w:tcW w:w="2353" w:type="dxa"/>
          </w:tcPr>
          <w:p>
            <w:pPr>
              <w:pStyle w:val="TableParagraph"/>
              <w:spacing w:before="193"/>
              <w:ind w:left="113"/>
              <w:rPr>
                <w:rFonts w:ascii="微軟正黑體"/>
                <w:sz w:val="24"/>
              </w:rPr>
            </w:pPr>
            <w:r>
              <w:rPr>
                <w:rFonts w:ascii="微軟正黑體"/>
                <w:color w:val="231F20"/>
                <w:sz w:val="24"/>
              </w:rPr>
              <w:t>INH</w:t>
            </w:r>
          </w:p>
        </w:tc>
        <w:tc>
          <w:tcPr>
            <w:tcW w:w="3664" w:type="dxa"/>
          </w:tcPr>
          <w:p>
            <w:pPr>
              <w:pStyle w:val="TableParagraph"/>
              <w:spacing w:line="218" w:lineRule="auto" w:before="22"/>
              <w:ind w:left="112" w:right="1053"/>
              <w:rPr>
                <w:rFonts w:ascii="微軟正黑體" w:eastAsia="微軟正黑體" w:hint="eastAsia"/>
                <w:sz w:val="24"/>
              </w:rPr>
            </w:pPr>
            <w:r>
              <w:rPr>
                <w:rFonts w:ascii="微軟正黑體" w:eastAsia="微軟正黑體" w:hint="eastAsia"/>
                <w:color w:val="231F20"/>
                <w:sz w:val="24"/>
              </w:rPr>
              <w:t>轉介醫師評估是否開立pyridoxine （Vit. B6）</w:t>
            </w:r>
          </w:p>
        </w:tc>
      </w:tr>
      <w:tr>
        <w:trPr>
          <w:trHeight w:val="1651" w:hRule="atLeast"/>
        </w:trPr>
        <w:tc>
          <w:tcPr>
            <w:tcW w:w="2867" w:type="dxa"/>
          </w:tcPr>
          <w:p>
            <w:pPr>
              <w:pStyle w:val="TableParagraph"/>
              <w:spacing w:before="10"/>
              <w:rPr>
                <w:sz w:val="22"/>
              </w:rPr>
            </w:pPr>
          </w:p>
          <w:p>
            <w:pPr>
              <w:pStyle w:val="TableParagraph"/>
              <w:spacing w:line="421" w:lineRule="exact"/>
              <w:ind w:left="112"/>
              <w:rPr>
                <w:rFonts w:ascii="微軟正黑體" w:eastAsia="微軟正黑體" w:hint="eastAsia"/>
                <w:sz w:val="24"/>
              </w:rPr>
            </w:pPr>
            <w:r>
              <w:rPr>
                <w:rFonts w:ascii="微軟正黑體" w:eastAsia="微軟正黑體" w:hint="eastAsia"/>
                <w:color w:val="231F20"/>
                <w:sz w:val="24"/>
              </w:rPr>
              <w:t>發燒、倦怠</w:t>
            </w:r>
          </w:p>
          <w:p>
            <w:pPr>
              <w:pStyle w:val="TableParagraph"/>
              <w:spacing w:line="421" w:lineRule="exact"/>
              <w:ind w:left="112"/>
              <w:rPr>
                <w:rFonts w:ascii="微軟正黑體" w:eastAsia="微軟正黑體" w:hint="eastAsia"/>
                <w:sz w:val="24"/>
              </w:rPr>
            </w:pPr>
            <w:r>
              <w:rPr>
                <w:rFonts w:ascii="微軟正黑體" w:eastAsia="微軟正黑體" w:hint="eastAsia"/>
                <w:color w:val="231F20"/>
                <w:sz w:val="24"/>
              </w:rPr>
              <w:t>（Flu-like syndrome）</w:t>
            </w:r>
          </w:p>
        </w:tc>
        <w:tc>
          <w:tcPr>
            <w:tcW w:w="2353" w:type="dxa"/>
          </w:tcPr>
          <w:p>
            <w:pPr>
              <w:pStyle w:val="TableParagraph"/>
              <w:spacing w:before="1"/>
              <w:rPr>
                <w:sz w:val="34"/>
              </w:rPr>
            </w:pPr>
          </w:p>
          <w:p>
            <w:pPr>
              <w:pStyle w:val="TableParagraph"/>
              <w:ind w:left="113"/>
              <w:rPr>
                <w:rFonts w:ascii="微軟正黑體" w:eastAsia="微軟正黑體" w:hint="eastAsia"/>
                <w:sz w:val="24"/>
              </w:rPr>
            </w:pPr>
            <w:r>
              <w:rPr>
                <w:rFonts w:ascii="微軟正黑體" w:eastAsia="微軟正黑體" w:hint="eastAsia"/>
                <w:color w:val="231F20"/>
                <w:sz w:val="24"/>
              </w:rPr>
              <w:t>INH、RMP</w:t>
            </w:r>
          </w:p>
        </w:tc>
        <w:tc>
          <w:tcPr>
            <w:tcW w:w="3664" w:type="dxa"/>
          </w:tcPr>
          <w:p>
            <w:pPr>
              <w:pStyle w:val="TableParagraph"/>
              <w:numPr>
                <w:ilvl w:val="0"/>
                <w:numId w:val="87"/>
              </w:numPr>
              <w:tabs>
                <w:tab w:pos="357" w:val="left" w:leader="none"/>
              </w:tabs>
              <w:spacing w:line="414"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一般會自行恢復</w:t>
            </w:r>
          </w:p>
          <w:p>
            <w:pPr>
              <w:pStyle w:val="TableParagraph"/>
              <w:numPr>
                <w:ilvl w:val="0"/>
                <w:numId w:val="87"/>
              </w:numPr>
              <w:tabs>
                <w:tab w:pos="357" w:val="left" w:leader="none"/>
              </w:tabs>
              <w:spacing w:line="400"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心理支持</w:t>
            </w:r>
          </w:p>
          <w:p>
            <w:pPr>
              <w:pStyle w:val="TableParagraph"/>
              <w:numPr>
                <w:ilvl w:val="0"/>
                <w:numId w:val="87"/>
              </w:numPr>
              <w:tabs>
                <w:tab w:pos="357" w:val="left" w:leader="none"/>
              </w:tabs>
              <w:spacing w:line="400"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改睡前服藥</w:t>
            </w:r>
          </w:p>
          <w:p>
            <w:pPr>
              <w:pStyle w:val="TableParagraph"/>
              <w:numPr>
                <w:ilvl w:val="0"/>
                <w:numId w:val="87"/>
              </w:numPr>
              <w:tabs>
                <w:tab w:pos="357" w:val="left" w:leader="none"/>
              </w:tabs>
              <w:spacing w:line="418"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必要時轉介醫師開立藥物緩解</w:t>
            </w:r>
          </w:p>
        </w:tc>
      </w:tr>
      <w:tr>
        <w:trPr>
          <w:trHeight w:val="2051" w:hRule="atLeast"/>
        </w:trPr>
        <w:tc>
          <w:tcPr>
            <w:tcW w:w="2867" w:type="dxa"/>
          </w:tcPr>
          <w:p>
            <w:pPr>
              <w:pStyle w:val="TableParagraph"/>
              <w:spacing w:before="9"/>
              <w:rPr>
                <w:sz w:val="45"/>
              </w:rPr>
            </w:pPr>
          </w:p>
          <w:p>
            <w:pPr>
              <w:pStyle w:val="TableParagraph"/>
              <w:ind w:left="112"/>
              <w:rPr>
                <w:rFonts w:ascii="微軟正黑體" w:eastAsia="微軟正黑體" w:hint="eastAsia"/>
                <w:sz w:val="24"/>
              </w:rPr>
            </w:pPr>
            <w:r>
              <w:rPr>
                <w:rFonts w:ascii="微軟正黑體" w:eastAsia="微軟正黑體" w:hint="eastAsia"/>
                <w:color w:val="231F20"/>
                <w:sz w:val="24"/>
              </w:rPr>
              <w:t>輕微皮膚搔癢</w:t>
            </w:r>
          </w:p>
        </w:tc>
        <w:tc>
          <w:tcPr>
            <w:tcW w:w="2353" w:type="dxa"/>
          </w:tcPr>
          <w:p>
            <w:pPr>
              <w:pStyle w:val="TableParagraph"/>
              <w:spacing w:before="9"/>
              <w:rPr>
                <w:sz w:val="45"/>
              </w:rPr>
            </w:pPr>
          </w:p>
          <w:p>
            <w:pPr>
              <w:pStyle w:val="TableParagraph"/>
              <w:ind w:left="113"/>
              <w:rPr>
                <w:rFonts w:ascii="微軟正黑體" w:eastAsia="微軟正黑體" w:hint="eastAsia"/>
                <w:sz w:val="24"/>
              </w:rPr>
            </w:pPr>
            <w:r>
              <w:rPr>
                <w:rFonts w:ascii="微軟正黑體" w:eastAsia="微軟正黑體" w:hint="eastAsia"/>
                <w:color w:val="231F20"/>
                <w:sz w:val="24"/>
              </w:rPr>
              <w:t>皆有可能發生</w:t>
            </w:r>
          </w:p>
        </w:tc>
        <w:tc>
          <w:tcPr>
            <w:tcW w:w="3664" w:type="dxa"/>
          </w:tcPr>
          <w:p>
            <w:pPr>
              <w:pStyle w:val="TableParagraph"/>
              <w:numPr>
                <w:ilvl w:val="0"/>
                <w:numId w:val="88"/>
              </w:numPr>
              <w:tabs>
                <w:tab w:pos="357" w:val="left" w:leader="none"/>
              </w:tabs>
              <w:spacing w:line="218" w:lineRule="auto" w:before="21" w:after="0"/>
              <w:ind w:left="356" w:right="90" w:hanging="244"/>
              <w:jc w:val="left"/>
              <w:rPr>
                <w:rFonts w:ascii="微軟正黑體" w:hAnsi="微軟正黑體" w:eastAsia="微軟正黑體" w:hint="eastAsia"/>
                <w:sz w:val="24"/>
              </w:rPr>
            </w:pPr>
            <w:r>
              <w:rPr>
                <w:rFonts w:ascii="微軟正黑體" w:hAnsi="微軟正黑體" w:eastAsia="微軟正黑體" w:hint="eastAsia"/>
                <w:color w:val="231F20"/>
                <w:spacing w:val="2"/>
                <w:sz w:val="24"/>
              </w:rPr>
              <w:t>給予心理支持，一般約 </w:t>
            </w:r>
            <w:r>
              <w:rPr>
                <w:rFonts w:ascii="微軟正黑體" w:hAnsi="微軟正黑體" w:eastAsia="微軟正黑體" w:hint="eastAsia"/>
                <w:color w:val="231F20"/>
                <w:sz w:val="24"/>
              </w:rPr>
              <w:t>2</w:t>
            </w:r>
            <w:r>
              <w:rPr>
                <w:rFonts w:ascii="微軟正黑體" w:hAnsi="微軟正黑體" w:eastAsia="微軟正黑體" w:hint="eastAsia"/>
                <w:color w:val="231F20"/>
                <w:spacing w:val="3"/>
                <w:sz w:val="24"/>
              </w:rPr>
              <w:t> 週後</w:t>
            </w:r>
            <w:r>
              <w:rPr>
                <w:rFonts w:ascii="微軟正黑體" w:hAnsi="微軟正黑體" w:eastAsia="微軟正黑體" w:hint="eastAsia"/>
                <w:color w:val="231F20"/>
                <w:sz w:val="24"/>
              </w:rPr>
              <w:t>可減緩或消失</w:t>
            </w:r>
          </w:p>
          <w:p>
            <w:pPr>
              <w:pStyle w:val="TableParagraph"/>
              <w:numPr>
                <w:ilvl w:val="0"/>
                <w:numId w:val="88"/>
              </w:numPr>
              <w:tabs>
                <w:tab w:pos="357" w:val="left" w:leader="none"/>
              </w:tabs>
              <w:spacing w:line="218" w:lineRule="auto" w:before="0" w:after="0"/>
              <w:ind w:left="356" w:right="92" w:hanging="244"/>
              <w:jc w:val="left"/>
              <w:rPr>
                <w:rFonts w:ascii="微軟正黑體" w:hAnsi="微軟正黑體" w:eastAsia="微軟正黑體" w:hint="eastAsia"/>
                <w:sz w:val="24"/>
              </w:rPr>
            </w:pPr>
            <w:r>
              <w:rPr>
                <w:rFonts w:ascii="微軟正黑體" w:hAnsi="微軟正黑體" w:eastAsia="微軟正黑體" w:hint="eastAsia"/>
                <w:color w:val="231F20"/>
                <w:spacing w:val="4"/>
                <w:sz w:val="24"/>
              </w:rPr>
              <w:t>轉介醫師評估是否開立抗組織</w:t>
            </w:r>
            <w:r>
              <w:rPr>
                <w:rFonts w:ascii="微軟正黑體" w:hAnsi="微軟正黑體" w:eastAsia="微軟正黑體" w:hint="eastAsia"/>
                <w:color w:val="231F20"/>
                <w:sz w:val="24"/>
              </w:rPr>
              <w:t>胺之口服或外用藥物</w:t>
            </w:r>
          </w:p>
          <w:p>
            <w:pPr>
              <w:pStyle w:val="TableParagraph"/>
              <w:numPr>
                <w:ilvl w:val="0"/>
                <w:numId w:val="88"/>
              </w:numPr>
              <w:tabs>
                <w:tab w:pos="357" w:val="left" w:leader="none"/>
              </w:tabs>
              <w:spacing w:line="407"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避免皮膚過度乾燥</w:t>
            </w:r>
          </w:p>
        </w:tc>
      </w:tr>
      <w:tr>
        <w:trPr>
          <w:trHeight w:val="451" w:hRule="atLeast"/>
        </w:trPr>
        <w:tc>
          <w:tcPr>
            <w:tcW w:w="8884" w:type="dxa"/>
            <w:gridSpan w:val="3"/>
            <w:shd w:val="clear" w:color="auto" w:fill="D1D3D4"/>
          </w:tcPr>
          <w:p>
            <w:pPr>
              <w:pStyle w:val="TableParagraph"/>
              <w:spacing w:line="419" w:lineRule="exact"/>
              <w:ind w:left="3461" w:right="3448"/>
              <w:jc w:val="center"/>
              <w:rPr>
                <w:rFonts w:ascii="微軟正黑體" w:eastAsia="微軟正黑體" w:hint="eastAsia"/>
                <w:b/>
                <w:sz w:val="24"/>
              </w:rPr>
            </w:pPr>
            <w:r>
              <w:rPr>
                <w:rFonts w:ascii="微軟正黑體" w:eastAsia="微軟正黑體" w:hint="eastAsia"/>
                <w:b/>
                <w:color w:val="231F20"/>
                <w:sz w:val="24"/>
              </w:rPr>
              <w:t>具傷害性的反應</w:t>
            </w:r>
          </w:p>
        </w:tc>
      </w:tr>
      <w:tr>
        <w:trPr>
          <w:trHeight w:val="451" w:hRule="atLeast"/>
        </w:trPr>
        <w:tc>
          <w:tcPr>
            <w:tcW w:w="2867" w:type="dxa"/>
            <w:shd w:val="clear" w:color="auto" w:fill="E6E7E8"/>
          </w:tcPr>
          <w:p>
            <w:pPr>
              <w:pStyle w:val="TableParagraph"/>
              <w:spacing w:line="432" w:lineRule="exact"/>
              <w:ind w:left="593"/>
              <w:rPr>
                <w:rFonts w:ascii="微軟正黑體" w:eastAsia="微軟正黑體" w:hint="eastAsia"/>
                <w:sz w:val="24"/>
              </w:rPr>
            </w:pPr>
            <w:r>
              <w:rPr>
                <w:rFonts w:ascii="微軟正黑體" w:eastAsia="微軟正黑體" w:hint="eastAsia"/>
                <w:color w:val="231F20"/>
                <w:sz w:val="24"/>
              </w:rPr>
              <w:t>可能的身體症狀</w:t>
            </w:r>
          </w:p>
        </w:tc>
        <w:tc>
          <w:tcPr>
            <w:tcW w:w="2353" w:type="dxa"/>
            <w:shd w:val="clear" w:color="auto" w:fill="E6E7E8"/>
          </w:tcPr>
          <w:p>
            <w:pPr>
              <w:pStyle w:val="TableParagraph"/>
              <w:spacing w:line="432" w:lineRule="exact"/>
              <w:ind w:left="696"/>
              <w:rPr>
                <w:rFonts w:ascii="微軟正黑體" w:eastAsia="微軟正黑體" w:hint="eastAsia"/>
                <w:sz w:val="24"/>
              </w:rPr>
            </w:pPr>
            <w:r>
              <w:rPr>
                <w:rFonts w:ascii="微軟正黑體" w:eastAsia="微軟正黑體" w:hint="eastAsia"/>
                <w:color w:val="231F20"/>
                <w:sz w:val="24"/>
              </w:rPr>
              <w:t>相關藥物</w:t>
            </w:r>
          </w:p>
        </w:tc>
        <w:tc>
          <w:tcPr>
            <w:tcW w:w="3664" w:type="dxa"/>
            <w:shd w:val="clear" w:color="auto" w:fill="E6E7E8"/>
          </w:tcPr>
          <w:p>
            <w:pPr>
              <w:pStyle w:val="TableParagraph"/>
              <w:spacing w:line="432" w:lineRule="exact"/>
              <w:ind w:left="1351"/>
              <w:rPr>
                <w:rFonts w:ascii="微軟正黑體" w:eastAsia="微軟正黑體" w:hint="eastAsia"/>
                <w:sz w:val="24"/>
              </w:rPr>
            </w:pPr>
            <w:r>
              <w:rPr>
                <w:rFonts w:ascii="微軟正黑體" w:eastAsia="微軟正黑體" w:hint="eastAsia"/>
                <w:color w:val="231F20"/>
                <w:sz w:val="24"/>
              </w:rPr>
              <w:t>處理方式</w:t>
            </w:r>
          </w:p>
        </w:tc>
      </w:tr>
      <w:tr>
        <w:trPr>
          <w:trHeight w:val="851" w:hRule="atLeast"/>
        </w:trPr>
        <w:tc>
          <w:tcPr>
            <w:tcW w:w="2867" w:type="dxa"/>
          </w:tcPr>
          <w:p>
            <w:pPr>
              <w:pStyle w:val="TableParagraph"/>
              <w:spacing w:line="218" w:lineRule="auto" w:before="22"/>
              <w:ind w:left="112" w:right="97"/>
              <w:rPr>
                <w:rFonts w:ascii="微軟正黑體" w:eastAsia="微軟正黑體" w:hint="eastAsia"/>
                <w:sz w:val="24"/>
              </w:rPr>
            </w:pPr>
            <w:r>
              <w:rPr>
                <w:rFonts w:ascii="微軟正黑體" w:eastAsia="微軟正黑體" w:hint="eastAsia"/>
                <w:color w:val="231F20"/>
                <w:sz w:val="24"/>
              </w:rPr>
              <w:t>嚴重無法緩解之皮疹、搔癢</w:t>
            </w:r>
          </w:p>
        </w:tc>
        <w:tc>
          <w:tcPr>
            <w:tcW w:w="2353" w:type="dxa"/>
          </w:tcPr>
          <w:p>
            <w:pPr>
              <w:pStyle w:val="TableParagraph"/>
              <w:spacing w:before="193"/>
              <w:ind w:left="113"/>
              <w:rPr>
                <w:rFonts w:ascii="微軟正黑體" w:eastAsia="微軟正黑體" w:hint="eastAsia"/>
                <w:sz w:val="24"/>
              </w:rPr>
            </w:pPr>
            <w:r>
              <w:rPr>
                <w:rFonts w:ascii="微軟正黑體" w:eastAsia="微軟正黑體" w:hint="eastAsia"/>
                <w:color w:val="231F20"/>
                <w:sz w:val="24"/>
              </w:rPr>
              <w:t>皆有可能發生</w:t>
            </w:r>
          </w:p>
        </w:tc>
        <w:tc>
          <w:tcPr>
            <w:tcW w:w="3664" w:type="dxa"/>
            <w:vMerge w:val="restart"/>
          </w:tcPr>
          <w:p>
            <w:pPr>
              <w:pStyle w:val="TableParagraph"/>
              <w:rPr>
                <w:sz w:val="32"/>
              </w:rPr>
            </w:pPr>
          </w:p>
          <w:p>
            <w:pPr>
              <w:pStyle w:val="TableParagraph"/>
              <w:spacing w:before="2"/>
              <w:rPr>
                <w:sz w:val="23"/>
              </w:rPr>
            </w:pPr>
          </w:p>
          <w:p>
            <w:pPr>
              <w:pStyle w:val="TableParagraph"/>
              <w:numPr>
                <w:ilvl w:val="0"/>
                <w:numId w:val="89"/>
              </w:numPr>
              <w:tabs>
                <w:tab w:pos="357" w:val="left" w:leader="none"/>
              </w:tabs>
              <w:spacing w:line="421"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暫停用藥</w:t>
            </w:r>
          </w:p>
          <w:p>
            <w:pPr>
              <w:pStyle w:val="TableParagraph"/>
              <w:numPr>
                <w:ilvl w:val="0"/>
                <w:numId w:val="89"/>
              </w:numPr>
              <w:tabs>
                <w:tab w:pos="357" w:val="left" w:leader="none"/>
              </w:tabs>
              <w:spacing w:line="218" w:lineRule="auto" w:before="8" w:after="0"/>
              <w:ind w:left="356" w:right="92" w:hanging="244"/>
              <w:jc w:val="left"/>
              <w:rPr>
                <w:rFonts w:ascii="微軟正黑體" w:hAnsi="微軟正黑體" w:eastAsia="微軟正黑體" w:hint="eastAsia"/>
                <w:sz w:val="24"/>
              </w:rPr>
            </w:pPr>
            <w:r>
              <w:rPr>
                <w:rFonts w:ascii="微軟正黑體" w:hAnsi="微軟正黑體" w:eastAsia="微軟正黑體" w:hint="eastAsia"/>
                <w:color w:val="231F20"/>
                <w:spacing w:val="4"/>
                <w:sz w:val="24"/>
              </w:rPr>
              <w:t>通知醫院結核病個管師及診療</w:t>
            </w:r>
            <w:r>
              <w:rPr>
                <w:rFonts w:ascii="微軟正黑體" w:hAnsi="微軟正黑體" w:eastAsia="微軟正黑體" w:hint="eastAsia"/>
                <w:color w:val="231F20"/>
                <w:sz w:val="24"/>
              </w:rPr>
              <w:t>醫師</w:t>
            </w:r>
          </w:p>
          <w:p>
            <w:pPr>
              <w:pStyle w:val="TableParagraph"/>
              <w:numPr>
                <w:ilvl w:val="0"/>
                <w:numId w:val="89"/>
              </w:numPr>
              <w:tabs>
                <w:tab w:pos="357" w:val="left" w:leader="none"/>
              </w:tabs>
              <w:spacing w:line="389" w:lineRule="exact" w:before="0" w:after="0"/>
              <w:ind w:left="356" w:right="0" w:hanging="245"/>
              <w:jc w:val="left"/>
              <w:rPr>
                <w:rFonts w:ascii="微軟正黑體" w:hAnsi="微軟正黑體" w:eastAsia="微軟正黑體" w:hint="eastAsia"/>
                <w:sz w:val="24"/>
              </w:rPr>
            </w:pPr>
            <w:r>
              <w:rPr>
                <w:rFonts w:ascii="微軟正黑體" w:hAnsi="微軟正黑體" w:eastAsia="微軟正黑體" w:hint="eastAsia"/>
                <w:color w:val="231F20"/>
                <w:sz w:val="24"/>
              </w:rPr>
              <w:t>安排個案儘速返診</w:t>
            </w:r>
          </w:p>
          <w:p>
            <w:pPr>
              <w:pStyle w:val="TableParagraph"/>
              <w:numPr>
                <w:ilvl w:val="0"/>
                <w:numId w:val="89"/>
              </w:numPr>
              <w:tabs>
                <w:tab w:pos="357" w:val="left" w:leader="none"/>
              </w:tabs>
              <w:spacing w:line="218" w:lineRule="auto" w:before="8" w:after="0"/>
              <w:ind w:left="356" w:right="89" w:hanging="244"/>
              <w:jc w:val="left"/>
              <w:rPr>
                <w:rFonts w:ascii="微軟正黑體" w:hAnsi="微軟正黑體" w:eastAsia="微軟正黑體" w:hint="eastAsia"/>
                <w:sz w:val="24"/>
              </w:rPr>
            </w:pPr>
            <w:r>
              <w:rPr>
                <w:rFonts w:ascii="微軟正黑體" w:hAnsi="微軟正黑體" w:eastAsia="微軟正黑體" w:hint="eastAsia"/>
                <w:color w:val="231F20"/>
                <w:spacing w:val="5"/>
                <w:sz w:val="24"/>
              </w:rPr>
              <w:t>用藥期間加強監測，並做成紀</w:t>
            </w:r>
            <w:r>
              <w:rPr>
                <w:rFonts w:ascii="微軟正黑體" w:hAnsi="微軟正黑體" w:eastAsia="微軟正黑體" w:hint="eastAsia"/>
                <w:color w:val="231F20"/>
                <w:sz w:val="24"/>
              </w:rPr>
              <w:t>錄</w:t>
            </w:r>
          </w:p>
        </w:tc>
      </w:tr>
      <w:tr>
        <w:trPr>
          <w:trHeight w:val="1251" w:hRule="atLeast"/>
        </w:trPr>
        <w:tc>
          <w:tcPr>
            <w:tcW w:w="2867" w:type="dxa"/>
          </w:tcPr>
          <w:p>
            <w:pPr>
              <w:pStyle w:val="TableParagraph"/>
              <w:spacing w:line="218" w:lineRule="auto" w:before="21"/>
              <w:ind w:left="112" w:right="97"/>
              <w:jc w:val="both"/>
              <w:rPr>
                <w:rFonts w:ascii="微軟正黑體" w:eastAsia="微軟正黑體" w:hint="eastAsia"/>
                <w:sz w:val="24"/>
              </w:rPr>
            </w:pPr>
            <w:r>
              <w:rPr>
                <w:rFonts w:ascii="微軟正黑體" w:eastAsia="微軟正黑體" w:hint="eastAsia"/>
                <w:color w:val="231F20"/>
                <w:sz w:val="24"/>
              </w:rPr>
              <w:t>肝炎症狀：皮膚或眼白變黃、重覆性嘔吐、疲倦、食慾不振</w:t>
            </w:r>
          </w:p>
        </w:tc>
        <w:tc>
          <w:tcPr>
            <w:tcW w:w="2353" w:type="dxa"/>
          </w:tcPr>
          <w:p>
            <w:pPr>
              <w:pStyle w:val="TableParagraph"/>
              <w:spacing w:before="10"/>
              <w:rPr>
                <w:sz w:val="22"/>
              </w:rPr>
            </w:pPr>
          </w:p>
          <w:p>
            <w:pPr>
              <w:pStyle w:val="TableParagraph"/>
              <w:ind w:left="113"/>
              <w:rPr>
                <w:rFonts w:ascii="微軟正黑體" w:eastAsia="微軟正黑體" w:hint="eastAsia"/>
                <w:sz w:val="24"/>
              </w:rPr>
            </w:pPr>
            <w:r>
              <w:rPr>
                <w:rFonts w:ascii="微軟正黑體" w:eastAsia="微軟正黑體" w:hint="eastAsia"/>
                <w:color w:val="231F20"/>
                <w:sz w:val="24"/>
              </w:rPr>
              <w:t>INH、RMP、PZA</w:t>
            </w:r>
          </w:p>
        </w:tc>
        <w:tc>
          <w:tcPr>
            <w:tcW w:w="3664" w:type="dxa"/>
            <w:vMerge/>
            <w:tcBorders>
              <w:top w:val="nil"/>
            </w:tcBorders>
          </w:tcPr>
          <w:p>
            <w:pPr>
              <w:rPr>
                <w:sz w:val="2"/>
                <w:szCs w:val="2"/>
              </w:rPr>
            </w:pPr>
          </w:p>
        </w:tc>
      </w:tr>
      <w:tr>
        <w:trPr>
          <w:trHeight w:val="851" w:hRule="atLeast"/>
        </w:trPr>
        <w:tc>
          <w:tcPr>
            <w:tcW w:w="2867" w:type="dxa"/>
          </w:tcPr>
          <w:p>
            <w:pPr>
              <w:pStyle w:val="TableParagraph"/>
              <w:spacing w:before="193"/>
              <w:ind w:left="112"/>
              <w:rPr>
                <w:rFonts w:ascii="微軟正黑體" w:eastAsia="微軟正黑體" w:hint="eastAsia"/>
                <w:sz w:val="24"/>
              </w:rPr>
            </w:pPr>
            <w:r>
              <w:rPr>
                <w:rFonts w:ascii="微軟正黑體" w:eastAsia="微軟正黑體" w:hint="eastAsia"/>
                <w:color w:val="231F20"/>
                <w:sz w:val="24"/>
              </w:rPr>
              <w:t>嚴重貧血症狀、紫斑等</w:t>
            </w:r>
          </w:p>
        </w:tc>
        <w:tc>
          <w:tcPr>
            <w:tcW w:w="2353" w:type="dxa"/>
          </w:tcPr>
          <w:p>
            <w:pPr>
              <w:pStyle w:val="TableParagraph"/>
              <w:spacing w:line="218" w:lineRule="auto" w:before="22"/>
              <w:ind w:left="113" w:right="89"/>
              <w:rPr>
                <w:rFonts w:ascii="微軟正黑體" w:eastAsia="微軟正黑體" w:hint="eastAsia"/>
                <w:sz w:val="24"/>
              </w:rPr>
            </w:pPr>
            <w:r>
              <w:rPr>
                <w:rFonts w:ascii="微軟正黑體" w:eastAsia="微軟正黑體" w:hint="eastAsia"/>
                <w:color w:val="231F20"/>
                <w:sz w:val="24"/>
              </w:rPr>
              <w:t>Rifabutin、RMP、INH</w:t>
            </w:r>
          </w:p>
        </w:tc>
        <w:tc>
          <w:tcPr>
            <w:tcW w:w="3664" w:type="dxa"/>
            <w:vMerge/>
            <w:tcBorders>
              <w:top w:val="nil"/>
            </w:tcBorders>
          </w:tcPr>
          <w:p>
            <w:pPr>
              <w:rPr>
                <w:sz w:val="2"/>
                <w:szCs w:val="2"/>
              </w:rPr>
            </w:pPr>
          </w:p>
        </w:tc>
      </w:tr>
      <w:tr>
        <w:trPr>
          <w:trHeight w:val="451" w:hRule="atLeast"/>
        </w:trPr>
        <w:tc>
          <w:tcPr>
            <w:tcW w:w="2867" w:type="dxa"/>
          </w:tcPr>
          <w:p>
            <w:pPr>
              <w:pStyle w:val="TableParagraph"/>
              <w:spacing w:line="432" w:lineRule="exact"/>
              <w:ind w:left="112"/>
              <w:rPr>
                <w:rFonts w:ascii="微軟正黑體" w:eastAsia="微軟正黑體" w:hint="eastAsia"/>
                <w:sz w:val="24"/>
              </w:rPr>
            </w:pPr>
            <w:r>
              <w:rPr>
                <w:rFonts w:ascii="微軟正黑體" w:eastAsia="微軟正黑體" w:hint="eastAsia"/>
                <w:color w:val="231F20"/>
                <w:sz w:val="24"/>
              </w:rPr>
              <w:t>聽力受損、暈眩</w:t>
            </w:r>
          </w:p>
        </w:tc>
        <w:tc>
          <w:tcPr>
            <w:tcW w:w="2353" w:type="dxa"/>
          </w:tcPr>
          <w:p>
            <w:pPr>
              <w:pStyle w:val="TableParagraph"/>
              <w:spacing w:line="432" w:lineRule="exact"/>
              <w:ind w:left="113"/>
              <w:rPr>
                <w:rFonts w:ascii="微軟正黑體"/>
                <w:sz w:val="24"/>
              </w:rPr>
            </w:pPr>
            <w:r>
              <w:rPr>
                <w:rFonts w:ascii="微軟正黑體"/>
                <w:color w:val="231F20"/>
                <w:sz w:val="24"/>
              </w:rPr>
              <w:t>SM</w:t>
            </w:r>
          </w:p>
        </w:tc>
        <w:tc>
          <w:tcPr>
            <w:tcW w:w="3664" w:type="dxa"/>
            <w:vMerge/>
            <w:tcBorders>
              <w:top w:val="nil"/>
            </w:tcBorders>
          </w:tcPr>
          <w:p>
            <w:pPr>
              <w:rPr>
                <w:sz w:val="2"/>
                <w:szCs w:val="2"/>
              </w:rPr>
            </w:pPr>
          </w:p>
        </w:tc>
      </w:tr>
      <w:tr>
        <w:trPr>
          <w:trHeight w:val="451" w:hRule="atLeast"/>
        </w:trPr>
        <w:tc>
          <w:tcPr>
            <w:tcW w:w="2867" w:type="dxa"/>
          </w:tcPr>
          <w:p>
            <w:pPr>
              <w:pStyle w:val="TableParagraph"/>
              <w:spacing w:line="432" w:lineRule="exact"/>
              <w:ind w:left="112"/>
              <w:rPr>
                <w:rFonts w:ascii="微軟正黑體" w:eastAsia="微軟正黑體" w:hint="eastAsia"/>
                <w:sz w:val="24"/>
              </w:rPr>
            </w:pPr>
            <w:r>
              <w:rPr>
                <w:rFonts w:ascii="微軟正黑體" w:eastAsia="微軟正黑體" w:hint="eastAsia"/>
                <w:color w:val="231F20"/>
                <w:sz w:val="24"/>
              </w:rPr>
              <w:t>視力惡化</w:t>
            </w:r>
          </w:p>
        </w:tc>
        <w:tc>
          <w:tcPr>
            <w:tcW w:w="2353" w:type="dxa"/>
          </w:tcPr>
          <w:p>
            <w:pPr>
              <w:pStyle w:val="TableParagraph"/>
              <w:spacing w:line="432" w:lineRule="exact"/>
              <w:ind w:left="113"/>
              <w:rPr>
                <w:rFonts w:ascii="微軟正黑體"/>
                <w:sz w:val="24"/>
              </w:rPr>
            </w:pPr>
            <w:r>
              <w:rPr>
                <w:rFonts w:ascii="微軟正黑體"/>
                <w:color w:val="231F20"/>
                <w:sz w:val="24"/>
              </w:rPr>
              <w:t>EMB</w:t>
            </w:r>
          </w:p>
        </w:tc>
        <w:tc>
          <w:tcPr>
            <w:tcW w:w="3664" w:type="dxa"/>
            <w:vMerge/>
            <w:tcBorders>
              <w:top w:val="nil"/>
            </w:tcBorders>
          </w:tcPr>
          <w:p>
            <w:pPr>
              <w:rPr>
                <w:sz w:val="2"/>
                <w:szCs w:val="2"/>
              </w:rPr>
            </w:pPr>
          </w:p>
        </w:tc>
      </w:tr>
      <w:tr>
        <w:trPr>
          <w:trHeight w:val="451" w:hRule="atLeast"/>
        </w:trPr>
        <w:tc>
          <w:tcPr>
            <w:tcW w:w="2867" w:type="dxa"/>
          </w:tcPr>
          <w:p>
            <w:pPr>
              <w:pStyle w:val="TableParagraph"/>
              <w:spacing w:line="432" w:lineRule="exact"/>
              <w:ind w:left="112"/>
              <w:rPr>
                <w:rFonts w:ascii="微軟正黑體" w:eastAsia="微軟正黑體" w:hint="eastAsia"/>
                <w:sz w:val="24"/>
              </w:rPr>
            </w:pPr>
            <w:r>
              <w:rPr>
                <w:rFonts w:ascii="微軟正黑體" w:eastAsia="微軟正黑體" w:hint="eastAsia"/>
                <w:color w:val="231F20"/>
                <w:sz w:val="24"/>
              </w:rPr>
              <w:t>無法緩解之痛風症狀</w:t>
            </w:r>
          </w:p>
        </w:tc>
        <w:tc>
          <w:tcPr>
            <w:tcW w:w="2353" w:type="dxa"/>
          </w:tcPr>
          <w:p>
            <w:pPr>
              <w:pStyle w:val="TableParagraph"/>
              <w:spacing w:line="432" w:lineRule="exact"/>
              <w:ind w:left="113"/>
              <w:rPr>
                <w:rFonts w:ascii="微軟正黑體"/>
                <w:sz w:val="24"/>
              </w:rPr>
            </w:pPr>
            <w:r>
              <w:rPr>
                <w:rFonts w:ascii="微軟正黑體"/>
                <w:color w:val="231F20"/>
                <w:sz w:val="24"/>
              </w:rPr>
              <w:t>PZA</w:t>
            </w:r>
          </w:p>
        </w:tc>
        <w:tc>
          <w:tcPr>
            <w:tcW w:w="3664" w:type="dxa"/>
            <w:vMerge/>
            <w:tcBorders>
              <w:top w:val="nil"/>
            </w:tcBorders>
          </w:tcPr>
          <w:p>
            <w:pPr>
              <w:rPr>
                <w:sz w:val="2"/>
                <w:szCs w:val="2"/>
              </w:rPr>
            </w:pPr>
          </w:p>
        </w:tc>
      </w:tr>
    </w:tbl>
    <w:p>
      <w:pPr>
        <w:pStyle w:val="BodyText"/>
        <w:spacing w:line="385" w:lineRule="exact"/>
        <w:ind w:left="879"/>
        <w:rPr>
          <w:rFonts w:ascii="微軟正黑體" w:eastAsia="微軟正黑體" w:hint="eastAsia"/>
        </w:rPr>
      </w:pPr>
      <w:r>
        <w:rPr/>
        <w:pict>
          <v:group style="position:absolute;margin-left:557.923828pt;margin-top:-509.274994pt;width:37.4pt;height:663.85pt;mso-position-horizontal-relative:page;mso-position-vertical-relative:paragraph;z-index:251763712" coordorigin="11158,-10185" coordsize="748,13277">
            <v:shape style="position:absolute;left:11288;top:-9674;width:439;height:12765" type="#_x0000_t75" stroked="false">
              <v:imagedata r:id="rId69" o:title=""/>
            </v:shape>
            <v:shape style="position:absolute;left:11158;top:-10186;width:748;height:812" coordorigin="11158,-10185" coordsize="748,812" path="m11906,-10185l11541,-10185,11518,-10183,11458,-10149,11193,-9867,11158,-9780,11167,-9733,11458,-9410,11518,-9376,11541,-9374,11906,-9374,11906,-10185xe" filled="true" fillcolor="#7c8ac4" stroked="false">
              <v:path arrowok="t"/>
              <v:fill type="solid"/>
            </v:shape>
            <v:shape style="position:absolute;left:11312;top:-9919;width:394;height:278" type="#_x0000_t75" stroked="false">
              <v:imagedata r:id="rId70" o:title=""/>
            </v:shape>
            <v:shape style="position:absolute;left:11383;top:-9239;width:249;height:2258" type="#_x0000_t75" stroked="false">
              <v:imagedata r:id="rId71" o:title=""/>
            </v:shape>
            <v:shape style="position:absolute;left:11417;top:2528;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51</w:t>
                    </w:r>
                  </w:p>
                </w:txbxContent>
              </v:textbox>
              <w10:wrap type="none"/>
            </v:shape>
            <w10:wrap type="none"/>
          </v:group>
        </w:pict>
      </w:r>
      <w:r>
        <w:rPr>
          <w:rFonts w:ascii="微軟正黑體" w:eastAsia="微軟正黑體" w:hint="eastAsia"/>
          <w:color w:val="231F20"/>
        </w:rPr>
        <w:t>詳細內容請參閱「結核病診治指引」。</w:t>
      </w:r>
    </w:p>
    <w:p>
      <w:pPr>
        <w:spacing w:after="0" w:line="385" w:lineRule="exact"/>
        <w:rPr>
          <w:rFonts w:ascii="微軟正黑體" w:eastAsia="微軟正黑體" w:hint="eastAsia"/>
        </w:rPr>
        <w:sectPr>
          <w:pgSz w:w="11910" w:h="16840"/>
          <w:pgMar w:top="1180" w:bottom="0" w:left="980" w:right="1"/>
        </w:sectPr>
      </w:pPr>
    </w:p>
    <w:p>
      <w:pPr>
        <w:pStyle w:val="BodyText"/>
        <w:spacing w:before="59"/>
        <w:ind w:left="878"/>
      </w:pPr>
      <w:r>
        <w:rPr/>
        <w:pict>
          <v:group style="position:absolute;margin-left:-.000001pt;margin-top:178.154007pt;width:37.35pt;height:663.55pt;mso-position-horizontal-relative:page;mso-position-vertical-relative:page;z-index:251765760"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72"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52</w:t>
                    </w:r>
                  </w:p>
                </w:txbxContent>
              </v:textbox>
              <w10:wrap type="none"/>
            </v:shape>
            <w10:wrap type="none"/>
          </v:group>
        </w:pict>
      </w:r>
      <w:r>
        <w:rPr/>
        <w:pict>
          <v:shape style="position:absolute;margin-left:92.935501pt;margin-top:21.48588pt;width:445.1pt;height:531pt;mso-position-horizontal-relative:page;mso-position-vertical-relative:paragraph;z-index:251766784"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3688"/>
                    <w:gridCol w:w="2777"/>
                    <w:gridCol w:w="2416"/>
                  </w:tblGrid>
                  <w:tr>
                    <w:trPr>
                      <w:trHeight w:val="451" w:hRule="atLeast"/>
                    </w:trPr>
                    <w:tc>
                      <w:tcPr>
                        <w:tcW w:w="8881" w:type="dxa"/>
                        <w:gridSpan w:val="3"/>
                        <w:shd w:val="clear" w:color="auto" w:fill="D1D3D4"/>
                      </w:tcPr>
                      <w:p>
                        <w:pPr>
                          <w:pStyle w:val="TableParagraph"/>
                          <w:spacing w:line="431" w:lineRule="exact"/>
                          <w:ind w:left="2739" w:right="2726"/>
                          <w:jc w:val="center"/>
                          <w:rPr>
                            <w:rFonts w:ascii="微軟正黑體" w:eastAsia="微軟正黑體" w:hint="eastAsia"/>
                            <w:b/>
                            <w:sz w:val="24"/>
                          </w:rPr>
                        </w:pPr>
                        <w:r>
                          <w:rPr>
                            <w:rFonts w:ascii="微軟正黑體" w:eastAsia="微軟正黑體" w:hint="eastAsia"/>
                            <w:b/>
                            <w:color w:val="231F20"/>
                            <w:sz w:val="24"/>
                          </w:rPr>
                          <w:t>痰液送驗原則</w:t>
                        </w:r>
                      </w:p>
                    </w:tc>
                  </w:tr>
                  <w:tr>
                    <w:trPr>
                      <w:trHeight w:val="851" w:hRule="atLeast"/>
                    </w:trPr>
                    <w:tc>
                      <w:tcPr>
                        <w:tcW w:w="6465" w:type="dxa"/>
                        <w:gridSpan w:val="2"/>
                        <w:shd w:val="clear" w:color="auto" w:fill="E6E7E8"/>
                      </w:tcPr>
                      <w:p>
                        <w:pPr>
                          <w:pStyle w:val="TableParagraph"/>
                          <w:spacing w:line="409" w:lineRule="exact" w:before="31"/>
                          <w:ind w:left="572" w:right="559"/>
                          <w:jc w:val="center"/>
                          <w:rPr>
                            <w:sz w:val="24"/>
                          </w:rPr>
                        </w:pPr>
                        <w:r>
                          <w:rPr>
                            <w:color w:val="231F20"/>
                            <w:sz w:val="24"/>
                          </w:rPr>
                          <w:t>肺結核</w:t>
                        </w:r>
                      </w:p>
                      <w:p>
                        <w:pPr>
                          <w:pStyle w:val="TableParagraph"/>
                          <w:spacing w:line="391" w:lineRule="exact"/>
                          <w:ind w:left="572" w:right="559"/>
                          <w:jc w:val="center"/>
                          <w:rPr>
                            <w:sz w:val="24"/>
                          </w:rPr>
                        </w:pPr>
                        <w:r>
                          <w:rPr>
                            <w:color w:val="231F20"/>
                            <w:w w:val="105"/>
                            <w:sz w:val="24"/>
                          </w:rPr>
                          <w:t>(所有肺結核初痰二套 追蹤複查＿套，至多—套)</w:t>
                        </w:r>
                      </w:p>
                    </w:tc>
                    <w:tc>
                      <w:tcPr>
                        <w:tcW w:w="2416" w:type="dxa"/>
                        <w:vMerge w:val="restart"/>
                        <w:shd w:val="clear" w:color="auto" w:fill="E6E7E8"/>
                      </w:tcPr>
                      <w:p>
                        <w:pPr>
                          <w:pStyle w:val="TableParagraph"/>
                          <w:spacing w:before="12"/>
                          <w:rPr>
                            <w:sz w:val="26"/>
                          </w:rPr>
                        </w:pPr>
                      </w:p>
                      <w:p>
                        <w:pPr>
                          <w:pStyle w:val="TableParagraph"/>
                          <w:ind w:left="487"/>
                          <w:rPr>
                            <w:sz w:val="24"/>
                          </w:rPr>
                        </w:pPr>
                        <w:r>
                          <w:rPr>
                            <w:color w:val="231F20"/>
                            <w:sz w:val="24"/>
                          </w:rPr>
                          <w:t>單純肺外結核</w:t>
                        </w:r>
                      </w:p>
                    </w:tc>
                  </w:tr>
                  <w:tr>
                    <w:trPr>
                      <w:trHeight w:val="451" w:hRule="atLeast"/>
                    </w:trPr>
                    <w:tc>
                      <w:tcPr>
                        <w:tcW w:w="3688" w:type="dxa"/>
                        <w:shd w:val="clear" w:color="auto" w:fill="E6E7E8"/>
                      </w:tcPr>
                      <w:p>
                        <w:pPr>
                          <w:pStyle w:val="TableParagraph"/>
                          <w:spacing w:line="400" w:lineRule="exact" w:before="31"/>
                          <w:ind w:left="1343" w:right="1330"/>
                          <w:jc w:val="center"/>
                          <w:rPr>
                            <w:sz w:val="24"/>
                          </w:rPr>
                        </w:pPr>
                        <w:r>
                          <w:rPr>
                            <w:color w:val="231F20"/>
                            <w:sz w:val="24"/>
                          </w:rPr>
                          <w:t>初查痰陽</w:t>
                        </w:r>
                      </w:p>
                    </w:tc>
                    <w:tc>
                      <w:tcPr>
                        <w:tcW w:w="2777" w:type="dxa"/>
                        <w:shd w:val="clear" w:color="auto" w:fill="E6E7E8"/>
                      </w:tcPr>
                      <w:p>
                        <w:pPr>
                          <w:pStyle w:val="TableParagraph"/>
                          <w:spacing w:line="400" w:lineRule="exact" w:before="31"/>
                          <w:ind w:left="907"/>
                          <w:rPr>
                            <w:sz w:val="24"/>
                          </w:rPr>
                        </w:pPr>
                        <w:r>
                          <w:rPr>
                            <w:color w:val="231F20"/>
                            <w:sz w:val="24"/>
                          </w:rPr>
                          <w:t>初查痰陰</w:t>
                        </w:r>
                      </w:p>
                    </w:tc>
                    <w:tc>
                      <w:tcPr>
                        <w:tcW w:w="2416" w:type="dxa"/>
                        <w:vMerge/>
                        <w:tcBorders>
                          <w:top w:val="nil"/>
                        </w:tcBorders>
                        <w:shd w:val="clear" w:color="auto" w:fill="E6E7E8"/>
                      </w:tcPr>
                      <w:p>
                        <w:pPr>
                          <w:rPr>
                            <w:sz w:val="2"/>
                            <w:szCs w:val="2"/>
                          </w:rPr>
                        </w:pPr>
                      </w:p>
                    </w:tc>
                  </w:tr>
                  <w:tr>
                    <w:trPr>
                      <w:trHeight w:val="4058" w:hRule="atLeast"/>
                    </w:trPr>
                    <w:tc>
                      <w:tcPr>
                        <w:tcW w:w="3688" w:type="dxa"/>
                      </w:tcPr>
                      <w:p>
                        <w:pPr>
                          <w:pStyle w:val="TableParagraph"/>
                          <w:numPr>
                            <w:ilvl w:val="0"/>
                            <w:numId w:val="90"/>
                          </w:numPr>
                          <w:tabs>
                            <w:tab w:pos="357" w:val="left" w:leader="none"/>
                          </w:tabs>
                          <w:spacing w:line="230" w:lineRule="auto" w:before="47" w:after="0"/>
                          <w:ind w:left="356" w:right="86" w:hanging="244"/>
                          <w:jc w:val="both"/>
                          <w:rPr>
                            <w:sz w:val="24"/>
                          </w:rPr>
                        </w:pPr>
                        <w:r>
                          <w:rPr>
                            <w:color w:val="231F20"/>
                            <w:spacing w:val="6"/>
                            <w:sz w:val="24"/>
                          </w:rPr>
                          <w:t>塗陽或培養鑑定為 </w:t>
                        </w:r>
                        <w:r>
                          <w:rPr>
                            <w:color w:val="231F20"/>
                            <w:sz w:val="24"/>
                          </w:rPr>
                          <w:t>MTBC，應每月留痰至培養陰轉</w:t>
                        </w:r>
                      </w:p>
                      <w:p>
                        <w:pPr>
                          <w:pStyle w:val="TableParagraph"/>
                          <w:numPr>
                            <w:ilvl w:val="0"/>
                            <w:numId w:val="90"/>
                          </w:numPr>
                          <w:tabs>
                            <w:tab w:pos="357" w:val="left" w:leader="none"/>
                          </w:tabs>
                          <w:spacing w:line="230" w:lineRule="auto" w:before="0" w:after="0"/>
                          <w:ind w:left="356" w:right="88" w:hanging="244"/>
                          <w:jc w:val="both"/>
                          <w:rPr>
                            <w:sz w:val="24"/>
                          </w:rPr>
                        </w:pPr>
                        <w:r>
                          <w:rPr>
                            <w:color w:val="231F20"/>
                            <w:spacing w:val="3"/>
                            <w:sz w:val="24"/>
                          </w:rPr>
                          <w:t>治療滿 </w:t>
                        </w:r>
                        <w:r>
                          <w:rPr>
                            <w:color w:val="231F20"/>
                            <w:sz w:val="24"/>
                          </w:rPr>
                          <w:t>2</w:t>
                        </w:r>
                        <w:r>
                          <w:rPr>
                            <w:color w:val="231F20"/>
                            <w:spacing w:val="3"/>
                            <w:sz w:val="24"/>
                          </w:rPr>
                          <w:t> 個月應留痰，評估治</w:t>
                        </w:r>
                        <w:r>
                          <w:rPr>
                            <w:color w:val="231F20"/>
                            <w:sz w:val="24"/>
                          </w:rPr>
                          <w:t>療成效</w:t>
                        </w:r>
                      </w:p>
                      <w:p>
                        <w:pPr>
                          <w:pStyle w:val="TableParagraph"/>
                          <w:numPr>
                            <w:ilvl w:val="0"/>
                            <w:numId w:val="90"/>
                          </w:numPr>
                          <w:tabs>
                            <w:tab w:pos="357" w:val="left" w:leader="none"/>
                          </w:tabs>
                          <w:spacing w:line="230" w:lineRule="auto" w:before="0" w:after="0"/>
                          <w:ind w:left="356" w:right="89" w:hanging="244"/>
                          <w:jc w:val="both"/>
                          <w:rPr>
                            <w:sz w:val="24"/>
                          </w:rPr>
                        </w:pPr>
                        <w:r>
                          <w:rPr>
                            <w:color w:val="231F20"/>
                            <w:spacing w:val="6"/>
                            <w:w w:val="105"/>
                            <w:sz w:val="24"/>
                          </w:rPr>
                          <w:t>藥物治療中斷者(服藥順從性</w:t>
                        </w:r>
                        <w:r>
                          <w:rPr>
                            <w:color w:val="231F20"/>
                            <w:spacing w:val="8"/>
                            <w:w w:val="105"/>
                            <w:sz w:val="24"/>
                          </w:rPr>
                          <w:t>不佳、副作用等)，應於第 </w:t>
                        </w:r>
                        <w:r>
                          <w:rPr>
                            <w:color w:val="231F20"/>
                            <w:w w:val="105"/>
                            <w:sz w:val="24"/>
                          </w:rPr>
                          <w:t>5 </w:t>
                        </w:r>
                        <w:r>
                          <w:rPr>
                            <w:color w:val="231F20"/>
                            <w:sz w:val="24"/>
                          </w:rPr>
                          <w:t>個月留痰，釐清是否治療失敗</w:t>
                        </w:r>
                      </w:p>
                      <w:p>
                        <w:pPr>
                          <w:pStyle w:val="TableParagraph"/>
                          <w:numPr>
                            <w:ilvl w:val="0"/>
                            <w:numId w:val="90"/>
                          </w:numPr>
                          <w:tabs>
                            <w:tab w:pos="357" w:val="left" w:leader="none"/>
                          </w:tabs>
                          <w:spacing w:line="230" w:lineRule="auto" w:before="0" w:after="0"/>
                          <w:ind w:left="356" w:right="89" w:hanging="244"/>
                          <w:jc w:val="both"/>
                          <w:rPr>
                            <w:sz w:val="24"/>
                          </w:rPr>
                        </w:pPr>
                        <w:r>
                          <w:rPr>
                            <w:color w:val="231F20"/>
                            <w:spacing w:val="5"/>
                            <w:w w:val="105"/>
                            <w:sz w:val="24"/>
                          </w:rPr>
                          <w:t>完治時(結束治療日回溯推算</w:t>
                        </w:r>
                        <w:r>
                          <w:rPr>
                            <w:color w:val="231F20"/>
                            <w:w w:val="105"/>
                            <w:sz w:val="24"/>
                          </w:rPr>
                          <w:t>30 日期間，不含結束治療日)</w:t>
                        </w:r>
                      </w:p>
                      <w:p>
                        <w:pPr>
                          <w:pStyle w:val="TableParagraph"/>
                          <w:spacing w:line="390" w:lineRule="exact"/>
                          <w:ind w:left="356"/>
                          <w:rPr>
                            <w:sz w:val="24"/>
                          </w:rPr>
                        </w:pPr>
                        <w:r>
                          <w:rPr>
                            <w:color w:val="231F20"/>
                            <w:sz w:val="24"/>
                          </w:rPr>
                          <w:t>留痰，瞭解治療結果</w:t>
                        </w:r>
                      </w:p>
                    </w:tc>
                    <w:tc>
                      <w:tcPr>
                        <w:tcW w:w="2777" w:type="dxa"/>
                      </w:tcPr>
                      <w:p>
                        <w:pPr>
                          <w:pStyle w:val="TableParagraph"/>
                          <w:rPr>
                            <w:sz w:val="32"/>
                          </w:rPr>
                        </w:pPr>
                      </w:p>
                      <w:p>
                        <w:pPr>
                          <w:pStyle w:val="TableParagraph"/>
                          <w:rPr>
                            <w:sz w:val="32"/>
                          </w:rPr>
                        </w:pPr>
                      </w:p>
                      <w:p>
                        <w:pPr>
                          <w:pStyle w:val="TableParagraph"/>
                          <w:spacing w:before="10"/>
                          <w:rPr>
                            <w:sz w:val="30"/>
                          </w:rPr>
                        </w:pPr>
                      </w:p>
                      <w:p>
                        <w:pPr>
                          <w:pStyle w:val="TableParagraph"/>
                          <w:spacing w:line="230" w:lineRule="auto"/>
                          <w:ind w:left="112" w:right="80"/>
                          <w:rPr>
                            <w:sz w:val="24"/>
                          </w:rPr>
                        </w:pPr>
                        <w:r>
                          <w:rPr>
                            <w:color w:val="231F20"/>
                            <w:sz w:val="24"/>
                          </w:rPr>
                          <w:t>驗痰頻率由診療醫師依治療反應決定</w:t>
                        </w:r>
                      </w:p>
                    </w:tc>
                    <w:tc>
                      <w:tcPr>
                        <w:tcW w:w="2416" w:type="dxa"/>
                      </w:tcPr>
                      <w:p>
                        <w:pPr>
                          <w:pStyle w:val="TableParagraph"/>
                          <w:numPr>
                            <w:ilvl w:val="0"/>
                            <w:numId w:val="91"/>
                          </w:numPr>
                          <w:tabs>
                            <w:tab w:pos="357" w:val="left" w:leader="none"/>
                          </w:tabs>
                          <w:spacing w:line="230" w:lineRule="auto" w:before="247" w:after="0"/>
                          <w:ind w:left="356" w:right="94" w:hanging="244"/>
                          <w:jc w:val="both"/>
                          <w:rPr>
                            <w:sz w:val="24"/>
                          </w:rPr>
                        </w:pPr>
                        <w:r>
                          <w:rPr>
                            <w:color w:val="231F20"/>
                            <w:spacing w:val="11"/>
                            <w:sz w:val="24"/>
                          </w:rPr>
                          <w:t>應進行胸部</w:t>
                        </w:r>
                        <w:r>
                          <w:rPr>
                            <w:color w:val="231F20"/>
                            <w:sz w:val="24"/>
                          </w:rPr>
                          <w:t>X</w:t>
                        </w:r>
                        <w:r>
                          <w:rPr>
                            <w:color w:val="231F20"/>
                            <w:spacing w:val="-10"/>
                            <w:sz w:val="24"/>
                          </w:rPr>
                          <w:t> 光， </w:t>
                        </w:r>
                        <w:r>
                          <w:rPr>
                            <w:color w:val="231F20"/>
                            <w:spacing w:val="1"/>
                            <w:sz w:val="24"/>
                          </w:rPr>
                          <w:t>釐清是否合併罹患</w:t>
                        </w:r>
                        <w:r>
                          <w:rPr>
                            <w:color w:val="231F20"/>
                            <w:sz w:val="24"/>
                          </w:rPr>
                          <w:t>肺結核</w:t>
                        </w:r>
                      </w:p>
                      <w:p>
                        <w:pPr>
                          <w:pStyle w:val="TableParagraph"/>
                          <w:numPr>
                            <w:ilvl w:val="0"/>
                            <w:numId w:val="91"/>
                          </w:numPr>
                          <w:tabs>
                            <w:tab w:pos="357" w:val="left" w:leader="none"/>
                          </w:tabs>
                          <w:spacing w:line="230" w:lineRule="auto" w:before="0" w:after="0"/>
                          <w:ind w:left="356" w:right="93" w:hanging="244"/>
                          <w:jc w:val="both"/>
                          <w:rPr>
                            <w:sz w:val="24"/>
                          </w:rPr>
                        </w:pPr>
                        <w:r>
                          <w:rPr>
                            <w:color w:val="231F20"/>
                            <w:spacing w:val="28"/>
                            <w:sz w:val="24"/>
                          </w:rPr>
                          <w:t>胸部</w:t>
                        </w:r>
                        <w:r>
                          <w:rPr>
                            <w:color w:val="231F20"/>
                            <w:sz w:val="24"/>
                          </w:rPr>
                          <w:t>X</w:t>
                        </w:r>
                        <w:r>
                          <w:rPr>
                            <w:color w:val="231F20"/>
                            <w:spacing w:val="-6"/>
                            <w:sz w:val="24"/>
                          </w:rPr>
                          <w:t> 光異常或有</w:t>
                        </w:r>
                        <w:r>
                          <w:rPr>
                            <w:color w:val="231F20"/>
                            <w:spacing w:val="1"/>
                            <w:sz w:val="24"/>
                          </w:rPr>
                          <w:t>呼吸道症狀者，應</w:t>
                        </w:r>
                        <w:r>
                          <w:rPr>
                            <w:color w:val="231F20"/>
                            <w:sz w:val="24"/>
                          </w:rPr>
                          <w:t>積極驗痰</w:t>
                        </w:r>
                      </w:p>
                      <w:p>
                        <w:pPr>
                          <w:pStyle w:val="TableParagraph"/>
                          <w:numPr>
                            <w:ilvl w:val="0"/>
                            <w:numId w:val="91"/>
                          </w:numPr>
                          <w:tabs>
                            <w:tab w:pos="357" w:val="left" w:leader="none"/>
                          </w:tabs>
                          <w:spacing w:line="230" w:lineRule="auto" w:before="0" w:after="0"/>
                          <w:ind w:left="356" w:right="52" w:hanging="244"/>
                          <w:jc w:val="both"/>
                          <w:rPr>
                            <w:sz w:val="24"/>
                          </w:rPr>
                        </w:pPr>
                        <w:r>
                          <w:rPr>
                            <w:color w:val="231F20"/>
                            <w:spacing w:val="37"/>
                            <w:sz w:val="24"/>
                          </w:rPr>
                          <w:t>如為疑似單純肺</w:t>
                        </w:r>
                        <w:r>
                          <w:rPr>
                            <w:color w:val="231F20"/>
                            <w:spacing w:val="6"/>
                            <w:sz w:val="24"/>
                          </w:rPr>
                          <w:t>外，驗痰頻率依診</w:t>
                        </w:r>
                        <w:r>
                          <w:rPr>
                            <w:color w:val="231F20"/>
                            <w:sz w:val="24"/>
                          </w:rPr>
                          <w:t>療醫師視病況而定</w:t>
                        </w:r>
                      </w:p>
                    </w:tc>
                  </w:tr>
                  <w:tr>
                    <w:trPr>
                      <w:trHeight w:val="451" w:hRule="atLeast"/>
                    </w:trPr>
                    <w:tc>
                      <w:tcPr>
                        <w:tcW w:w="8881" w:type="dxa"/>
                        <w:gridSpan w:val="3"/>
                        <w:shd w:val="clear" w:color="auto" w:fill="D1D3D4"/>
                      </w:tcPr>
                      <w:p>
                        <w:pPr>
                          <w:pStyle w:val="TableParagraph"/>
                          <w:spacing w:line="400" w:lineRule="exact" w:before="31"/>
                          <w:ind w:left="2739" w:right="2726"/>
                          <w:jc w:val="center"/>
                          <w:rPr>
                            <w:sz w:val="24"/>
                          </w:rPr>
                        </w:pPr>
                        <w:r>
                          <w:rPr>
                            <w:color w:val="231F20"/>
                            <w:sz w:val="24"/>
                          </w:rPr>
                          <w:t>胸部 X 光追蹤原則</w:t>
                        </w:r>
                      </w:p>
                    </w:tc>
                  </w:tr>
                  <w:tr>
                    <w:trPr>
                      <w:trHeight w:val="451" w:hRule="atLeast"/>
                    </w:trPr>
                    <w:tc>
                      <w:tcPr>
                        <w:tcW w:w="8881" w:type="dxa"/>
                        <w:gridSpan w:val="3"/>
                      </w:tcPr>
                      <w:p>
                        <w:pPr>
                          <w:pStyle w:val="TableParagraph"/>
                          <w:spacing w:line="400" w:lineRule="exact" w:before="31"/>
                          <w:ind w:left="2739" w:right="2726"/>
                          <w:jc w:val="center"/>
                          <w:rPr>
                            <w:sz w:val="24"/>
                          </w:rPr>
                        </w:pPr>
                        <w:r>
                          <w:rPr>
                            <w:color w:val="231F20"/>
                            <w:sz w:val="24"/>
                          </w:rPr>
                          <w:t>治療前、治療後 1-2 月及完治時</w:t>
                        </w:r>
                      </w:p>
                    </w:tc>
                  </w:tr>
                  <w:tr>
                    <w:trPr>
                      <w:trHeight w:val="451" w:hRule="atLeast"/>
                    </w:trPr>
                    <w:tc>
                      <w:tcPr>
                        <w:tcW w:w="8881" w:type="dxa"/>
                        <w:gridSpan w:val="3"/>
                        <w:shd w:val="clear" w:color="auto" w:fill="D1D3D4"/>
                      </w:tcPr>
                      <w:p>
                        <w:pPr>
                          <w:pStyle w:val="TableParagraph"/>
                          <w:spacing w:line="400" w:lineRule="exact" w:before="31"/>
                          <w:ind w:left="2739" w:right="2726"/>
                          <w:jc w:val="center"/>
                          <w:rPr>
                            <w:sz w:val="24"/>
                          </w:rPr>
                        </w:pPr>
                        <w:r>
                          <w:rPr>
                            <w:color w:val="231F20"/>
                            <w:sz w:val="24"/>
                          </w:rPr>
                          <w:t>其他檢查項目</w:t>
                        </w:r>
                      </w:p>
                    </w:tc>
                  </w:tr>
                  <w:tr>
                    <w:trPr>
                      <w:trHeight w:val="451" w:hRule="atLeast"/>
                    </w:trPr>
                    <w:tc>
                      <w:tcPr>
                        <w:tcW w:w="8881" w:type="dxa"/>
                        <w:gridSpan w:val="3"/>
                        <w:shd w:val="clear" w:color="auto" w:fill="E6E7E8"/>
                      </w:tcPr>
                      <w:p>
                        <w:pPr>
                          <w:pStyle w:val="TableParagraph"/>
                          <w:tabs>
                            <w:tab w:pos="4715" w:val="left" w:leader="none"/>
                            <w:tab w:pos="7071" w:val="left" w:leader="none"/>
                          </w:tabs>
                          <w:spacing w:line="400" w:lineRule="exact" w:before="31"/>
                          <w:ind w:left="1483"/>
                          <w:rPr>
                            <w:sz w:val="24"/>
                          </w:rPr>
                        </w:pPr>
                        <w:r>
                          <w:rPr>
                            <w:color w:val="231F20"/>
                            <w:sz w:val="24"/>
                          </w:rPr>
                          <w:t>治療前</w:t>
                          <w:tab/>
                          <w:t>治療中</w:t>
                          <w:tab/>
                          <w:t>完成治療後</w:t>
                        </w:r>
                      </w:p>
                    </w:tc>
                  </w:tr>
                  <w:tr>
                    <w:trPr>
                      <w:trHeight w:val="2850" w:hRule="atLeast"/>
                    </w:trPr>
                    <w:tc>
                      <w:tcPr>
                        <w:tcW w:w="3688" w:type="dxa"/>
                      </w:tcPr>
                      <w:p>
                        <w:pPr>
                          <w:pStyle w:val="TableParagraph"/>
                          <w:numPr>
                            <w:ilvl w:val="0"/>
                            <w:numId w:val="92"/>
                          </w:numPr>
                          <w:tabs>
                            <w:tab w:pos="357" w:val="left" w:leader="none"/>
                          </w:tabs>
                          <w:spacing w:line="409" w:lineRule="exact" w:before="31" w:after="0"/>
                          <w:ind w:left="356" w:right="0" w:hanging="245"/>
                          <w:jc w:val="left"/>
                          <w:rPr>
                            <w:sz w:val="24"/>
                          </w:rPr>
                        </w:pPr>
                        <w:r>
                          <w:rPr>
                            <w:color w:val="231F20"/>
                            <w:w w:val="110"/>
                            <w:sz w:val="24"/>
                          </w:rPr>
                          <w:t>病毒學(HIV、HBV、HCV)</w:t>
                        </w:r>
                      </w:p>
                      <w:p>
                        <w:pPr>
                          <w:pStyle w:val="TableParagraph"/>
                          <w:numPr>
                            <w:ilvl w:val="0"/>
                            <w:numId w:val="92"/>
                          </w:numPr>
                          <w:tabs>
                            <w:tab w:pos="357" w:val="left" w:leader="none"/>
                          </w:tabs>
                          <w:spacing w:line="230" w:lineRule="auto" w:before="3" w:after="0"/>
                          <w:ind w:left="356" w:right="97" w:hanging="244"/>
                          <w:jc w:val="left"/>
                          <w:rPr>
                            <w:sz w:val="24"/>
                          </w:rPr>
                        </w:pPr>
                        <w:r>
                          <w:rPr>
                            <w:color w:val="231F20"/>
                            <w:spacing w:val="3"/>
                            <w:w w:val="105"/>
                            <w:sz w:val="24"/>
                          </w:rPr>
                          <w:t>血液、生化(含肝、腎功能、</w:t>
                        </w:r>
                        <w:r>
                          <w:rPr>
                            <w:color w:val="231F20"/>
                            <w:w w:val="110"/>
                            <w:sz w:val="24"/>
                          </w:rPr>
                          <w:t>飯前血糖或糖化血色素等)</w:t>
                        </w:r>
                      </w:p>
                      <w:p>
                        <w:pPr>
                          <w:pStyle w:val="TableParagraph"/>
                          <w:numPr>
                            <w:ilvl w:val="0"/>
                            <w:numId w:val="92"/>
                          </w:numPr>
                          <w:tabs>
                            <w:tab w:pos="357" w:val="left" w:leader="none"/>
                          </w:tabs>
                          <w:spacing w:line="395" w:lineRule="exact" w:before="0" w:after="0"/>
                          <w:ind w:left="356" w:right="0" w:hanging="245"/>
                          <w:jc w:val="left"/>
                          <w:rPr>
                            <w:sz w:val="24"/>
                          </w:rPr>
                        </w:pPr>
                        <w:r>
                          <w:rPr>
                            <w:color w:val="231F20"/>
                            <w:sz w:val="24"/>
                          </w:rPr>
                          <w:t>體重</w:t>
                        </w:r>
                      </w:p>
                      <w:p>
                        <w:pPr>
                          <w:pStyle w:val="TableParagraph"/>
                          <w:numPr>
                            <w:ilvl w:val="0"/>
                            <w:numId w:val="92"/>
                          </w:numPr>
                          <w:tabs>
                            <w:tab w:pos="357" w:val="left" w:leader="none"/>
                          </w:tabs>
                          <w:spacing w:line="230" w:lineRule="auto" w:before="2" w:after="0"/>
                          <w:ind w:left="356" w:right="96" w:hanging="244"/>
                          <w:jc w:val="left"/>
                          <w:rPr>
                            <w:sz w:val="24"/>
                          </w:rPr>
                        </w:pPr>
                        <w:r>
                          <w:rPr>
                            <w:color w:val="231F20"/>
                            <w:spacing w:val="29"/>
                            <w:w w:val="105"/>
                            <w:sz w:val="24"/>
                          </w:rPr>
                          <w:t>視力及辨色力(將使用</w:t>
                        </w:r>
                        <w:r>
                          <w:rPr>
                            <w:color w:val="231F20"/>
                            <w:spacing w:val="-6"/>
                            <w:w w:val="105"/>
                            <w:sz w:val="24"/>
                          </w:rPr>
                          <w:t>EMB </w:t>
                        </w:r>
                        <w:r>
                          <w:rPr>
                            <w:color w:val="231F20"/>
                            <w:w w:val="130"/>
                            <w:sz w:val="24"/>
                          </w:rPr>
                          <w:t>者)</w:t>
                        </w:r>
                      </w:p>
                    </w:tc>
                    <w:tc>
                      <w:tcPr>
                        <w:tcW w:w="2777" w:type="dxa"/>
                      </w:tcPr>
                      <w:p>
                        <w:pPr>
                          <w:pStyle w:val="TableParagraph"/>
                          <w:numPr>
                            <w:ilvl w:val="0"/>
                            <w:numId w:val="93"/>
                          </w:numPr>
                          <w:tabs>
                            <w:tab w:pos="357" w:val="left" w:leader="none"/>
                          </w:tabs>
                          <w:spacing w:line="409" w:lineRule="exact" w:before="31" w:after="0"/>
                          <w:ind w:left="356" w:right="0" w:hanging="245"/>
                          <w:jc w:val="both"/>
                          <w:rPr>
                            <w:sz w:val="24"/>
                          </w:rPr>
                        </w:pPr>
                        <w:r>
                          <w:rPr>
                            <w:color w:val="231F20"/>
                            <w:sz w:val="24"/>
                          </w:rPr>
                          <w:t>血液及生化</w:t>
                        </w:r>
                      </w:p>
                      <w:p>
                        <w:pPr>
                          <w:pStyle w:val="TableParagraph"/>
                          <w:numPr>
                            <w:ilvl w:val="0"/>
                            <w:numId w:val="93"/>
                          </w:numPr>
                          <w:tabs>
                            <w:tab w:pos="357" w:val="left" w:leader="none"/>
                          </w:tabs>
                          <w:spacing w:line="400" w:lineRule="exact" w:before="0" w:after="0"/>
                          <w:ind w:left="356" w:right="0" w:hanging="245"/>
                          <w:jc w:val="both"/>
                          <w:rPr>
                            <w:sz w:val="24"/>
                          </w:rPr>
                        </w:pPr>
                        <w:r>
                          <w:rPr>
                            <w:color w:val="231F20"/>
                            <w:sz w:val="24"/>
                          </w:rPr>
                          <w:t>體重</w:t>
                        </w:r>
                      </w:p>
                      <w:p>
                        <w:pPr>
                          <w:pStyle w:val="TableParagraph"/>
                          <w:numPr>
                            <w:ilvl w:val="0"/>
                            <w:numId w:val="93"/>
                          </w:numPr>
                          <w:tabs>
                            <w:tab w:pos="357" w:val="left" w:leader="none"/>
                          </w:tabs>
                          <w:spacing w:line="230" w:lineRule="auto" w:before="3" w:after="0"/>
                          <w:ind w:left="356" w:right="75" w:hanging="244"/>
                          <w:jc w:val="both"/>
                          <w:rPr>
                            <w:sz w:val="24"/>
                          </w:rPr>
                        </w:pPr>
                        <w:r>
                          <w:rPr>
                            <w:color w:val="231F20"/>
                            <w:spacing w:val="15"/>
                            <w:w w:val="105"/>
                            <w:sz w:val="24"/>
                          </w:rPr>
                          <w:t>視力及辨色力(使用</w:t>
                        </w:r>
                        <w:r>
                          <w:rPr>
                            <w:color w:val="231F20"/>
                            <w:sz w:val="24"/>
                          </w:rPr>
                          <w:t>EMB</w:t>
                        </w:r>
                        <w:r>
                          <w:rPr>
                            <w:color w:val="231F20"/>
                            <w:spacing w:val="4"/>
                            <w:sz w:val="24"/>
                          </w:rPr>
                          <w:t> 或產生視力或辨</w:t>
                        </w:r>
                        <w:r>
                          <w:rPr>
                            <w:color w:val="231F20"/>
                            <w:w w:val="105"/>
                            <w:sz w:val="24"/>
                          </w:rPr>
                          <w:t>色力藥物副作用者)</w:t>
                        </w:r>
                      </w:p>
                    </w:tc>
                    <w:tc>
                      <w:tcPr>
                        <w:tcW w:w="2416" w:type="dxa"/>
                      </w:tcPr>
                      <w:p>
                        <w:pPr>
                          <w:pStyle w:val="TableParagraph"/>
                          <w:numPr>
                            <w:ilvl w:val="0"/>
                            <w:numId w:val="94"/>
                          </w:numPr>
                          <w:tabs>
                            <w:tab w:pos="357" w:val="left" w:leader="none"/>
                          </w:tabs>
                          <w:spacing w:line="230" w:lineRule="auto" w:before="43" w:after="0"/>
                          <w:ind w:left="356" w:right="30" w:hanging="244"/>
                          <w:jc w:val="both"/>
                          <w:rPr>
                            <w:sz w:val="24"/>
                          </w:rPr>
                        </w:pPr>
                        <w:r>
                          <w:rPr>
                            <w:color w:val="231F20"/>
                            <w:spacing w:val="1"/>
                            <w:w w:val="105"/>
                            <w:sz w:val="24"/>
                          </w:rPr>
                          <w:t>完成治療後的第 </w:t>
                        </w:r>
                        <w:r>
                          <w:rPr>
                            <w:color w:val="231F20"/>
                            <w:w w:val="105"/>
                            <w:sz w:val="24"/>
                          </w:rPr>
                          <w:t>1 </w:t>
                        </w:r>
                        <w:r>
                          <w:rPr>
                            <w:color w:val="231F20"/>
                            <w:spacing w:val="2"/>
                            <w:sz w:val="24"/>
                          </w:rPr>
                          <w:t>年，建議每半年臨</w:t>
                        </w:r>
                        <w:r>
                          <w:rPr>
                            <w:color w:val="231F20"/>
                            <w:spacing w:val="32"/>
                            <w:w w:val="105"/>
                            <w:sz w:val="24"/>
                          </w:rPr>
                          <w:t>床追蹤複查 </w:t>
                        </w:r>
                        <w:r>
                          <w:rPr>
                            <w:color w:val="231F20"/>
                            <w:w w:val="105"/>
                            <w:sz w:val="24"/>
                          </w:rPr>
                          <w:t>1</w:t>
                        </w:r>
                        <w:r>
                          <w:rPr>
                            <w:color w:val="231F20"/>
                            <w:spacing w:val="-11"/>
                            <w:w w:val="105"/>
                            <w:sz w:val="24"/>
                          </w:rPr>
                          <w:t> 次</w:t>
                        </w:r>
                        <w:r>
                          <w:rPr>
                            <w:color w:val="231F20"/>
                            <w:spacing w:val="-16"/>
                            <w:w w:val="110"/>
                            <w:sz w:val="24"/>
                          </w:rPr>
                          <w:t>( </w:t>
                        </w:r>
                        <w:r>
                          <w:rPr>
                            <w:color w:val="231F20"/>
                            <w:spacing w:val="-16"/>
                            <w:w w:val="130"/>
                            <w:sz w:val="24"/>
                          </w:rPr>
                          <w:t>胸 部 </w:t>
                        </w:r>
                        <w:r>
                          <w:rPr>
                            <w:color w:val="231F20"/>
                            <w:w w:val="110"/>
                            <w:sz w:val="24"/>
                          </w:rPr>
                          <w:t>X</w:t>
                        </w:r>
                        <w:r>
                          <w:rPr>
                            <w:color w:val="231F20"/>
                            <w:spacing w:val="-8"/>
                            <w:w w:val="110"/>
                            <w:sz w:val="24"/>
                          </w:rPr>
                          <w:t> 光、 驗</w:t>
                        </w:r>
                        <w:r>
                          <w:rPr>
                            <w:color w:val="231F20"/>
                            <w:spacing w:val="-8"/>
                            <w:w w:val="130"/>
                            <w:sz w:val="24"/>
                          </w:rPr>
                          <w:t>痰)</w:t>
                        </w:r>
                      </w:p>
                      <w:p>
                        <w:pPr>
                          <w:pStyle w:val="TableParagraph"/>
                          <w:numPr>
                            <w:ilvl w:val="0"/>
                            <w:numId w:val="94"/>
                          </w:numPr>
                          <w:tabs>
                            <w:tab w:pos="357" w:val="left" w:leader="none"/>
                          </w:tabs>
                          <w:spacing w:line="391" w:lineRule="exact" w:before="0" w:after="0"/>
                          <w:ind w:left="356" w:right="0" w:hanging="245"/>
                          <w:jc w:val="both"/>
                          <w:rPr>
                            <w:sz w:val="24"/>
                          </w:rPr>
                        </w:pPr>
                        <w:r>
                          <w:rPr>
                            <w:color w:val="231F20"/>
                            <w:spacing w:val="3"/>
                            <w:sz w:val="24"/>
                          </w:rPr>
                          <w:t>此後每年追蹤胸部</w:t>
                        </w:r>
                      </w:p>
                      <w:p>
                        <w:pPr>
                          <w:pStyle w:val="TableParagraph"/>
                          <w:spacing w:line="391" w:lineRule="exact"/>
                          <w:ind w:left="356"/>
                          <w:rPr>
                            <w:sz w:val="24"/>
                          </w:rPr>
                        </w:pPr>
                        <w:r>
                          <w:rPr>
                            <w:color w:val="231F20"/>
                            <w:spacing w:val="60"/>
                            <w:sz w:val="24"/>
                          </w:rPr>
                          <w:t>X光1</w:t>
                        </w:r>
                        <w:r>
                          <w:rPr>
                            <w:color w:val="231F20"/>
                            <w:sz w:val="24"/>
                          </w:rPr>
                          <w:t>次</w:t>
                        </w:r>
                        <w:r>
                          <w:rPr>
                            <w:color w:val="231F20"/>
                            <w:spacing w:val="-7"/>
                            <w:sz w:val="24"/>
                          </w:rPr>
                          <w:t> </w:t>
                        </w:r>
                      </w:p>
                    </w:tc>
                  </w:tr>
                </w:tbl>
                <w:p>
                  <w:pPr>
                    <w:pStyle w:val="BodyText"/>
                  </w:pPr>
                </w:p>
              </w:txbxContent>
            </v:textbox>
            <w10:wrap type="none"/>
          </v:shape>
        </w:pict>
      </w:r>
      <w:r>
        <w:rPr>
          <w:color w:val="231F20"/>
          <w:w w:val="105"/>
        </w:rPr>
        <w:t>表 4、治療成效評估建議項目(詳細內容請參閱「結核病診治指引」)</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
        <w:rPr>
          <w:sz w:val="21"/>
        </w:rPr>
      </w:pPr>
    </w:p>
    <w:p>
      <w:pPr>
        <w:pStyle w:val="BodyText"/>
        <w:spacing w:line="409" w:lineRule="exact"/>
        <w:ind w:left="391"/>
        <w:jc w:val="both"/>
      </w:pPr>
      <w:r>
        <w:rPr>
          <w:color w:val="231F20"/>
          <w:w w:val="110"/>
        </w:rPr>
        <w:t>七、即早發現可能失落之徵兆及處置(表 </w:t>
      </w:r>
      <w:r>
        <w:rPr>
          <w:color w:val="231F20"/>
          <w:w w:val="160"/>
        </w:rPr>
        <w:t>5)</w:t>
      </w:r>
    </w:p>
    <w:p>
      <w:pPr>
        <w:pStyle w:val="BodyText"/>
        <w:spacing w:line="230" w:lineRule="auto" w:before="3"/>
        <w:ind w:left="1349" w:right="1125" w:hanging="720"/>
        <w:jc w:val="both"/>
      </w:pPr>
      <w:r>
        <w:rPr>
          <w:color w:val="231F20"/>
          <w:spacing w:val="-4"/>
        </w:rPr>
        <w:t>( </w:t>
      </w:r>
      <w:r>
        <w:rPr>
          <w:color w:val="231F20"/>
        </w:rPr>
        <w:t>＿</w:t>
      </w:r>
      <w:r>
        <w:rPr>
          <w:color w:val="231F20"/>
          <w:spacing w:val="1"/>
        </w:rPr>
        <w:t> ) 失落定義為個案治療連續中斷 </w:t>
      </w:r>
      <w:r>
        <w:rPr>
          <w:color w:val="231F20"/>
        </w:rPr>
        <w:t>2</w:t>
      </w:r>
      <w:r>
        <w:rPr>
          <w:color w:val="231F20"/>
          <w:spacing w:val="3"/>
        </w:rPr>
        <w:t> 個月以上。結核病個案於開始治療時往往較積</w:t>
      </w:r>
      <w:r>
        <w:rPr>
          <w:color w:val="231F20"/>
        </w:rPr>
        <w:t>極，＿旦自覺症狀消失後易轉為消極，例如忘記繼續服藥治療，造成治療中斷， 影響治療效果，因而延長治療時間，甚至產生抗藥性，故服用抗結核藥物個案皆應積極鼓勵加入都治計畫，由關懷員協助個案克服治療期間遭遇的困難，陪伴其完成治療。</w:t>
      </w:r>
    </w:p>
    <w:p>
      <w:pPr>
        <w:pStyle w:val="BodyText"/>
        <w:spacing w:line="230" w:lineRule="auto"/>
        <w:ind w:left="1349" w:right="1127" w:hanging="720"/>
        <w:jc w:val="both"/>
      </w:pPr>
      <w:r>
        <w:rPr>
          <w:color w:val="231F20"/>
        </w:rPr>
        <w:t>( — ) 治療中個案未按時領藥治療或 TB 系統超過 30 天無用藥紀錄者，應立即追蹤瞭解原因並設法協助處理。</w:t>
      </w:r>
    </w:p>
    <w:p>
      <w:pPr>
        <w:spacing w:after="0" w:line="230" w:lineRule="auto"/>
        <w:jc w:val="both"/>
        <w:sectPr>
          <w:pgSz w:w="11910" w:h="16840"/>
          <w:pgMar w:top="1060" w:bottom="0" w:left="980" w:right="0"/>
        </w:sectPr>
      </w:pPr>
    </w:p>
    <w:p>
      <w:pPr>
        <w:pStyle w:val="BodyText"/>
        <w:spacing w:before="59"/>
        <w:ind w:left="1343"/>
      </w:pPr>
      <w:r>
        <w:rPr/>
        <w:pict>
          <v:group style="position:absolute;margin-left:557.684509pt;margin-top:178.154007pt;width:37.35pt;height:663.55pt;mso-position-horizontal-relative:page;mso-position-vertical-relative:page;z-index:251768832" coordorigin="11154,3563" coordsize="747,13271">
            <v:shape style="position:absolute;left:11283;top:4074;width:438;height:12760" type="#_x0000_t75" stroked="false">
              <v:imagedata r:id="rId49" o:title=""/>
            </v:shape>
            <v:shape style="position:absolute;left:11153;top:3563;width:747;height:812" coordorigin="11154,3563" coordsize="747,812" path="m11900,3563l11536,3563,11514,3565,11454,3599,11188,3881,11154,3969,11162,4015,11454,4338,11514,4372,11536,4374,11900,4374,11900,3563xe" filled="true" fillcolor="#7c8ac4" stroked="false">
              <v:path arrowok="t"/>
              <v:fill type="solid"/>
            </v:shape>
            <v:shape style="position:absolute;left:11307;top:3830;width:393;height:278" type="#_x0000_t75" stroked="false">
              <v:imagedata r:id="rId73" o:title=""/>
            </v:shape>
            <v:shape style="position:absolute;left:11378;top:4510;width:249;height:2257" type="#_x0000_t75" stroked="false">
              <v:imagedata r:id="rId51"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53</w:t>
                    </w:r>
                  </w:p>
                </w:txbxContent>
              </v:textbox>
              <w10:wrap type="none"/>
            </v:shape>
            <w10:wrap type="none"/>
          </v:group>
        </w:pict>
      </w:r>
      <w:r>
        <w:rPr/>
        <w:pict>
          <v:shape style="position:absolute;margin-left:116.168999pt;margin-top:21.48588pt;width:422.55pt;height:683.8pt;mso-position-horizontal-relative:page;mso-position-vertical-relative:paragraph;z-index:251769856"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4092"/>
                    <w:gridCol w:w="4338"/>
                  </w:tblGrid>
                  <w:tr>
                    <w:trPr>
                      <w:trHeight w:val="451" w:hRule="atLeast"/>
                    </w:trPr>
                    <w:tc>
                      <w:tcPr>
                        <w:tcW w:w="4092" w:type="dxa"/>
                        <w:shd w:val="clear" w:color="auto" w:fill="E6E7E8"/>
                      </w:tcPr>
                      <w:p>
                        <w:pPr>
                          <w:pStyle w:val="TableParagraph"/>
                          <w:spacing w:line="431" w:lineRule="exact"/>
                          <w:ind w:left="1545" w:right="1531"/>
                          <w:jc w:val="center"/>
                          <w:rPr>
                            <w:rFonts w:ascii="微軟正黑體" w:eastAsia="微軟正黑體" w:hint="eastAsia"/>
                            <w:b/>
                            <w:sz w:val="24"/>
                          </w:rPr>
                        </w:pPr>
                        <w:r>
                          <w:rPr>
                            <w:rFonts w:ascii="微軟正黑體" w:eastAsia="微軟正黑體" w:hint="eastAsia"/>
                            <w:b/>
                            <w:color w:val="231F20"/>
                            <w:sz w:val="24"/>
                          </w:rPr>
                          <w:t>失落徵兆</w:t>
                        </w:r>
                      </w:p>
                    </w:tc>
                    <w:tc>
                      <w:tcPr>
                        <w:tcW w:w="4338" w:type="dxa"/>
                        <w:shd w:val="clear" w:color="auto" w:fill="E6E7E8"/>
                      </w:tcPr>
                      <w:p>
                        <w:pPr>
                          <w:pStyle w:val="TableParagraph"/>
                          <w:spacing w:line="431" w:lineRule="exact"/>
                          <w:ind w:left="1668" w:right="1655"/>
                          <w:jc w:val="center"/>
                          <w:rPr>
                            <w:rFonts w:ascii="微軟正黑體" w:eastAsia="微軟正黑體" w:hint="eastAsia"/>
                            <w:b/>
                            <w:sz w:val="24"/>
                          </w:rPr>
                        </w:pPr>
                        <w:r>
                          <w:rPr>
                            <w:rFonts w:ascii="微軟正黑體" w:eastAsia="微軟正黑體" w:hint="eastAsia"/>
                            <w:b/>
                            <w:color w:val="231F20"/>
                            <w:sz w:val="24"/>
                          </w:rPr>
                          <w:t>建議處置</w:t>
                        </w:r>
                      </w:p>
                    </w:tc>
                  </w:tr>
                  <w:tr>
                    <w:trPr>
                      <w:trHeight w:val="2850" w:hRule="atLeast"/>
                    </w:trPr>
                    <w:tc>
                      <w:tcPr>
                        <w:tcW w:w="4092" w:type="dxa"/>
                      </w:tcPr>
                      <w:p>
                        <w:pPr>
                          <w:pStyle w:val="TableParagraph"/>
                          <w:numPr>
                            <w:ilvl w:val="0"/>
                            <w:numId w:val="95"/>
                          </w:numPr>
                          <w:tabs>
                            <w:tab w:pos="357" w:val="left" w:leader="none"/>
                          </w:tabs>
                          <w:spacing w:line="409" w:lineRule="exact" w:before="31" w:after="0"/>
                          <w:ind w:left="356" w:right="0" w:hanging="245"/>
                          <w:jc w:val="left"/>
                          <w:rPr>
                            <w:sz w:val="24"/>
                          </w:rPr>
                        </w:pPr>
                        <w:r>
                          <w:rPr>
                            <w:color w:val="231F20"/>
                            <w:sz w:val="24"/>
                          </w:rPr>
                          <w:t>拒絕加入都治</w:t>
                        </w:r>
                      </w:p>
                      <w:p>
                        <w:pPr>
                          <w:pStyle w:val="TableParagraph"/>
                          <w:numPr>
                            <w:ilvl w:val="0"/>
                            <w:numId w:val="95"/>
                          </w:numPr>
                          <w:tabs>
                            <w:tab w:pos="357" w:val="left" w:leader="none"/>
                          </w:tabs>
                          <w:spacing w:line="400" w:lineRule="exact" w:before="0" w:after="0"/>
                          <w:ind w:left="356" w:right="0" w:hanging="245"/>
                          <w:jc w:val="left"/>
                          <w:rPr>
                            <w:sz w:val="24"/>
                          </w:rPr>
                        </w:pPr>
                        <w:r>
                          <w:rPr>
                            <w:color w:val="231F20"/>
                            <w:sz w:val="24"/>
                          </w:rPr>
                          <w:t>經常忘記服藥</w:t>
                        </w:r>
                      </w:p>
                      <w:p>
                        <w:pPr>
                          <w:pStyle w:val="TableParagraph"/>
                          <w:numPr>
                            <w:ilvl w:val="0"/>
                            <w:numId w:val="95"/>
                          </w:numPr>
                          <w:tabs>
                            <w:tab w:pos="357" w:val="left" w:leader="none"/>
                          </w:tabs>
                          <w:spacing w:line="400" w:lineRule="exact" w:before="0" w:after="0"/>
                          <w:ind w:left="356" w:right="0" w:hanging="245"/>
                          <w:jc w:val="left"/>
                          <w:rPr>
                            <w:sz w:val="24"/>
                          </w:rPr>
                        </w:pPr>
                        <w:r>
                          <w:rPr>
                            <w:color w:val="231F20"/>
                            <w:spacing w:val="-5"/>
                            <w:sz w:val="24"/>
                          </w:rPr>
                          <w:t>工作地點經常異動 </w:t>
                        </w:r>
                        <w:r>
                          <w:rPr>
                            <w:color w:val="231F20"/>
                            <w:spacing w:val="-11"/>
                            <w:w w:val="70"/>
                            <w:sz w:val="24"/>
                          </w:rPr>
                          <w:t>／ </w:t>
                        </w:r>
                        <w:r>
                          <w:rPr>
                            <w:color w:val="231F20"/>
                            <w:sz w:val="24"/>
                          </w:rPr>
                          <w:t>居無定所</w:t>
                        </w:r>
                      </w:p>
                      <w:p>
                        <w:pPr>
                          <w:pStyle w:val="TableParagraph"/>
                          <w:numPr>
                            <w:ilvl w:val="0"/>
                            <w:numId w:val="95"/>
                          </w:numPr>
                          <w:tabs>
                            <w:tab w:pos="357" w:val="left" w:leader="none"/>
                          </w:tabs>
                          <w:spacing w:line="400" w:lineRule="exact" w:before="0" w:after="0"/>
                          <w:ind w:left="356" w:right="0" w:hanging="245"/>
                          <w:jc w:val="left"/>
                          <w:rPr>
                            <w:sz w:val="24"/>
                          </w:rPr>
                        </w:pPr>
                        <w:r>
                          <w:rPr>
                            <w:color w:val="231F20"/>
                            <w:sz w:val="24"/>
                          </w:rPr>
                          <w:t>已加入都治者，有以下情形：</w:t>
                        </w:r>
                      </w:p>
                      <w:p>
                        <w:pPr>
                          <w:pStyle w:val="TableParagraph"/>
                          <w:numPr>
                            <w:ilvl w:val="1"/>
                            <w:numId w:val="95"/>
                          </w:numPr>
                          <w:tabs>
                            <w:tab w:pos="595" w:val="left" w:leader="none"/>
                          </w:tabs>
                          <w:spacing w:line="400" w:lineRule="exact" w:before="0" w:after="0"/>
                          <w:ind w:left="594" w:right="0" w:hanging="228"/>
                          <w:jc w:val="left"/>
                          <w:rPr>
                            <w:sz w:val="24"/>
                          </w:rPr>
                        </w:pPr>
                        <w:r>
                          <w:rPr>
                            <w:color w:val="231F20"/>
                            <w:sz w:val="24"/>
                          </w:rPr>
                          <w:t>目視個案服天數不固定</w:t>
                        </w:r>
                      </w:p>
                      <w:p>
                        <w:pPr>
                          <w:pStyle w:val="TableParagraph"/>
                          <w:numPr>
                            <w:ilvl w:val="1"/>
                            <w:numId w:val="95"/>
                          </w:numPr>
                          <w:tabs>
                            <w:tab w:pos="595" w:val="left" w:leader="none"/>
                          </w:tabs>
                          <w:spacing w:line="400" w:lineRule="exact" w:before="0" w:after="0"/>
                          <w:ind w:left="594" w:right="0" w:hanging="228"/>
                          <w:jc w:val="left"/>
                          <w:rPr>
                            <w:sz w:val="24"/>
                          </w:rPr>
                        </w:pPr>
                        <w:r>
                          <w:rPr>
                            <w:color w:val="231F20"/>
                            <w:spacing w:val="-6"/>
                            <w:sz w:val="24"/>
                          </w:rPr>
                          <w:t>病人帶藥腐開 </w:t>
                        </w:r>
                        <w:r>
                          <w:rPr>
                            <w:color w:val="231F20"/>
                            <w:spacing w:val="-11"/>
                            <w:w w:val="70"/>
                            <w:sz w:val="24"/>
                          </w:rPr>
                          <w:t>／ </w:t>
                        </w:r>
                        <w:r>
                          <w:rPr>
                            <w:color w:val="231F20"/>
                            <w:sz w:val="24"/>
                          </w:rPr>
                          <w:t>藥物未回收</w:t>
                        </w:r>
                      </w:p>
                      <w:p>
                        <w:pPr>
                          <w:pStyle w:val="TableParagraph"/>
                          <w:numPr>
                            <w:ilvl w:val="1"/>
                            <w:numId w:val="95"/>
                          </w:numPr>
                          <w:tabs>
                            <w:tab w:pos="595" w:val="left" w:leader="none"/>
                          </w:tabs>
                          <w:spacing w:line="391" w:lineRule="exact" w:before="0" w:after="0"/>
                          <w:ind w:left="594" w:right="0" w:hanging="228"/>
                          <w:jc w:val="left"/>
                          <w:rPr>
                            <w:sz w:val="24"/>
                          </w:rPr>
                        </w:pPr>
                        <w:r>
                          <w:rPr>
                            <w:color w:val="231F20"/>
                            <w:spacing w:val="-6"/>
                            <w:sz w:val="24"/>
                          </w:rPr>
                          <w:t>地點經常異動 </w:t>
                        </w:r>
                        <w:r>
                          <w:rPr>
                            <w:color w:val="231F20"/>
                            <w:spacing w:val="-11"/>
                            <w:w w:val="70"/>
                            <w:sz w:val="24"/>
                          </w:rPr>
                          <w:t>／ </w:t>
                        </w:r>
                        <w:r>
                          <w:rPr>
                            <w:color w:val="231F20"/>
                            <w:sz w:val="24"/>
                          </w:rPr>
                          <w:t>時間不固定</w:t>
                        </w:r>
                      </w:p>
                    </w:tc>
                    <w:tc>
                      <w:tcPr>
                        <w:tcW w:w="4338" w:type="dxa"/>
                      </w:tcPr>
                      <w:p>
                        <w:pPr>
                          <w:pStyle w:val="TableParagraph"/>
                          <w:spacing w:before="4"/>
                          <w:rPr>
                            <w:sz w:val="36"/>
                          </w:rPr>
                        </w:pPr>
                      </w:p>
                      <w:p>
                        <w:pPr>
                          <w:pStyle w:val="TableParagraph"/>
                          <w:numPr>
                            <w:ilvl w:val="0"/>
                            <w:numId w:val="96"/>
                          </w:numPr>
                          <w:tabs>
                            <w:tab w:pos="357" w:val="left" w:leader="none"/>
                          </w:tabs>
                          <w:spacing w:line="409" w:lineRule="exact" w:before="0" w:after="0"/>
                          <w:ind w:left="356" w:right="0" w:hanging="245"/>
                          <w:jc w:val="left"/>
                          <w:rPr>
                            <w:sz w:val="24"/>
                          </w:rPr>
                        </w:pPr>
                        <w:r>
                          <w:rPr>
                            <w:color w:val="231F20"/>
                            <w:sz w:val="24"/>
                          </w:rPr>
                          <w:t>勸導個案加入都治，並收回個案藥物</w:t>
                        </w:r>
                      </w:p>
                      <w:p>
                        <w:pPr>
                          <w:pStyle w:val="TableParagraph"/>
                          <w:numPr>
                            <w:ilvl w:val="0"/>
                            <w:numId w:val="96"/>
                          </w:numPr>
                          <w:tabs>
                            <w:tab w:pos="357" w:val="left" w:leader="none"/>
                          </w:tabs>
                          <w:spacing w:line="230" w:lineRule="auto" w:before="3" w:after="0"/>
                          <w:ind w:left="356" w:right="94" w:hanging="244"/>
                          <w:jc w:val="left"/>
                          <w:rPr>
                            <w:sz w:val="24"/>
                          </w:rPr>
                        </w:pPr>
                        <w:r>
                          <w:rPr>
                            <w:color w:val="231F20"/>
                            <w:spacing w:val="-1"/>
                            <w:sz w:val="24"/>
                          </w:rPr>
                          <w:t>加強個案訪視，並於訪視時核對領藥</w:t>
                        </w:r>
                        <w:r>
                          <w:rPr>
                            <w:color w:val="231F20"/>
                            <w:sz w:val="24"/>
                          </w:rPr>
                          <w:t>日期及剩藥數量</w:t>
                        </w:r>
                      </w:p>
                      <w:p>
                        <w:pPr>
                          <w:pStyle w:val="TableParagraph"/>
                          <w:numPr>
                            <w:ilvl w:val="0"/>
                            <w:numId w:val="96"/>
                          </w:numPr>
                          <w:tabs>
                            <w:tab w:pos="357" w:val="left" w:leader="none"/>
                          </w:tabs>
                          <w:spacing w:line="404" w:lineRule="exact" w:before="0" w:after="0"/>
                          <w:ind w:left="356" w:right="0" w:hanging="245"/>
                          <w:jc w:val="left"/>
                          <w:rPr>
                            <w:sz w:val="24"/>
                          </w:rPr>
                        </w:pPr>
                        <w:r>
                          <w:rPr>
                            <w:color w:val="231F20"/>
                            <w:sz w:val="24"/>
                          </w:rPr>
                          <w:t>尋求跨縣市協助代都</w:t>
                        </w:r>
                      </w:p>
                    </w:tc>
                  </w:tr>
                  <w:tr>
                    <w:trPr>
                      <w:trHeight w:val="2050" w:hRule="atLeast"/>
                    </w:trPr>
                    <w:tc>
                      <w:tcPr>
                        <w:tcW w:w="4092" w:type="dxa"/>
                      </w:tcPr>
                      <w:p>
                        <w:pPr>
                          <w:pStyle w:val="TableParagraph"/>
                          <w:spacing w:before="13"/>
                          <w:rPr>
                            <w:sz w:val="47"/>
                          </w:rPr>
                        </w:pPr>
                      </w:p>
                      <w:p>
                        <w:pPr>
                          <w:pStyle w:val="TableParagraph"/>
                          <w:ind w:left="112"/>
                          <w:rPr>
                            <w:sz w:val="24"/>
                          </w:rPr>
                        </w:pPr>
                        <w:r>
                          <w:rPr>
                            <w:color w:val="231F20"/>
                            <w:sz w:val="24"/>
                          </w:rPr>
                          <w:t>拒絕返診 </w:t>
                        </w:r>
                        <w:r>
                          <w:rPr>
                            <w:color w:val="231F20"/>
                            <w:w w:val="70"/>
                            <w:sz w:val="24"/>
                          </w:rPr>
                          <w:t>／ </w:t>
                        </w:r>
                        <w:r>
                          <w:rPr>
                            <w:color w:val="231F20"/>
                            <w:sz w:val="24"/>
                          </w:rPr>
                          <w:t>服藥</w:t>
                        </w:r>
                      </w:p>
                    </w:tc>
                    <w:tc>
                      <w:tcPr>
                        <w:tcW w:w="4338" w:type="dxa"/>
                      </w:tcPr>
                      <w:p>
                        <w:pPr>
                          <w:pStyle w:val="TableParagraph"/>
                          <w:numPr>
                            <w:ilvl w:val="0"/>
                            <w:numId w:val="97"/>
                          </w:numPr>
                          <w:tabs>
                            <w:tab w:pos="357" w:val="left" w:leader="none"/>
                          </w:tabs>
                          <w:spacing w:line="409" w:lineRule="exact" w:before="31" w:after="0"/>
                          <w:ind w:left="356" w:right="0" w:hanging="245"/>
                          <w:jc w:val="left"/>
                          <w:rPr>
                            <w:sz w:val="24"/>
                          </w:rPr>
                        </w:pPr>
                        <w:r>
                          <w:rPr>
                            <w:color w:val="231F20"/>
                            <w:spacing w:val="-2"/>
                            <w:sz w:val="24"/>
                          </w:rPr>
                          <w:t>立即通知醫院個案管理師 </w:t>
                        </w:r>
                        <w:r>
                          <w:rPr>
                            <w:color w:val="231F20"/>
                            <w:spacing w:val="4"/>
                            <w:w w:val="70"/>
                            <w:sz w:val="24"/>
                          </w:rPr>
                          <w:t>／ </w:t>
                        </w:r>
                        <w:r>
                          <w:rPr>
                            <w:color w:val="231F20"/>
                            <w:sz w:val="24"/>
                          </w:rPr>
                          <w:t>醫師</w:t>
                        </w:r>
                      </w:p>
                      <w:p>
                        <w:pPr>
                          <w:pStyle w:val="TableParagraph"/>
                          <w:numPr>
                            <w:ilvl w:val="0"/>
                            <w:numId w:val="97"/>
                          </w:numPr>
                          <w:tabs>
                            <w:tab w:pos="357" w:val="left" w:leader="none"/>
                          </w:tabs>
                          <w:spacing w:line="230" w:lineRule="auto" w:before="3" w:after="0"/>
                          <w:ind w:left="356" w:right="90" w:hanging="244"/>
                          <w:jc w:val="left"/>
                          <w:rPr>
                            <w:sz w:val="24"/>
                          </w:rPr>
                        </w:pPr>
                        <w:r>
                          <w:rPr>
                            <w:color w:val="231F20"/>
                            <w:spacing w:val="-4"/>
                            <w:sz w:val="24"/>
                          </w:rPr>
                          <w:t>請求衛生局 </w:t>
                        </w:r>
                        <w:r>
                          <w:rPr>
                            <w:color w:val="231F20"/>
                            <w:spacing w:val="-9"/>
                            <w:w w:val="70"/>
                            <w:sz w:val="24"/>
                          </w:rPr>
                          <w:t>／ </w:t>
                        </w:r>
                        <w:r>
                          <w:rPr>
                            <w:color w:val="231F20"/>
                            <w:spacing w:val="-8"/>
                            <w:sz w:val="24"/>
                          </w:rPr>
                          <w:t>所主管 </w:t>
                        </w:r>
                        <w:r>
                          <w:rPr>
                            <w:color w:val="231F20"/>
                            <w:spacing w:val="-9"/>
                            <w:w w:val="70"/>
                            <w:sz w:val="24"/>
                          </w:rPr>
                          <w:t>／ </w:t>
                        </w:r>
                        <w:r>
                          <w:rPr>
                            <w:color w:val="231F20"/>
                            <w:spacing w:val="5"/>
                            <w:sz w:val="24"/>
                          </w:rPr>
                          <w:t>諮詢委員協助</w:t>
                        </w:r>
                        <w:r>
                          <w:rPr>
                            <w:color w:val="231F20"/>
                            <w:sz w:val="24"/>
                          </w:rPr>
                          <w:t>勸服個案</w:t>
                        </w:r>
                      </w:p>
                      <w:p>
                        <w:pPr>
                          <w:pStyle w:val="TableParagraph"/>
                          <w:numPr>
                            <w:ilvl w:val="0"/>
                            <w:numId w:val="97"/>
                          </w:numPr>
                          <w:tabs>
                            <w:tab w:pos="357" w:val="left" w:leader="none"/>
                          </w:tabs>
                          <w:spacing w:line="395" w:lineRule="exact" w:before="0" w:after="0"/>
                          <w:ind w:left="356" w:right="0" w:hanging="245"/>
                          <w:jc w:val="left"/>
                          <w:rPr>
                            <w:sz w:val="24"/>
                          </w:rPr>
                        </w:pPr>
                        <w:r>
                          <w:rPr>
                            <w:color w:val="231F20"/>
                            <w:sz w:val="24"/>
                          </w:rPr>
                          <w:t>必要時施予隔腐治療或罰鍰等行政處</w:t>
                        </w:r>
                      </w:p>
                      <w:p>
                        <w:pPr>
                          <w:pStyle w:val="TableParagraph"/>
                          <w:spacing w:line="391" w:lineRule="exact"/>
                          <w:ind w:left="356"/>
                          <w:rPr>
                            <w:sz w:val="24"/>
                          </w:rPr>
                        </w:pPr>
                        <w:r>
                          <w:rPr>
                            <w:color w:val="231F20"/>
                            <w:sz w:val="24"/>
                          </w:rPr>
                          <w:t>分</w:t>
                        </w:r>
                      </w:p>
                    </w:tc>
                  </w:tr>
                  <w:tr>
                    <w:trPr>
                      <w:trHeight w:val="851" w:hRule="atLeast"/>
                    </w:trPr>
                    <w:tc>
                      <w:tcPr>
                        <w:tcW w:w="4092" w:type="dxa"/>
                      </w:tcPr>
                      <w:p>
                        <w:pPr>
                          <w:pStyle w:val="TableParagraph"/>
                          <w:spacing w:before="231"/>
                          <w:ind w:left="112"/>
                          <w:rPr>
                            <w:sz w:val="24"/>
                          </w:rPr>
                        </w:pPr>
                        <w:r>
                          <w:rPr>
                            <w:color w:val="231F20"/>
                            <w:sz w:val="24"/>
                          </w:rPr>
                          <w:t>他人協助領藥或未按時領藥治療</w:t>
                        </w:r>
                      </w:p>
                    </w:tc>
                    <w:tc>
                      <w:tcPr>
                        <w:tcW w:w="4338" w:type="dxa"/>
                      </w:tcPr>
                      <w:p>
                        <w:pPr>
                          <w:pStyle w:val="TableParagraph"/>
                          <w:spacing w:line="409" w:lineRule="exact" w:before="31"/>
                          <w:ind w:left="112"/>
                          <w:rPr>
                            <w:sz w:val="24"/>
                          </w:rPr>
                        </w:pPr>
                        <w:r>
                          <w:rPr>
                            <w:color w:val="231F20"/>
                            <w:spacing w:val="-13"/>
                            <w:sz w:val="24"/>
                          </w:rPr>
                          <w:t>以家訪、通信、電訪、傳話等方式追蹤，</w:t>
                        </w:r>
                      </w:p>
                      <w:p>
                        <w:pPr>
                          <w:pStyle w:val="TableParagraph"/>
                          <w:spacing w:line="391" w:lineRule="exact"/>
                          <w:ind w:left="112"/>
                          <w:rPr>
                            <w:sz w:val="24"/>
                          </w:rPr>
                        </w:pPr>
                        <w:r>
                          <w:rPr>
                            <w:color w:val="231F20"/>
                            <w:sz w:val="24"/>
                          </w:rPr>
                          <w:t>了解原因並設法解決。</w:t>
                        </w:r>
                      </w:p>
                    </w:tc>
                  </w:tr>
                  <w:tr>
                    <w:trPr>
                      <w:trHeight w:val="3250" w:hRule="atLeast"/>
                    </w:trPr>
                    <w:tc>
                      <w:tcPr>
                        <w:tcW w:w="4092" w:type="dxa"/>
                      </w:tcPr>
                      <w:p>
                        <w:pPr>
                          <w:pStyle w:val="TableParagraph"/>
                          <w:spacing w:before="13"/>
                          <w:rPr>
                            <w:sz w:val="24"/>
                          </w:rPr>
                        </w:pPr>
                      </w:p>
                      <w:p>
                        <w:pPr>
                          <w:pStyle w:val="TableParagraph"/>
                          <w:numPr>
                            <w:ilvl w:val="0"/>
                            <w:numId w:val="98"/>
                          </w:numPr>
                          <w:tabs>
                            <w:tab w:pos="357" w:val="left" w:leader="none"/>
                          </w:tabs>
                          <w:spacing w:line="409" w:lineRule="exact" w:before="0" w:after="0"/>
                          <w:ind w:left="356" w:right="0" w:hanging="245"/>
                          <w:jc w:val="left"/>
                          <w:rPr>
                            <w:sz w:val="24"/>
                          </w:rPr>
                        </w:pPr>
                        <w:r>
                          <w:rPr>
                            <w:color w:val="231F20"/>
                            <w:sz w:val="24"/>
                          </w:rPr>
                          <w:t>不相信診斷，無病識感</w:t>
                        </w:r>
                      </w:p>
                      <w:p>
                        <w:pPr>
                          <w:pStyle w:val="TableParagraph"/>
                          <w:numPr>
                            <w:ilvl w:val="0"/>
                            <w:numId w:val="98"/>
                          </w:numPr>
                          <w:tabs>
                            <w:tab w:pos="357" w:val="left" w:leader="none"/>
                          </w:tabs>
                          <w:spacing w:line="400" w:lineRule="exact" w:before="0" w:after="0"/>
                          <w:ind w:left="356" w:right="0" w:hanging="245"/>
                          <w:jc w:val="left"/>
                          <w:rPr>
                            <w:sz w:val="24"/>
                          </w:rPr>
                        </w:pPr>
                        <w:r>
                          <w:rPr>
                            <w:color w:val="231F20"/>
                            <w:sz w:val="24"/>
                          </w:rPr>
                          <w:t>症狀未改善，失去信心</w:t>
                        </w:r>
                      </w:p>
                      <w:p>
                        <w:pPr>
                          <w:pStyle w:val="TableParagraph"/>
                          <w:numPr>
                            <w:ilvl w:val="0"/>
                            <w:numId w:val="98"/>
                          </w:numPr>
                          <w:tabs>
                            <w:tab w:pos="357" w:val="left" w:leader="none"/>
                          </w:tabs>
                          <w:spacing w:line="400" w:lineRule="exact" w:before="0" w:after="0"/>
                          <w:ind w:left="356" w:right="0" w:hanging="245"/>
                          <w:jc w:val="left"/>
                          <w:rPr>
                            <w:sz w:val="24"/>
                          </w:rPr>
                        </w:pPr>
                        <w:r>
                          <w:rPr>
                            <w:color w:val="231F20"/>
                            <w:sz w:val="24"/>
                          </w:rPr>
                          <w:t>症狀消失，不再積極治療</w:t>
                        </w:r>
                      </w:p>
                      <w:p>
                        <w:pPr>
                          <w:pStyle w:val="TableParagraph"/>
                          <w:numPr>
                            <w:ilvl w:val="0"/>
                            <w:numId w:val="98"/>
                          </w:numPr>
                          <w:tabs>
                            <w:tab w:pos="357" w:val="left" w:leader="none"/>
                          </w:tabs>
                          <w:spacing w:line="400" w:lineRule="exact" w:before="0" w:after="0"/>
                          <w:ind w:left="356" w:right="0" w:hanging="245"/>
                          <w:jc w:val="left"/>
                          <w:rPr>
                            <w:sz w:val="24"/>
                          </w:rPr>
                        </w:pPr>
                        <w:r>
                          <w:rPr>
                            <w:color w:val="231F20"/>
                            <w:sz w:val="24"/>
                          </w:rPr>
                          <w:t>疑似個案醫囑已開藥，但尚未服藥</w:t>
                        </w:r>
                      </w:p>
                      <w:p>
                        <w:pPr>
                          <w:pStyle w:val="TableParagraph"/>
                          <w:numPr>
                            <w:ilvl w:val="0"/>
                            <w:numId w:val="98"/>
                          </w:numPr>
                          <w:tabs>
                            <w:tab w:pos="357" w:val="left" w:leader="none"/>
                          </w:tabs>
                          <w:spacing w:line="400" w:lineRule="exact" w:before="0" w:after="0"/>
                          <w:ind w:left="356" w:right="0" w:hanging="245"/>
                          <w:jc w:val="left"/>
                          <w:rPr>
                            <w:sz w:val="24"/>
                          </w:rPr>
                        </w:pPr>
                        <w:r>
                          <w:rPr>
                            <w:color w:val="231F20"/>
                            <w:sz w:val="24"/>
                          </w:rPr>
                          <w:t>未加入健保</w:t>
                        </w:r>
                      </w:p>
                      <w:p>
                        <w:pPr>
                          <w:pStyle w:val="TableParagraph"/>
                          <w:numPr>
                            <w:ilvl w:val="0"/>
                            <w:numId w:val="98"/>
                          </w:numPr>
                          <w:tabs>
                            <w:tab w:pos="357" w:val="left" w:leader="none"/>
                          </w:tabs>
                          <w:spacing w:line="409" w:lineRule="exact" w:before="0" w:after="0"/>
                          <w:ind w:left="356" w:right="0" w:hanging="245"/>
                          <w:jc w:val="left"/>
                          <w:rPr>
                            <w:sz w:val="24"/>
                          </w:rPr>
                        </w:pPr>
                        <w:r>
                          <w:rPr>
                            <w:color w:val="231F20"/>
                            <w:sz w:val="24"/>
                          </w:rPr>
                          <w:t>經濟弱勢</w:t>
                        </w:r>
                      </w:p>
                    </w:tc>
                    <w:tc>
                      <w:tcPr>
                        <w:tcW w:w="4338" w:type="dxa"/>
                      </w:tcPr>
                      <w:p>
                        <w:pPr>
                          <w:pStyle w:val="TableParagraph"/>
                          <w:numPr>
                            <w:ilvl w:val="0"/>
                            <w:numId w:val="99"/>
                          </w:numPr>
                          <w:tabs>
                            <w:tab w:pos="357" w:val="left" w:leader="none"/>
                          </w:tabs>
                          <w:spacing w:line="409" w:lineRule="exact" w:before="31" w:after="0"/>
                          <w:ind w:left="356" w:right="0" w:hanging="245"/>
                          <w:jc w:val="left"/>
                          <w:rPr>
                            <w:sz w:val="24"/>
                          </w:rPr>
                        </w:pPr>
                        <w:r>
                          <w:rPr>
                            <w:color w:val="231F20"/>
                            <w:sz w:val="24"/>
                          </w:rPr>
                          <w:t>評估個案實際問題</w:t>
                        </w:r>
                      </w:p>
                      <w:p>
                        <w:pPr>
                          <w:pStyle w:val="TableParagraph"/>
                          <w:numPr>
                            <w:ilvl w:val="0"/>
                            <w:numId w:val="99"/>
                          </w:numPr>
                          <w:tabs>
                            <w:tab w:pos="357" w:val="left" w:leader="none"/>
                          </w:tabs>
                          <w:spacing w:line="400" w:lineRule="exact" w:before="0" w:after="0"/>
                          <w:ind w:left="356" w:right="0" w:hanging="245"/>
                          <w:jc w:val="left"/>
                          <w:rPr>
                            <w:sz w:val="24"/>
                          </w:rPr>
                        </w:pPr>
                        <w:r>
                          <w:rPr>
                            <w:color w:val="231F20"/>
                            <w:sz w:val="24"/>
                          </w:rPr>
                          <w:t>與醫院個管師合作輔導個案</w:t>
                        </w:r>
                      </w:p>
                      <w:p>
                        <w:pPr>
                          <w:pStyle w:val="TableParagraph"/>
                          <w:numPr>
                            <w:ilvl w:val="0"/>
                            <w:numId w:val="99"/>
                          </w:numPr>
                          <w:tabs>
                            <w:tab w:pos="357" w:val="left" w:leader="none"/>
                          </w:tabs>
                          <w:spacing w:line="230" w:lineRule="auto" w:before="3" w:after="0"/>
                          <w:ind w:left="356" w:right="88" w:hanging="244"/>
                          <w:jc w:val="left"/>
                          <w:rPr>
                            <w:sz w:val="24"/>
                          </w:rPr>
                        </w:pPr>
                        <w:r>
                          <w:rPr>
                            <w:color w:val="231F20"/>
                            <w:spacing w:val="-2"/>
                            <w:sz w:val="24"/>
                          </w:rPr>
                          <w:t>請求衛生局 </w:t>
                        </w:r>
                        <w:r>
                          <w:rPr>
                            <w:color w:val="231F20"/>
                            <w:spacing w:val="-9"/>
                            <w:w w:val="70"/>
                            <w:sz w:val="24"/>
                          </w:rPr>
                          <w:t>／ </w:t>
                        </w:r>
                        <w:r>
                          <w:rPr>
                            <w:color w:val="231F20"/>
                            <w:spacing w:val="-6"/>
                            <w:sz w:val="24"/>
                          </w:rPr>
                          <w:t>所主管 </w:t>
                        </w:r>
                        <w:r>
                          <w:rPr>
                            <w:color w:val="231F20"/>
                            <w:spacing w:val="-9"/>
                            <w:w w:val="70"/>
                            <w:sz w:val="24"/>
                          </w:rPr>
                          <w:t>／ </w:t>
                        </w:r>
                        <w:r>
                          <w:rPr>
                            <w:color w:val="231F20"/>
                            <w:spacing w:val="-10"/>
                            <w:sz w:val="24"/>
                          </w:rPr>
                          <w:t>醫師 </w:t>
                        </w:r>
                        <w:r>
                          <w:rPr>
                            <w:color w:val="231F20"/>
                            <w:spacing w:val="-9"/>
                            <w:w w:val="70"/>
                            <w:sz w:val="24"/>
                          </w:rPr>
                          <w:t>／ </w:t>
                        </w:r>
                        <w:r>
                          <w:rPr>
                            <w:color w:val="231F20"/>
                            <w:spacing w:val="4"/>
                            <w:sz w:val="24"/>
                          </w:rPr>
                          <w:t>諮詢委</w:t>
                        </w:r>
                        <w:r>
                          <w:rPr>
                            <w:color w:val="231F20"/>
                            <w:sz w:val="24"/>
                          </w:rPr>
                          <w:t>員協助勸服個案</w:t>
                        </w:r>
                      </w:p>
                      <w:p>
                        <w:pPr>
                          <w:pStyle w:val="TableParagraph"/>
                          <w:numPr>
                            <w:ilvl w:val="0"/>
                            <w:numId w:val="99"/>
                          </w:numPr>
                          <w:tabs>
                            <w:tab w:pos="357" w:val="left" w:leader="none"/>
                          </w:tabs>
                          <w:spacing w:line="395" w:lineRule="exact" w:before="0" w:after="0"/>
                          <w:ind w:left="356" w:right="0" w:hanging="245"/>
                          <w:jc w:val="left"/>
                          <w:rPr>
                            <w:sz w:val="24"/>
                          </w:rPr>
                        </w:pPr>
                        <w:r>
                          <w:rPr>
                            <w:color w:val="231F20"/>
                            <w:sz w:val="24"/>
                          </w:rPr>
                          <w:t>以無健保結核病個案醫療費用治療</w:t>
                        </w:r>
                      </w:p>
                      <w:p>
                        <w:pPr>
                          <w:pStyle w:val="TableParagraph"/>
                          <w:numPr>
                            <w:ilvl w:val="0"/>
                            <w:numId w:val="99"/>
                          </w:numPr>
                          <w:tabs>
                            <w:tab w:pos="357" w:val="left" w:leader="none"/>
                          </w:tabs>
                          <w:spacing w:line="230" w:lineRule="auto" w:before="2" w:after="0"/>
                          <w:ind w:left="356" w:right="77" w:hanging="244"/>
                          <w:jc w:val="left"/>
                          <w:rPr>
                            <w:sz w:val="24"/>
                          </w:rPr>
                        </w:pPr>
                        <w:r>
                          <w:rPr>
                            <w:color w:val="231F20"/>
                            <w:w w:val="105"/>
                            <w:sz w:val="24"/>
                          </w:rPr>
                          <w:t>協助社會救助申請(詳細內容請參考</w:t>
                        </w:r>
                        <w:r>
                          <w:rPr>
                            <w:color w:val="231F20"/>
                            <w:spacing w:val="16"/>
                            <w:w w:val="105"/>
                            <w:sz w:val="24"/>
                          </w:rPr>
                          <w:t>第十匹章「防治資源及診療諮詢</w:t>
                        </w:r>
                        <w:r>
                          <w:rPr>
                            <w:color w:val="231F20"/>
                            <w:spacing w:val="20"/>
                            <w:w w:val="105"/>
                            <w:sz w:val="24"/>
                          </w:rPr>
                          <w:t>\</w:t>
                        </w:r>
                      </w:p>
                      <w:p>
                        <w:pPr>
                          <w:pStyle w:val="TableParagraph"/>
                          <w:spacing w:line="386" w:lineRule="exact"/>
                          <w:ind w:left="356"/>
                          <w:rPr>
                            <w:sz w:val="24"/>
                          </w:rPr>
                        </w:pPr>
                        <w:r>
                          <w:rPr>
                            <w:color w:val="231F20"/>
                            <w:w w:val="130"/>
                            <w:sz w:val="24"/>
                          </w:rPr>
                          <w:t>組」)</w:t>
                        </w:r>
                      </w:p>
                    </w:tc>
                  </w:tr>
                  <w:tr>
                    <w:trPr>
                      <w:trHeight w:val="2050" w:hRule="atLeast"/>
                    </w:trPr>
                    <w:tc>
                      <w:tcPr>
                        <w:tcW w:w="4092" w:type="dxa"/>
                      </w:tcPr>
                      <w:p>
                        <w:pPr>
                          <w:pStyle w:val="TableParagraph"/>
                          <w:spacing w:before="13"/>
                          <w:rPr>
                            <w:sz w:val="47"/>
                          </w:rPr>
                        </w:pPr>
                      </w:p>
                      <w:p>
                        <w:pPr>
                          <w:pStyle w:val="TableParagraph"/>
                          <w:ind w:left="112"/>
                          <w:rPr>
                            <w:sz w:val="24"/>
                          </w:rPr>
                        </w:pPr>
                        <w:r>
                          <w:rPr>
                            <w:color w:val="231F20"/>
                            <w:sz w:val="24"/>
                          </w:rPr>
                          <w:t>藥物副作用</w:t>
                        </w:r>
                      </w:p>
                    </w:tc>
                    <w:tc>
                      <w:tcPr>
                        <w:tcW w:w="4338" w:type="dxa"/>
                      </w:tcPr>
                      <w:p>
                        <w:pPr>
                          <w:pStyle w:val="TableParagraph"/>
                          <w:numPr>
                            <w:ilvl w:val="0"/>
                            <w:numId w:val="100"/>
                          </w:numPr>
                          <w:tabs>
                            <w:tab w:pos="357" w:val="left" w:leader="none"/>
                          </w:tabs>
                          <w:spacing w:line="409" w:lineRule="exact" w:before="31" w:after="0"/>
                          <w:ind w:left="356" w:right="0" w:hanging="245"/>
                          <w:jc w:val="left"/>
                          <w:rPr>
                            <w:sz w:val="24"/>
                          </w:rPr>
                        </w:pPr>
                        <w:r>
                          <w:rPr>
                            <w:color w:val="231F20"/>
                            <w:sz w:val="24"/>
                          </w:rPr>
                          <w:t>即時協助處理藥物副作用</w:t>
                        </w:r>
                      </w:p>
                      <w:p>
                        <w:pPr>
                          <w:pStyle w:val="TableParagraph"/>
                          <w:numPr>
                            <w:ilvl w:val="0"/>
                            <w:numId w:val="100"/>
                          </w:numPr>
                          <w:tabs>
                            <w:tab w:pos="357" w:val="left" w:leader="none"/>
                          </w:tabs>
                          <w:spacing w:line="230" w:lineRule="auto" w:before="3" w:after="0"/>
                          <w:ind w:left="356" w:right="95" w:hanging="244"/>
                          <w:jc w:val="left"/>
                          <w:rPr>
                            <w:sz w:val="24"/>
                          </w:rPr>
                        </w:pPr>
                        <w:r>
                          <w:rPr>
                            <w:color w:val="231F20"/>
                            <w:sz w:val="24"/>
                          </w:rPr>
                          <w:t>提供公費藥物申請流程供醫療單位評估使用</w:t>
                        </w:r>
                      </w:p>
                      <w:p>
                        <w:pPr>
                          <w:pStyle w:val="TableParagraph"/>
                          <w:numPr>
                            <w:ilvl w:val="0"/>
                            <w:numId w:val="100"/>
                          </w:numPr>
                          <w:tabs>
                            <w:tab w:pos="357" w:val="left" w:leader="none"/>
                          </w:tabs>
                          <w:spacing w:line="395" w:lineRule="exact" w:before="0" w:after="0"/>
                          <w:ind w:left="356" w:right="0" w:hanging="245"/>
                          <w:jc w:val="left"/>
                          <w:rPr>
                            <w:sz w:val="24"/>
                          </w:rPr>
                        </w:pPr>
                        <w:r>
                          <w:rPr>
                            <w:color w:val="231F20"/>
                            <w:spacing w:val="16"/>
                            <w:w w:val="105"/>
                            <w:sz w:val="24"/>
                          </w:rPr>
                          <w:t>轉介診療經驗較豐富之醫院(如：</w:t>
                        </w:r>
                      </w:p>
                      <w:p>
                        <w:pPr>
                          <w:pStyle w:val="TableParagraph"/>
                          <w:spacing w:line="391" w:lineRule="exact"/>
                          <w:ind w:left="356"/>
                          <w:rPr>
                            <w:sz w:val="24"/>
                          </w:rPr>
                        </w:pPr>
                        <w:r>
                          <w:rPr>
                            <w:color w:val="231F20"/>
                            <w:w w:val="120"/>
                            <w:sz w:val="24"/>
                          </w:rPr>
                          <w:t>TMTC 團隊)</w:t>
                        </w:r>
                      </w:p>
                    </w:tc>
                  </w:tr>
                  <w:tr>
                    <w:trPr>
                      <w:trHeight w:val="2050" w:hRule="atLeast"/>
                    </w:trPr>
                    <w:tc>
                      <w:tcPr>
                        <w:tcW w:w="4092" w:type="dxa"/>
                      </w:tcPr>
                      <w:p>
                        <w:pPr>
                          <w:pStyle w:val="TableParagraph"/>
                          <w:spacing w:before="13"/>
                          <w:rPr>
                            <w:sz w:val="47"/>
                          </w:rPr>
                        </w:pPr>
                      </w:p>
                      <w:p>
                        <w:pPr>
                          <w:pStyle w:val="TableParagraph"/>
                          <w:ind w:left="112"/>
                          <w:rPr>
                            <w:sz w:val="24"/>
                          </w:rPr>
                        </w:pPr>
                        <w:r>
                          <w:rPr>
                            <w:color w:val="231F20"/>
                            <w:sz w:val="24"/>
                          </w:rPr>
                          <w:t>藥、酒癮</w:t>
                        </w:r>
                      </w:p>
                    </w:tc>
                    <w:tc>
                      <w:tcPr>
                        <w:tcW w:w="4338" w:type="dxa"/>
                      </w:tcPr>
                      <w:p>
                        <w:pPr>
                          <w:pStyle w:val="TableParagraph"/>
                          <w:numPr>
                            <w:ilvl w:val="0"/>
                            <w:numId w:val="101"/>
                          </w:numPr>
                          <w:tabs>
                            <w:tab w:pos="357" w:val="left" w:leader="none"/>
                          </w:tabs>
                          <w:spacing w:line="230" w:lineRule="auto" w:before="43" w:after="0"/>
                          <w:ind w:left="356" w:right="78" w:hanging="244"/>
                          <w:jc w:val="left"/>
                          <w:rPr>
                            <w:sz w:val="24"/>
                          </w:rPr>
                        </w:pPr>
                        <w:r>
                          <w:rPr>
                            <w:color w:val="231F20"/>
                            <w:spacing w:val="17"/>
                            <w:sz w:val="24"/>
                          </w:rPr>
                          <w:t>與醫院病個案管理師合作評估個案</w:t>
                        </w:r>
                        <w:r>
                          <w:rPr>
                            <w:color w:val="231F20"/>
                            <w:sz w:val="24"/>
                          </w:rPr>
                          <w:t>藥、酒癮狀態</w:t>
                        </w:r>
                      </w:p>
                      <w:p>
                        <w:pPr>
                          <w:pStyle w:val="TableParagraph"/>
                          <w:numPr>
                            <w:ilvl w:val="0"/>
                            <w:numId w:val="101"/>
                          </w:numPr>
                          <w:tabs>
                            <w:tab w:pos="357" w:val="left" w:leader="none"/>
                          </w:tabs>
                          <w:spacing w:line="395" w:lineRule="exact" w:before="0" w:after="0"/>
                          <w:ind w:left="356" w:right="0" w:hanging="245"/>
                          <w:jc w:val="left"/>
                          <w:rPr>
                            <w:sz w:val="24"/>
                          </w:rPr>
                        </w:pPr>
                        <w:r>
                          <w:rPr>
                            <w:color w:val="231F20"/>
                            <w:sz w:val="24"/>
                          </w:rPr>
                          <w:t>必要時轉介就醫協助藥、酒癮戒治</w:t>
                        </w:r>
                      </w:p>
                      <w:p>
                        <w:pPr>
                          <w:pStyle w:val="TableParagraph"/>
                          <w:numPr>
                            <w:ilvl w:val="0"/>
                            <w:numId w:val="101"/>
                          </w:numPr>
                          <w:tabs>
                            <w:tab w:pos="357" w:val="left" w:leader="none"/>
                          </w:tabs>
                          <w:spacing w:line="400" w:lineRule="exact" w:before="0" w:after="0"/>
                          <w:ind w:left="356" w:right="0" w:hanging="245"/>
                          <w:jc w:val="left"/>
                          <w:rPr>
                            <w:sz w:val="24"/>
                          </w:rPr>
                        </w:pPr>
                        <w:r>
                          <w:rPr>
                            <w:color w:val="231F20"/>
                            <w:spacing w:val="-2"/>
                            <w:sz w:val="24"/>
                          </w:rPr>
                          <w:t>可參考衛生福利部心理健康司網站 ＞</w:t>
                        </w:r>
                      </w:p>
                      <w:p>
                        <w:pPr>
                          <w:pStyle w:val="TableParagraph"/>
                          <w:spacing w:line="391" w:lineRule="exact"/>
                          <w:ind w:left="356"/>
                          <w:rPr>
                            <w:sz w:val="24"/>
                          </w:rPr>
                        </w:pPr>
                        <w:r>
                          <w:rPr>
                            <w:color w:val="231F20"/>
                            <w:sz w:val="24"/>
                          </w:rPr>
                          <w:t>成癮治療專區</w:t>
                        </w:r>
                      </w:p>
                    </w:tc>
                  </w:tr>
                </w:tbl>
                <w:p>
                  <w:pPr>
                    <w:pStyle w:val="BodyText"/>
                  </w:pPr>
                </w:p>
              </w:txbxContent>
            </v:textbox>
            <w10:wrap type="none"/>
          </v:shape>
        </w:pict>
      </w:r>
      <w:r>
        <w:rPr>
          <w:color w:val="231F20"/>
        </w:rPr>
        <w:t>表 5、可能失落之徵兆及建議處置</w:t>
      </w:r>
    </w:p>
    <w:p>
      <w:pPr>
        <w:spacing w:after="0"/>
        <w:sectPr>
          <w:pgSz w:w="11910" w:h="16840"/>
          <w:pgMar w:top="1060" w:bottom="0" w:left="980" w:right="0"/>
        </w:sectPr>
      </w:pPr>
    </w:p>
    <w:p>
      <w:pPr>
        <w:pStyle w:val="BodyText"/>
        <w:spacing w:line="409" w:lineRule="exact" w:before="59"/>
        <w:ind w:left="391"/>
        <w:jc w:val="both"/>
      </w:pPr>
      <w:r>
        <w:rPr/>
        <w:pict>
          <v:group style="position:absolute;margin-left:-.000001pt;margin-top:178.154007pt;width:37.35pt;height:663.55pt;mso-position-horizontal-relative:page;mso-position-vertical-relative:page;z-index:251771904"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74"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54</w:t>
                    </w:r>
                  </w:p>
                </w:txbxContent>
              </v:textbox>
              <w10:wrap type="none"/>
            </v:shape>
            <w10:wrap type="none"/>
          </v:group>
        </w:pict>
      </w:r>
      <w:r>
        <w:rPr>
          <w:color w:val="231F20"/>
          <w:w w:val="105"/>
        </w:rPr>
        <w:t>八、移居他國個案須辦理跨國轉介作業(附件 </w:t>
      </w:r>
      <w:r>
        <w:rPr>
          <w:color w:val="231F20"/>
          <w:w w:val="125"/>
        </w:rPr>
        <w:t>6-5)</w:t>
      </w:r>
    </w:p>
    <w:p>
      <w:pPr>
        <w:pStyle w:val="BodyText"/>
        <w:spacing w:line="230" w:lineRule="auto" w:before="2"/>
        <w:ind w:left="878" w:right="1132" w:firstLine="453"/>
        <w:jc w:val="both"/>
      </w:pPr>
      <w:r>
        <w:rPr>
          <w:color w:val="231F20"/>
          <w:spacing w:val="2"/>
        </w:rPr>
        <w:t>當個案痰或組織檢體檢驗結果培養確認為結核菌，並已完成 </w:t>
      </w:r>
      <w:r>
        <w:rPr>
          <w:color w:val="231F20"/>
        </w:rPr>
        <w:t>TB</w:t>
      </w:r>
      <w:r>
        <w:rPr>
          <w:color w:val="231F20"/>
          <w:spacing w:val="7"/>
        </w:rPr>
        <w:t> 系統登錄</w:t>
      </w:r>
      <w:r>
        <w:rPr>
          <w:color w:val="231F20"/>
          <w:spacing w:val="4"/>
          <w:w w:val="110"/>
        </w:rPr>
        <w:t>(包含</w:t>
      </w:r>
      <w:r>
        <w:rPr>
          <w:color w:val="231F20"/>
        </w:rPr>
        <w:t>藥敏結果)，且預定</w:t>
      </w:r>
      <w:r>
        <w:rPr>
          <w:color w:val="231F20"/>
          <w:spacing w:val="5"/>
          <w:w w:val="75"/>
        </w:rPr>
        <w:t>／ </w:t>
      </w:r>
      <w:r>
        <w:rPr>
          <w:color w:val="231F20"/>
          <w:spacing w:val="-3"/>
        </w:rPr>
        <w:t>已移居或因工作長期</w:t>
      </w:r>
      <w:r>
        <w:rPr>
          <w:color w:val="231F20"/>
          <w:w w:val="160"/>
        </w:rPr>
        <w:t>(1</w:t>
      </w:r>
      <w:r>
        <w:rPr>
          <w:color w:val="231F20"/>
          <w:spacing w:val="53"/>
          <w:w w:val="160"/>
        </w:rPr>
        <w:t> </w:t>
      </w:r>
      <w:r>
        <w:rPr>
          <w:color w:val="231F20"/>
          <w:spacing w:val="-8"/>
        </w:rPr>
        <w:t>年以上)駐留他國時，需告知個案「疾</w:t>
      </w:r>
      <w:r>
        <w:rPr>
          <w:color w:val="231F20"/>
          <w:spacing w:val="-1"/>
        </w:rPr>
        <w:t>病管制署將於其入該國國境後，協助進行轉介事宜」，並於 </w:t>
      </w:r>
      <w:r>
        <w:rPr>
          <w:color w:val="231F20"/>
        </w:rPr>
        <w:t>TB</w:t>
      </w:r>
      <w:r>
        <w:rPr>
          <w:color w:val="231F20"/>
          <w:spacing w:val="-2"/>
        </w:rPr>
        <w:t> 系統申辦跨國轉介作</w:t>
      </w:r>
      <w:r>
        <w:rPr>
          <w:color w:val="231F20"/>
          <w:spacing w:val="-1"/>
        </w:rPr>
        <w:t>業，以利個案延續治療。未達 </w:t>
      </w:r>
      <w:r>
        <w:rPr>
          <w:color w:val="231F20"/>
        </w:rPr>
        <w:t>1</w:t>
      </w:r>
      <w:r>
        <w:rPr>
          <w:color w:val="231F20"/>
          <w:spacing w:val="-2"/>
        </w:rPr>
        <w:t> 年者或其他特殊狀況，則依實際情形辦理轉介作業。</w:t>
      </w:r>
    </w:p>
    <w:p>
      <w:pPr>
        <w:pStyle w:val="BodyText"/>
        <w:spacing w:before="1"/>
        <w:rPr>
          <w:sz w:val="20"/>
        </w:rPr>
      </w:pPr>
    </w:p>
    <w:p>
      <w:pPr>
        <w:pStyle w:val="Heading2"/>
      </w:pPr>
      <w:r>
        <w:rPr>
          <w:color w:val="231F20"/>
        </w:rPr>
        <w:t>肆、特定結核病個案管理重點</w:t>
      </w:r>
    </w:p>
    <w:p>
      <w:pPr>
        <w:pStyle w:val="BodyText"/>
        <w:spacing w:line="404" w:lineRule="exact"/>
        <w:ind w:left="391"/>
      </w:pPr>
      <w:r>
        <w:rPr>
          <w:color w:val="231F20"/>
        </w:rPr>
        <w:t>＿、共病</w:t>
      </w:r>
    </w:p>
    <w:p>
      <w:pPr>
        <w:pStyle w:val="BodyText"/>
        <w:tabs>
          <w:tab w:pos="1348" w:val="left" w:leader="none"/>
        </w:tabs>
        <w:spacing w:line="400" w:lineRule="exact"/>
        <w:ind w:left="629"/>
      </w:pPr>
      <w:r>
        <w:rPr>
          <w:color w:val="231F20"/>
          <w:spacing w:val="-5"/>
        </w:rPr>
        <w:t>( </w:t>
      </w:r>
      <w:r>
        <w:rPr>
          <w:color w:val="231F20"/>
        </w:rPr>
        <w:t>＿</w:t>
      </w:r>
      <w:r>
        <w:rPr>
          <w:color w:val="231F20"/>
          <w:spacing w:val="-4"/>
        </w:rPr>
        <w:t> )</w:t>
      </w:r>
      <w:r>
        <w:rPr>
          <w:color w:val="231F20"/>
        </w:rPr>
        <w:tab/>
        <w:t>糖尿病</w:t>
      </w:r>
    </w:p>
    <w:p>
      <w:pPr>
        <w:pStyle w:val="ListParagraph"/>
        <w:numPr>
          <w:ilvl w:val="1"/>
          <w:numId w:val="83"/>
        </w:numPr>
        <w:tabs>
          <w:tab w:pos="1350" w:val="left" w:leader="none"/>
        </w:tabs>
        <w:spacing w:line="230" w:lineRule="auto" w:before="3" w:after="0"/>
        <w:ind w:left="1348" w:right="1138" w:hanging="255"/>
        <w:jc w:val="left"/>
        <w:rPr>
          <w:sz w:val="24"/>
        </w:rPr>
      </w:pPr>
      <w:r>
        <w:rPr>
          <w:color w:val="231F20"/>
          <w:spacing w:val="-1"/>
          <w:sz w:val="24"/>
        </w:rPr>
        <w:t>讓個案瞭解血糖控制對結核病治療的重要性，協助個案血糖監測與控制，必要時</w:t>
      </w:r>
      <w:r>
        <w:rPr>
          <w:color w:val="231F20"/>
          <w:sz w:val="24"/>
        </w:rPr>
        <w:t>提供糖尿病飲食衛教，或轉介糖尿病衛教門診等專業團體。</w:t>
      </w:r>
    </w:p>
    <w:p>
      <w:pPr>
        <w:pStyle w:val="ListParagraph"/>
        <w:numPr>
          <w:ilvl w:val="1"/>
          <w:numId w:val="83"/>
        </w:numPr>
        <w:tabs>
          <w:tab w:pos="1350" w:val="left" w:leader="none"/>
        </w:tabs>
        <w:spacing w:line="230" w:lineRule="auto" w:before="0" w:after="0"/>
        <w:ind w:left="1348" w:right="1137" w:hanging="255"/>
        <w:jc w:val="left"/>
        <w:rPr>
          <w:sz w:val="24"/>
        </w:rPr>
      </w:pPr>
      <w:r>
        <w:rPr>
          <w:color w:val="231F20"/>
          <w:spacing w:val="-1"/>
          <w:sz w:val="24"/>
        </w:rPr>
        <w:t>留意個案降血糖藥物及抗結核藥物之交互作用，確認處方合適性及療程延長的情</w:t>
      </w:r>
      <w:r>
        <w:rPr>
          <w:color w:val="231F20"/>
          <w:sz w:val="24"/>
        </w:rPr>
        <w:t>形。</w:t>
      </w:r>
    </w:p>
    <w:p>
      <w:pPr>
        <w:pStyle w:val="ListParagraph"/>
        <w:numPr>
          <w:ilvl w:val="1"/>
          <w:numId w:val="83"/>
        </w:numPr>
        <w:tabs>
          <w:tab w:pos="1349" w:val="left" w:leader="none"/>
        </w:tabs>
        <w:spacing w:line="395" w:lineRule="exact" w:before="0" w:after="0"/>
        <w:ind w:left="1348" w:right="0" w:hanging="256"/>
        <w:jc w:val="left"/>
        <w:rPr>
          <w:sz w:val="24"/>
        </w:rPr>
      </w:pPr>
      <w:r>
        <w:rPr>
          <w:color w:val="231F20"/>
          <w:sz w:val="24"/>
        </w:rPr>
        <w:t>協助留意個案藥物副作用，並持續追蹤痰液陰轉情形。</w:t>
      </w:r>
    </w:p>
    <w:p>
      <w:pPr>
        <w:pStyle w:val="ListParagraph"/>
        <w:numPr>
          <w:ilvl w:val="1"/>
          <w:numId w:val="83"/>
        </w:numPr>
        <w:tabs>
          <w:tab w:pos="1349" w:val="left" w:leader="none"/>
        </w:tabs>
        <w:spacing w:line="228" w:lineRule="auto" w:before="3" w:after="0"/>
        <w:ind w:left="749" w:right="6454" w:firstLine="344"/>
        <w:jc w:val="left"/>
        <w:rPr>
          <w:sz w:val="24"/>
        </w:rPr>
      </w:pPr>
      <w:r>
        <w:rPr>
          <w:color w:val="231F20"/>
          <w:sz w:val="24"/>
        </w:rPr>
        <w:t>加強完治後復發風險之衛教</w:t>
      </w:r>
      <w:r>
        <w:rPr>
          <w:color w:val="231F20"/>
          <w:spacing w:val="-18"/>
          <w:sz w:val="24"/>
        </w:rPr>
        <w:t>。</w:t>
      </w:r>
      <w:r>
        <w:rPr>
          <w:color w:val="231F20"/>
          <w:w w:val="105"/>
          <w:sz w:val="24"/>
        </w:rPr>
        <w:t>(—)</w:t>
        <w:tab/>
        <w:t>HIV</w:t>
      </w:r>
      <w:r>
        <w:rPr>
          <w:color w:val="231F20"/>
          <w:spacing w:val="2"/>
          <w:w w:val="105"/>
          <w:sz w:val="24"/>
        </w:rPr>
        <w:t> </w:t>
      </w:r>
      <w:r>
        <w:rPr>
          <w:color w:val="231F20"/>
          <w:w w:val="105"/>
          <w:sz w:val="24"/>
        </w:rPr>
        <w:t>感染(附件</w:t>
      </w:r>
      <w:r>
        <w:rPr>
          <w:color w:val="231F20"/>
          <w:spacing w:val="2"/>
          <w:w w:val="105"/>
          <w:sz w:val="24"/>
        </w:rPr>
        <w:t> </w:t>
      </w:r>
      <w:r>
        <w:rPr>
          <w:color w:val="231F20"/>
          <w:w w:val="125"/>
          <w:sz w:val="24"/>
        </w:rPr>
        <w:t>6-6)</w:t>
      </w:r>
    </w:p>
    <w:p>
      <w:pPr>
        <w:pStyle w:val="ListParagraph"/>
        <w:numPr>
          <w:ilvl w:val="0"/>
          <w:numId w:val="102"/>
        </w:numPr>
        <w:tabs>
          <w:tab w:pos="1350" w:val="left" w:leader="none"/>
        </w:tabs>
        <w:spacing w:line="372" w:lineRule="exact" w:before="0" w:after="0"/>
        <w:ind w:left="1349" w:right="0" w:hanging="256"/>
        <w:jc w:val="left"/>
        <w:rPr>
          <w:sz w:val="24"/>
        </w:rPr>
      </w:pPr>
      <w:r>
        <w:rPr>
          <w:color w:val="231F20"/>
          <w:spacing w:val="-5"/>
          <w:w w:val="105"/>
          <w:sz w:val="24"/>
        </w:rPr>
        <w:t>了解有無 </w:t>
      </w:r>
      <w:r>
        <w:rPr>
          <w:color w:val="231F20"/>
          <w:w w:val="105"/>
          <w:sz w:val="24"/>
        </w:rPr>
        <w:t>HIV</w:t>
      </w:r>
      <w:r>
        <w:rPr>
          <w:color w:val="231F20"/>
          <w:spacing w:val="-7"/>
          <w:w w:val="105"/>
          <w:sz w:val="24"/>
        </w:rPr>
        <w:t> 陽性病史，或至遲於 </w:t>
      </w:r>
      <w:r>
        <w:rPr>
          <w:color w:val="231F20"/>
          <w:w w:val="105"/>
          <w:sz w:val="24"/>
        </w:rPr>
        <w:t>3</w:t>
      </w:r>
      <w:r>
        <w:rPr>
          <w:color w:val="231F20"/>
          <w:spacing w:val="-8"/>
          <w:w w:val="105"/>
          <w:sz w:val="24"/>
        </w:rPr>
        <w:t> 個月內確認 </w:t>
      </w:r>
      <w:r>
        <w:rPr>
          <w:color w:val="231F20"/>
          <w:spacing w:val="-3"/>
          <w:w w:val="80"/>
          <w:sz w:val="24"/>
        </w:rPr>
        <w:t>／ </w:t>
      </w:r>
      <w:r>
        <w:rPr>
          <w:color w:val="231F20"/>
          <w:spacing w:val="-8"/>
          <w:w w:val="105"/>
          <w:sz w:val="24"/>
        </w:rPr>
        <w:t>完成 </w:t>
      </w:r>
      <w:r>
        <w:rPr>
          <w:color w:val="231F20"/>
          <w:w w:val="105"/>
          <w:sz w:val="24"/>
        </w:rPr>
        <w:t>HIV</w:t>
      </w:r>
      <w:r>
        <w:rPr>
          <w:color w:val="231F20"/>
          <w:spacing w:val="-5"/>
          <w:w w:val="105"/>
          <w:sz w:val="24"/>
        </w:rPr>
        <w:t> 檢驗及追蹤其結</w:t>
      </w:r>
    </w:p>
    <w:p>
      <w:pPr>
        <w:pStyle w:val="BodyText"/>
        <w:spacing w:line="400" w:lineRule="exact"/>
        <w:ind w:left="1349"/>
      </w:pPr>
      <w:r>
        <w:rPr>
          <w:color w:val="231F20"/>
        </w:rPr>
        <w:t>果，提供治療照護之參考。</w:t>
      </w:r>
    </w:p>
    <w:p>
      <w:pPr>
        <w:pStyle w:val="ListParagraph"/>
        <w:numPr>
          <w:ilvl w:val="0"/>
          <w:numId w:val="102"/>
        </w:numPr>
        <w:tabs>
          <w:tab w:pos="1351" w:val="left" w:leader="none"/>
        </w:tabs>
        <w:spacing w:line="230" w:lineRule="auto" w:before="3" w:after="0"/>
        <w:ind w:left="1349" w:right="1136" w:hanging="255"/>
        <w:jc w:val="left"/>
        <w:rPr>
          <w:sz w:val="24"/>
        </w:rPr>
      </w:pPr>
      <w:r>
        <w:rPr>
          <w:color w:val="231F20"/>
          <w:spacing w:val="-1"/>
          <w:sz w:val="24"/>
        </w:rPr>
        <w:t>確認抗愛滋病毒與抗結核藥物治療交互作用及療程延長的情形(詳細內容請參閱</w:t>
      </w:r>
      <w:r>
        <w:rPr>
          <w:color w:val="231F20"/>
          <w:w w:val="105"/>
          <w:sz w:val="24"/>
        </w:rPr>
        <w:t>結核病診治指引第九章)。</w:t>
      </w:r>
    </w:p>
    <w:p>
      <w:pPr>
        <w:pStyle w:val="ListParagraph"/>
        <w:numPr>
          <w:ilvl w:val="0"/>
          <w:numId w:val="102"/>
        </w:numPr>
        <w:tabs>
          <w:tab w:pos="1350" w:val="left" w:leader="none"/>
        </w:tabs>
        <w:spacing w:line="368" w:lineRule="exact" w:before="0" w:after="0"/>
        <w:ind w:left="1349" w:right="0" w:hanging="256"/>
        <w:jc w:val="left"/>
        <w:rPr>
          <w:sz w:val="24"/>
        </w:rPr>
      </w:pPr>
      <w:r>
        <w:rPr>
          <w:color w:val="231F20"/>
          <w:spacing w:val="4"/>
          <w:sz w:val="24"/>
        </w:rPr>
        <w:t>TB／HIV</w:t>
      </w:r>
      <w:r>
        <w:rPr>
          <w:color w:val="231F20"/>
          <w:spacing w:val="1"/>
          <w:sz w:val="24"/>
        </w:rPr>
        <w:t> 個案採合作之疫情調查作業，並互相提供接觸者調查等相關資訊及個案</w:t>
      </w:r>
    </w:p>
    <w:p>
      <w:pPr>
        <w:pStyle w:val="BodyText"/>
        <w:spacing w:line="400" w:lineRule="exact"/>
        <w:ind w:left="1349"/>
      </w:pPr>
      <w:r>
        <w:rPr>
          <w:color w:val="231F20"/>
        </w:rPr>
        <w:t>管理。</w:t>
      </w:r>
    </w:p>
    <w:p>
      <w:pPr>
        <w:pStyle w:val="BodyText"/>
        <w:tabs>
          <w:tab w:pos="1349" w:val="left" w:leader="none"/>
        </w:tabs>
        <w:spacing w:line="400" w:lineRule="exact"/>
        <w:ind w:left="749"/>
      </w:pPr>
      <w:r>
        <w:rPr>
          <w:color w:val="231F20"/>
        </w:rPr>
        <w:t>(二)</w:t>
        <w:tab/>
        <w:t>腎臟病</w:t>
      </w:r>
      <w:r>
        <w:rPr>
          <w:color w:val="231F20"/>
          <w:spacing w:val="-8"/>
        </w:rPr>
        <w:t> </w:t>
      </w:r>
      <w:r>
        <w:rPr>
          <w:color w:val="231F20"/>
          <w:w w:val="70"/>
        </w:rPr>
        <w:t>／</w:t>
      </w:r>
      <w:r>
        <w:rPr>
          <w:color w:val="231F20"/>
          <w:spacing w:val="13"/>
          <w:w w:val="70"/>
        </w:rPr>
        <w:t> </w:t>
      </w:r>
      <w:r>
        <w:rPr>
          <w:color w:val="231F20"/>
        </w:rPr>
        <w:t>洗腎</w:t>
      </w:r>
    </w:p>
    <w:p>
      <w:pPr>
        <w:pStyle w:val="ListParagraph"/>
        <w:numPr>
          <w:ilvl w:val="0"/>
          <w:numId w:val="103"/>
        </w:numPr>
        <w:tabs>
          <w:tab w:pos="1350" w:val="left" w:leader="none"/>
        </w:tabs>
        <w:spacing w:line="400" w:lineRule="exact" w:before="0" w:after="0"/>
        <w:ind w:left="1349" w:right="0" w:hanging="256"/>
        <w:jc w:val="left"/>
        <w:rPr>
          <w:sz w:val="24"/>
        </w:rPr>
      </w:pPr>
      <w:r>
        <w:rPr>
          <w:color w:val="231F20"/>
          <w:w w:val="105"/>
          <w:sz w:val="24"/>
        </w:rPr>
        <w:t>留意洗腎頻率與藥物種類、頻次與服藥時間(如：洗腎後服藥)之合適性。</w:t>
      </w:r>
    </w:p>
    <w:p>
      <w:pPr>
        <w:pStyle w:val="ListParagraph"/>
        <w:numPr>
          <w:ilvl w:val="0"/>
          <w:numId w:val="103"/>
        </w:numPr>
        <w:tabs>
          <w:tab w:pos="1349" w:val="left" w:leader="none"/>
          <w:tab w:pos="1350" w:val="left" w:leader="none"/>
        </w:tabs>
        <w:spacing w:line="213" w:lineRule="auto" w:before="22" w:after="0"/>
        <w:ind w:left="749" w:right="3815" w:firstLine="344"/>
        <w:jc w:val="left"/>
        <w:rPr>
          <w:sz w:val="24"/>
        </w:rPr>
      </w:pPr>
      <w:r>
        <w:rPr>
          <w:color w:val="231F20"/>
          <w:sz w:val="24"/>
        </w:rPr>
        <w:t>協助留意個案藥物副作用，並持續追蹤痰液陰轉情形</w:t>
      </w:r>
      <w:r>
        <w:rPr>
          <w:color w:val="231F20"/>
          <w:spacing w:val="-19"/>
          <w:sz w:val="24"/>
        </w:rPr>
        <w:t>。</w:t>
      </w:r>
      <w:r>
        <w:rPr>
          <w:color w:val="231F20"/>
          <w:w w:val="105"/>
          <w:sz w:val="24"/>
        </w:rPr>
        <w:t>(匹)</w:t>
        <w:tab/>
        <w:t>免疫不全相關疾病之</w:t>
      </w:r>
      <w:r>
        <w:rPr>
          <w:color w:val="231F20"/>
          <w:spacing w:val="1"/>
          <w:w w:val="105"/>
          <w:sz w:val="24"/>
        </w:rPr>
        <w:t> </w:t>
      </w:r>
      <w:r>
        <w:rPr>
          <w:color w:val="231F20"/>
          <w:w w:val="105"/>
          <w:sz w:val="24"/>
        </w:rPr>
        <w:t>5</w:t>
      </w:r>
      <w:r>
        <w:rPr>
          <w:color w:val="231F20"/>
          <w:spacing w:val="2"/>
          <w:w w:val="105"/>
          <w:sz w:val="24"/>
        </w:rPr>
        <w:t> </w:t>
      </w:r>
      <w:r>
        <w:rPr>
          <w:color w:val="231F20"/>
          <w:w w:val="105"/>
          <w:sz w:val="24"/>
        </w:rPr>
        <w:t>歲(含)以上肺外結核病個案</w:t>
      </w:r>
    </w:p>
    <w:p>
      <w:pPr>
        <w:pStyle w:val="BodyText"/>
        <w:spacing w:line="223" w:lineRule="auto" w:before="18"/>
        <w:ind w:left="1343" w:right="1376"/>
      </w:pPr>
      <w:r>
        <w:rPr>
          <w:color w:val="231F20"/>
        </w:rPr>
        <w:t>診療醫師若懷疑為接種卡介苗不良反應案件，請將相關資料提送縣市級病例討論，建議檢體送疾管署分枝桿菌實驗室進行</w:t>
      </w:r>
      <w:r>
        <w:rPr>
          <w:color w:val="231F20"/>
          <w:sz w:val="25"/>
        </w:rPr>
        <w:t>M. bovis </w:t>
      </w:r>
      <w:r>
        <w:rPr>
          <w:color w:val="231F20"/>
        </w:rPr>
        <w:t>BCG 鑑定。</w:t>
      </w:r>
    </w:p>
    <w:p>
      <w:pPr>
        <w:pStyle w:val="BodyText"/>
        <w:tabs>
          <w:tab w:pos="1349" w:val="left" w:leader="none"/>
        </w:tabs>
        <w:spacing w:line="395" w:lineRule="exact" w:before="13"/>
        <w:ind w:left="749"/>
      </w:pPr>
      <w:r>
        <w:rPr>
          <w:color w:val="231F20"/>
        </w:rPr>
        <w:t>(五)</w:t>
        <w:tab/>
        <w:t>膀胱癌病人使用卡介苗引起活動性卡介苗炎</w:t>
      </w:r>
    </w:p>
    <w:p>
      <w:pPr>
        <w:pStyle w:val="BodyText"/>
        <w:spacing w:line="395" w:lineRule="exact"/>
        <w:ind w:left="1343"/>
      </w:pPr>
      <w:r>
        <w:rPr>
          <w:color w:val="231F20"/>
        </w:rPr>
        <w:t>應確認通報資料是否完整、於 TB 系統上傳相關報告並收集臨床相關資料提送縣</w:t>
      </w:r>
    </w:p>
    <w:p>
      <w:pPr>
        <w:pStyle w:val="BodyText"/>
        <w:spacing w:line="230" w:lineRule="auto" w:before="21"/>
        <w:ind w:left="1343" w:right="1548"/>
      </w:pPr>
      <w:r>
        <w:rPr>
          <w:color w:val="231F20"/>
          <w:spacing w:val="-11"/>
          <w:w w:val="95"/>
        </w:rPr>
        <w:t>市病例討論，如排除因免疫氐下合併結核病之狀態，得以「</w:t>
      </w:r>
      <w:r>
        <w:rPr>
          <w:color w:val="231F20"/>
          <w:w w:val="95"/>
        </w:rPr>
        <w:t>BCG</w:t>
      </w:r>
      <w:r>
        <w:rPr>
          <w:color w:val="231F20"/>
          <w:spacing w:val="6"/>
          <w:w w:val="95"/>
        </w:rPr>
        <w:t>  排除診斷</w:t>
      </w:r>
      <w:r>
        <w:rPr>
          <w:color w:val="231F20"/>
          <w:spacing w:val="38"/>
          <w:w w:val="90"/>
        </w:rPr>
        <w:t>」</w:t>
      </w:r>
      <w:r>
        <w:rPr>
          <w:color w:val="231F20"/>
          <w:spacing w:val="-18"/>
          <w:w w:val="95"/>
        </w:rPr>
        <w:t>銷</w:t>
      </w:r>
      <w:r>
        <w:rPr>
          <w:color w:val="231F20"/>
        </w:rPr>
        <w:t>案。此類個案收案之初，暫不需進行結核病衛教及接觸者檢查。</w:t>
      </w:r>
    </w:p>
    <w:p>
      <w:pPr>
        <w:pStyle w:val="BodyText"/>
        <w:spacing w:line="409" w:lineRule="exact" w:before="40"/>
        <w:ind w:left="391"/>
      </w:pPr>
      <w:r>
        <w:rPr>
          <w:color w:val="231F20"/>
        </w:rPr>
        <w:t>—、未滿 5 歲之肺外結核幼兒</w:t>
      </w:r>
    </w:p>
    <w:p>
      <w:pPr>
        <w:pStyle w:val="BodyText"/>
        <w:spacing w:line="230" w:lineRule="auto" w:before="3"/>
        <w:ind w:left="1349" w:right="1130" w:hanging="720"/>
        <w:jc w:val="both"/>
      </w:pPr>
      <w:r>
        <w:rPr>
          <w:color w:val="231F20"/>
        </w:rPr>
        <w:t>( ＿ ) 與診療醫師釐清個案肺外病灶部位，並於 TB 系統確認及點選肺外結核註記，以最嚴重部位優先註記，特別是粟粒性結核、結核性腦膜炎與骨及關節結核，若肺外病灶部位超過＿處以上者，請於 TB 系統「肺外註記說明」詳列所有肺外病灶</w:t>
      </w:r>
    </w:p>
    <w:p>
      <w:pPr>
        <w:spacing w:after="0" w:line="230" w:lineRule="auto"/>
        <w:jc w:val="both"/>
        <w:sectPr>
          <w:pgSz w:w="11910" w:h="16840"/>
          <w:pgMar w:top="1060" w:bottom="0" w:left="980" w:right="0"/>
        </w:sectPr>
      </w:pPr>
    </w:p>
    <w:p>
      <w:pPr>
        <w:pStyle w:val="BodyText"/>
        <w:spacing w:line="409" w:lineRule="exact" w:before="59"/>
        <w:ind w:left="1349"/>
        <w:jc w:val="both"/>
      </w:pPr>
      <w:r>
        <w:rPr>
          <w:color w:val="231F20"/>
        </w:rPr>
        <w:t>部位，並將病理報告上傳 TB 系統。</w:t>
      </w:r>
    </w:p>
    <w:p>
      <w:pPr>
        <w:pStyle w:val="BodyText"/>
        <w:spacing w:line="230" w:lineRule="auto" w:before="2"/>
        <w:ind w:left="1349" w:right="1131" w:hanging="720"/>
        <w:jc w:val="both"/>
      </w:pPr>
      <w:r>
        <w:rPr>
          <w:color w:val="231F20"/>
        </w:rPr>
        <w:t>( — ) 追蹤並建議院所採集肺外檢體送疾管署分枝桿菌實驗室進行菌株鑑定，埤利進行卡介苗不良反應監測。檢體送驗方式，詳細內容請參閱第—章「結核菌及潛伏結核感染檢驗」。</w:t>
      </w:r>
    </w:p>
    <w:p>
      <w:pPr>
        <w:pStyle w:val="BodyText"/>
        <w:spacing w:line="225" w:lineRule="auto"/>
        <w:ind w:left="1349" w:right="1135" w:hanging="720"/>
        <w:jc w:val="both"/>
      </w:pPr>
      <w:r>
        <w:rPr>
          <w:color w:val="231F20"/>
        </w:rPr>
        <w:t>( 二 ) 若鑑定結果為</w:t>
      </w:r>
      <w:r>
        <w:rPr>
          <w:color w:val="231F20"/>
          <w:sz w:val="25"/>
        </w:rPr>
        <w:t>M. bovis </w:t>
      </w:r>
      <w:r>
        <w:rPr>
          <w:color w:val="231F20"/>
        </w:rPr>
        <w:t>BCG 或診療醫師以 BCG 排除診斷者，應主動協助卡介苗接種不良反應之個案及家屬，向接種地衛生局申請預防接種受害救濟</w:t>
      </w:r>
      <w:r>
        <w:rPr>
          <w:color w:val="231F20"/>
          <w:w w:val="120"/>
        </w:rPr>
        <w:t>(VICP)</w:t>
      </w:r>
      <w:r>
        <w:rPr>
          <w:color w:val="231F20"/>
        </w:rPr>
        <w:t>。</w:t>
      </w:r>
    </w:p>
    <w:p>
      <w:pPr>
        <w:pStyle w:val="BodyText"/>
        <w:spacing w:line="230" w:lineRule="auto"/>
        <w:ind w:left="1349" w:right="1128" w:hanging="720"/>
        <w:jc w:val="both"/>
      </w:pPr>
      <w:r>
        <w:rPr/>
        <w:pict>
          <v:group style="position:absolute;margin-left:557.684509pt;margin-top:1.66982pt;width:37.35pt;height:663.55pt;mso-position-horizontal-relative:page;mso-position-vertical-relative:paragraph;z-index:251773952" coordorigin="11154,33" coordsize="747,13271">
            <v:shape style="position:absolute;left:11283;top:544;width:438;height:12760" type="#_x0000_t75" stroked="false">
              <v:imagedata r:id="rId49" o:title=""/>
            </v:shape>
            <v:shape style="position:absolute;left:11153;top:33;width:747;height:812" coordorigin="11154,33" coordsize="747,812" path="m11900,33l11536,33,11514,36,11454,70,11188,352,11154,439,11162,485,11454,809,11514,842,11536,845,11900,845,11900,33xe" filled="true" fillcolor="#7c8ac4" stroked="false">
              <v:path arrowok="t"/>
              <v:fill type="solid"/>
            </v:shape>
            <v:shape style="position:absolute;left:11307;top:300;width:393;height:278" type="#_x0000_t75" stroked="false">
              <v:imagedata r:id="rId75" o:title=""/>
            </v:shape>
            <v:shape style="position:absolute;left:11378;top:980;width:249;height:2257" type="#_x0000_t75" stroked="false">
              <v:imagedata r:id="rId51" o:title=""/>
            </v:shape>
            <v:shape style="position:absolute;left:11412;top:1274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55</w:t>
                    </w:r>
                  </w:p>
                </w:txbxContent>
              </v:textbox>
              <w10:wrap type="none"/>
            </v:shape>
            <w10:wrap type="none"/>
          </v:group>
        </w:pict>
      </w:r>
      <w:r>
        <w:rPr>
          <w:color w:val="231F20"/>
        </w:rPr>
        <w:t>( 匹 ) 符合下列任＿對象，應以「BCG 排除診斷」辦理銷案作業，倘需繼續服用抗結核藥物治療，銷案後收回智慧關懷卡，以健保方式進行後續之治療：</w:t>
      </w:r>
    </w:p>
    <w:p>
      <w:pPr>
        <w:pStyle w:val="ListParagraph"/>
        <w:numPr>
          <w:ilvl w:val="0"/>
          <w:numId w:val="104"/>
        </w:numPr>
        <w:tabs>
          <w:tab w:pos="1349" w:val="left" w:leader="none"/>
        </w:tabs>
        <w:spacing w:line="398" w:lineRule="exact" w:before="0" w:after="0"/>
        <w:ind w:left="1348" w:right="0" w:hanging="255"/>
        <w:jc w:val="both"/>
        <w:rPr>
          <w:sz w:val="24"/>
        </w:rPr>
      </w:pPr>
      <w:r>
        <w:rPr>
          <w:color w:val="231F20"/>
          <w:spacing w:val="1"/>
          <w:sz w:val="24"/>
        </w:rPr>
        <w:t>經疾管署分枝桿菌實驗室鑑定為</w:t>
      </w:r>
      <w:r>
        <w:rPr>
          <w:color w:val="231F20"/>
          <w:sz w:val="25"/>
        </w:rPr>
        <w:t>M</w:t>
      </w:r>
      <w:r>
        <w:rPr>
          <w:color w:val="231F20"/>
          <w:spacing w:val="-6"/>
          <w:sz w:val="25"/>
        </w:rPr>
        <w:t>. </w:t>
      </w:r>
      <w:r>
        <w:rPr>
          <w:color w:val="231F20"/>
          <w:sz w:val="25"/>
        </w:rPr>
        <w:t>bovis</w:t>
      </w:r>
      <w:r>
        <w:rPr>
          <w:color w:val="231F20"/>
          <w:spacing w:val="25"/>
          <w:sz w:val="25"/>
        </w:rPr>
        <w:t> </w:t>
      </w:r>
      <w:r>
        <w:rPr>
          <w:color w:val="231F20"/>
          <w:spacing w:val="-3"/>
          <w:sz w:val="24"/>
        </w:rPr>
        <w:t>BCG 者；</w:t>
      </w:r>
    </w:p>
    <w:p>
      <w:pPr>
        <w:pStyle w:val="ListParagraph"/>
        <w:numPr>
          <w:ilvl w:val="0"/>
          <w:numId w:val="104"/>
        </w:numPr>
        <w:tabs>
          <w:tab w:pos="1350" w:val="left" w:leader="none"/>
        </w:tabs>
        <w:spacing w:line="230" w:lineRule="auto" w:before="0" w:after="0"/>
        <w:ind w:left="1349" w:right="1136" w:hanging="255"/>
        <w:jc w:val="both"/>
        <w:rPr>
          <w:sz w:val="24"/>
        </w:rPr>
      </w:pPr>
      <w:r>
        <w:rPr>
          <w:color w:val="231F20"/>
          <w:spacing w:val="9"/>
          <w:sz w:val="24"/>
        </w:rPr>
        <w:t>無 </w:t>
      </w:r>
      <w:r>
        <w:rPr>
          <w:color w:val="231F20"/>
          <w:spacing w:val="-3"/>
          <w:sz w:val="24"/>
        </w:rPr>
        <w:t>BCG</w:t>
      </w:r>
      <w:r>
        <w:rPr>
          <w:color w:val="231F20"/>
          <w:spacing w:val="1"/>
          <w:sz w:val="24"/>
        </w:rPr>
        <w:t> 鑑定結果，但診療醫師仍高度懷疑屬 </w:t>
      </w:r>
      <w:r>
        <w:rPr>
          <w:color w:val="231F20"/>
          <w:spacing w:val="-3"/>
          <w:sz w:val="24"/>
        </w:rPr>
        <w:t>BCG</w:t>
      </w:r>
      <w:r>
        <w:rPr>
          <w:color w:val="231F20"/>
          <w:sz w:val="24"/>
        </w:rPr>
        <w:t> 疫苗不良反應(同側腋下淋巴結腫大或接種部位局部病灶)欲排除診斷者。</w:t>
      </w:r>
    </w:p>
    <w:p>
      <w:pPr>
        <w:pStyle w:val="BodyText"/>
        <w:spacing w:line="230" w:lineRule="auto"/>
        <w:ind w:left="1349" w:right="1135" w:hanging="720"/>
        <w:jc w:val="both"/>
      </w:pPr>
      <w:r>
        <w:rPr>
          <w:color w:val="231F20"/>
        </w:rPr>
        <w:t>( 五 ) 追蹤 5 歲以下肺外結核個案之預後情形：分別於醫師宣告完成治療時(欲採完治銷案前)及銷案 1 年後，透過訪視進行預後評估</w:t>
      </w:r>
      <w:r>
        <w:rPr>
          <w:color w:val="231F20"/>
          <w:w w:val="135"/>
        </w:rPr>
        <w:t>(表 6)，</w:t>
      </w:r>
      <w:r>
        <w:rPr>
          <w:color w:val="231F20"/>
        </w:rPr>
        <w:t>並於TB 系統銷案「備註」說明及「銷案後追蹤」填寫訪視結果。</w:t>
      </w:r>
    </w:p>
    <w:p>
      <w:pPr>
        <w:pStyle w:val="BodyText"/>
        <w:spacing w:line="403" w:lineRule="exact"/>
        <w:ind w:left="1343"/>
        <w:jc w:val="both"/>
      </w:pPr>
      <w:r>
        <w:rPr/>
        <w:pict>
          <v:shape style="position:absolute;margin-left:116.170502pt;margin-top:17.776184pt;width:422.55pt;height:287.3pt;mso-position-horizontal-relative:page;mso-position-vertical-relative:paragraph;z-index:251774976"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3166"/>
                    <w:gridCol w:w="5263"/>
                  </w:tblGrid>
                  <w:tr>
                    <w:trPr>
                      <w:trHeight w:val="451" w:hRule="atLeast"/>
                    </w:trPr>
                    <w:tc>
                      <w:tcPr>
                        <w:tcW w:w="3166" w:type="dxa"/>
                        <w:shd w:val="clear" w:color="auto" w:fill="E6E7E8"/>
                      </w:tcPr>
                      <w:p>
                        <w:pPr>
                          <w:pStyle w:val="TableParagraph"/>
                          <w:spacing w:line="431" w:lineRule="exact"/>
                          <w:ind w:left="863"/>
                          <w:rPr>
                            <w:rFonts w:ascii="微軟正黑體" w:eastAsia="微軟正黑體" w:hint="eastAsia"/>
                            <w:b/>
                            <w:sz w:val="24"/>
                          </w:rPr>
                        </w:pPr>
                        <w:r>
                          <w:rPr>
                            <w:rFonts w:ascii="微軟正黑體" w:eastAsia="微軟正黑體" w:hint="eastAsia"/>
                            <w:b/>
                            <w:color w:val="231F20"/>
                            <w:sz w:val="24"/>
                          </w:rPr>
                          <w:t>肺外結核部位</w:t>
                        </w:r>
                      </w:p>
                    </w:tc>
                    <w:tc>
                      <w:tcPr>
                        <w:tcW w:w="5263" w:type="dxa"/>
                        <w:shd w:val="clear" w:color="auto" w:fill="E6E7E8"/>
                      </w:tcPr>
                      <w:p>
                        <w:pPr>
                          <w:pStyle w:val="TableParagraph"/>
                          <w:spacing w:line="431" w:lineRule="exact"/>
                          <w:ind w:left="1671"/>
                          <w:rPr>
                            <w:rFonts w:ascii="微軟正黑體" w:eastAsia="微軟正黑體" w:hint="eastAsia"/>
                            <w:b/>
                            <w:sz w:val="24"/>
                          </w:rPr>
                        </w:pPr>
                        <w:r>
                          <w:rPr>
                            <w:rFonts w:ascii="微軟正黑體" w:eastAsia="微軟正黑體" w:hint="eastAsia"/>
                            <w:b/>
                            <w:color w:val="231F20"/>
                            <w:sz w:val="24"/>
                          </w:rPr>
                          <w:t>預後狀態評估重點</w:t>
                        </w:r>
                      </w:p>
                    </w:tc>
                  </w:tr>
                  <w:tr>
                    <w:trPr>
                      <w:trHeight w:val="5249" w:hRule="atLeast"/>
                    </w:trPr>
                    <w:tc>
                      <w:tcPr>
                        <w:tcW w:w="3166" w:type="dxa"/>
                      </w:tcPr>
                      <w:p>
                        <w:pPr>
                          <w:pStyle w:val="TableParagraph"/>
                          <w:rPr>
                            <w:sz w:val="32"/>
                          </w:rPr>
                        </w:pPr>
                      </w:p>
                      <w:p>
                        <w:pPr>
                          <w:pStyle w:val="TableParagraph"/>
                          <w:rPr>
                            <w:sz w:val="32"/>
                          </w:rPr>
                        </w:pPr>
                      </w:p>
                      <w:p>
                        <w:pPr>
                          <w:pStyle w:val="TableParagraph"/>
                          <w:rPr>
                            <w:sz w:val="32"/>
                          </w:rPr>
                        </w:pPr>
                      </w:p>
                      <w:p>
                        <w:pPr>
                          <w:pStyle w:val="TableParagraph"/>
                          <w:spacing w:before="11"/>
                          <w:rPr>
                            <w:sz w:val="43"/>
                          </w:rPr>
                        </w:pPr>
                      </w:p>
                      <w:p>
                        <w:pPr>
                          <w:pStyle w:val="TableParagraph"/>
                          <w:ind w:left="112"/>
                          <w:rPr>
                            <w:sz w:val="24"/>
                          </w:rPr>
                        </w:pPr>
                        <w:r>
                          <w:rPr>
                            <w:color w:val="231F20"/>
                            <w:sz w:val="24"/>
                          </w:rPr>
                          <w:t>結核性腦膜炎 </w:t>
                        </w:r>
                        <w:r>
                          <w:rPr>
                            <w:color w:val="231F20"/>
                            <w:w w:val="75"/>
                            <w:sz w:val="24"/>
                          </w:rPr>
                          <w:t>＊</w:t>
                        </w:r>
                      </w:p>
                    </w:tc>
                    <w:tc>
                      <w:tcPr>
                        <w:tcW w:w="5263" w:type="dxa"/>
                      </w:tcPr>
                      <w:p>
                        <w:pPr>
                          <w:pStyle w:val="TableParagraph"/>
                          <w:numPr>
                            <w:ilvl w:val="0"/>
                            <w:numId w:val="105"/>
                          </w:numPr>
                          <w:tabs>
                            <w:tab w:pos="358" w:val="left" w:leader="none"/>
                          </w:tabs>
                          <w:spacing w:line="409" w:lineRule="exact" w:before="31" w:after="0"/>
                          <w:ind w:left="357" w:right="0" w:hanging="245"/>
                          <w:jc w:val="left"/>
                          <w:rPr>
                            <w:sz w:val="24"/>
                          </w:rPr>
                        </w:pPr>
                        <w:r>
                          <w:rPr>
                            <w:color w:val="231F20"/>
                            <w:sz w:val="24"/>
                          </w:rPr>
                          <w:t>死亡</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水腦，是否手術</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意識不清</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癲癇</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顱顏神經麻痺</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pacing w:val="-4"/>
                            <w:sz w:val="24"/>
                          </w:rPr>
                          <w:t>視力 </w:t>
                        </w:r>
                        <w:r>
                          <w:rPr>
                            <w:color w:val="231F20"/>
                            <w:spacing w:val="6"/>
                            <w:w w:val="70"/>
                            <w:sz w:val="24"/>
                          </w:rPr>
                          <w:t>／ </w:t>
                        </w:r>
                        <w:r>
                          <w:rPr>
                            <w:color w:val="231F20"/>
                            <w:sz w:val="24"/>
                          </w:rPr>
                          <w:t>聽力受損</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神經學後遺症，如：發展遲緩、認知障礙等</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偏癱</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肢體無力</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長期臥床</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需使用生活輔具，如：拐杖</w:t>
                        </w:r>
                      </w:p>
                      <w:p>
                        <w:pPr>
                          <w:pStyle w:val="TableParagraph"/>
                          <w:numPr>
                            <w:ilvl w:val="0"/>
                            <w:numId w:val="105"/>
                          </w:numPr>
                          <w:tabs>
                            <w:tab w:pos="358" w:val="left" w:leader="none"/>
                          </w:tabs>
                          <w:spacing w:line="400" w:lineRule="exact" w:before="0" w:after="0"/>
                          <w:ind w:left="357" w:right="0" w:hanging="245"/>
                          <w:jc w:val="left"/>
                          <w:rPr>
                            <w:sz w:val="24"/>
                          </w:rPr>
                        </w:pPr>
                        <w:r>
                          <w:rPr>
                            <w:color w:val="231F20"/>
                            <w:sz w:val="24"/>
                          </w:rPr>
                          <w:t>步態，如：步態不穩等</w:t>
                        </w:r>
                      </w:p>
                      <w:p>
                        <w:pPr>
                          <w:pStyle w:val="TableParagraph"/>
                          <w:numPr>
                            <w:ilvl w:val="0"/>
                            <w:numId w:val="105"/>
                          </w:numPr>
                          <w:tabs>
                            <w:tab w:pos="358" w:val="left" w:leader="none"/>
                          </w:tabs>
                          <w:spacing w:line="391" w:lineRule="exact" w:before="0" w:after="0"/>
                          <w:ind w:left="357" w:right="0" w:hanging="245"/>
                          <w:jc w:val="left"/>
                          <w:rPr>
                            <w:sz w:val="24"/>
                          </w:rPr>
                        </w:pPr>
                        <w:r>
                          <w:rPr>
                            <w:color w:val="231F20"/>
                            <w:sz w:val="24"/>
                          </w:rPr>
                          <w:t>其他</w:t>
                        </w:r>
                      </w:p>
                    </w:tc>
                  </w:tr>
                </w:tbl>
                <w:p>
                  <w:pPr>
                    <w:pStyle w:val="BodyText"/>
                  </w:pPr>
                </w:p>
              </w:txbxContent>
            </v:textbox>
            <w10:wrap type="none"/>
          </v:shape>
        </w:pict>
      </w:r>
      <w:r>
        <w:rPr>
          <w:color w:val="231F20"/>
        </w:rPr>
        <w:t>表 6、預後評估重點提示</w:t>
      </w:r>
    </w:p>
    <w:p>
      <w:pPr>
        <w:spacing w:after="0" w:line="403" w:lineRule="exact"/>
        <w:jc w:val="both"/>
        <w:sectPr>
          <w:pgSz w:w="11910" w:h="16840"/>
          <w:pgMar w:top="1060" w:bottom="0" w:left="980" w:right="0"/>
        </w:sectPr>
      </w:pPr>
    </w:p>
    <w:tbl>
      <w:tblPr>
        <w:tblW w:w="0" w:type="auto"/>
        <w:jc w:val="left"/>
        <w:tblInd w:w="135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3166"/>
        <w:gridCol w:w="5263"/>
      </w:tblGrid>
      <w:tr>
        <w:trPr>
          <w:trHeight w:val="451" w:hRule="atLeast"/>
        </w:trPr>
        <w:tc>
          <w:tcPr>
            <w:tcW w:w="3166" w:type="dxa"/>
            <w:shd w:val="clear" w:color="auto" w:fill="E6E7E8"/>
          </w:tcPr>
          <w:p>
            <w:pPr>
              <w:pStyle w:val="TableParagraph"/>
              <w:spacing w:line="431" w:lineRule="exact"/>
              <w:ind w:left="863"/>
              <w:rPr>
                <w:rFonts w:ascii="微軟正黑體" w:eastAsia="微軟正黑體" w:hint="eastAsia"/>
                <w:b/>
                <w:sz w:val="24"/>
              </w:rPr>
            </w:pPr>
            <w:r>
              <w:rPr>
                <w:rFonts w:ascii="微軟正黑體" w:eastAsia="微軟正黑體" w:hint="eastAsia"/>
                <w:b/>
                <w:color w:val="231F20"/>
                <w:sz w:val="24"/>
              </w:rPr>
              <w:t>肺外結核部位</w:t>
            </w:r>
          </w:p>
        </w:tc>
        <w:tc>
          <w:tcPr>
            <w:tcW w:w="5263" w:type="dxa"/>
            <w:shd w:val="clear" w:color="auto" w:fill="E6E7E8"/>
          </w:tcPr>
          <w:p>
            <w:pPr>
              <w:pStyle w:val="TableParagraph"/>
              <w:spacing w:line="431" w:lineRule="exact"/>
              <w:ind w:left="1671"/>
              <w:rPr>
                <w:rFonts w:ascii="微軟正黑體" w:eastAsia="微軟正黑體" w:hint="eastAsia"/>
                <w:b/>
                <w:sz w:val="24"/>
              </w:rPr>
            </w:pPr>
            <w:r>
              <w:rPr>
                <w:rFonts w:ascii="微軟正黑體" w:eastAsia="微軟正黑體" w:hint="eastAsia"/>
                <w:b/>
                <w:color w:val="231F20"/>
                <w:sz w:val="24"/>
              </w:rPr>
              <w:t>預後狀態評估重點</w:t>
            </w:r>
          </w:p>
        </w:tc>
      </w:tr>
      <w:tr>
        <w:trPr>
          <w:trHeight w:val="413" w:hRule="atLeast"/>
        </w:trPr>
        <w:tc>
          <w:tcPr>
            <w:tcW w:w="3166" w:type="dxa"/>
            <w:tcBorders>
              <w:bottom w:val="nil"/>
            </w:tcBorders>
          </w:tcPr>
          <w:p>
            <w:pPr>
              <w:pStyle w:val="TableParagraph"/>
              <w:spacing w:line="362" w:lineRule="exact" w:before="31"/>
              <w:ind w:left="112"/>
              <w:rPr>
                <w:sz w:val="24"/>
              </w:rPr>
            </w:pPr>
            <w:r>
              <w:rPr>
                <w:color w:val="231F20"/>
                <w:sz w:val="24"/>
              </w:rPr>
              <w:t>淋巴結核</w:t>
            </w:r>
          </w:p>
        </w:tc>
        <w:tc>
          <w:tcPr>
            <w:tcW w:w="5263" w:type="dxa"/>
            <w:vMerge w:val="restart"/>
          </w:tcPr>
          <w:p>
            <w:pPr>
              <w:pStyle w:val="TableParagraph"/>
              <w:numPr>
                <w:ilvl w:val="0"/>
                <w:numId w:val="106"/>
              </w:numPr>
              <w:tabs>
                <w:tab w:pos="358" w:val="left" w:leader="none"/>
              </w:tabs>
              <w:spacing w:line="230" w:lineRule="auto" w:before="243" w:after="0"/>
              <w:ind w:left="356" w:right="96" w:hanging="244"/>
              <w:jc w:val="left"/>
              <w:rPr>
                <w:sz w:val="24"/>
              </w:rPr>
            </w:pPr>
            <w:r>
              <w:rPr>
                <w:color w:val="231F20"/>
                <w:spacing w:val="-1"/>
                <w:sz w:val="24"/>
              </w:rPr>
              <w:t>病灶部位恢復情形，如：恢復良好、無不良預後、傷口持續化膿…等</w:t>
            </w:r>
          </w:p>
          <w:p>
            <w:pPr>
              <w:pStyle w:val="TableParagraph"/>
              <w:numPr>
                <w:ilvl w:val="0"/>
                <w:numId w:val="106"/>
              </w:numPr>
              <w:tabs>
                <w:tab w:pos="358" w:val="left" w:leader="none"/>
              </w:tabs>
              <w:spacing w:line="395" w:lineRule="exact" w:before="0" w:after="0"/>
              <w:ind w:left="357" w:right="0" w:hanging="245"/>
              <w:jc w:val="left"/>
              <w:rPr>
                <w:sz w:val="24"/>
              </w:rPr>
            </w:pPr>
            <w:r>
              <w:rPr>
                <w:color w:val="231F20"/>
                <w:sz w:val="24"/>
              </w:rPr>
              <w:t>病灶部位是否須手術？是否已執行手術？</w:t>
            </w:r>
          </w:p>
          <w:p>
            <w:pPr>
              <w:pStyle w:val="TableParagraph"/>
              <w:numPr>
                <w:ilvl w:val="0"/>
                <w:numId w:val="106"/>
              </w:numPr>
              <w:tabs>
                <w:tab w:pos="358" w:val="left" w:leader="none"/>
              </w:tabs>
              <w:spacing w:line="400" w:lineRule="exact" w:before="0" w:after="0"/>
              <w:ind w:left="357" w:right="0" w:hanging="245"/>
              <w:jc w:val="left"/>
              <w:rPr>
                <w:sz w:val="24"/>
              </w:rPr>
            </w:pPr>
            <w:r>
              <w:rPr>
                <w:color w:val="231F20"/>
                <w:spacing w:val="-4"/>
                <w:sz w:val="24"/>
              </w:rPr>
              <w:t>駝背 </w:t>
            </w:r>
            <w:r>
              <w:rPr>
                <w:color w:val="231F20"/>
                <w:spacing w:val="4"/>
                <w:w w:val="70"/>
                <w:sz w:val="24"/>
              </w:rPr>
              <w:t>／ </w:t>
            </w:r>
            <w:r>
              <w:rPr>
                <w:color w:val="231F20"/>
                <w:spacing w:val="-4"/>
                <w:sz w:val="24"/>
              </w:rPr>
              <w:t>跛行 </w:t>
            </w:r>
            <w:r>
              <w:rPr>
                <w:color w:val="231F20"/>
                <w:spacing w:val="4"/>
                <w:w w:val="70"/>
                <w:sz w:val="24"/>
              </w:rPr>
              <w:t>／ </w:t>
            </w:r>
            <w:r>
              <w:rPr>
                <w:color w:val="231F20"/>
                <w:sz w:val="24"/>
              </w:rPr>
              <w:t>肢體長短不對稱</w:t>
            </w:r>
          </w:p>
          <w:p>
            <w:pPr>
              <w:pStyle w:val="TableParagraph"/>
              <w:numPr>
                <w:ilvl w:val="0"/>
                <w:numId w:val="106"/>
              </w:numPr>
              <w:tabs>
                <w:tab w:pos="358" w:val="left" w:leader="none"/>
              </w:tabs>
              <w:spacing w:line="400" w:lineRule="exact" w:before="0" w:after="0"/>
              <w:ind w:left="357" w:right="0" w:hanging="245"/>
              <w:jc w:val="left"/>
              <w:rPr>
                <w:sz w:val="24"/>
              </w:rPr>
            </w:pPr>
            <w:r>
              <w:rPr>
                <w:color w:val="231F20"/>
                <w:sz w:val="24"/>
              </w:rPr>
              <w:t>需使用生活輔具，如：拐杖</w:t>
            </w:r>
          </w:p>
          <w:p>
            <w:pPr>
              <w:pStyle w:val="TableParagraph"/>
              <w:numPr>
                <w:ilvl w:val="0"/>
                <w:numId w:val="106"/>
              </w:numPr>
              <w:tabs>
                <w:tab w:pos="358" w:val="left" w:leader="none"/>
              </w:tabs>
              <w:spacing w:line="400" w:lineRule="exact" w:before="0" w:after="0"/>
              <w:ind w:left="357" w:right="0" w:hanging="245"/>
              <w:jc w:val="left"/>
              <w:rPr>
                <w:sz w:val="24"/>
              </w:rPr>
            </w:pPr>
            <w:r>
              <w:rPr>
                <w:color w:val="231F20"/>
                <w:sz w:val="24"/>
              </w:rPr>
              <w:t>步態，如：步態不穩</w:t>
            </w:r>
          </w:p>
          <w:p>
            <w:pPr>
              <w:pStyle w:val="TableParagraph"/>
              <w:numPr>
                <w:ilvl w:val="0"/>
                <w:numId w:val="106"/>
              </w:numPr>
              <w:tabs>
                <w:tab w:pos="358" w:val="left" w:leader="none"/>
              </w:tabs>
              <w:spacing w:line="400" w:lineRule="exact" w:before="0" w:after="0"/>
              <w:ind w:left="357" w:right="0" w:hanging="245"/>
              <w:jc w:val="left"/>
              <w:rPr>
                <w:sz w:val="24"/>
              </w:rPr>
            </w:pPr>
            <w:r>
              <w:rPr>
                <w:color w:val="231F20"/>
                <w:sz w:val="24"/>
              </w:rPr>
              <w:t>須持續復健</w:t>
            </w:r>
          </w:p>
          <w:p>
            <w:pPr>
              <w:pStyle w:val="TableParagraph"/>
              <w:numPr>
                <w:ilvl w:val="0"/>
                <w:numId w:val="106"/>
              </w:numPr>
              <w:tabs>
                <w:tab w:pos="358" w:val="left" w:leader="none"/>
              </w:tabs>
              <w:spacing w:line="409" w:lineRule="exact" w:before="0" w:after="0"/>
              <w:ind w:left="357" w:right="0" w:hanging="245"/>
              <w:jc w:val="left"/>
              <w:rPr>
                <w:sz w:val="24"/>
              </w:rPr>
            </w:pPr>
            <w:r>
              <w:rPr>
                <w:color w:val="231F20"/>
                <w:sz w:val="24"/>
              </w:rPr>
              <w:t>其他</w:t>
            </w:r>
          </w:p>
        </w:tc>
      </w:tr>
      <w:tr>
        <w:trPr>
          <w:trHeight w:val="384" w:hRule="atLeast"/>
        </w:trPr>
        <w:tc>
          <w:tcPr>
            <w:tcW w:w="3166" w:type="dxa"/>
            <w:tcBorders>
              <w:top w:val="nil"/>
              <w:bottom w:val="nil"/>
            </w:tcBorders>
          </w:tcPr>
          <w:p>
            <w:pPr>
              <w:pStyle w:val="TableParagraph"/>
              <w:spacing w:line="362" w:lineRule="exact" w:before="3"/>
              <w:ind w:left="112"/>
              <w:rPr>
                <w:sz w:val="24"/>
              </w:rPr>
            </w:pPr>
            <w:r>
              <w:rPr>
                <w:color w:val="231F20"/>
                <w:sz w:val="24"/>
              </w:rPr>
              <w:t>骨及關節結核 </w:t>
            </w:r>
            <w:r>
              <w:rPr>
                <w:color w:val="231F20"/>
                <w:w w:val="75"/>
                <w:sz w:val="24"/>
              </w:rPr>
              <w:t>＊</w:t>
            </w:r>
          </w:p>
        </w:tc>
        <w:tc>
          <w:tcPr>
            <w:tcW w:w="5263" w:type="dxa"/>
            <w:vMerge/>
            <w:tcBorders>
              <w:top w:val="nil"/>
            </w:tcBorders>
          </w:tcPr>
          <w:p>
            <w:pPr>
              <w:rPr>
                <w:sz w:val="2"/>
                <w:szCs w:val="2"/>
              </w:rPr>
            </w:pPr>
          </w:p>
        </w:tc>
      </w:tr>
      <w:tr>
        <w:trPr>
          <w:trHeight w:val="384" w:hRule="atLeast"/>
        </w:trPr>
        <w:tc>
          <w:tcPr>
            <w:tcW w:w="3166" w:type="dxa"/>
            <w:tcBorders>
              <w:top w:val="nil"/>
              <w:bottom w:val="nil"/>
            </w:tcBorders>
          </w:tcPr>
          <w:p>
            <w:pPr>
              <w:pStyle w:val="TableParagraph"/>
              <w:spacing w:line="362" w:lineRule="exact" w:before="3"/>
              <w:ind w:left="112"/>
              <w:rPr>
                <w:sz w:val="24"/>
              </w:rPr>
            </w:pPr>
            <w:r>
              <w:rPr>
                <w:color w:val="231F20"/>
                <w:sz w:val="24"/>
              </w:rPr>
              <w:t>泌尿及生殖結核</w:t>
            </w:r>
          </w:p>
        </w:tc>
        <w:tc>
          <w:tcPr>
            <w:tcW w:w="5263" w:type="dxa"/>
            <w:vMerge/>
            <w:tcBorders>
              <w:top w:val="nil"/>
            </w:tcBorders>
          </w:tcPr>
          <w:p>
            <w:pPr>
              <w:rPr>
                <w:sz w:val="2"/>
                <w:szCs w:val="2"/>
              </w:rPr>
            </w:pPr>
          </w:p>
        </w:tc>
      </w:tr>
      <w:tr>
        <w:trPr>
          <w:trHeight w:val="384" w:hRule="atLeast"/>
        </w:trPr>
        <w:tc>
          <w:tcPr>
            <w:tcW w:w="3166" w:type="dxa"/>
            <w:tcBorders>
              <w:top w:val="nil"/>
              <w:bottom w:val="nil"/>
            </w:tcBorders>
          </w:tcPr>
          <w:p>
            <w:pPr>
              <w:pStyle w:val="TableParagraph"/>
              <w:spacing w:line="362" w:lineRule="exact" w:before="3"/>
              <w:ind w:left="112"/>
              <w:rPr>
                <w:sz w:val="24"/>
              </w:rPr>
            </w:pPr>
            <w:r>
              <w:rPr>
                <w:color w:val="231F20"/>
                <w:sz w:val="24"/>
              </w:rPr>
              <w:t>皮膚及眼結核</w:t>
            </w:r>
          </w:p>
        </w:tc>
        <w:tc>
          <w:tcPr>
            <w:tcW w:w="5263" w:type="dxa"/>
            <w:vMerge/>
            <w:tcBorders>
              <w:top w:val="nil"/>
            </w:tcBorders>
          </w:tcPr>
          <w:p>
            <w:pPr>
              <w:rPr>
                <w:sz w:val="2"/>
                <w:szCs w:val="2"/>
              </w:rPr>
            </w:pPr>
          </w:p>
        </w:tc>
      </w:tr>
      <w:tr>
        <w:trPr>
          <w:trHeight w:val="384" w:hRule="atLeast"/>
        </w:trPr>
        <w:tc>
          <w:tcPr>
            <w:tcW w:w="3166" w:type="dxa"/>
            <w:tcBorders>
              <w:top w:val="nil"/>
              <w:bottom w:val="nil"/>
            </w:tcBorders>
          </w:tcPr>
          <w:p>
            <w:pPr>
              <w:pStyle w:val="TableParagraph"/>
              <w:spacing w:line="362" w:lineRule="exact" w:before="3"/>
              <w:ind w:left="112"/>
              <w:rPr>
                <w:sz w:val="24"/>
              </w:rPr>
            </w:pPr>
            <w:r>
              <w:rPr>
                <w:color w:val="231F20"/>
                <w:sz w:val="24"/>
              </w:rPr>
              <w:t>消化道結核</w:t>
            </w:r>
          </w:p>
        </w:tc>
        <w:tc>
          <w:tcPr>
            <w:tcW w:w="5263" w:type="dxa"/>
            <w:vMerge/>
            <w:tcBorders>
              <w:top w:val="nil"/>
            </w:tcBorders>
          </w:tcPr>
          <w:p>
            <w:pPr>
              <w:rPr>
                <w:sz w:val="2"/>
                <w:szCs w:val="2"/>
              </w:rPr>
            </w:pPr>
          </w:p>
        </w:tc>
      </w:tr>
      <w:tr>
        <w:trPr>
          <w:trHeight w:val="384" w:hRule="atLeast"/>
        </w:trPr>
        <w:tc>
          <w:tcPr>
            <w:tcW w:w="3166" w:type="dxa"/>
            <w:tcBorders>
              <w:top w:val="nil"/>
              <w:bottom w:val="nil"/>
            </w:tcBorders>
          </w:tcPr>
          <w:p>
            <w:pPr>
              <w:pStyle w:val="TableParagraph"/>
              <w:spacing w:line="362" w:lineRule="exact" w:before="3"/>
              <w:ind w:left="112"/>
              <w:rPr>
                <w:sz w:val="24"/>
              </w:rPr>
            </w:pPr>
            <w:r>
              <w:rPr>
                <w:color w:val="231F20"/>
                <w:sz w:val="24"/>
              </w:rPr>
              <w:t>胸肋膜結核</w:t>
            </w:r>
          </w:p>
        </w:tc>
        <w:tc>
          <w:tcPr>
            <w:tcW w:w="5263" w:type="dxa"/>
            <w:vMerge/>
            <w:tcBorders>
              <w:top w:val="nil"/>
            </w:tcBorders>
          </w:tcPr>
          <w:p>
            <w:pPr>
              <w:rPr>
                <w:sz w:val="2"/>
                <w:szCs w:val="2"/>
              </w:rPr>
            </w:pPr>
          </w:p>
        </w:tc>
      </w:tr>
      <w:tr>
        <w:trPr>
          <w:trHeight w:val="384" w:hRule="atLeast"/>
        </w:trPr>
        <w:tc>
          <w:tcPr>
            <w:tcW w:w="3166" w:type="dxa"/>
            <w:tcBorders>
              <w:top w:val="nil"/>
              <w:bottom w:val="nil"/>
            </w:tcBorders>
          </w:tcPr>
          <w:p>
            <w:pPr>
              <w:pStyle w:val="TableParagraph"/>
              <w:spacing w:line="362" w:lineRule="exact" w:before="3"/>
              <w:ind w:left="112"/>
              <w:rPr>
                <w:sz w:val="24"/>
              </w:rPr>
            </w:pPr>
            <w:r>
              <w:rPr>
                <w:color w:val="231F20"/>
                <w:sz w:val="24"/>
              </w:rPr>
              <w:t>咽睺結核</w:t>
            </w:r>
          </w:p>
        </w:tc>
        <w:tc>
          <w:tcPr>
            <w:tcW w:w="5263" w:type="dxa"/>
            <w:vMerge/>
            <w:tcBorders>
              <w:top w:val="nil"/>
            </w:tcBorders>
          </w:tcPr>
          <w:p>
            <w:pPr>
              <w:rPr>
                <w:sz w:val="2"/>
                <w:szCs w:val="2"/>
              </w:rPr>
            </w:pPr>
          </w:p>
        </w:tc>
      </w:tr>
      <w:tr>
        <w:trPr>
          <w:trHeight w:val="384" w:hRule="atLeast"/>
        </w:trPr>
        <w:tc>
          <w:tcPr>
            <w:tcW w:w="3166" w:type="dxa"/>
            <w:tcBorders>
              <w:top w:val="nil"/>
              <w:bottom w:val="nil"/>
            </w:tcBorders>
          </w:tcPr>
          <w:p>
            <w:pPr>
              <w:pStyle w:val="TableParagraph"/>
              <w:spacing w:line="362" w:lineRule="exact" w:before="3"/>
              <w:ind w:left="112"/>
              <w:rPr>
                <w:sz w:val="24"/>
              </w:rPr>
            </w:pPr>
            <w:r>
              <w:rPr>
                <w:color w:val="231F20"/>
                <w:sz w:val="24"/>
              </w:rPr>
              <w:t>其他器官結核</w:t>
            </w:r>
          </w:p>
        </w:tc>
        <w:tc>
          <w:tcPr>
            <w:tcW w:w="5263" w:type="dxa"/>
            <w:vMerge/>
            <w:tcBorders>
              <w:top w:val="nil"/>
            </w:tcBorders>
          </w:tcPr>
          <w:p>
            <w:pPr>
              <w:rPr>
                <w:sz w:val="2"/>
                <w:szCs w:val="2"/>
              </w:rPr>
            </w:pPr>
          </w:p>
        </w:tc>
      </w:tr>
      <w:tr>
        <w:trPr>
          <w:trHeight w:val="423" w:hRule="atLeast"/>
        </w:trPr>
        <w:tc>
          <w:tcPr>
            <w:tcW w:w="3166" w:type="dxa"/>
            <w:tcBorders>
              <w:top w:val="nil"/>
            </w:tcBorders>
          </w:tcPr>
          <w:p>
            <w:pPr>
              <w:pStyle w:val="TableParagraph"/>
              <w:spacing w:line="400" w:lineRule="exact" w:before="3"/>
              <w:ind w:left="112"/>
              <w:rPr>
                <w:sz w:val="24"/>
              </w:rPr>
            </w:pPr>
            <w:r>
              <w:rPr>
                <w:color w:val="231F20"/>
                <w:sz w:val="24"/>
              </w:rPr>
              <w:t>粟粒性結核 </w:t>
            </w:r>
            <w:r>
              <w:rPr>
                <w:color w:val="231F20"/>
                <w:w w:val="75"/>
                <w:sz w:val="24"/>
              </w:rPr>
              <w:t>＊</w:t>
            </w:r>
          </w:p>
        </w:tc>
        <w:tc>
          <w:tcPr>
            <w:tcW w:w="5263" w:type="dxa"/>
            <w:vMerge/>
            <w:tcBorders>
              <w:top w:val="nil"/>
            </w:tcBorders>
          </w:tcPr>
          <w:p>
            <w:pPr>
              <w:rPr>
                <w:sz w:val="2"/>
                <w:szCs w:val="2"/>
              </w:rPr>
            </w:pPr>
          </w:p>
        </w:tc>
      </w:tr>
    </w:tbl>
    <w:p>
      <w:pPr>
        <w:pStyle w:val="BodyText"/>
        <w:spacing w:line="230" w:lineRule="auto" w:before="1"/>
        <w:ind w:left="1513" w:right="1134" w:hanging="171"/>
      </w:pPr>
      <w:r>
        <w:rPr/>
        <w:pict>
          <v:group style="position:absolute;margin-left:-.000001pt;margin-top:178.154007pt;width:37.35pt;height:663.55pt;mso-position-horizontal-relative:page;mso-position-vertical-relative:page;z-index:251777024"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76"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56</w:t>
                    </w:r>
                  </w:p>
                </w:txbxContent>
              </v:textbox>
              <w10:wrap type="none"/>
            </v:shape>
            <w10:wrap type="none"/>
          </v:group>
        </w:pict>
      </w:r>
      <w:r>
        <w:rPr>
          <w:color w:val="231F20"/>
        </w:rPr>
        <w:t>* 肺外結核以結核性腦膜炎、骨及關節結核，以及粟粒性結核等部位，較常導致嚴重不良之預後結果，應落實仔細評估。</w:t>
      </w:r>
    </w:p>
    <w:p>
      <w:pPr>
        <w:pStyle w:val="BodyText"/>
        <w:spacing w:before="17"/>
        <w:rPr>
          <w:sz w:val="21"/>
        </w:rPr>
      </w:pPr>
    </w:p>
    <w:p>
      <w:pPr>
        <w:pStyle w:val="BodyText"/>
        <w:spacing w:line="409" w:lineRule="exact"/>
        <w:ind w:left="391"/>
      </w:pPr>
      <w:r>
        <w:rPr>
          <w:color w:val="231F20"/>
        </w:rPr>
        <w:t>二、經濟弱勢個案</w:t>
      </w:r>
    </w:p>
    <w:p>
      <w:pPr>
        <w:pStyle w:val="BodyText"/>
        <w:spacing w:line="230" w:lineRule="auto" w:before="3"/>
        <w:ind w:left="878" w:right="1131"/>
        <w:jc w:val="both"/>
      </w:pPr>
      <w:r>
        <w:rPr>
          <w:color w:val="231F20"/>
        </w:rPr>
        <w:t>個案可能於結核病治療期間因無法工作，導致經濟困難中斷治療，公衛人員管理過程中評估個案有經濟困難，應協助申請相關經濟補助，如：中華民國防癆協會補助款， </w:t>
      </w:r>
      <w:r>
        <w:rPr>
          <w:color w:val="231F20"/>
          <w:spacing w:val="-6"/>
        </w:rPr>
        <w:t>或轉介 </w:t>
      </w:r>
      <w:r>
        <w:rPr>
          <w:color w:val="231F20"/>
          <w:spacing w:val="-1"/>
          <w:w w:val="70"/>
        </w:rPr>
        <w:t>／ </w:t>
      </w:r>
      <w:r>
        <w:rPr>
          <w:color w:val="231F20"/>
        </w:rPr>
        <w:t>申請社會局或民間團體之救助、長期照護或喘息服務等。各類社會救助申請資源(詳細內容請參閱第十匹章「防治資源及診療諮詢\</w:t>
      </w:r>
      <w:r>
        <w:rPr>
          <w:color w:val="231F20"/>
          <w:spacing w:val="14"/>
        </w:rPr>
        <w:t>組」)。</w:t>
      </w:r>
    </w:p>
    <w:p>
      <w:pPr>
        <w:pStyle w:val="BodyText"/>
        <w:spacing w:line="392" w:lineRule="exact"/>
        <w:ind w:left="391"/>
      </w:pPr>
      <w:r>
        <w:rPr>
          <w:color w:val="231F20"/>
        </w:rPr>
        <w:t>匹、不合作個案</w:t>
      </w:r>
    </w:p>
    <w:p>
      <w:pPr>
        <w:pStyle w:val="BodyText"/>
        <w:spacing w:line="230" w:lineRule="auto" w:before="2"/>
        <w:ind w:left="1349" w:right="1133" w:hanging="720"/>
        <w:jc w:val="both"/>
      </w:pPr>
      <w:r>
        <w:rPr>
          <w:color w:val="231F20"/>
        </w:rPr>
        <w:t>( ＿ ) 每位不合作個案都有其原因，倘無法協助解決，終將因服藥順從性問題導致中斷治療，使疾病無法治癒，常見原因為服藥產生副作用未能適時處理、經濟因素、與診療醫師(團隊)或院所之溝通有落差、個案或其家屬對疾病 </w:t>
      </w:r>
      <w:r>
        <w:rPr>
          <w:color w:val="231F20"/>
          <w:w w:val="70"/>
        </w:rPr>
        <w:t>／  </w:t>
      </w:r>
      <w:r>
        <w:rPr>
          <w:color w:val="231F20"/>
        </w:rPr>
        <w:t>健康信念差異等原因。</w:t>
      </w:r>
    </w:p>
    <w:p>
      <w:pPr>
        <w:pStyle w:val="BodyText"/>
        <w:spacing w:line="230" w:lineRule="auto"/>
        <w:ind w:left="1349" w:right="1128" w:hanging="720"/>
        <w:jc w:val="both"/>
      </w:pPr>
      <w:r>
        <w:rPr>
          <w:color w:val="231F20"/>
          <w:w w:val="96"/>
        </w:rPr>
        <w:t>(</w:t>
      </w:r>
      <w:r>
        <w:rPr>
          <w:color w:val="231F20"/>
        </w:rPr>
        <w:t> — </w:t>
      </w:r>
      <w:r>
        <w:rPr>
          <w:color w:val="231F20"/>
          <w:w w:val="96"/>
        </w:rPr>
        <w:t>)</w:t>
      </w:r>
      <w:r>
        <w:rPr>
          <w:color w:val="231F20"/>
        </w:rPr>
        <w:t>   公衛人員應以個案為中心</w:t>
      </w:r>
      <w:r>
        <w:rPr>
          <w:color w:val="231F20"/>
          <w:w w:val="300"/>
        </w:rPr>
        <w:t>(</w:t>
      </w:r>
      <w:r>
        <w:rPr>
          <w:color w:val="231F20"/>
          <w:w w:val="90"/>
        </w:rPr>
        <w:t>P</w:t>
      </w:r>
      <w:r>
        <w:rPr>
          <w:color w:val="231F20"/>
          <w:w w:val="98"/>
        </w:rPr>
        <w:t>a</w:t>
      </w:r>
      <w:r>
        <w:rPr>
          <w:color w:val="231F20"/>
          <w:w w:val="130"/>
        </w:rPr>
        <w:t>t</w:t>
      </w:r>
      <w:r>
        <w:rPr>
          <w:color w:val="231F20"/>
          <w:w w:val="116"/>
        </w:rPr>
        <w:t>i</w:t>
      </w:r>
      <w:r>
        <w:rPr>
          <w:color w:val="231F20"/>
          <w:w w:val="101"/>
        </w:rPr>
        <w:t>e</w:t>
      </w:r>
      <w:r>
        <w:rPr>
          <w:color w:val="231F20"/>
          <w:w w:val="109"/>
        </w:rPr>
        <w:t>n</w:t>
      </w:r>
      <w:r>
        <w:rPr>
          <w:color w:val="231F20"/>
          <w:w w:val="130"/>
        </w:rPr>
        <w:t>t</w:t>
      </w:r>
      <w:r>
        <w:rPr>
          <w:color w:val="231F20"/>
          <w:w w:val="129"/>
        </w:rPr>
        <w:t>-</w:t>
      </w:r>
      <w:r>
        <w:rPr>
          <w:color w:val="231F20"/>
          <w:w w:val="92"/>
        </w:rPr>
        <w:t>C</w:t>
      </w:r>
      <w:r>
        <w:rPr>
          <w:color w:val="231F20"/>
          <w:w w:val="101"/>
        </w:rPr>
        <w:t>e</w:t>
      </w:r>
      <w:r>
        <w:rPr>
          <w:color w:val="231F20"/>
          <w:w w:val="109"/>
        </w:rPr>
        <w:t>n</w:t>
      </w:r>
      <w:r>
        <w:rPr>
          <w:color w:val="231F20"/>
          <w:w w:val="130"/>
        </w:rPr>
        <w:t>t</w:t>
      </w:r>
      <w:r>
        <w:rPr>
          <w:color w:val="231F20"/>
          <w:w w:val="101"/>
        </w:rPr>
        <w:t>e</w:t>
      </w:r>
      <w:r>
        <w:rPr>
          <w:color w:val="231F20"/>
          <w:w w:val="111"/>
        </w:rPr>
        <w:t>r</w:t>
      </w:r>
      <w:r>
        <w:rPr>
          <w:color w:val="231F20"/>
          <w:w w:val="101"/>
        </w:rPr>
        <w:t>e</w:t>
      </w:r>
      <w:r>
        <w:rPr>
          <w:color w:val="231F20"/>
          <w:w w:val="113"/>
        </w:rPr>
        <w:t>d</w:t>
      </w:r>
      <w:r>
        <w:rPr>
          <w:color w:val="231F20"/>
        </w:rPr>
        <w:t> </w:t>
      </w:r>
      <w:r>
        <w:rPr>
          <w:color w:val="231F20"/>
          <w:w w:val="92"/>
        </w:rPr>
        <w:t>C</w:t>
      </w:r>
      <w:r>
        <w:rPr>
          <w:color w:val="231F20"/>
          <w:w w:val="98"/>
        </w:rPr>
        <w:t>a</w:t>
      </w:r>
      <w:r>
        <w:rPr>
          <w:color w:val="231F20"/>
          <w:w w:val="111"/>
        </w:rPr>
        <w:t>r</w:t>
      </w:r>
      <w:r>
        <w:rPr>
          <w:color w:val="231F20"/>
          <w:w w:val="101"/>
        </w:rPr>
        <w:t>e</w:t>
      </w:r>
      <w:r>
        <w:rPr>
          <w:color w:val="231F20"/>
          <w:w w:val="300"/>
        </w:rPr>
        <w:t>)</w:t>
      </w:r>
      <w:r>
        <w:rPr>
          <w:color w:val="231F20"/>
        </w:rPr>
        <w:t>，瞭解個案無法配合治療的原因，盡力協助解決，以提升服藥順從性，服藥產生副作用問題，可參考表 3 或與原診療醫師溝通處理，倘仍無法解決可轉介TMTC 團隊評估收案治療，經濟困難個案則協助尋求資源補助，依個案實際情形，適時請團隊與診療醫師共同協</w:t>
      </w:r>
      <w:r>
        <w:rPr>
          <w:color w:val="231F20"/>
          <w:w w:val="105"/>
        </w:rPr>
        <w:t>助個案，可結合公衛、社福及醫療端提供整合性照護(Integrated care)，以順</w:t>
      </w:r>
      <w:r>
        <w:rPr>
          <w:color w:val="231F20"/>
          <w:w w:val="110"/>
        </w:rPr>
        <w:t>利協助個案完成治療為目的。</w:t>
      </w:r>
    </w:p>
    <w:p>
      <w:pPr>
        <w:pStyle w:val="BodyText"/>
        <w:spacing w:line="230" w:lineRule="auto"/>
        <w:ind w:left="1349" w:right="1130" w:hanging="720"/>
        <w:jc w:val="both"/>
      </w:pPr>
      <w:r>
        <w:rPr>
          <w:color w:val="231F20"/>
        </w:rPr>
        <w:t>( 二 ) 倘為使個案配合治療之所有措施皆已用盡，個案仍無法配合治療，於 TB 系統詳實記錄原因、介入措施並申請主管協助；衛生局接獲申請，評估個案情況予以協助，必要時提送縣市病例討論請諮詢委員協助。</w:t>
      </w:r>
    </w:p>
    <w:p>
      <w:pPr>
        <w:pStyle w:val="BodyText"/>
        <w:spacing w:line="230" w:lineRule="auto"/>
        <w:ind w:left="1349" w:right="1132" w:hanging="720"/>
        <w:jc w:val="both"/>
      </w:pPr>
      <w:r>
        <w:rPr>
          <w:color w:val="231F20"/>
          <w:spacing w:val="-11"/>
          <w:w w:val="105"/>
        </w:rPr>
        <w:t>( 匹 ) 衛生局經評估，已無其他比施行隔腐治療較</w:t>
      </w:r>
      <w:r>
        <w:rPr>
          <w:color w:val="231F20"/>
          <w:w w:val="105"/>
        </w:rPr>
        <w:t>\</w:t>
      </w:r>
      <w:r>
        <w:rPr>
          <w:color w:val="231F20"/>
          <w:spacing w:val="-1"/>
          <w:w w:val="105"/>
        </w:rPr>
        <w:t>侵害，或限制手段可讓個案配合治</w:t>
      </w:r>
      <w:r>
        <w:rPr>
          <w:color w:val="231F20"/>
        </w:rPr>
        <w:t>療時，為達公共利益，必要時啟動隔腐治療行政處分(詳細內容請參第九章「隔</w:t>
      </w:r>
      <w:r>
        <w:rPr>
          <w:color w:val="231F20"/>
          <w:w w:val="105"/>
        </w:rPr>
        <w:t>腐治療」)。</w:t>
      </w:r>
    </w:p>
    <w:p>
      <w:pPr>
        <w:spacing w:after="0" w:line="230" w:lineRule="auto"/>
        <w:jc w:val="both"/>
        <w:sectPr>
          <w:pgSz w:w="11910" w:h="16840"/>
          <w:pgMar w:top="1200" w:bottom="0" w:left="980" w:right="0"/>
        </w:sectPr>
      </w:pPr>
    </w:p>
    <w:p>
      <w:pPr>
        <w:pStyle w:val="BodyText"/>
        <w:spacing w:line="409" w:lineRule="exact" w:before="59"/>
        <w:ind w:left="391"/>
      </w:pPr>
      <w:r>
        <w:rPr>
          <w:color w:val="231F20"/>
        </w:rPr>
        <w:t>五、困難個案</w:t>
      </w:r>
    </w:p>
    <w:p>
      <w:pPr>
        <w:pStyle w:val="BodyText"/>
        <w:spacing w:line="230" w:lineRule="auto" w:before="2"/>
        <w:ind w:left="1349" w:right="1125" w:hanging="720"/>
        <w:jc w:val="both"/>
      </w:pPr>
      <w:r>
        <w:rPr>
          <w:color w:val="231F20"/>
        </w:rPr>
        <w:t>( ＿ ) 結核病個案常見服藥後產生嚴重副作用、年紀大、合併其他共病而導致中斷治療，如果個案未持續治療容易產生抗藥性，增加治療的困難度使治療成功率下降、疾病惡化甚至死亡；不具傳染性個案倘未持續服藥，日後也可能會陽轉為傳染性，繼續在社區中傳播。</w:t>
      </w:r>
    </w:p>
    <w:p>
      <w:pPr>
        <w:pStyle w:val="BodyText"/>
        <w:spacing w:line="230" w:lineRule="auto"/>
        <w:ind w:left="1349" w:right="1125" w:hanging="720"/>
        <w:jc w:val="both"/>
      </w:pPr>
      <w:r>
        <w:rPr/>
        <w:pict>
          <v:group style="position:absolute;margin-left:557.684509pt;margin-top:21.660542pt;width:37.35pt;height:663.55pt;mso-position-horizontal-relative:page;mso-position-vertical-relative:paragraph;z-index:251779072" coordorigin="11154,433" coordsize="747,13271">
            <v:shape style="position:absolute;left:11283;top:944;width:438;height:12760" type="#_x0000_t75" stroked="false">
              <v:imagedata r:id="rId49" o:title=""/>
            </v:shape>
            <v:shape style="position:absolute;left:11153;top:433;width:747;height:812" coordorigin="11154,433" coordsize="747,812" path="m11900,433l11536,433,11514,435,11454,469,11188,752,11154,839,11162,885,11454,1208,11514,1242,11536,1244,11900,1244,11900,433xe" filled="true" fillcolor="#7c8ac4" stroked="false">
              <v:path arrowok="t"/>
              <v:fill type="solid"/>
            </v:shape>
            <v:shape style="position:absolute;left:11307;top:700;width:393;height:278" type="#_x0000_t75" stroked="false">
              <v:imagedata r:id="rId77" o:title=""/>
            </v:shape>
            <v:shape style="position:absolute;left:11378;top:1380;width:249;height:2257" type="#_x0000_t75" stroked="false">
              <v:imagedata r:id="rId51" o:title=""/>
            </v:shape>
            <v:shape style="position:absolute;left:11412;top:1314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57</w:t>
                    </w:r>
                  </w:p>
                </w:txbxContent>
              </v:textbox>
              <w10:wrap type="none"/>
            </v:shape>
            <w10:wrap type="none"/>
          </v:group>
        </w:pict>
      </w:r>
      <w:r>
        <w:rPr>
          <w:color w:val="231F20"/>
          <w:spacing w:val="-1"/>
        </w:rPr>
        <w:t>( — ) 個案治療如有嚴重藥物副作用、不合作拒絕治療、其他原因導致有不規則服藥</w:t>
      </w:r>
      <w:r>
        <w:rPr>
          <w:color w:val="231F20"/>
          <w:spacing w:val="6"/>
        </w:rPr>
        <w:t>或需反覆調整藥物情形，應提送縣市病例討論，請委員提供處理建議，或轉介</w:t>
      </w:r>
      <w:r>
        <w:rPr>
          <w:color w:val="231F20"/>
          <w:spacing w:val="-4"/>
        </w:rPr>
        <w:t>TMTC</w:t>
      </w:r>
      <w:r>
        <w:rPr>
          <w:color w:val="231F20"/>
          <w:spacing w:val="5"/>
        </w:rPr>
        <w:t> 團隊評估收案治療，轉介前應提供歷次胸部</w:t>
      </w:r>
      <w:r>
        <w:rPr>
          <w:color w:val="231F20"/>
          <w:spacing w:val="6"/>
        </w:rPr>
        <w:t>X</w:t>
      </w:r>
      <w:r>
        <w:rPr>
          <w:color w:val="231F20"/>
        </w:rPr>
        <w:t>光、CT</w:t>
      </w:r>
      <w:r>
        <w:rPr>
          <w:color w:val="231F20"/>
          <w:spacing w:val="6"/>
        </w:rPr>
        <w:t> 等影像、痰液檢查</w:t>
      </w:r>
      <w:r>
        <w:rPr>
          <w:color w:val="231F20"/>
        </w:rPr>
        <w:t>報告、公衛管理歷程、就醫紀錄(含共病診療紀錄)、病例討論過程、個案轉介   治療通知書及轉介暨評估單等相關資料上傳 TB</w:t>
      </w:r>
      <w:r>
        <w:rPr>
          <w:color w:val="231F20"/>
          <w:spacing w:val="-1"/>
        </w:rPr>
        <w:t> 系統，以利 </w:t>
      </w:r>
      <w:r>
        <w:rPr>
          <w:color w:val="231F20"/>
          <w:spacing w:val="-4"/>
        </w:rPr>
        <w:t>TMTC</w:t>
      </w:r>
      <w:r>
        <w:rPr>
          <w:color w:val="231F20"/>
        </w:rPr>
        <w:t> 團隊進行綜合性評估</w:t>
      </w:r>
    </w:p>
    <w:p>
      <w:pPr>
        <w:pStyle w:val="BodyText"/>
        <w:spacing w:line="390" w:lineRule="exact"/>
        <w:ind w:left="629"/>
        <w:jc w:val="both"/>
      </w:pPr>
      <w:r>
        <w:rPr>
          <w:color w:val="231F20"/>
        </w:rPr>
        <w:t>( 二 ) 個案經 TMTC 收案治療評估結果：</w:t>
      </w:r>
    </w:p>
    <w:p>
      <w:pPr>
        <w:pStyle w:val="ListParagraph"/>
        <w:numPr>
          <w:ilvl w:val="0"/>
          <w:numId w:val="107"/>
        </w:numPr>
        <w:tabs>
          <w:tab w:pos="1349" w:val="left" w:leader="none"/>
        </w:tabs>
        <w:spacing w:line="400" w:lineRule="exact" w:before="0" w:after="0"/>
        <w:ind w:left="1348" w:right="0" w:hanging="255"/>
        <w:jc w:val="both"/>
        <w:rPr>
          <w:sz w:val="24"/>
        </w:rPr>
      </w:pPr>
      <w:r>
        <w:rPr>
          <w:color w:val="231F20"/>
          <w:spacing w:val="-1"/>
          <w:sz w:val="24"/>
        </w:rPr>
        <w:t>同意收案治療，完成 </w:t>
      </w:r>
      <w:r>
        <w:rPr>
          <w:color w:val="231F20"/>
          <w:spacing w:val="-3"/>
          <w:sz w:val="24"/>
        </w:rPr>
        <w:t>TMTC 團隊收案治療程序。</w:t>
      </w:r>
    </w:p>
    <w:p>
      <w:pPr>
        <w:pStyle w:val="ListParagraph"/>
        <w:numPr>
          <w:ilvl w:val="0"/>
          <w:numId w:val="107"/>
        </w:numPr>
        <w:tabs>
          <w:tab w:pos="1349" w:val="left" w:leader="none"/>
        </w:tabs>
        <w:spacing w:line="400" w:lineRule="exact" w:before="0" w:after="0"/>
        <w:ind w:left="1348" w:right="0" w:hanging="255"/>
        <w:jc w:val="both"/>
        <w:rPr>
          <w:sz w:val="24"/>
        </w:rPr>
      </w:pPr>
      <w:r>
        <w:rPr>
          <w:color w:val="231F20"/>
          <w:spacing w:val="-2"/>
          <w:sz w:val="24"/>
        </w:rPr>
        <w:t>未納入 </w:t>
      </w:r>
      <w:r>
        <w:rPr>
          <w:color w:val="231F20"/>
          <w:spacing w:val="-3"/>
          <w:sz w:val="24"/>
        </w:rPr>
        <w:t>TMTC 治療，視個案情形辦理如下：</w:t>
      </w:r>
    </w:p>
    <w:p>
      <w:pPr>
        <w:pStyle w:val="ListParagraph"/>
        <w:numPr>
          <w:ilvl w:val="1"/>
          <w:numId w:val="107"/>
        </w:numPr>
        <w:tabs>
          <w:tab w:pos="1592" w:val="left" w:leader="none"/>
        </w:tabs>
        <w:spacing w:line="230" w:lineRule="auto" w:before="0" w:after="0"/>
        <w:ind w:left="1591" w:right="1128" w:hanging="355"/>
        <w:jc w:val="both"/>
        <w:rPr>
          <w:sz w:val="24"/>
        </w:rPr>
      </w:pPr>
      <w:r>
        <w:rPr>
          <w:color w:val="231F20"/>
          <w:spacing w:val="4"/>
          <w:sz w:val="24"/>
        </w:rPr>
        <w:t>無陰轉證據(具傳染力)個案：提送疾管署每季 </w:t>
      </w:r>
      <w:r>
        <w:rPr>
          <w:color w:val="231F20"/>
          <w:sz w:val="24"/>
        </w:rPr>
        <w:t>DR-TB</w:t>
      </w:r>
      <w:r>
        <w:rPr>
          <w:color w:val="231F20"/>
          <w:spacing w:val="7"/>
          <w:sz w:val="24"/>
        </w:rPr>
        <w:t> 病例討論會進行醫療</w:t>
      </w:r>
      <w:r>
        <w:rPr>
          <w:color w:val="231F20"/>
          <w:sz w:val="24"/>
        </w:rPr>
        <w:t>處置建議，或進行慢性傳染性結核病身分之判定。</w:t>
      </w:r>
    </w:p>
    <w:p>
      <w:pPr>
        <w:pStyle w:val="BodyText"/>
        <w:spacing w:line="230" w:lineRule="auto"/>
        <w:ind w:left="1591" w:right="1128"/>
        <w:jc w:val="both"/>
      </w:pPr>
      <w:r>
        <w:rPr>
          <w:color w:val="231F20"/>
        </w:rPr>
        <w:t>個案拒絕治療或待送 DR-TB 病例討論會期間，如於社區有傳染他人之虞，必要時得評估啟動隔腐治療。</w:t>
      </w:r>
    </w:p>
    <w:p>
      <w:pPr>
        <w:pStyle w:val="ListParagraph"/>
        <w:numPr>
          <w:ilvl w:val="1"/>
          <w:numId w:val="107"/>
        </w:numPr>
        <w:tabs>
          <w:tab w:pos="1592" w:val="left" w:leader="none"/>
        </w:tabs>
        <w:spacing w:line="230" w:lineRule="auto" w:before="0" w:after="0"/>
        <w:ind w:left="1591" w:right="1125" w:hanging="355"/>
        <w:jc w:val="both"/>
        <w:rPr>
          <w:sz w:val="24"/>
        </w:rPr>
      </w:pPr>
      <w:r>
        <w:rPr>
          <w:color w:val="231F20"/>
          <w:sz w:val="24"/>
        </w:rPr>
        <w:t>有陰轉證據(不具傳染力)個案：積極勸導個案接受治療，倘仍未接受治療，  </w:t>
      </w:r>
      <w:r>
        <w:rPr>
          <w:color w:val="231F20"/>
          <w:spacing w:val="5"/>
          <w:sz w:val="24"/>
        </w:rPr>
        <w:t>可以安排診療醫師和 </w:t>
      </w:r>
      <w:r>
        <w:rPr>
          <w:color w:val="231F20"/>
          <w:spacing w:val="-4"/>
          <w:sz w:val="24"/>
        </w:rPr>
        <w:t>TMTC</w:t>
      </w:r>
      <w:r>
        <w:rPr>
          <w:color w:val="231F20"/>
          <w:spacing w:val="3"/>
          <w:sz w:val="24"/>
        </w:rPr>
        <w:t> 委員雙方進行溝通，以個案為中心就實際問題處</w:t>
      </w:r>
      <w:r>
        <w:rPr>
          <w:color w:val="231F20"/>
          <w:sz w:val="24"/>
        </w:rPr>
        <w:t>理，彙整治療歷程及公衛管理歷程等評估資料，提送疾管署各區管制中心以利</w:t>
      </w:r>
      <w:r>
        <w:rPr>
          <w:color w:val="231F20"/>
          <w:spacing w:val="7"/>
          <w:sz w:val="24"/>
        </w:rPr>
        <w:t>綜合性判定個案後續管理之處置建議，並依所轄各區管制中心之建議配合辦</w:t>
      </w:r>
      <w:r>
        <w:rPr>
          <w:color w:val="231F20"/>
          <w:sz w:val="24"/>
        </w:rPr>
        <w:t>理。</w:t>
      </w:r>
    </w:p>
    <w:p>
      <w:pPr>
        <w:pStyle w:val="BodyText"/>
        <w:spacing w:line="230" w:lineRule="auto"/>
        <w:ind w:left="1349" w:right="1137"/>
        <w:jc w:val="both"/>
      </w:pPr>
      <w:r>
        <w:rPr>
          <w:color w:val="231F20"/>
          <w:spacing w:val="-1"/>
        </w:rPr>
        <w:t>詳細內容請參閱第十章「抗藥性結核病照護與管理」及第十匹章「防治資源及診</w:t>
      </w:r>
      <w:r>
        <w:rPr>
          <w:color w:val="231F20"/>
          <w:w w:val="105"/>
        </w:rPr>
        <w:t>療諮詢\</w:t>
      </w:r>
      <w:r>
        <w:rPr>
          <w:color w:val="231F20"/>
          <w:spacing w:val="59"/>
          <w:w w:val="105"/>
        </w:rPr>
        <w:t>組</w:t>
      </w:r>
      <w:r>
        <w:rPr>
          <w:color w:val="231F20"/>
        </w:rPr>
        <w:t>」。</w:t>
      </w:r>
    </w:p>
    <w:p>
      <w:pPr>
        <w:pStyle w:val="BodyText"/>
        <w:spacing w:line="395" w:lineRule="exact"/>
        <w:ind w:left="391"/>
      </w:pPr>
      <w:r>
        <w:rPr>
          <w:color w:val="231F20"/>
        </w:rPr>
        <w:t>、、抗藥性個案</w:t>
      </w:r>
    </w:p>
    <w:p>
      <w:pPr>
        <w:pStyle w:val="BodyText"/>
        <w:spacing w:line="230" w:lineRule="auto"/>
        <w:ind w:left="878" w:right="1132"/>
        <w:jc w:val="both"/>
      </w:pPr>
      <w:r>
        <w:rPr>
          <w:color w:val="231F20"/>
        </w:rPr>
        <w:t>結核病病人如按時都治服藥＿般都可治癒，但抗藥性結核病病人因對＿線抗結核藥物產生抗藥性，治療難度較高；因此，疾管署於 96 年建置 TMTC 團隊，提供結核病抗藥性個案更專業及經驗的醫療照護團隊，期使個案順利完成治療，詳細內容請參閱第十章「抗藥性結核病照護與管理」。</w:t>
      </w:r>
    </w:p>
    <w:p>
      <w:pPr>
        <w:pStyle w:val="BodyText"/>
        <w:spacing w:line="392" w:lineRule="exact"/>
        <w:ind w:left="629"/>
        <w:jc w:val="both"/>
      </w:pPr>
      <w:r>
        <w:rPr>
          <w:color w:val="231F20"/>
        </w:rPr>
        <w:t>( ＿ ) TMTC 收案對象：</w:t>
      </w:r>
    </w:p>
    <w:p>
      <w:pPr>
        <w:pStyle w:val="ListParagraph"/>
        <w:numPr>
          <w:ilvl w:val="0"/>
          <w:numId w:val="108"/>
        </w:numPr>
        <w:tabs>
          <w:tab w:pos="1349" w:val="left" w:leader="none"/>
        </w:tabs>
        <w:spacing w:line="400" w:lineRule="exact" w:before="0" w:after="0"/>
        <w:ind w:left="1348" w:right="0" w:hanging="255"/>
        <w:jc w:val="left"/>
        <w:rPr>
          <w:sz w:val="24"/>
        </w:rPr>
      </w:pPr>
      <w:r>
        <w:rPr>
          <w:color w:val="231F20"/>
          <w:sz w:val="24"/>
        </w:rPr>
        <w:t>第＿類：MDR-TB</w:t>
      </w:r>
      <w:r>
        <w:rPr>
          <w:color w:val="231F20"/>
          <w:spacing w:val="-4"/>
          <w:sz w:val="24"/>
        </w:rPr>
        <w:t> 病人；符合 </w:t>
      </w:r>
      <w:r>
        <w:rPr>
          <w:color w:val="231F20"/>
          <w:sz w:val="24"/>
        </w:rPr>
        <w:t>RMP</w:t>
      </w:r>
      <w:r>
        <w:rPr>
          <w:color w:val="231F20"/>
          <w:spacing w:val="-4"/>
          <w:sz w:val="24"/>
        </w:rPr>
        <w:t> 單</w:t>
      </w:r>
      <w:r>
        <w:rPr>
          <w:color w:val="231F20"/>
          <w:sz w:val="24"/>
        </w:rPr>
        <w:t>＿抗藥且對任＿</w:t>
      </w:r>
      <w:r>
        <w:rPr>
          <w:color w:val="231F20"/>
          <w:spacing w:val="-7"/>
          <w:sz w:val="24"/>
        </w:rPr>
        <w:t> </w:t>
      </w:r>
      <w:r>
        <w:rPr>
          <w:color w:val="231F20"/>
          <w:spacing w:val="-4"/>
          <w:sz w:val="24"/>
        </w:rPr>
        <w:t>FLQ</w:t>
      </w:r>
      <w:r>
        <w:rPr>
          <w:color w:val="231F20"/>
          <w:spacing w:val="-3"/>
          <w:sz w:val="24"/>
        </w:rPr>
        <w:t> 抗藥之病人。</w:t>
      </w:r>
    </w:p>
    <w:p>
      <w:pPr>
        <w:pStyle w:val="ListParagraph"/>
        <w:numPr>
          <w:ilvl w:val="0"/>
          <w:numId w:val="108"/>
        </w:numPr>
        <w:tabs>
          <w:tab w:pos="1349" w:val="left" w:leader="none"/>
        </w:tabs>
        <w:spacing w:line="400" w:lineRule="exact" w:before="0" w:after="0"/>
        <w:ind w:left="1348" w:right="0" w:hanging="255"/>
        <w:jc w:val="left"/>
        <w:rPr>
          <w:sz w:val="24"/>
        </w:rPr>
      </w:pPr>
      <w:r>
        <w:rPr>
          <w:color w:val="231F20"/>
          <w:sz w:val="24"/>
        </w:rPr>
        <w:t>第—類：RMP</w:t>
      </w:r>
      <w:r>
        <w:rPr>
          <w:color w:val="231F20"/>
          <w:spacing w:val="-4"/>
          <w:sz w:val="24"/>
        </w:rPr>
        <w:t> 單</w:t>
      </w:r>
      <w:r>
        <w:rPr>
          <w:color w:val="231F20"/>
          <w:sz w:val="24"/>
        </w:rPr>
        <w:t>＿抗藥或對任二種＿線抗結核藥物抗藥之病人。</w:t>
      </w:r>
    </w:p>
    <w:p>
      <w:pPr>
        <w:pStyle w:val="ListParagraph"/>
        <w:numPr>
          <w:ilvl w:val="0"/>
          <w:numId w:val="108"/>
        </w:numPr>
        <w:tabs>
          <w:tab w:pos="1349" w:val="left" w:leader="none"/>
        </w:tabs>
        <w:spacing w:line="230" w:lineRule="auto" w:before="0" w:after="0"/>
        <w:ind w:left="1349" w:right="1136" w:hanging="255"/>
        <w:jc w:val="left"/>
        <w:rPr>
          <w:sz w:val="24"/>
        </w:rPr>
      </w:pPr>
      <w:r>
        <w:rPr>
          <w:color w:val="231F20"/>
          <w:spacing w:val="-3"/>
          <w:sz w:val="24"/>
        </w:rPr>
        <w:t>第二類：對抗結核藥物抗藥或副作用，需使用 </w:t>
      </w:r>
      <w:r>
        <w:rPr>
          <w:color w:val="231F20"/>
          <w:sz w:val="24"/>
        </w:rPr>
        <w:t>kanamycin</w:t>
      </w:r>
      <w:r>
        <w:rPr>
          <w:color w:val="231F20"/>
          <w:spacing w:val="36"/>
          <w:sz w:val="24"/>
        </w:rPr>
        <w:t> 及</w:t>
      </w:r>
      <w:r>
        <w:rPr>
          <w:color w:val="231F20"/>
          <w:sz w:val="24"/>
        </w:rPr>
        <w:t>amikacin</w:t>
      </w:r>
      <w:r>
        <w:rPr>
          <w:color w:val="231F20"/>
          <w:spacing w:val="2"/>
          <w:sz w:val="24"/>
        </w:rPr>
        <w:t> 針劑之病人。</w:t>
      </w:r>
    </w:p>
    <w:p>
      <w:pPr>
        <w:pStyle w:val="ListParagraph"/>
        <w:numPr>
          <w:ilvl w:val="0"/>
          <w:numId w:val="108"/>
        </w:numPr>
        <w:tabs>
          <w:tab w:pos="1349" w:val="left" w:leader="none"/>
        </w:tabs>
        <w:spacing w:line="404" w:lineRule="exact" w:before="0" w:after="0"/>
        <w:ind w:left="1348" w:right="0" w:hanging="255"/>
        <w:jc w:val="left"/>
        <w:rPr>
          <w:sz w:val="24"/>
        </w:rPr>
      </w:pPr>
      <w:r>
        <w:rPr>
          <w:color w:val="231F20"/>
          <w:w w:val="105"/>
          <w:sz w:val="24"/>
        </w:rPr>
        <w:t>第匹類：INH</w:t>
      </w:r>
      <w:r>
        <w:rPr>
          <w:color w:val="231F20"/>
          <w:spacing w:val="-4"/>
          <w:w w:val="105"/>
          <w:sz w:val="24"/>
        </w:rPr>
        <w:t> 及任</w:t>
      </w:r>
      <w:r>
        <w:rPr>
          <w:color w:val="231F20"/>
          <w:w w:val="105"/>
          <w:sz w:val="24"/>
        </w:rPr>
        <w:t>＿線藥物抗藥(RMP</w:t>
      </w:r>
      <w:r>
        <w:rPr>
          <w:color w:val="231F20"/>
          <w:spacing w:val="4"/>
          <w:w w:val="105"/>
          <w:sz w:val="24"/>
        </w:rPr>
        <w:t> 除外)併同使用</w:t>
      </w:r>
      <w:r>
        <w:rPr>
          <w:color w:val="231F20"/>
          <w:spacing w:val="-3"/>
          <w:w w:val="105"/>
          <w:sz w:val="24"/>
        </w:rPr>
        <w:t>FLQ 治療之病人。</w:t>
      </w:r>
    </w:p>
    <w:p>
      <w:pPr>
        <w:spacing w:after="0" w:line="404" w:lineRule="exact"/>
        <w:jc w:val="left"/>
        <w:rPr>
          <w:sz w:val="24"/>
        </w:rPr>
        <w:sectPr>
          <w:pgSz w:w="11910" w:h="16840"/>
          <w:pgMar w:top="1060" w:bottom="0" w:left="980" w:right="0"/>
        </w:sectPr>
      </w:pPr>
    </w:p>
    <w:p>
      <w:pPr>
        <w:pStyle w:val="ListParagraph"/>
        <w:numPr>
          <w:ilvl w:val="0"/>
          <w:numId w:val="108"/>
        </w:numPr>
        <w:tabs>
          <w:tab w:pos="1350" w:val="left" w:leader="none"/>
        </w:tabs>
        <w:spacing w:line="230" w:lineRule="auto" w:before="70" w:after="0"/>
        <w:ind w:left="1349" w:right="1133" w:hanging="255"/>
        <w:jc w:val="both"/>
        <w:rPr>
          <w:sz w:val="24"/>
        </w:rPr>
      </w:pPr>
      <w:r>
        <w:rPr/>
        <w:pict>
          <v:group style="position:absolute;margin-left:-.000001pt;margin-top:178.154007pt;width:37.35pt;height:663.55pt;mso-position-horizontal-relative:page;mso-position-vertical-relative:page;z-index:251781120"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78"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58</w:t>
                    </w:r>
                  </w:p>
                </w:txbxContent>
              </v:textbox>
              <w10:wrap type="none"/>
            </v:shape>
            <w10:wrap type="none"/>
          </v:group>
        </w:pict>
      </w:r>
      <w:r>
        <w:rPr>
          <w:color w:val="231F20"/>
          <w:sz w:val="24"/>
        </w:rPr>
        <w:t>第五類：病例討論核定之結核病困難個案(含嚴重副作用、不合作或其他原因， </w:t>
      </w:r>
      <w:r>
        <w:rPr>
          <w:color w:val="231F20"/>
          <w:w w:val="105"/>
          <w:sz w:val="24"/>
        </w:rPr>
        <w:t>導致有不規則服藥或需反覆調整藥物之情形等)。</w:t>
      </w:r>
    </w:p>
    <w:p>
      <w:pPr>
        <w:pStyle w:val="ListParagraph"/>
        <w:numPr>
          <w:ilvl w:val="0"/>
          <w:numId w:val="108"/>
        </w:numPr>
        <w:tabs>
          <w:tab w:pos="1350" w:val="left" w:leader="none"/>
        </w:tabs>
        <w:spacing w:line="230" w:lineRule="auto" w:before="0" w:after="0"/>
        <w:ind w:left="1349" w:right="1129" w:hanging="255"/>
        <w:jc w:val="both"/>
        <w:rPr>
          <w:sz w:val="24"/>
        </w:rPr>
      </w:pPr>
      <w:r>
        <w:rPr>
          <w:color w:val="231F20"/>
          <w:spacing w:val="1"/>
          <w:sz w:val="24"/>
        </w:rPr>
        <w:t>第、類：指標個案 </w:t>
      </w:r>
      <w:r>
        <w:rPr>
          <w:color w:val="231F20"/>
          <w:sz w:val="24"/>
        </w:rPr>
        <w:t>MDR-TB，但無 </w:t>
      </w:r>
      <w:r>
        <w:rPr>
          <w:color w:val="231F20"/>
          <w:spacing w:val="-4"/>
          <w:sz w:val="24"/>
        </w:rPr>
        <w:t>FLQ</w:t>
      </w:r>
      <w:r>
        <w:rPr>
          <w:color w:val="231F20"/>
          <w:spacing w:val="2"/>
          <w:sz w:val="24"/>
        </w:rPr>
        <w:t> 抗藥之結核病病人接觸者，接受潛伏結</w:t>
      </w:r>
      <w:r>
        <w:rPr>
          <w:color w:val="231F20"/>
          <w:spacing w:val="-1"/>
          <w:w w:val="105"/>
          <w:sz w:val="24"/>
        </w:rPr>
        <w:t>核感染(</w:t>
      </w:r>
      <w:r>
        <w:rPr>
          <w:color w:val="231F20"/>
          <w:spacing w:val="-3"/>
          <w:w w:val="105"/>
          <w:sz w:val="24"/>
        </w:rPr>
        <w:t>LTBI)</w:t>
      </w:r>
      <w:r>
        <w:rPr>
          <w:color w:val="231F20"/>
          <w:w w:val="105"/>
          <w:sz w:val="24"/>
        </w:rPr>
        <w:t>治療個案。</w:t>
      </w:r>
    </w:p>
    <w:p>
      <w:pPr>
        <w:pStyle w:val="BodyText"/>
        <w:spacing w:line="230" w:lineRule="auto"/>
        <w:ind w:left="1349" w:right="1131" w:hanging="720"/>
        <w:jc w:val="both"/>
      </w:pPr>
      <w:r>
        <w:rPr>
          <w:color w:val="231F20"/>
        </w:rPr>
        <w:t>( — ) 個案管理過程中，如有符合團隊收案對象，應先與團隊聯繫轉介事宜，由團隊評估收案治療，如個案未納入團隊治療，公衛管理人員應加強個案管理，避免產生更多抗藥性，導致治療更加困難。</w:t>
      </w:r>
    </w:p>
    <w:p>
      <w:pPr>
        <w:pStyle w:val="BodyText"/>
        <w:spacing w:line="394" w:lineRule="exact"/>
        <w:ind w:left="391"/>
      </w:pPr>
      <w:r>
        <w:rPr>
          <w:color w:val="231F20"/>
        </w:rPr>
        <w:t>七、失聯個案</w:t>
      </w:r>
    </w:p>
    <w:p>
      <w:pPr>
        <w:pStyle w:val="BodyText"/>
        <w:spacing w:line="230" w:lineRule="auto"/>
        <w:ind w:left="878" w:right="1133"/>
        <w:jc w:val="both"/>
      </w:pPr>
      <w:r>
        <w:rPr>
          <w:color w:val="231F20"/>
        </w:rPr>
        <w:t>確診結核病個案若因失聯未接受治療致疾病惡化，恐於社區中持續傳播，因此透過跨單位合作，運用更積極、更有效率方式，提高失聯個案尋獲之機會，管理流程如附件</w:t>
      </w:r>
      <w:r>
        <w:rPr>
          <w:color w:val="231F20"/>
          <w:w w:val="105"/>
        </w:rPr>
        <w:t>6-7。</w:t>
      </w:r>
    </w:p>
    <w:p>
      <w:pPr>
        <w:pStyle w:val="BodyText"/>
        <w:spacing w:line="230" w:lineRule="auto"/>
        <w:ind w:left="1349" w:right="1131" w:hanging="720"/>
        <w:jc w:val="both"/>
      </w:pPr>
      <w:r>
        <w:rPr>
          <w:color w:val="231F20"/>
        </w:rPr>
        <w:t>( ＿ )  失聯定義：公衛管理人員不同日期家訪居住地 3 次未遇、與親友／雇主(仲介) 訪談無法取得聯繫、查詢戶役政系統戶籍地址，家訪後無法找到個案、無法透過就診醫院聯繫個案及查無出境紀錄等狀況。</w:t>
      </w:r>
    </w:p>
    <w:p>
      <w:pPr>
        <w:pStyle w:val="BodyText"/>
        <w:spacing w:line="230" w:lineRule="auto"/>
        <w:ind w:left="1349" w:right="1130" w:hanging="720"/>
        <w:jc w:val="both"/>
      </w:pPr>
      <w:r>
        <w:rPr>
          <w:color w:val="231F20"/>
        </w:rPr>
        <w:t>( — ) 符合上述失聯定義者，於 TB 系統中完成失聯宣告作業，爾後系統將每日與健保署進行資料勾稽，倘個案有就醫，將勾稽結果電郵發送通知公衛管理人員。當公衛管理人員收到通知信件後，應立即透過聯繫個案就診之醫院，了解個案有無新的聯繫方式及就診原因，必要時可與醫療院所合作，於個案回診日到院訪視，規勸其規則就醫或提供追蹤複查等相關措施，確保個案持續進行結核病診療。</w:t>
      </w:r>
    </w:p>
    <w:p>
      <w:pPr>
        <w:pStyle w:val="BodyText"/>
        <w:spacing w:line="230" w:lineRule="auto"/>
        <w:ind w:left="1349" w:right="1133" w:hanging="720"/>
        <w:jc w:val="both"/>
      </w:pPr>
      <w:r>
        <w:rPr>
          <w:color w:val="231F20"/>
        </w:rPr>
        <w:t>( 二 ) 持續透過鄰居親友、村里長、健保投保單位、警政協尋、電信通訊多方尋訪，查明行蹤。</w:t>
      </w:r>
    </w:p>
    <w:p>
      <w:pPr>
        <w:pStyle w:val="BodyText"/>
        <w:spacing w:line="230" w:lineRule="auto"/>
        <w:ind w:left="1349" w:right="1134" w:hanging="720"/>
        <w:jc w:val="both"/>
      </w:pPr>
      <w:r>
        <w:rPr>
          <w:color w:val="231F20"/>
        </w:rPr>
        <w:t>( 匹 ) 應每半年於 TB 系統「結核病地段訪視日誌管理」，更新追蹤訪查情形，並將訪查資料上傳至 TB 系統。</w:t>
      </w:r>
    </w:p>
    <w:p>
      <w:pPr>
        <w:pStyle w:val="BodyText"/>
        <w:spacing w:line="230" w:lineRule="auto"/>
        <w:ind w:left="1349" w:right="1135" w:hanging="720"/>
        <w:jc w:val="both"/>
      </w:pPr>
      <w:r>
        <w:rPr>
          <w:color w:val="231F20"/>
          <w:spacing w:val="-4"/>
        </w:rPr>
        <w:t>( 五 ) 尋獲個案後，如已中斷治療超過 </w:t>
      </w:r>
      <w:r>
        <w:rPr>
          <w:color w:val="231F20"/>
        </w:rPr>
        <w:t>2</w:t>
      </w:r>
      <w:r>
        <w:rPr>
          <w:color w:val="231F20"/>
          <w:spacing w:val="-3"/>
        </w:rPr>
        <w:t> 個月應立即採檢進行快速分子檢測，確認個案後續治療方式。</w:t>
      </w:r>
    </w:p>
    <w:p>
      <w:pPr>
        <w:pStyle w:val="BodyText"/>
        <w:spacing w:line="395" w:lineRule="exact"/>
        <w:ind w:left="629"/>
        <w:jc w:val="both"/>
      </w:pPr>
      <w:r>
        <w:rPr>
          <w:color w:val="231F20"/>
        </w:rPr>
        <w:t>( 、 ) 申請暫停追蹤作業：</w:t>
      </w:r>
    </w:p>
    <w:p>
      <w:pPr>
        <w:pStyle w:val="BodyText"/>
        <w:spacing w:line="230" w:lineRule="auto"/>
        <w:ind w:left="1349" w:right="1130"/>
        <w:jc w:val="both"/>
      </w:pPr>
      <w:r>
        <w:rPr>
          <w:color w:val="231F20"/>
          <w:spacing w:val="-1"/>
        </w:rPr>
        <w:t>經公衛管理人員自宣告失聯日起算滿 </w:t>
      </w:r>
      <w:r>
        <w:rPr>
          <w:color w:val="231F20"/>
        </w:rPr>
        <w:t>3</w:t>
      </w:r>
      <w:r>
        <w:rPr>
          <w:color w:val="231F20"/>
          <w:spacing w:val="-2"/>
        </w:rPr>
        <w:t> 年期間，均確實依訪查方式與期程執行查找作業，但仍無法掌握行蹤之個案，可進行「暫停追蹤」申請作業。經審核通過</w:t>
      </w:r>
      <w:r>
        <w:rPr>
          <w:color w:val="231F20"/>
        </w:rPr>
        <w:t>之失聯個案，即可暫停追蹤管理，惟 TB</w:t>
      </w:r>
      <w:r>
        <w:rPr>
          <w:color w:val="231F20"/>
          <w:spacing w:val="-2"/>
        </w:rPr>
        <w:t> 系統將持續勾稽該些個案之就醫與入境</w:t>
      </w:r>
      <w:r>
        <w:rPr>
          <w:color w:val="231F20"/>
        </w:rPr>
        <w:t>紀錄，另移民署專勤隊查獲失聯移工亦將主動通知個案管理單位之衛生局(所)  公衛管理人員。</w:t>
      </w:r>
    </w:p>
    <w:p>
      <w:pPr>
        <w:pStyle w:val="BodyText"/>
        <w:spacing w:line="391" w:lineRule="exact"/>
        <w:ind w:left="629"/>
        <w:jc w:val="both"/>
      </w:pPr>
      <w:r>
        <w:rPr>
          <w:color w:val="231F20"/>
        </w:rPr>
        <w:t>( 七 ) 取消暫停追蹤作業：</w:t>
      </w:r>
    </w:p>
    <w:p>
      <w:pPr>
        <w:pStyle w:val="BodyText"/>
        <w:spacing w:line="230" w:lineRule="auto"/>
        <w:ind w:left="1349" w:right="1130"/>
        <w:jc w:val="both"/>
      </w:pPr>
      <w:r>
        <w:rPr>
          <w:color w:val="231F20"/>
        </w:rPr>
        <w:t>失聯個案暫停追蹤期間，倘接獲 TB</w:t>
      </w:r>
      <w:r>
        <w:rPr>
          <w:color w:val="231F20"/>
          <w:spacing w:val="-5"/>
        </w:rPr>
        <w:t> 系統勾稽個案就醫 </w:t>
      </w:r>
      <w:r>
        <w:rPr>
          <w:color w:val="231F20"/>
          <w:spacing w:val="-9"/>
          <w:w w:val="75"/>
        </w:rPr>
        <w:t>／ </w:t>
      </w:r>
      <w:r>
        <w:rPr>
          <w:color w:val="231F20"/>
          <w:spacing w:val="-10"/>
        </w:rPr>
        <w:t>入境 </w:t>
      </w:r>
      <w:r>
        <w:rPr>
          <w:color w:val="231F20"/>
          <w:spacing w:val="-9"/>
          <w:w w:val="75"/>
        </w:rPr>
        <w:t>／ </w:t>
      </w:r>
      <w:r>
        <w:rPr>
          <w:color w:val="231F20"/>
          <w:spacing w:val="1"/>
        </w:rPr>
        <w:t>入監通知，或其</w:t>
      </w:r>
      <w:r>
        <w:rPr>
          <w:color w:val="231F20"/>
        </w:rPr>
        <w:t>他管道得知個案行蹤時，應儘速訪查並再次啟動個案管理程序，直至符合銷案條件時，始可執行銷案作業。</w:t>
      </w:r>
    </w:p>
    <w:p>
      <w:pPr>
        <w:spacing w:after="0" w:line="230" w:lineRule="auto"/>
        <w:jc w:val="both"/>
        <w:sectPr>
          <w:pgSz w:w="11910" w:h="16840"/>
          <w:pgMar w:top="1060" w:bottom="0" w:left="980" w:right="0"/>
        </w:sectPr>
      </w:pPr>
    </w:p>
    <w:p>
      <w:pPr>
        <w:pStyle w:val="BodyText"/>
        <w:spacing w:line="409" w:lineRule="exact" w:before="59"/>
        <w:ind w:left="629"/>
        <w:jc w:val="both"/>
      </w:pPr>
      <w:r>
        <w:rPr>
          <w:color w:val="231F20"/>
        </w:rPr>
        <w:t>( 八 ) 失聯個案管理與監測：</w:t>
      </w:r>
    </w:p>
    <w:p>
      <w:pPr>
        <w:pStyle w:val="BodyText"/>
        <w:spacing w:line="230" w:lineRule="auto" w:before="2"/>
        <w:ind w:left="1349" w:right="1075"/>
        <w:jc w:val="both"/>
      </w:pPr>
      <w:r>
        <w:rPr>
          <w:color w:val="231F20"/>
          <w:spacing w:val="4"/>
        </w:rPr>
        <w:t>各層級管理單位應定期透過</w:t>
      </w:r>
      <w:r>
        <w:rPr>
          <w:color w:val="231F20"/>
        </w:rPr>
        <w:t>TB</w:t>
      </w:r>
      <w:r>
        <w:rPr>
          <w:color w:val="231F20"/>
          <w:spacing w:val="-10"/>
        </w:rPr>
        <w:t> 系統「失聯個案管理清冊」，查閱失聯個案清單， </w:t>
      </w:r>
      <w:r>
        <w:rPr>
          <w:color w:val="231F20"/>
        </w:rPr>
        <w:t>並進＿步點選相關頁面確認訪查程序是否確實，以及早提供公衛管理人員必要之協助。利用「暫停追蹤清單」查詢待審核之暫停追蹤個案清單，及個案歷次暫停追蹤申請結果。</w:t>
      </w:r>
    </w:p>
    <w:p>
      <w:pPr>
        <w:pStyle w:val="BodyText"/>
        <w:spacing w:line="230" w:lineRule="auto"/>
        <w:ind w:left="391" w:right="1656" w:firstLine="238"/>
        <w:jc w:val="both"/>
      </w:pPr>
      <w:r>
        <w:rPr/>
        <w:pict>
          <v:group style="position:absolute;margin-left:557.684509pt;margin-top:21.660542pt;width:37.35pt;height:663.55pt;mso-position-horizontal-relative:page;mso-position-vertical-relative:paragraph;z-index:251783168" coordorigin="11154,433" coordsize="747,13271">
            <v:shape style="position:absolute;left:11283;top:944;width:438;height:12760" type="#_x0000_t75" stroked="false">
              <v:imagedata r:id="rId49" o:title=""/>
            </v:shape>
            <v:shape style="position:absolute;left:11153;top:433;width:747;height:812" coordorigin="11154,433" coordsize="747,812" path="m11900,433l11536,433,11514,435,11454,469,11188,752,11154,839,11162,885,11454,1208,11514,1242,11536,1244,11900,1244,11900,433xe" filled="true" fillcolor="#7c8ac4" stroked="false">
              <v:path arrowok="t"/>
              <v:fill type="solid"/>
            </v:shape>
            <v:shape style="position:absolute;left:11307;top:700;width:393;height:278" type="#_x0000_t75" stroked="false">
              <v:imagedata r:id="rId79" o:title=""/>
            </v:shape>
            <v:shape style="position:absolute;left:11378;top:1380;width:249;height:2257" type="#_x0000_t75" stroked="false">
              <v:imagedata r:id="rId51" o:title=""/>
            </v:shape>
            <v:shape style="position:absolute;left:11412;top:1314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59</w:t>
                    </w:r>
                  </w:p>
                </w:txbxContent>
              </v:textbox>
              <w10:wrap type="none"/>
            </v:shape>
            <w10:wrap type="none"/>
          </v:group>
        </w:pict>
      </w:r>
      <w:r>
        <w:rPr>
          <w:color w:val="231F20"/>
          <w:spacing w:val="-4"/>
        </w:rPr>
        <w:t>( 九 ) 明確掌握失聯個案行蹤後，即回歸</w:t>
      </w:r>
      <w:r>
        <w:rPr>
          <w:color w:val="231F20"/>
        </w:rPr>
        <w:t>＿</w:t>
      </w:r>
      <w:r>
        <w:rPr>
          <w:color w:val="231F20"/>
          <w:spacing w:val="-2"/>
        </w:rPr>
        <w:t>般個案管理程序及相對應之銷案原則。</w:t>
      </w:r>
      <w:r>
        <w:rPr>
          <w:color w:val="231F20"/>
        </w:rPr>
        <w:t>八、身分遭受盜用：</w:t>
      </w:r>
    </w:p>
    <w:p>
      <w:pPr>
        <w:pStyle w:val="BodyText"/>
        <w:spacing w:line="230" w:lineRule="auto"/>
        <w:ind w:left="878" w:right="1075" w:hanging="1"/>
        <w:jc w:val="both"/>
      </w:pPr>
      <w:r>
        <w:rPr>
          <w:color w:val="231F20"/>
        </w:rPr>
        <w:t>公衛管理人員辦理收案訪視時應確認個案身分，以利發現收案對象與通報資料有疑義</w:t>
      </w:r>
      <w:r>
        <w:rPr>
          <w:color w:val="231F20"/>
          <w:spacing w:val="-13"/>
        </w:rPr>
        <w:t>時可立即處理，避免罹病者未接受治療，造成社區傳播。如發現管理個案非通報個案， </w:t>
      </w:r>
      <w:r>
        <w:rPr>
          <w:color w:val="231F20"/>
        </w:rPr>
        <w:t>統號遭受冒用情形，依下列情形處理：</w:t>
      </w:r>
    </w:p>
    <w:p>
      <w:pPr>
        <w:pStyle w:val="BodyText"/>
        <w:spacing w:line="230" w:lineRule="auto"/>
        <w:ind w:left="1349" w:right="1075" w:hanging="720"/>
        <w:jc w:val="both"/>
      </w:pPr>
      <w:r>
        <w:rPr>
          <w:color w:val="231F20"/>
          <w:spacing w:val="-25"/>
          <w:w w:val="105"/>
        </w:rPr>
        <w:t>( </w:t>
      </w:r>
      <w:r>
        <w:rPr>
          <w:color w:val="231F20"/>
          <w:w w:val="105"/>
        </w:rPr>
        <w:t>＿</w:t>
      </w:r>
      <w:r>
        <w:rPr>
          <w:color w:val="231F20"/>
          <w:spacing w:val="-11"/>
          <w:w w:val="105"/>
        </w:rPr>
        <w:t> ) 取得冒用者(結核病個案</w:t>
      </w:r>
      <w:r>
        <w:rPr>
          <w:color w:val="231F20"/>
          <w:spacing w:val="-43"/>
          <w:w w:val="270"/>
        </w:rPr>
        <w:t>)</w:t>
      </w:r>
      <w:r>
        <w:rPr>
          <w:color w:val="231F20"/>
          <w:spacing w:val="-2"/>
          <w:w w:val="105"/>
        </w:rPr>
        <w:t>正確個資，透過胸部</w:t>
      </w:r>
      <w:r>
        <w:rPr>
          <w:color w:val="231F20"/>
          <w:w w:val="105"/>
        </w:rPr>
        <w:t>X</w:t>
      </w:r>
      <w:r>
        <w:rPr>
          <w:color w:val="231F20"/>
          <w:spacing w:val="-8"/>
          <w:w w:val="105"/>
        </w:rPr>
        <w:t> 光胸廓比對證實—者非同</w:t>
      </w:r>
      <w:r>
        <w:rPr>
          <w:color w:val="231F20"/>
          <w:w w:val="105"/>
        </w:rPr>
        <w:t>＿</w:t>
      </w:r>
      <w:r>
        <w:rPr>
          <w:color w:val="231F20"/>
          <w:spacing w:val="-9"/>
          <w:w w:val="105"/>
        </w:rPr>
        <w:t>人， </w:t>
      </w:r>
      <w:r>
        <w:rPr>
          <w:color w:val="231F20"/>
        </w:rPr>
        <w:t>經縣市病例討論諮詢委員確認身分遭受盜用(被誤通報)者無結核病，使用「結   </w:t>
      </w:r>
      <w:r>
        <w:rPr>
          <w:color w:val="231F20"/>
          <w:w w:val="105"/>
        </w:rPr>
        <w:t>核病追蹤管理系統資料異動申請單」</w:t>
      </w:r>
      <w:r>
        <w:rPr>
          <w:color w:val="231F20"/>
          <w:spacing w:val="-5"/>
          <w:w w:val="110"/>
        </w:rPr>
        <w:t>(附件 </w:t>
      </w:r>
      <w:r>
        <w:rPr>
          <w:color w:val="231F20"/>
          <w:w w:val="105"/>
        </w:rPr>
        <w:t>6-8)辦理通報系統資料修正為結核</w:t>
      </w:r>
      <w:r>
        <w:rPr>
          <w:color w:val="231F20"/>
          <w:spacing w:val="-1"/>
        </w:rPr>
        <w:t>病個案外，並將相關佐證資料上傳 </w:t>
      </w:r>
      <w:r>
        <w:rPr>
          <w:color w:val="231F20"/>
        </w:rPr>
        <w:t>TB</w:t>
      </w:r>
      <w:r>
        <w:rPr>
          <w:color w:val="231F20"/>
          <w:spacing w:val="-3"/>
        </w:rPr>
        <w:t> 系統；持續進行結核病個案管理作業。</w:t>
      </w:r>
    </w:p>
    <w:p>
      <w:pPr>
        <w:pStyle w:val="BodyText"/>
        <w:spacing w:line="230" w:lineRule="auto"/>
        <w:ind w:left="1349" w:right="1131" w:hanging="720"/>
        <w:jc w:val="both"/>
      </w:pPr>
      <w:r>
        <w:rPr>
          <w:color w:val="231F20"/>
        </w:rPr>
        <w:t>( — ) 如無法取得冒用者身分，僅能證實管理個案身分遭受盜用被誤通報結核病，經縣市病例討論諮詢委員確認身分遭受盜用者無結核病，向疾管署慢性組申請辦理證號修正(另依個案處理)，被誤通報者可以「其他(視同結果失落)</w:t>
      </w:r>
      <w:r>
        <w:rPr>
          <w:color w:val="231F20"/>
          <w:w w:val="80"/>
        </w:rPr>
        <w:t>」       </w:t>
      </w:r>
      <w:r>
        <w:rPr>
          <w:color w:val="231F20"/>
        </w:rPr>
        <w:t>原因辦理銷案作業。</w:t>
      </w:r>
    </w:p>
    <w:p>
      <w:pPr>
        <w:pStyle w:val="BodyText"/>
        <w:spacing w:line="228" w:lineRule="auto"/>
        <w:ind w:left="878" w:right="1131" w:hanging="488"/>
        <w:jc w:val="both"/>
      </w:pPr>
      <w:r>
        <w:rPr>
          <w:color w:val="231F20"/>
          <w:spacing w:val="2"/>
        </w:rPr>
        <w:t>九、牛結核分枝桿菌</w:t>
      </w:r>
      <w:r>
        <w:rPr>
          <w:color w:val="231F20"/>
          <w:spacing w:val="-34"/>
          <w:w w:val="300"/>
        </w:rPr>
        <w:t>(</w:t>
      </w:r>
      <w:r>
        <w:rPr>
          <w:color w:val="231F20"/>
          <w:spacing w:val="-1"/>
          <w:w w:val="103"/>
          <w:sz w:val="25"/>
        </w:rPr>
        <w:t>M</w:t>
      </w:r>
      <w:r>
        <w:rPr>
          <w:color w:val="231F20"/>
          <w:w w:val="103"/>
          <w:sz w:val="25"/>
        </w:rPr>
        <w:t>.</w:t>
      </w:r>
      <w:r>
        <w:rPr>
          <w:color w:val="231F20"/>
          <w:sz w:val="25"/>
        </w:rPr>
        <w:t> </w:t>
      </w:r>
      <w:r>
        <w:rPr>
          <w:color w:val="231F20"/>
          <w:spacing w:val="-1"/>
          <w:w w:val="109"/>
          <w:sz w:val="25"/>
        </w:rPr>
        <w:t>b</w:t>
      </w:r>
      <w:r>
        <w:rPr>
          <w:color w:val="231F20"/>
          <w:spacing w:val="-1"/>
          <w:w w:val="100"/>
          <w:sz w:val="25"/>
        </w:rPr>
        <w:t>ovi</w:t>
      </w:r>
      <w:r>
        <w:rPr>
          <w:color w:val="231F20"/>
          <w:w w:val="100"/>
          <w:sz w:val="25"/>
        </w:rPr>
        <w:t>s</w:t>
      </w:r>
      <w:r>
        <w:rPr>
          <w:color w:val="231F20"/>
          <w:sz w:val="25"/>
        </w:rPr>
        <w:t> </w:t>
      </w:r>
      <w:r>
        <w:rPr>
          <w:color w:val="231F20"/>
          <w:spacing w:val="12"/>
        </w:rPr>
        <w:t>，不含</w:t>
      </w:r>
      <w:r>
        <w:rPr>
          <w:color w:val="231F20"/>
          <w:spacing w:val="-1"/>
          <w:w w:val="103"/>
          <w:sz w:val="25"/>
        </w:rPr>
        <w:t>M</w:t>
      </w:r>
      <w:r>
        <w:rPr>
          <w:color w:val="231F20"/>
          <w:w w:val="103"/>
          <w:sz w:val="25"/>
        </w:rPr>
        <w:t>.</w:t>
      </w:r>
      <w:r>
        <w:rPr>
          <w:color w:val="231F20"/>
          <w:sz w:val="25"/>
        </w:rPr>
        <w:t> </w:t>
      </w:r>
      <w:r>
        <w:rPr>
          <w:color w:val="231F20"/>
          <w:spacing w:val="-1"/>
          <w:w w:val="109"/>
          <w:sz w:val="25"/>
        </w:rPr>
        <w:t>b</w:t>
      </w:r>
      <w:r>
        <w:rPr>
          <w:color w:val="231F20"/>
          <w:spacing w:val="-1"/>
          <w:w w:val="100"/>
          <w:sz w:val="25"/>
        </w:rPr>
        <w:t>ovi</w:t>
      </w:r>
      <w:r>
        <w:rPr>
          <w:color w:val="231F20"/>
          <w:w w:val="100"/>
          <w:sz w:val="25"/>
        </w:rPr>
        <w:t>s</w:t>
      </w:r>
      <w:r>
        <w:rPr>
          <w:color w:val="231F20"/>
          <w:spacing w:val="-13"/>
          <w:sz w:val="25"/>
        </w:rPr>
        <w:t>  </w:t>
      </w:r>
      <w:r>
        <w:rPr>
          <w:color w:val="231F20"/>
          <w:spacing w:val="-1"/>
          <w:w w:val="92"/>
        </w:rPr>
        <w:t>B</w:t>
      </w:r>
      <w:r>
        <w:rPr>
          <w:color w:val="231F20"/>
          <w:spacing w:val="-7"/>
          <w:w w:val="92"/>
        </w:rPr>
        <w:t>C</w:t>
      </w:r>
      <w:r>
        <w:rPr>
          <w:color w:val="231F20"/>
          <w:w w:val="94"/>
        </w:rPr>
        <w:t>G</w:t>
      </w:r>
      <w:r>
        <w:rPr>
          <w:color w:val="231F20"/>
          <w:spacing w:val="4"/>
          <w:w w:val="107"/>
        </w:rPr>
        <w:t>)感染者及動物接觸者</w:t>
      </w:r>
      <w:r>
        <w:rPr>
          <w:color w:val="231F20"/>
          <w:spacing w:val="5"/>
        </w:rPr>
        <w:t>、醫院工作</w:t>
      </w:r>
      <w:r>
        <w:rPr>
          <w:color w:val="231F20"/>
          <w:spacing w:val="-8"/>
        </w:rPr>
        <w:t>者、校園 </w:t>
      </w:r>
      <w:r>
        <w:rPr>
          <w:color w:val="231F20"/>
          <w:spacing w:val="-11"/>
          <w:w w:val="80"/>
        </w:rPr>
        <w:t>／ </w:t>
      </w:r>
      <w:r>
        <w:rPr>
          <w:color w:val="231F20"/>
          <w:spacing w:val="-3"/>
        </w:rPr>
        <w:t>教育單位之工作者及學生、外籍人土 </w:t>
      </w:r>
      <w:r>
        <w:rPr>
          <w:color w:val="231F20"/>
          <w:spacing w:val="-11"/>
          <w:w w:val="80"/>
        </w:rPr>
        <w:t>／ </w:t>
      </w:r>
      <w:r>
        <w:rPr>
          <w:color w:val="231F20"/>
        </w:rPr>
        <w:t>移工、矯正及收容機關人員及長期照護機構等身分之結核病個案管理注意事項請參閱第七章「特定場域、身分個案防治重點」。</w:t>
      </w:r>
    </w:p>
    <w:p>
      <w:pPr>
        <w:pStyle w:val="BodyText"/>
        <w:spacing w:before="15"/>
        <w:rPr>
          <w:sz w:val="18"/>
        </w:rPr>
      </w:pPr>
    </w:p>
    <w:p>
      <w:pPr>
        <w:pStyle w:val="Heading2"/>
      </w:pPr>
      <w:r>
        <w:rPr>
          <w:color w:val="231F20"/>
        </w:rPr>
        <w:t>伍、管理品質監控與成效評估工具</w:t>
      </w:r>
    </w:p>
    <w:p>
      <w:pPr>
        <w:pStyle w:val="BodyText"/>
        <w:spacing w:line="404" w:lineRule="exact"/>
        <w:ind w:left="391"/>
        <w:jc w:val="both"/>
      </w:pPr>
      <w:r>
        <w:rPr>
          <w:color w:val="231F20"/>
        </w:rPr>
        <w:t>＿、TB 系統資料變更作業</w:t>
      </w:r>
    </w:p>
    <w:p>
      <w:pPr>
        <w:pStyle w:val="BodyText"/>
        <w:spacing w:line="230" w:lineRule="auto" w:before="3"/>
        <w:ind w:left="878" w:right="1130" w:hanging="1"/>
        <w:jc w:val="both"/>
      </w:pPr>
      <w:r>
        <w:rPr>
          <w:color w:val="231F20"/>
        </w:rPr>
        <w:t>對 TB 系統內諸如：個案證號、就醫紀錄、追蹤複查等資料欲進行變更，應填妥「結核病追蹤管理系統資料異動申請單」</w:t>
      </w:r>
      <w:r>
        <w:rPr>
          <w:color w:val="231F20"/>
          <w:w w:val="128"/>
        </w:rPr>
        <w:t>(附件</w:t>
      </w:r>
      <w:r>
        <w:rPr>
          <w:color w:val="231F20"/>
        </w:rPr>
        <w:t> </w:t>
      </w:r>
      <w:r>
        <w:rPr>
          <w:color w:val="231F20"/>
          <w:w w:val="104"/>
        </w:rPr>
        <w:t>6</w:t>
      </w:r>
      <w:r>
        <w:rPr>
          <w:color w:val="231F20"/>
          <w:w w:val="129"/>
        </w:rPr>
        <w:t>-</w:t>
      </w:r>
      <w:r>
        <w:rPr>
          <w:color w:val="231F20"/>
          <w:w w:val="104"/>
        </w:rPr>
        <w:t>8</w:t>
      </w:r>
      <w:r>
        <w:rPr>
          <w:color w:val="231F20"/>
          <w:w w:val="300"/>
        </w:rPr>
        <w:t>)</w:t>
      </w:r>
      <w:r>
        <w:rPr>
          <w:color w:val="231F20"/>
        </w:rPr>
        <w:t>，傳真或 </w:t>
      </w:r>
      <w:r>
        <w:rPr>
          <w:color w:val="231F20"/>
          <w:w w:val="81"/>
        </w:rPr>
        <w:t>E</w:t>
      </w:r>
      <w:r>
        <w:rPr>
          <w:color w:val="231F20"/>
          <w:w w:val="129"/>
        </w:rPr>
        <w:t>-</w:t>
      </w:r>
      <w:r>
        <w:rPr>
          <w:color w:val="231F20"/>
          <w:w w:val="115"/>
        </w:rPr>
        <w:t>M</w:t>
      </w:r>
      <w:r>
        <w:rPr>
          <w:color w:val="231F20"/>
          <w:w w:val="103"/>
        </w:rPr>
        <w:t>A</w:t>
      </w:r>
      <w:r>
        <w:rPr>
          <w:color w:val="231F20"/>
          <w:w w:val="102"/>
        </w:rPr>
        <w:t>I</w:t>
      </w:r>
      <w:r>
        <w:rPr>
          <w:color w:val="231F20"/>
          <w:w w:val="90"/>
        </w:rPr>
        <w:t>L</w:t>
      </w:r>
      <w:r>
        <w:rPr>
          <w:color w:val="231F20"/>
        </w:rPr>
        <w:t> 至所轄各區管制</w:t>
      </w:r>
      <w:r>
        <w:rPr>
          <w:color w:val="231F20"/>
          <w:w w:val="105"/>
        </w:rPr>
        <w:t>中心 </w:t>
      </w:r>
      <w:r>
        <w:rPr>
          <w:color w:val="231F20"/>
          <w:w w:val="80"/>
        </w:rPr>
        <w:t>／ </w:t>
      </w:r>
      <w:r>
        <w:rPr>
          <w:color w:val="231F20"/>
          <w:w w:val="105"/>
        </w:rPr>
        <w:t>慢性組進行 TB 系統資料修正。</w:t>
      </w:r>
    </w:p>
    <w:p>
      <w:pPr>
        <w:pStyle w:val="BodyText"/>
        <w:spacing w:line="230" w:lineRule="auto"/>
        <w:ind w:left="878" w:right="1136" w:hanging="488"/>
        <w:jc w:val="both"/>
      </w:pPr>
      <w:r>
        <w:rPr>
          <w:color w:val="231F20"/>
        </w:rPr>
        <w:t>—、公衛管理人員每日可運用 TB 系統及項下之 monitor 子系統之以下報表，協助進行管理過程之口質監控</w:t>
      </w:r>
    </w:p>
    <w:p>
      <w:pPr>
        <w:pStyle w:val="BodyText"/>
        <w:spacing w:line="230" w:lineRule="auto"/>
        <w:ind w:left="1349" w:right="1135" w:hanging="720"/>
        <w:jc w:val="both"/>
      </w:pPr>
      <w:r>
        <w:rPr>
          <w:color w:val="231F20"/>
        </w:rPr>
        <w:t>( ＿ ) 個管綜合提醒清冊：每日彙整管理中結核病個案的各類須注意項目及異常警示訊息；公衛管理人員可於 TB 系統任＿網頁的右下角開啟快捷列並連結至本清單功能。</w:t>
      </w:r>
    </w:p>
    <w:p>
      <w:pPr>
        <w:pStyle w:val="BodyText"/>
        <w:tabs>
          <w:tab w:pos="1349" w:val="left" w:leader="none"/>
        </w:tabs>
        <w:spacing w:line="394" w:lineRule="exact"/>
        <w:ind w:left="629"/>
      </w:pPr>
      <w:r>
        <w:rPr>
          <w:color w:val="231F20"/>
          <w:spacing w:val="-4"/>
        </w:rPr>
        <w:t>( — )</w:t>
      </w:r>
      <w:r>
        <w:rPr>
          <w:color w:val="231F20"/>
        </w:rPr>
        <w:tab/>
      </w:r>
      <w:r>
        <w:rPr>
          <w:color w:val="231F20"/>
          <w:spacing w:val="-1"/>
        </w:rPr>
        <w:t>查痰口管：陽性逾 </w:t>
      </w:r>
      <w:r>
        <w:rPr>
          <w:color w:val="231F20"/>
        </w:rPr>
        <w:t>30</w:t>
      </w:r>
      <w:r>
        <w:rPr>
          <w:color w:val="231F20"/>
          <w:spacing w:val="-4"/>
        </w:rPr>
        <w:t> 天無追蹤痰 </w:t>
      </w:r>
      <w:r>
        <w:rPr>
          <w:color w:val="231F20"/>
          <w:spacing w:val="4"/>
          <w:w w:val="75"/>
        </w:rPr>
        <w:t>／ </w:t>
      </w:r>
      <w:r>
        <w:rPr>
          <w:color w:val="231F20"/>
          <w:spacing w:val="-2"/>
        </w:rPr>
        <w:t>陽性逾 </w:t>
      </w:r>
      <w:r>
        <w:rPr>
          <w:color w:val="231F20"/>
        </w:rPr>
        <w:t>60</w:t>
      </w:r>
      <w:r>
        <w:rPr>
          <w:color w:val="231F20"/>
          <w:spacing w:val="-3"/>
        </w:rPr>
        <w:t> 天無追蹤痰。</w:t>
      </w:r>
    </w:p>
    <w:p>
      <w:pPr>
        <w:pStyle w:val="BodyText"/>
        <w:tabs>
          <w:tab w:pos="1349" w:val="left" w:leader="none"/>
        </w:tabs>
        <w:spacing w:line="400" w:lineRule="exact"/>
        <w:ind w:left="629"/>
      </w:pPr>
      <w:r>
        <w:rPr>
          <w:color w:val="231F20"/>
        </w:rPr>
        <w:t>(</w:t>
      </w:r>
      <w:r>
        <w:rPr>
          <w:color w:val="231F20"/>
          <w:spacing w:val="-9"/>
        </w:rPr>
        <w:t> </w:t>
      </w:r>
      <w:r>
        <w:rPr>
          <w:color w:val="231F20"/>
        </w:rPr>
        <w:t>二</w:t>
      </w:r>
      <w:r>
        <w:rPr>
          <w:color w:val="231F20"/>
          <w:spacing w:val="-8"/>
        </w:rPr>
        <w:t> </w:t>
      </w:r>
      <w:r>
        <w:rPr>
          <w:color w:val="231F20"/>
        </w:rPr>
        <w:t>)</w:t>
        <w:tab/>
        <w:t>診斷口管：通報後逾</w:t>
      </w:r>
      <w:r>
        <w:rPr>
          <w:color w:val="231F20"/>
          <w:spacing w:val="-6"/>
        </w:rPr>
        <w:t> </w:t>
      </w:r>
      <w:r>
        <w:rPr>
          <w:color w:val="231F20"/>
        </w:rPr>
        <w:t>45</w:t>
      </w:r>
      <w:r>
        <w:rPr>
          <w:color w:val="231F20"/>
          <w:spacing w:val="-7"/>
        </w:rPr>
        <w:t> </w:t>
      </w:r>
      <w:r>
        <w:rPr>
          <w:color w:val="231F20"/>
        </w:rPr>
        <w:t>天未確診或排除，提醒請儘速於</w:t>
      </w:r>
      <w:r>
        <w:rPr>
          <w:color w:val="231F20"/>
          <w:spacing w:val="-6"/>
        </w:rPr>
        <w:t> </w:t>
      </w:r>
      <w:r>
        <w:rPr>
          <w:color w:val="231F20"/>
        </w:rPr>
        <w:t>60</w:t>
      </w:r>
      <w:r>
        <w:rPr>
          <w:color w:val="231F20"/>
          <w:spacing w:val="-7"/>
        </w:rPr>
        <w:t> </w:t>
      </w:r>
      <w:r>
        <w:rPr>
          <w:color w:val="231F20"/>
        </w:rPr>
        <w:t>天完成。</w:t>
      </w:r>
    </w:p>
    <w:p>
      <w:pPr>
        <w:pStyle w:val="BodyText"/>
        <w:tabs>
          <w:tab w:pos="1349" w:val="left" w:leader="none"/>
        </w:tabs>
        <w:spacing w:line="409" w:lineRule="exact"/>
        <w:ind w:left="629"/>
      </w:pPr>
      <w:r>
        <w:rPr>
          <w:color w:val="231F20"/>
        </w:rPr>
        <w:t>(</w:t>
      </w:r>
      <w:r>
        <w:rPr>
          <w:color w:val="231F20"/>
          <w:spacing w:val="-9"/>
        </w:rPr>
        <w:t> </w:t>
      </w:r>
      <w:r>
        <w:rPr>
          <w:color w:val="231F20"/>
        </w:rPr>
        <w:t>匹</w:t>
      </w:r>
      <w:r>
        <w:rPr>
          <w:color w:val="231F20"/>
          <w:spacing w:val="-8"/>
        </w:rPr>
        <w:t> </w:t>
      </w:r>
      <w:r>
        <w:rPr>
          <w:color w:val="231F20"/>
        </w:rPr>
        <w:t>)</w:t>
        <w:tab/>
      </w:r>
      <w:r>
        <w:rPr>
          <w:color w:val="231F20"/>
          <w:spacing w:val="18"/>
        </w:rPr>
        <w:t>管理口</w:t>
      </w:r>
      <w:r>
        <w:rPr>
          <w:color w:val="231F20"/>
        </w:rPr>
        <w:t>管</w:t>
      </w:r>
      <w:r>
        <w:rPr>
          <w:color w:val="231F20"/>
          <w:spacing w:val="18"/>
        </w:rPr>
        <w:t>：確診個</w:t>
      </w:r>
      <w:r>
        <w:rPr>
          <w:color w:val="231F20"/>
        </w:rPr>
        <w:t>案</w:t>
      </w:r>
      <w:r>
        <w:rPr>
          <w:color w:val="231F20"/>
          <w:spacing w:val="-13"/>
        </w:rPr>
        <w:t> </w:t>
      </w:r>
      <w:r>
        <w:rPr>
          <w:color w:val="231F20"/>
        </w:rPr>
        <w:t>＞14</w:t>
      </w:r>
      <w:r>
        <w:rPr>
          <w:color w:val="231F20"/>
          <w:spacing w:val="-12"/>
        </w:rPr>
        <w:t> </w:t>
      </w:r>
      <w:r>
        <w:rPr>
          <w:color w:val="231F20"/>
          <w:spacing w:val="18"/>
        </w:rPr>
        <w:t>天無用藥紀</w:t>
      </w:r>
      <w:r>
        <w:rPr>
          <w:color w:val="231F20"/>
        </w:rPr>
        <w:t>錄</w:t>
      </w:r>
      <w:r>
        <w:rPr>
          <w:color w:val="231F20"/>
          <w:spacing w:val="-13"/>
        </w:rPr>
        <w:t> </w:t>
      </w:r>
      <w:r>
        <w:rPr>
          <w:color w:val="231F20"/>
          <w:w w:val="80"/>
        </w:rPr>
        <w:t>／</w:t>
      </w:r>
      <w:r>
        <w:rPr>
          <w:color w:val="231F20"/>
          <w:spacing w:val="1"/>
          <w:w w:val="80"/>
        </w:rPr>
        <w:t> </w:t>
      </w:r>
      <w:r>
        <w:rPr>
          <w:color w:val="231F20"/>
          <w:spacing w:val="18"/>
        </w:rPr>
        <w:t>無開始用藥體重資</w:t>
      </w:r>
      <w:r>
        <w:rPr>
          <w:color w:val="231F20"/>
        </w:rPr>
        <w:t>訊</w:t>
      </w:r>
      <w:r>
        <w:rPr>
          <w:color w:val="231F20"/>
          <w:spacing w:val="-13"/>
        </w:rPr>
        <w:t> </w:t>
      </w:r>
      <w:r>
        <w:rPr>
          <w:color w:val="231F20"/>
          <w:w w:val="80"/>
        </w:rPr>
        <w:t>／ </w:t>
      </w:r>
      <w:r>
        <w:rPr>
          <w:color w:val="231F20"/>
          <w:spacing w:val="18"/>
        </w:rPr>
        <w:t>治療中個案</w:t>
      </w:r>
    </w:p>
    <w:p>
      <w:pPr>
        <w:spacing w:after="0" w:line="409" w:lineRule="exact"/>
        <w:sectPr>
          <w:pgSz w:w="11910" w:h="16840"/>
          <w:pgMar w:top="1060" w:bottom="0" w:left="980" w:right="0"/>
        </w:sectPr>
      </w:pPr>
    </w:p>
    <w:p>
      <w:pPr>
        <w:pStyle w:val="BodyText"/>
        <w:spacing w:line="230" w:lineRule="auto" w:before="70"/>
        <w:ind w:left="1349" w:right="1131"/>
        <w:jc w:val="both"/>
      </w:pPr>
      <w:r>
        <w:rPr/>
        <w:pict>
          <v:group style="position:absolute;margin-left:-.000001pt;margin-top:178.154007pt;width:37.35pt;height:663.55pt;mso-position-horizontal-relative:page;mso-position-vertical-relative:page;z-index:251785216"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80"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60</w:t>
                    </w:r>
                  </w:p>
                </w:txbxContent>
              </v:textbox>
              <w10:wrap type="none"/>
            </v:shape>
            <w10:wrap type="none"/>
          </v:group>
        </w:pict>
      </w:r>
      <w:r>
        <w:rPr>
          <w:color w:val="231F20"/>
        </w:rPr>
        <w:t>＞30</w:t>
      </w:r>
      <w:r>
        <w:rPr>
          <w:color w:val="231F20"/>
          <w:spacing w:val="-13"/>
        </w:rPr>
        <w:t> 天無用藥紀錄 </w:t>
      </w:r>
      <w:r>
        <w:rPr>
          <w:color w:val="231F20"/>
          <w:spacing w:val="-14"/>
          <w:w w:val="80"/>
        </w:rPr>
        <w:t>／ </w:t>
      </w:r>
      <w:r>
        <w:rPr>
          <w:color w:val="231F20"/>
          <w:spacing w:val="-4"/>
        </w:rPr>
        <w:t>用藥個案加強期未開立 </w:t>
      </w:r>
      <w:r>
        <w:rPr>
          <w:color w:val="231F20"/>
        </w:rPr>
        <w:t>HERZ</w:t>
      </w:r>
      <w:r>
        <w:rPr>
          <w:color w:val="231F20"/>
          <w:spacing w:val="-15"/>
        </w:rPr>
        <w:t> 匹種處方 </w:t>
      </w:r>
      <w:r>
        <w:rPr>
          <w:color w:val="231F20"/>
          <w:spacing w:val="-14"/>
          <w:w w:val="80"/>
        </w:rPr>
        <w:t>／ </w:t>
      </w:r>
      <w:r>
        <w:rPr>
          <w:color w:val="231F20"/>
        </w:rPr>
        <w:t>用藥個案未持續使</w:t>
      </w:r>
      <w:r>
        <w:rPr>
          <w:color w:val="231F20"/>
          <w:spacing w:val="-13"/>
        </w:rPr>
        <w:t>用 </w:t>
      </w:r>
      <w:r>
        <w:rPr>
          <w:color w:val="231F20"/>
        </w:rPr>
        <w:t>HR</w:t>
      </w:r>
      <w:r>
        <w:rPr>
          <w:color w:val="231F20"/>
          <w:spacing w:val="-13"/>
        </w:rPr>
        <w:t> 處方 </w:t>
      </w:r>
      <w:r>
        <w:rPr>
          <w:color w:val="231F20"/>
          <w:spacing w:val="-6"/>
          <w:w w:val="80"/>
        </w:rPr>
        <w:t>／ </w:t>
      </w:r>
      <w:r>
        <w:rPr>
          <w:color w:val="231F20"/>
          <w:spacing w:val="-4"/>
        </w:rPr>
        <w:t>用藥個案使用 </w:t>
      </w:r>
      <w:r>
        <w:rPr>
          <w:color w:val="231F20"/>
        </w:rPr>
        <w:t>EMB</w:t>
      </w:r>
      <w:r>
        <w:rPr>
          <w:color w:val="231F20"/>
          <w:spacing w:val="-11"/>
        </w:rPr>
        <w:t> 處方 ＞</w:t>
      </w:r>
      <w:r>
        <w:rPr>
          <w:color w:val="231F20"/>
        </w:rPr>
        <w:t>120</w:t>
      </w:r>
      <w:r>
        <w:rPr>
          <w:color w:val="231F20"/>
          <w:spacing w:val="-17"/>
        </w:rPr>
        <w:t> 日 </w:t>
      </w:r>
      <w:r>
        <w:rPr>
          <w:color w:val="231F20"/>
          <w:spacing w:val="-6"/>
          <w:w w:val="80"/>
        </w:rPr>
        <w:t>／ </w:t>
      </w:r>
      <w:r>
        <w:rPr>
          <w:color w:val="231F20"/>
          <w:spacing w:val="-9"/>
        </w:rPr>
        <w:t>使用 </w:t>
      </w:r>
      <w:r>
        <w:rPr>
          <w:color w:val="231F20"/>
        </w:rPr>
        <w:t>EMB</w:t>
      </w:r>
      <w:r>
        <w:rPr>
          <w:color w:val="231F20"/>
          <w:spacing w:val="-5"/>
        </w:rPr>
        <w:t> 無辨色力、視力評估</w:t>
      </w:r>
      <w:r>
        <w:rPr>
          <w:color w:val="231F20"/>
          <w:spacing w:val="-1"/>
        </w:rPr>
        <w:t>紀錄 </w:t>
      </w:r>
      <w:r>
        <w:rPr>
          <w:color w:val="231F20"/>
          <w:w w:val="41"/>
        </w:rPr>
        <w:t>／</w:t>
      </w:r>
      <w:r>
        <w:rPr>
          <w:color w:val="231F20"/>
          <w:spacing w:val="-3"/>
        </w:rPr>
        <w:t> 管理 </w:t>
      </w:r>
      <w:r>
        <w:rPr>
          <w:color w:val="231F20"/>
          <w:w w:val="104"/>
        </w:rPr>
        <w:t>2</w:t>
      </w:r>
      <w:r>
        <w:rPr>
          <w:color w:val="231F20"/>
          <w:spacing w:val="-1"/>
        </w:rPr>
        <w:t> 個月尚未完成收案訪視調查表 </w:t>
      </w:r>
      <w:r>
        <w:rPr>
          <w:color w:val="231F20"/>
          <w:w w:val="41"/>
        </w:rPr>
        <w:t>／</w:t>
      </w:r>
      <w:r>
        <w:rPr>
          <w:color w:val="231F20"/>
          <w:spacing w:val="-1"/>
          <w:w w:val="73"/>
        </w:rPr>
        <w:t>＞</w:t>
      </w:r>
      <w:r>
        <w:rPr>
          <w:color w:val="231F20"/>
          <w:w w:val="104"/>
        </w:rPr>
        <w:t>60</w:t>
      </w:r>
      <w:r>
        <w:rPr>
          <w:color w:val="231F20"/>
          <w:spacing w:val="-1"/>
        </w:rPr>
        <w:t> 天無訪視紀錄 </w:t>
      </w:r>
      <w:r>
        <w:rPr>
          <w:color w:val="231F20"/>
          <w:w w:val="41"/>
        </w:rPr>
        <w:t>／</w:t>
      </w:r>
      <w:r>
        <w:rPr>
          <w:color w:val="231F20"/>
          <w:spacing w:val="-1"/>
        </w:rPr>
        <w:t> 醫院已宣告結束療程，公衛未於期限內完成銷案、符合 </w:t>
      </w:r>
      <w:r>
        <w:rPr>
          <w:color w:val="231F20"/>
          <w:spacing w:val="-3"/>
        </w:rPr>
        <w:t>TMTC 團隊收案對象清單等報表。</w:t>
      </w:r>
    </w:p>
    <w:p>
      <w:pPr>
        <w:pStyle w:val="BodyText"/>
        <w:spacing w:line="392" w:lineRule="exact"/>
        <w:ind w:left="629"/>
        <w:jc w:val="both"/>
      </w:pPr>
      <w:r>
        <w:rPr>
          <w:color w:val="231F20"/>
        </w:rPr>
        <w:t>( 五 ) 受理作業：下列提醒應辦理事項完成後，儘速進行系統受理作業維護事宜。</w:t>
      </w:r>
    </w:p>
    <w:p>
      <w:pPr>
        <w:pStyle w:val="ListParagraph"/>
        <w:numPr>
          <w:ilvl w:val="0"/>
          <w:numId w:val="109"/>
        </w:numPr>
        <w:tabs>
          <w:tab w:pos="1350" w:val="left" w:leader="none"/>
        </w:tabs>
        <w:spacing w:line="230" w:lineRule="auto" w:before="3" w:after="0"/>
        <w:ind w:left="1349" w:right="1131" w:hanging="255"/>
        <w:jc w:val="both"/>
        <w:rPr>
          <w:sz w:val="24"/>
        </w:rPr>
      </w:pPr>
      <w:r>
        <w:rPr>
          <w:color w:val="231F20"/>
          <w:sz w:val="24"/>
        </w:rPr>
        <w:t>接觸者發病：曾為系統建檔之結核病接觸者，如經通報為結核病個案時，系統將</w:t>
      </w:r>
      <w:r>
        <w:rPr>
          <w:color w:val="231F20"/>
          <w:spacing w:val="-1"/>
          <w:sz w:val="24"/>
        </w:rPr>
        <w:t>自動發信給管理人員，公衛管理人員確認發病接觸者與其指標個案之關係，釐清</w:t>
      </w:r>
      <w:r>
        <w:rPr>
          <w:color w:val="231F20"/>
          <w:sz w:val="24"/>
        </w:rPr>
        <w:t>是否為家戶以外的疑似聚集事件，評估啟動聚集事件調查作業。</w:t>
      </w:r>
    </w:p>
    <w:p>
      <w:pPr>
        <w:pStyle w:val="ListParagraph"/>
        <w:numPr>
          <w:ilvl w:val="0"/>
          <w:numId w:val="109"/>
        </w:numPr>
        <w:tabs>
          <w:tab w:pos="1349" w:val="left" w:leader="none"/>
        </w:tabs>
        <w:spacing w:line="394" w:lineRule="exact" w:before="0" w:after="0"/>
        <w:ind w:left="1348" w:right="0" w:hanging="255"/>
        <w:jc w:val="both"/>
        <w:rPr>
          <w:sz w:val="24"/>
        </w:rPr>
      </w:pPr>
      <w:r>
        <w:rPr>
          <w:color w:val="231F20"/>
          <w:sz w:val="24"/>
        </w:rPr>
        <w:t>副作用及失聯就醫通知：</w:t>
      </w:r>
    </w:p>
    <w:p>
      <w:pPr>
        <w:pStyle w:val="ListParagraph"/>
        <w:numPr>
          <w:ilvl w:val="1"/>
          <w:numId w:val="109"/>
        </w:numPr>
        <w:tabs>
          <w:tab w:pos="1595" w:val="left" w:leader="none"/>
        </w:tabs>
        <w:spacing w:line="230" w:lineRule="auto" w:before="2" w:after="0"/>
        <w:ind w:left="1591" w:right="1131" w:hanging="355"/>
        <w:jc w:val="both"/>
        <w:rPr>
          <w:sz w:val="24"/>
        </w:rPr>
      </w:pPr>
      <w:r>
        <w:rPr>
          <w:color w:val="231F20"/>
          <w:sz w:val="24"/>
        </w:rPr>
        <w:t>關懷評估副作用：關懷員於個案都治日誌維護服藥有任＿</w:t>
      </w:r>
      <w:r>
        <w:rPr>
          <w:color w:val="231F20"/>
          <w:spacing w:val="-2"/>
          <w:sz w:val="24"/>
        </w:rPr>
        <w:t>筆副作用(如聽力下</w:t>
      </w:r>
      <w:r>
        <w:rPr>
          <w:color w:val="231F20"/>
          <w:sz w:val="24"/>
        </w:rPr>
        <w:t>降、噁心嘔吐、視力模糊、皮膚過敏或手足末梢麻木等)，公衛管理人員應每日檢視，依關懷員反應之副作用種類，確實評估個案情形，提供相關處置，並</w:t>
      </w:r>
      <w:r>
        <w:rPr>
          <w:color w:val="231F20"/>
          <w:spacing w:val="-3"/>
          <w:sz w:val="24"/>
        </w:rPr>
        <w:t>於系統地段訪視 </w:t>
      </w:r>
      <w:r>
        <w:rPr>
          <w:color w:val="231F20"/>
          <w:spacing w:val="-1"/>
          <w:w w:val="75"/>
          <w:sz w:val="24"/>
        </w:rPr>
        <w:t>／ </w:t>
      </w:r>
      <w:r>
        <w:rPr>
          <w:color w:val="231F20"/>
          <w:sz w:val="24"/>
        </w:rPr>
        <w:t>副作用評估新增並完成評估結果及處理情形等相關紀錄。</w:t>
      </w:r>
    </w:p>
    <w:p>
      <w:pPr>
        <w:pStyle w:val="ListParagraph"/>
        <w:numPr>
          <w:ilvl w:val="1"/>
          <w:numId w:val="109"/>
        </w:numPr>
        <w:tabs>
          <w:tab w:pos="1595" w:val="left" w:leader="none"/>
        </w:tabs>
        <w:spacing w:line="230" w:lineRule="auto" w:before="0" w:after="0"/>
        <w:ind w:left="1591" w:right="1133" w:hanging="355"/>
        <w:jc w:val="both"/>
        <w:rPr>
          <w:sz w:val="24"/>
        </w:rPr>
      </w:pPr>
      <w:r>
        <w:rPr>
          <w:color w:val="231F20"/>
          <w:spacing w:val="-1"/>
          <w:sz w:val="24"/>
        </w:rPr>
        <w:t>失聯就醫：已宣告失聯個案，系統每日自動與健保署進行勾稽，倘個案因任何原因健保就醫，系統將自動發信給管理人員，公衛管理人員請於 </w:t>
      </w:r>
      <w:r>
        <w:rPr>
          <w:color w:val="231F20"/>
          <w:sz w:val="24"/>
        </w:rPr>
        <w:t>3</w:t>
      </w:r>
      <w:r>
        <w:rPr>
          <w:color w:val="231F20"/>
          <w:spacing w:val="-2"/>
          <w:sz w:val="24"/>
        </w:rPr>
        <w:t> 日內聯繫個</w:t>
      </w:r>
      <w:r>
        <w:rPr>
          <w:color w:val="231F20"/>
          <w:spacing w:val="-3"/>
          <w:sz w:val="24"/>
        </w:rPr>
        <w:t>案就診之醫院，了解個案聯繫方式及就診原因，可與院所合作勸導個案規則就</w:t>
      </w:r>
      <w:r>
        <w:rPr>
          <w:color w:val="231F20"/>
          <w:sz w:val="24"/>
        </w:rPr>
        <w:t>醫，持續進行結核病診療。</w:t>
      </w:r>
    </w:p>
    <w:p>
      <w:pPr>
        <w:pStyle w:val="ListParagraph"/>
        <w:numPr>
          <w:ilvl w:val="0"/>
          <w:numId w:val="109"/>
        </w:numPr>
        <w:tabs>
          <w:tab w:pos="1350" w:val="left" w:leader="none"/>
        </w:tabs>
        <w:spacing w:line="230" w:lineRule="auto" w:before="0" w:after="0"/>
        <w:ind w:left="1349" w:right="1133" w:hanging="255"/>
        <w:jc w:val="both"/>
        <w:rPr>
          <w:sz w:val="24"/>
        </w:rPr>
      </w:pPr>
      <w:r>
        <w:rPr>
          <w:color w:val="231F20"/>
          <w:sz w:val="24"/>
        </w:rPr>
        <w:t>入出移監異動：系統每日與法務部進行勾稽，如有新入監、出監或移監等情形， </w:t>
      </w:r>
      <w:r>
        <w:rPr>
          <w:color w:val="231F20"/>
          <w:spacing w:val="-1"/>
          <w:sz w:val="24"/>
        </w:rPr>
        <w:t>系統主動發信通知管理人員，公衛管理人員接獲通知後辦理個案入出監所轉銜作</w:t>
      </w:r>
      <w:r>
        <w:rPr>
          <w:color w:val="231F20"/>
          <w:sz w:val="24"/>
        </w:rPr>
        <w:t>業，如為失聯個案應重啟管理。</w:t>
      </w:r>
    </w:p>
    <w:p>
      <w:pPr>
        <w:pStyle w:val="ListParagraph"/>
        <w:numPr>
          <w:ilvl w:val="0"/>
          <w:numId w:val="109"/>
        </w:numPr>
        <w:tabs>
          <w:tab w:pos="1350" w:val="left" w:leader="none"/>
        </w:tabs>
        <w:spacing w:line="228" w:lineRule="auto" w:before="0" w:after="0"/>
        <w:ind w:left="1349" w:right="1126" w:hanging="256"/>
        <w:jc w:val="both"/>
        <w:rPr>
          <w:sz w:val="24"/>
        </w:rPr>
      </w:pPr>
      <w:r>
        <w:rPr>
          <w:color w:val="231F20"/>
          <w:spacing w:val="7"/>
          <w:sz w:val="24"/>
        </w:rPr>
        <w:t>牛結核個案：經本署分枝桿菌實驗室鑑定為</w:t>
      </w:r>
      <w:r>
        <w:rPr>
          <w:color w:val="231F20"/>
          <w:sz w:val="25"/>
        </w:rPr>
        <w:t>M.bovis</w:t>
      </w:r>
      <w:r>
        <w:rPr>
          <w:color w:val="231F20"/>
          <w:spacing w:val="44"/>
          <w:sz w:val="25"/>
        </w:rPr>
        <w:t> </w:t>
      </w:r>
      <w:r>
        <w:rPr>
          <w:color w:val="231F20"/>
          <w:spacing w:val="-3"/>
          <w:sz w:val="24"/>
        </w:rPr>
        <w:t>BCG</w:t>
      </w:r>
      <w:r>
        <w:rPr>
          <w:color w:val="231F20"/>
          <w:spacing w:val="11"/>
          <w:sz w:val="24"/>
        </w:rPr>
        <w:t> 或</w:t>
      </w:r>
      <w:r>
        <w:rPr>
          <w:color w:val="231F20"/>
          <w:sz w:val="25"/>
        </w:rPr>
        <w:t>M.bovis</w:t>
      </w:r>
      <w:r>
        <w:rPr>
          <w:color w:val="231F20"/>
          <w:spacing w:val="-35"/>
          <w:sz w:val="25"/>
        </w:rPr>
        <w:t> </w:t>
      </w:r>
      <w:r>
        <w:rPr>
          <w:color w:val="231F20"/>
          <w:spacing w:val="8"/>
          <w:sz w:val="24"/>
        </w:rPr>
        <w:t>，由本署</w:t>
      </w:r>
      <w:r>
        <w:rPr>
          <w:color w:val="231F20"/>
          <w:sz w:val="24"/>
        </w:rPr>
        <w:t>各區管制中心上傳報告單註記後，系統會主動發信給管理人員，公衛管理人員接獲通知後，依警示類別處理如下：</w:t>
      </w:r>
    </w:p>
    <w:p>
      <w:pPr>
        <w:pStyle w:val="ListParagraph"/>
        <w:numPr>
          <w:ilvl w:val="1"/>
          <w:numId w:val="109"/>
        </w:numPr>
        <w:tabs>
          <w:tab w:pos="1557" w:val="left" w:leader="none"/>
        </w:tabs>
        <w:spacing w:line="395" w:lineRule="exact" w:before="0" w:after="0"/>
        <w:ind w:left="1556" w:right="0" w:hanging="321"/>
        <w:jc w:val="both"/>
        <w:rPr>
          <w:sz w:val="24"/>
        </w:rPr>
      </w:pPr>
      <w:r>
        <w:rPr>
          <w:color w:val="231F20"/>
          <w:sz w:val="25"/>
        </w:rPr>
        <w:t>M.bovis</w:t>
      </w:r>
      <w:r>
        <w:rPr>
          <w:color w:val="231F20"/>
          <w:spacing w:val="18"/>
          <w:sz w:val="25"/>
        </w:rPr>
        <w:t> </w:t>
      </w:r>
      <w:r>
        <w:rPr>
          <w:color w:val="231F20"/>
          <w:spacing w:val="-20"/>
          <w:sz w:val="24"/>
        </w:rPr>
        <w:t>BCG</w:t>
      </w:r>
      <w:r>
        <w:rPr>
          <w:color w:val="231F20"/>
          <w:spacing w:val="1"/>
          <w:sz w:val="24"/>
        </w:rPr>
        <w:t>：協助個案進行</w:t>
      </w:r>
      <w:r>
        <w:rPr>
          <w:color w:val="231F20"/>
          <w:sz w:val="24"/>
        </w:rPr>
        <w:t>VICP</w:t>
      </w:r>
      <w:r>
        <w:rPr>
          <w:color w:val="231F20"/>
          <w:spacing w:val="-5"/>
          <w:sz w:val="24"/>
        </w:rPr>
        <w:t> 申請作業，並進行後續</w:t>
      </w:r>
      <w:r>
        <w:rPr>
          <w:color w:val="231F20"/>
          <w:spacing w:val="-3"/>
          <w:sz w:val="24"/>
        </w:rPr>
        <w:t>BCG</w:t>
      </w:r>
      <w:r>
        <w:rPr>
          <w:color w:val="231F20"/>
          <w:spacing w:val="-6"/>
          <w:sz w:val="24"/>
        </w:rPr>
        <w:t> 排除診斷銷案。</w:t>
      </w:r>
    </w:p>
    <w:p>
      <w:pPr>
        <w:pStyle w:val="ListParagraph"/>
        <w:numPr>
          <w:ilvl w:val="1"/>
          <w:numId w:val="109"/>
        </w:numPr>
        <w:tabs>
          <w:tab w:pos="1557" w:val="left" w:leader="none"/>
        </w:tabs>
        <w:spacing w:line="228" w:lineRule="auto" w:before="0" w:after="0"/>
        <w:ind w:left="1591" w:right="1129" w:hanging="355"/>
        <w:jc w:val="both"/>
        <w:rPr>
          <w:sz w:val="24"/>
        </w:rPr>
      </w:pPr>
      <w:r>
        <w:rPr>
          <w:color w:val="231F20"/>
          <w:sz w:val="25"/>
        </w:rPr>
        <w:t>M</w:t>
      </w:r>
      <w:r>
        <w:rPr>
          <w:color w:val="231F20"/>
          <w:spacing w:val="6"/>
          <w:sz w:val="25"/>
        </w:rPr>
        <w:t>. </w:t>
      </w:r>
      <w:r>
        <w:rPr>
          <w:color w:val="231F20"/>
          <w:sz w:val="25"/>
        </w:rPr>
        <w:t>bovis</w:t>
      </w:r>
      <w:r>
        <w:rPr>
          <w:color w:val="231F20"/>
          <w:spacing w:val="-34"/>
          <w:sz w:val="25"/>
        </w:rPr>
        <w:t> </w:t>
      </w:r>
      <w:r>
        <w:rPr>
          <w:color w:val="231F20"/>
          <w:spacing w:val="5"/>
          <w:sz w:val="24"/>
        </w:rPr>
        <w:t>：該菌株有高比例對於抗結核藥物 </w:t>
      </w:r>
      <w:r>
        <w:rPr>
          <w:color w:val="231F20"/>
          <w:sz w:val="24"/>
        </w:rPr>
        <w:t>PZA</w:t>
      </w:r>
      <w:r>
        <w:rPr>
          <w:color w:val="231F20"/>
          <w:spacing w:val="3"/>
          <w:sz w:val="24"/>
        </w:rPr>
        <w:t> 具抗藥性，請將菌株鑑定結</w:t>
      </w:r>
      <w:r>
        <w:rPr>
          <w:color w:val="231F20"/>
          <w:sz w:val="24"/>
        </w:rPr>
        <w:t>果回饋診療醫師，以作為醫師提供個案用藥治療之參考。若個案同時對其他抗結核＿線藥物具有抗藥性或副作用，請儘速提送縣市病例討論，評估是否需使用—線藥物治療。</w:t>
      </w:r>
    </w:p>
    <w:p>
      <w:pPr>
        <w:pStyle w:val="ListParagraph"/>
        <w:numPr>
          <w:ilvl w:val="0"/>
          <w:numId w:val="109"/>
        </w:numPr>
        <w:tabs>
          <w:tab w:pos="1351" w:val="left" w:leader="none"/>
        </w:tabs>
        <w:spacing w:line="230" w:lineRule="auto" w:before="0" w:after="0"/>
        <w:ind w:left="1349" w:right="1133" w:hanging="255"/>
        <w:jc w:val="both"/>
        <w:rPr>
          <w:sz w:val="24"/>
        </w:rPr>
      </w:pPr>
      <w:r>
        <w:rPr>
          <w:color w:val="231F20"/>
          <w:spacing w:val="-1"/>
          <w:sz w:val="24"/>
        </w:rPr>
        <w:t>智慧關懷卡訊息管理：診療醫師透過智慧關懷卡提供公衛管理人員相關訊息，管</w:t>
      </w:r>
      <w:r>
        <w:rPr>
          <w:color w:val="231F20"/>
          <w:spacing w:val="-11"/>
          <w:sz w:val="24"/>
        </w:rPr>
        <w:t>理人員應定期到系統 ＞ 卡片管理 ＞ 智慧關懷卡管理 ＞ 智慧關懷卡訊息管理查閱</w:t>
      </w:r>
      <w:r>
        <w:rPr>
          <w:color w:val="231F20"/>
          <w:sz w:val="24"/>
        </w:rPr>
        <w:t>是否有新增訊息，儘速辦理訊息所述事宜。</w:t>
      </w:r>
    </w:p>
    <w:p>
      <w:pPr>
        <w:pStyle w:val="ListParagraph"/>
        <w:numPr>
          <w:ilvl w:val="0"/>
          <w:numId w:val="109"/>
        </w:numPr>
        <w:tabs>
          <w:tab w:pos="1349" w:val="left" w:leader="none"/>
        </w:tabs>
        <w:spacing w:line="230" w:lineRule="auto" w:before="0" w:after="0"/>
        <w:ind w:left="1349" w:right="1074" w:hanging="255"/>
        <w:jc w:val="both"/>
        <w:rPr>
          <w:sz w:val="24"/>
        </w:rPr>
      </w:pPr>
      <w:r>
        <w:rPr>
          <w:color w:val="231F20"/>
          <w:spacing w:val="-14"/>
          <w:sz w:val="24"/>
        </w:rPr>
        <w:t>入境通知：系統每日與移民署系統勾稽，當勾稽到管理中結核病個案返臺入境後， </w:t>
      </w:r>
      <w:r>
        <w:rPr>
          <w:color w:val="231F20"/>
          <w:spacing w:val="7"/>
          <w:sz w:val="24"/>
        </w:rPr>
        <w:t>系統主動通知信件予管理人員，公衛管理人員接獲，可透過電訪或家訪聯繫個</w:t>
      </w:r>
      <w:r>
        <w:rPr>
          <w:color w:val="231F20"/>
          <w:sz w:val="24"/>
        </w:rPr>
        <w:t>案，掌握個案行蹤。</w:t>
      </w:r>
    </w:p>
    <w:p>
      <w:pPr>
        <w:pStyle w:val="BodyText"/>
        <w:spacing w:line="394" w:lineRule="exact"/>
        <w:ind w:left="629"/>
        <w:jc w:val="both"/>
      </w:pPr>
      <w:r>
        <w:rPr>
          <w:color w:val="231F20"/>
        </w:rPr>
        <w:t>( 、 ) 特定列管族群：運用系統管理清冊提醒，完成特定個案管理作業</w:t>
      </w:r>
    </w:p>
    <w:p>
      <w:pPr>
        <w:pStyle w:val="ListParagraph"/>
        <w:numPr>
          <w:ilvl w:val="0"/>
          <w:numId w:val="110"/>
        </w:numPr>
        <w:tabs>
          <w:tab w:pos="1349" w:val="left" w:leader="none"/>
        </w:tabs>
        <w:spacing w:line="409" w:lineRule="exact" w:before="0" w:after="0"/>
        <w:ind w:left="1348" w:right="0" w:hanging="255"/>
        <w:jc w:val="both"/>
        <w:rPr>
          <w:sz w:val="24"/>
        </w:rPr>
      </w:pPr>
      <w:r>
        <w:rPr>
          <w:color w:val="231F20"/>
          <w:spacing w:val="5"/>
          <w:sz w:val="24"/>
        </w:rPr>
        <w:t>社會救助轉介申請</w:t>
      </w:r>
      <w:r>
        <w:rPr>
          <w:color w:val="231F20"/>
          <w:spacing w:val="-4"/>
          <w:w w:val="70"/>
          <w:sz w:val="24"/>
        </w:rPr>
        <w:t>／ </w:t>
      </w:r>
      <w:r>
        <w:rPr>
          <w:color w:val="231F20"/>
          <w:spacing w:val="4"/>
          <w:sz w:val="24"/>
        </w:rPr>
        <w:t>困難個案申請主管協助</w:t>
      </w:r>
      <w:r>
        <w:rPr>
          <w:color w:val="231F20"/>
          <w:spacing w:val="-4"/>
          <w:w w:val="70"/>
          <w:sz w:val="24"/>
        </w:rPr>
        <w:t>／ </w:t>
      </w:r>
      <w:r>
        <w:rPr>
          <w:color w:val="231F20"/>
          <w:spacing w:val="7"/>
          <w:sz w:val="24"/>
        </w:rPr>
        <w:t>隔腐治療清單</w:t>
      </w:r>
      <w:r>
        <w:rPr>
          <w:color w:val="231F20"/>
          <w:spacing w:val="-4"/>
          <w:w w:val="70"/>
          <w:sz w:val="24"/>
        </w:rPr>
        <w:t>／ </w:t>
      </w:r>
      <w:r>
        <w:rPr>
          <w:color w:val="231F20"/>
          <w:sz w:val="24"/>
        </w:rPr>
        <w:t>失聯個案管理清冊。</w:t>
      </w:r>
    </w:p>
    <w:p>
      <w:pPr>
        <w:spacing w:after="0" w:line="409" w:lineRule="exact"/>
        <w:jc w:val="both"/>
        <w:rPr>
          <w:sz w:val="24"/>
        </w:rPr>
        <w:sectPr>
          <w:pgSz w:w="11910" w:h="16840"/>
          <w:pgMar w:top="1060" w:bottom="0" w:left="980" w:right="0"/>
        </w:sectPr>
      </w:pPr>
    </w:p>
    <w:p>
      <w:pPr>
        <w:pStyle w:val="ListParagraph"/>
        <w:numPr>
          <w:ilvl w:val="0"/>
          <w:numId w:val="110"/>
        </w:numPr>
        <w:tabs>
          <w:tab w:pos="1349" w:val="left" w:leader="none"/>
        </w:tabs>
        <w:spacing w:line="409" w:lineRule="exact" w:before="59" w:after="0"/>
        <w:ind w:left="1348" w:right="0" w:hanging="255"/>
        <w:jc w:val="left"/>
        <w:rPr>
          <w:sz w:val="24"/>
        </w:rPr>
      </w:pPr>
      <w:r>
        <w:rPr>
          <w:color w:val="231F20"/>
          <w:spacing w:val="-2"/>
          <w:sz w:val="24"/>
        </w:rPr>
        <w:t>列管職業族群清冊 </w:t>
      </w:r>
      <w:r>
        <w:rPr>
          <w:color w:val="231F20"/>
          <w:spacing w:val="3"/>
          <w:w w:val="75"/>
          <w:sz w:val="24"/>
        </w:rPr>
        <w:t>／ </w:t>
      </w:r>
      <w:r>
        <w:rPr>
          <w:color w:val="231F20"/>
          <w:spacing w:val="-2"/>
          <w:sz w:val="24"/>
        </w:rPr>
        <w:t>原鄉管理清冊 </w:t>
      </w:r>
      <w:r>
        <w:rPr>
          <w:color w:val="231F20"/>
          <w:w w:val="75"/>
          <w:sz w:val="24"/>
        </w:rPr>
        <w:t>／5</w:t>
      </w:r>
      <w:r>
        <w:rPr>
          <w:color w:val="231F20"/>
          <w:spacing w:val="7"/>
          <w:w w:val="75"/>
          <w:sz w:val="24"/>
        </w:rPr>
        <w:t> </w:t>
      </w:r>
      <w:r>
        <w:rPr>
          <w:color w:val="231F20"/>
          <w:sz w:val="24"/>
        </w:rPr>
        <w:t>歲以下病例銷案預後追蹤。</w:t>
      </w:r>
    </w:p>
    <w:p>
      <w:pPr>
        <w:pStyle w:val="ListParagraph"/>
        <w:numPr>
          <w:ilvl w:val="0"/>
          <w:numId w:val="110"/>
        </w:numPr>
        <w:tabs>
          <w:tab w:pos="1350" w:val="left" w:leader="none"/>
        </w:tabs>
        <w:spacing w:line="230" w:lineRule="auto" w:before="2" w:after="0"/>
        <w:ind w:left="1349" w:right="1132" w:hanging="255"/>
        <w:jc w:val="left"/>
        <w:rPr>
          <w:sz w:val="24"/>
        </w:rPr>
      </w:pPr>
      <w:r>
        <w:rPr>
          <w:color w:val="231F20"/>
          <w:spacing w:val="-2"/>
          <w:sz w:val="24"/>
        </w:rPr>
        <w:t>管理中確診移工未完成是否留臺治療宣告 </w:t>
      </w:r>
      <w:r>
        <w:rPr>
          <w:color w:val="231F20"/>
          <w:spacing w:val="-2"/>
          <w:w w:val="70"/>
          <w:sz w:val="24"/>
        </w:rPr>
        <w:t>／ </w:t>
      </w:r>
      <w:r>
        <w:rPr>
          <w:color w:val="231F20"/>
          <w:spacing w:val="-2"/>
          <w:sz w:val="24"/>
        </w:rPr>
        <w:t>管理中外國人未登錄國籍別 </w:t>
      </w:r>
      <w:r>
        <w:rPr>
          <w:color w:val="231F20"/>
          <w:spacing w:val="-2"/>
          <w:w w:val="70"/>
          <w:sz w:val="24"/>
        </w:rPr>
        <w:t>／ </w:t>
      </w:r>
      <w:r>
        <w:rPr>
          <w:color w:val="231F20"/>
          <w:sz w:val="24"/>
        </w:rPr>
        <w:t>管理中</w:t>
      </w:r>
      <w:r>
        <w:rPr>
          <w:color w:val="231F20"/>
          <w:spacing w:val="-1"/>
          <w:sz w:val="24"/>
        </w:rPr>
        <w:t>外國人未維護居留證號或護照號碼 </w:t>
      </w:r>
      <w:r>
        <w:rPr>
          <w:color w:val="231F20"/>
          <w:spacing w:val="6"/>
          <w:w w:val="70"/>
          <w:sz w:val="24"/>
        </w:rPr>
        <w:t>／ </w:t>
      </w:r>
      <w:r>
        <w:rPr>
          <w:color w:val="231F20"/>
          <w:sz w:val="24"/>
        </w:rPr>
        <w:t>管理中確診移工。</w:t>
      </w:r>
    </w:p>
    <w:p>
      <w:pPr>
        <w:pStyle w:val="BodyText"/>
        <w:spacing w:line="395" w:lineRule="exact"/>
        <w:ind w:left="391"/>
      </w:pPr>
      <w:r>
        <w:rPr>
          <w:color w:val="231F20"/>
        </w:rPr>
        <w:t>二、個案管理外部稽核</w:t>
      </w:r>
    </w:p>
    <w:p>
      <w:pPr>
        <w:pStyle w:val="BodyText"/>
        <w:spacing w:line="230" w:lineRule="auto" w:before="3"/>
        <w:ind w:left="1349" w:right="1137" w:hanging="720"/>
        <w:jc w:val="both"/>
      </w:pPr>
      <w:r>
        <w:rPr>
          <w:color w:val="231F20"/>
        </w:rPr>
        <w:t>( ＿ ) 為即時監測個案管理口質及確保銷案口管作業，疾管署各區管制中心與地方衛生</w:t>
      </w:r>
      <w:r>
        <w:rPr>
          <w:color w:val="231F20"/>
          <w:w w:val="105"/>
        </w:rPr>
        <w:t>局每月應辦理結核病管理個案輔導稽核作業(附件 6-9)及銷案口管曲核作業。</w:t>
      </w:r>
    </w:p>
    <w:p>
      <w:pPr>
        <w:pStyle w:val="BodyText"/>
        <w:spacing w:line="230" w:lineRule="auto"/>
        <w:ind w:left="1349" w:right="1132" w:hanging="720"/>
        <w:jc w:val="both"/>
      </w:pPr>
      <w:r>
        <w:rPr/>
        <w:pict>
          <v:group style="position:absolute;margin-left:557.684509pt;margin-top:1.670003pt;width:37.35pt;height:663.55pt;mso-position-horizontal-relative:page;mso-position-vertical-relative:paragraph;z-index:251787264" coordorigin="11154,33" coordsize="747,13271">
            <v:shape style="position:absolute;left:11283;top:544;width:438;height:12760" type="#_x0000_t75" stroked="false">
              <v:imagedata r:id="rId49" o:title=""/>
            </v:shape>
            <v:shape style="position:absolute;left:11153;top:33;width:747;height:812" coordorigin="11154,33" coordsize="747,812" path="m11900,33l11536,33,11514,36,11454,70,11188,352,11154,439,11162,485,11454,809,11514,842,11536,845,11900,845,11900,33xe" filled="true" fillcolor="#7c8ac4" stroked="false">
              <v:path arrowok="t"/>
              <v:fill type="solid"/>
            </v:shape>
            <v:shape style="position:absolute;left:11307;top:300;width:393;height:278" type="#_x0000_t75" stroked="false">
              <v:imagedata r:id="rId81" o:title=""/>
            </v:shape>
            <v:shape style="position:absolute;left:11378;top:980;width:249;height:2257" type="#_x0000_t75" stroked="false">
              <v:imagedata r:id="rId51" o:title=""/>
            </v:shape>
            <v:shape style="position:absolute;left:11412;top:1274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61</w:t>
                    </w:r>
                  </w:p>
                </w:txbxContent>
              </v:textbox>
              <w10:wrap type="none"/>
            </v:shape>
            <w10:wrap type="none"/>
          </v:group>
        </w:pict>
      </w:r>
      <w:r>
        <w:rPr>
          <w:color w:val="231F20"/>
        </w:rPr>
        <w:t>( — ) 為提升個案管理口質，確保個案獲得適當治療及照護與接觸者完成檢查、</w:t>
      </w:r>
      <w:r>
        <w:rPr>
          <w:color w:val="231F20"/>
          <w:spacing w:val="-4"/>
        </w:rPr>
        <w:t>LTBI</w:t>
      </w:r>
      <w:r>
        <w:rPr>
          <w:color w:val="231F20"/>
          <w:spacing w:val="-13"/>
        </w:rPr>
        <w:t> 檢</w:t>
      </w:r>
      <w:r>
        <w:rPr>
          <w:color w:val="231F20"/>
          <w:spacing w:val="-4"/>
        </w:rPr>
        <w:t>驗、治療及完治，運用 </w:t>
      </w:r>
      <w:r>
        <w:rPr>
          <w:color w:val="231F20"/>
        </w:rPr>
        <w:t>TB</w:t>
      </w:r>
      <w:r>
        <w:rPr>
          <w:color w:val="231F20"/>
          <w:spacing w:val="-5"/>
        </w:rPr>
        <w:t> 系統建置之「世代區間結核病個案及接觸者清冊 </w:t>
      </w:r>
      <w:r>
        <w:rPr>
          <w:color w:val="231F20"/>
          <w:spacing w:val="-14"/>
          <w:w w:val="90"/>
        </w:rPr>
        <w:t>」 </w:t>
      </w:r>
      <w:r>
        <w:rPr>
          <w:color w:val="231F20"/>
        </w:rPr>
        <w:t>及</w:t>
      </w:r>
      <w:r>
        <w:rPr>
          <w:color w:val="231F20"/>
          <w:w w:val="105"/>
        </w:rPr>
        <w:t>流行病學分析工具，辦理結核病個案世代回顧(Cohort Review)評值作業，藉</w:t>
      </w:r>
      <w:r>
        <w:rPr>
          <w:color w:val="231F20"/>
          <w:spacing w:val="-1"/>
        </w:rPr>
        <w:t>由回顧個案管理過程，檢視社區照護團隊之組織運作和人力資源運用，提升結核</w:t>
      </w:r>
      <w:r>
        <w:rPr>
          <w:color w:val="231F20"/>
          <w:w w:val="110"/>
        </w:rPr>
        <w:t>病防治工作，達終止結核之目標。</w:t>
      </w:r>
    </w:p>
    <w:p>
      <w:pPr>
        <w:pStyle w:val="BodyText"/>
        <w:spacing w:before="14"/>
        <w:rPr>
          <w:sz w:val="19"/>
        </w:rPr>
      </w:pPr>
    </w:p>
    <w:p>
      <w:pPr>
        <w:pStyle w:val="Heading2"/>
        <w:spacing w:line="240" w:lineRule="auto"/>
      </w:pPr>
      <w:r>
        <w:rPr/>
        <w:pict>
          <v:shape style="position:absolute;margin-left:56.665501pt;margin-top:20.114895pt;width:482.05pt;height:353.95pt;mso-position-horizontal-relative:page;mso-position-vertical-relative:paragraph;z-index:25178828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40"/>
                    <w:gridCol w:w="1058"/>
                    <w:gridCol w:w="1020"/>
                    <w:gridCol w:w="3617"/>
                    <w:gridCol w:w="2684"/>
                  </w:tblGrid>
                  <w:tr>
                    <w:trPr>
                      <w:trHeight w:val="451" w:hRule="atLeast"/>
                    </w:trPr>
                    <w:tc>
                      <w:tcPr>
                        <w:tcW w:w="3318" w:type="dxa"/>
                        <w:gridSpan w:val="3"/>
                        <w:shd w:val="clear" w:color="auto" w:fill="E6E7E8"/>
                      </w:tcPr>
                      <w:p>
                        <w:pPr>
                          <w:pStyle w:val="TableParagraph"/>
                          <w:spacing w:line="431" w:lineRule="exact"/>
                          <w:ind w:left="1158" w:right="1145"/>
                          <w:jc w:val="center"/>
                          <w:rPr>
                            <w:rFonts w:ascii="微軟正黑體" w:eastAsia="微軟正黑體" w:hint="eastAsia"/>
                            <w:b/>
                            <w:sz w:val="24"/>
                          </w:rPr>
                        </w:pPr>
                        <w:r>
                          <w:rPr>
                            <w:rFonts w:ascii="微軟正黑體" w:eastAsia="微軟正黑體" w:hint="eastAsia"/>
                            <w:b/>
                            <w:color w:val="231F20"/>
                            <w:sz w:val="24"/>
                          </w:rPr>
                          <w:t>主責單位</w:t>
                        </w:r>
                      </w:p>
                    </w:tc>
                    <w:tc>
                      <w:tcPr>
                        <w:tcW w:w="3617" w:type="dxa"/>
                        <w:vMerge w:val="restart"/>
                        <w:shd w:val="clear" w:color="auto" w:fill="E6E7E8"/>
                      </w:tcPr>
                      <w:p>
                        <w:pPr>
                          <w:pStyle w:val="TableParagraph"/>
                          <w:spacing w:before="10"/>
                          <w:rPr>
                            <w:rFonts w:ascii="微軟正黑體"/>
                            <w:b/>
                            <w:sz w:val="23"/>
                          </w:rPr>
                        </w:pPr>
                      </w:p>
                      <w:p>
                        <w:pPr>
                          <w:pStyle w:val="TableParagraph"/>
                          <w:ind w:left="1307" w:right="1294"/>
                          <w:jc w:val="center"/>
                          <w:rPr>
                            <w:rFonts w:ascii="微軟正黑體" w:eastAsia="微軟正黑體" w:hint="eastAsia"/>
                            <w:b/>
                            <w:sz w:val="24"/>
                          </w:rPr>
                        </w:pPr>
                        <w:r>
                          <w:rPr>
                            <w:rFonts w:ascii="微軟正黑體" w:eastAsia="微軟正黑體" w:hint="eastAsia"/>
                            <w:b/>
                            <w:color w:val="231F20"/>
                            <w:sz w:val="24"/>
                          </w:rPr>
                          <w:t>工作事項</w:t>
                        </w:r>
                      </w:p>
                    </w:tc>
                    <w:tc>
                      <w:tcPr>
                        <w:tcW w:w="2684" w:type="dxa"/>
                        <w:vMerge w:val="restart"/>
                        <w:shd w:val="clear" w:color="auto" w:fill="E6E7E8"/>
                      </w:tcPr>
                      <w:p>
                        <w:pPr>
                          <w:pStyle w:val="TableParagraph"/>
                          <w:spacing w:before="10"/>
                          <w:rPr>
                            <w:rFonts w:ascii="微軟正黑體"/>
                            <w:b/>
                            <w:sz w:val="23"/>
                          </w:rPr>
                        </w:pPr>
                      </w:p>
                      <w:p>
                        <w:pPr>
                          <w:pStyle w:val="TableParagraph"/>
                          <w:ind w:left="1081" w:right="1067"/>
                          <w:jc w:val="center"/>
                          <w:rPr>
                            <w:rFonts w:ascii="微軟正黑體" w:eastAsia="微軟正黑體" w:hint="eastAsia"/>
                            <w:b/>
                            <w:sz w:val="24"/>
                          </w:rPr>
                        </w:pPr>
                        <w:r>
                          <w:rPr>
                            <w:rFonts w:ascii="微軟正黑體" w:eastAsia="微軟正黑體" w:hint="eastAsia"/>
                            <w:b/>
                            <w:color w:val="231F20"/>
                            <w:sz w:val="24"/>
                          </w:rPr>
                          <w:t>期程</w:t>
                        </w:r>
                      </w:p>
                    </w:tc>
                  </w:tr>
                  <w:tr>
                    <w:trPr>
                      <w:trHeight w:val="851" w:hRule="atLeast"/>
                    </w:trPr>
                    <w:tc>
                      <w:tcPr>
                        <w:tcW w:w="1240" w:type="dxa"/>
                        <w:shd w:val="clear" w:color="auto" w:fill="E6E7E8"/>
                      </w:tcPr>
                      <w:p>
                        <w:pPr>
                          <w:pStyle w:val="TableParagraph"/>
                          <w:spacing w:line="421" w:lineRule="exact"/>
                          <w:ind w:left="176"/>
                          <w:rPr>
                            <w:rFonts w:ascii="微軟正黑體" w:eastAsia="微軟正黑體" w:hint="eastAsia"/>
                            <w:b/>
                            <w:sz w:val="24"/>
                          </w:rPr>
                        </w:pPr>
                        <w:r>
                          <w:rPr>
                            <w:rFonts w:ascii="微軟正黑體" w:eastAsia="微軟正黑體" w:hint="eastAsia"/>
                            <w:b/>
                            <w:color w:val="231F20"/>
                            <w:spacing w:val="-10"/>
                            <w:w w:val="95"/>
                            <w:sz w:val="24"/>
                          </w:rPr>
                          <w:t>疾管署 </w:t>
                        </w:r>
                        <w:r>
                          <w:rPr>
                            <w:rFonts w:ascii="微軟正黑體" w:eastAsia="微軟正黑體" w:hint="eastAsia"/>
                            <w:b/>
                            <w:color w:val="231F20"/>
                            <w:w w:val="75"/>
                            <w:sz w:val="24"/>
                          </w:rPr>
                          <w:t>／</w:t>
                        </w:r>
                      </w:p>
                      <w:p>
                        <w:pPr>
                          <w:pStyle w:val="TableParagraph"/>
                          <w:spacing w:line="411" w:lineRule="exact"/>
                          <w:ind w:left="139"/>
                          <w:rPr>
                            <w:rFonts w:ascii="微軟正黑體" w:eastAsia="微軟正黑體" w:hint="eastAsia"/>
                            <w:b/>
                            <w:sz w:val="24"/>
                          </w:rPr>
                        </w:pPr>
                        <w:r>
                          <w:rPr>
                            <w:rFonts w:ascii="微軟正黑體" w:eastAsia="微軟正黑體" w:hint="eastAsia"/>
                            <w:b/>
                            <w:color w:val="231F20"/>
                            <w:sz w:val="24"/>
                          </w:rPr>
                          <w:t>區管中心</w:t>
                        </w:r>
                      </w:p>
                    </w:tc>
                    <w:tc>
                      <w:tcPr>
                        <w:tcW w:w="1058" w:type="dxa"/>
                        <w:shd w:val="clear" w:color="auto" w:fill="E6E7E8"/>
                      </w:tcPr>
                      <w:p>
                        <w:pPr>
                          <w:pStyle w:val="TableParagraph"/>
                          <w:spacing w:before="200"/>
                          <w:ind w:left="168"/>
                          <w:rPr>
                            <w:rFonts w:ascii="微軟正黑體" w:eastAsia="微軟正黑體" w:hint="eastAsia"/>
                            <w:b/>
                            <w:sz w:val="24"/>
                          </w:rPr>
                        </w:pPr>
                        <w:r>
                          <w:rPr>
                            <w:rFonts w:ascii="微軟正黑體" w:eastAsia="微軟正黑體" w:hint="eastAsia"/>
                            <w:b/>
                            <w:color w:val="231F20"/>
                            <w:sz w:val="24"/>
                          </w:rPr>
                          <w:t>衛生局</w:t>
                        </w:r>
                      </w:p>
                    </w:tc>
                    <w:tc>
                      <w:tcPr>
                        <w:tcW w:w="1020" w:type="dxa"/>
                        <w:shd w:val="clear" w:color="auto" w:fill="E6E7E8"/>
                      </w:tcPr>
                      <w:p>
                        <w:pPr>
                          <w:pStyle w:val="TableParagraph"/>
                          <w:spacing w:before="200"/>
                          <w:ind w:left="129" w:right="116"/>
                          <w:jc w:val="center"/>
                          <w:rPr>
                            <w:rFonts w:ascii="微軟正黑體" w:eastAsia="微軟正黑體" w:hint="eastAsia"/>
                            <w:b/>
                            <w:sz w:val="24"/>
                          </w:rPr>
                        </w:pPr>
                        <w:r>
                          <w:rPr>
                            <w:rFonts w:ascii="微軟正黑體" w:eastAsia="微軟正黑體" w:hint="eastAsia"/>
                            <w:b/>
                            <w:color w:val="231F20"/>
                            <w:sz w:val="24"/>
                          </w:rPr>
                          <w:t>衛生所</w:t>
                        </w:r>
                      </w:p>
                    </w:tc>
                    <w:tc>
                      <w:tcPr>
                        <w:tcW w:w="3617" w:type="dxa"/>
                        <w:vMerge/>
                        <w:tcBorders>
                          <w:top w:val="nil"/>
                        </w:tcBorders>
                        <w:shd w:val="clear" w:color="auto" w:fill="E6E7E8"/>
                      </w:tcPr>
                      <w:p>
                        <w:pPr>
                          <w:rPr>
                            <w:sz w:val="2"/>
                            <w:szCs w:val="2"/>
                          </w:rPr>
                        </w:pPr>
                      </w:p>
                    </w:tc>
                    <w:tc>
                      <w:tcPr>
                        <w:tcW w:w="2684" w:type="dxa"/>
                        <w:vMerge/>
                        <w:tcBorders>
                          <w:top w:val="nil"/>
                        </w:tcBorders>
                        <w:shd w:val="clear" w:color="auto" w:fill="E6E7E8"/>
                      </w:tcPr>
                      <w:p>
                        <w:pPr>
                          <w:rPr>
                            <w:sz w:val="2"/>
                            <w:szCs w:val="2"/>
                          </w:rPr>
                        </w:pPr>
                      </w:p>
                    </w:tc>
                  </w:tr>
                  <w:tr>
                    <w:trPr>
                      <w:trHeight w:val="5249"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11"/>
                          <w:rPr>
                            <w:rFonts w:ascii="微軟正黑體"/>
                            <w:b/>
                            <w:sz w:val="13"/>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numPr>
                            <w:ilvl w:val="0"/>
                            <w:numId w:val="111"/>
                          </w:numPr>
                          <w:tabs>
                            <w:tab w:pos="357" w:val="left" w:leader="none"/>
                          </w:tabs>
                          <w:spacing w:line="409" w:lineRule="exact" w:before="31" w:after="0"/>
                          <w:ind w:left="356" w:right="0" w:hanging="245"/>
                          <w:jc w:val="left"/>
                          <w:rPr>
                            <w:sz w:val="24"/>
                          </w:rPr>
                        </w:pPr>
                        <w:r>
                          <w:rPr>
                            <w:color w:val="231F20"/>
                            <w:sz w:val="24"/>
                          </w:rPr>
                          <w:t>收案作業</w:t>
                        </w:r>
                      </w:p>
                      <w:p>
                        <w:pPr>
                          <w:pStyle w:val="TableParagraph"/>
                          <w:numPr>
                            <w:ilvl w:val="0"/>
                            <w:numId w:val="111"/>
                          </w:numPr>
                          <w:tabs>
                            <w:tab w:pos="357" w:val="left" w:leader="none"/>
                          </w:tabs>
                          <w:spacing w:line="400" w:lineRule="exact" w:before="0" w:after="0"/>
                          <w:ind w:left="356" w:right="0" w:hanging="245"/>
                          <w:jc w:val="left"/>
                          <w:rPr>
                            <w:sz w:val="24"/>
                          </w:rPr>
                        </w:pPr>
                        <w:r>
                          <w:rPr>
                            <w:color w:val="231F20"/>
                            <w:sz w:val="24"/>
                          </w:rPr>
                          <w:t>疑似個案收案首重診斷確認</w:t>
                        </w:r>
                      </w:p>
                      <w:p>
                        <w:pPr>
                          <w:pStyle w:val="TableParagraph"/>
                          <w:numPr>
                            <w:ilvl w:val="0"/>
                            <w:numId w:val="111"/>
                          </w:numPr>
                          <w:tabs>
                            <w:tab w:pos="357" w:val="left" w:leader="none"/>
                          </w:tabs>
                          <w:spacing w:line="400" w:lineRule="exact" w:before="0" w:after="0"/>
                          <w:ind w:left="356" w:right="0" w:hanging="245"/>
                          <w:jc w:val="left"/>
                          <w:rPr>
                            <w:sz w:val="24"/>
                          </w:rPr>
                        </w:pPr>
                        <w:r>
                          <w:rPr>
                            <w:color w:val="231F20"/>
                            <w:sz w:val="24"/>
                          </w:rPr>
                          <w:t>了解發病經過、症狀與暴露史</w:t>
                        </w:r>
                      </w:p>
                      <w:p>
                        <w:pPr>
                          <w:pStyle w:val="TableParagraph"/>
                          <w:numPr>
                            <w:ilvl w:val="0"/>
                            <w:numId w:val="111"/>
                          </w:numPr>
                          <w:tabs>
                            <w:tab w:pos="357" w:val="left" w:leader="none"/>
                          </w:tabs>
                          <w:spacing w:line="230" w:lineRule="auto" w:before="3" w:after="0"/>
                          <w:ind w:left="356" w:right="93" w:hanging="244"/>
                          <w:jc w:val="left"/>
                          <w:rPr>
                            <w:sz w:val="24"/>
                          </w:rPr>
                        </w:pPr>
                        <w:r>
                          <w:rPr>
                            <w:color w:val="231F20"/>
                            <w:spacing w:val="-1"/>
                            <w:sz w:val="24"/>
                          </w:rPr>
                          <w:t>共病狀態及高風險行為調查及</w:t>
                        </w:r>
                        <w:r>
                          <w:rPr>
                            <w:color w:val="231F20"/>
                            <w:sz w:val="24"/>
                          </w:rPr>
                          <w:t>處置</w:t>
                        </w:r>
                      </w:p>
                      <w:p>
                        <w:pPr>
                          <w:pStyle w:val="TableParagraph"/>
                          <w:numPr>
                            <w:ilvl w:val="0"/>
                            <w:numId w:val="111"/>
                          </w:numPr>
                          <w:tabs>
                            <w:tab w:pos="357" w:val="left" w:leader="none"/>
                          </w:tabs>
                          <w:spacing w:line="230" w:lineRule="auto" w:before="0" w:after="0"/>
                          <w:ind w:left="356" w:right="92" w:hanging="244"/>
                          <w:jc w:val="left"/>
                          <w:rPr>
                            <w:sz w:val="24"/>
                          </w:rPr>
                        </w:pPr>
                        <w:r>
                          <w:rPr>
                            <w:color w:val="231F20"/>
                            <w:spacing w:val="-3"/>
                            <w:sz w:val="24"/>
                          </w:rPr>
                          <w:t>確認基本資料 </w:t>
                        </w:r>
                        <w:r>
                          <w:rPr>
                            <w:color w:val="231F20"/>
                            <w:spacing w:val="-8"/>
                            <w:w w:val="70"/>
                            <w:sz w:val="24"/>
                          </w:rPr>
                          <w:t>／ </w:t>
                        </w:r>
                        <w:r>
                          <w:rPr>
                            <w:color w:val="231F20"/>
                            <w:spacing w:val="2"/>
                            <w:sz w:val="24"/>
                          </w:rPr>
                          <w:t>主要聯絡方式</w:t>
                        </w:r>
                        <w:r>
                          <w:rPr>
                            <w:color w:val="231F20"/>
                            <w:sz w:val="24"/>
                          </w:rPr>
                          <w:t>與對象</w:t>
                        </w:r>
                      </w:p>
                      <w:p>
                        <w:pPr>
                          <w:pStyle w:val="TableParagraph"/>
                          <w:numPr>
                            <w:ilvl w:val="0"/>
                            <w:numId w:val="111"/>
                          </w:numPr>
                          <w:tabs>
                            <w:tab w:pos="357" w:val="left" w:leader="none"/>
                          </w:tabs>
                          <w:spacing w:line="395" w:lineRule="exact" w:before="0" w:after="0"/>
                          <w:ind w:left="356" w:right="0" w:hanging="245"/>
                          <w:jc w:val="left"/>
                          <w:rPr>
                            <w:sz w:val="24"/>
                          </w:rPr>
                        </w:pPr>
                        <w:r>
                          <w:rPr>
                            <w:color w:val="231F20"/>
                            <w:sz w:val="24"/>
                          </w:rPr>
                          <w:t>輔導個案加入都治計畫</w:t>
                        </w:r>
                      </w:p>
                      <w:p>
                        <w:pPr>
                          <w:pStyle w:val="TableParagraph"/>
                          <w:numPr>
                            <w:ilvl w:val="0"/>
                            <w:numId w:val="111"/>
                          </w:numPr>
                          <w:tabs>
                            <w:tab w:pos="357" w:val="left" w:leader="none"/>
                          </w:tabs>
                          <w:spacing w:line="230" w:lineRule="auto" w:before="0" w:after="0"/>
                          <w:ind w:left="356" w:right="93" w:hanging="244"/>
                          <w:jc w:val="both"/>
                          <w:rPr>
                            <w:sz w:val="24"/>
                          </w:rPr>
                        </w:pPr>
                        <w:r>
                          <w:rPr>
                            <w:color w:val="231F20"/>
                            <w:sz w:val="24"/>
                          </w:rPr>
                          <w:t>疾病防護、咳痰後處置、服藥</w:t>
                        </w:r>
                        <w:r>
                          <w:rPr>
                            <w:color w:val="231F20"/>
                            <w:spacing w:val="-1"/>
                            <w:sz w:val="24"/>
                          </w:rPr>
                          <w:t>副作用、產生抗藥風險行為及</w:t>
                        </w:r>
                        <w:r>
                          <w:rPr>
                            <w:color w:val="231F20"/>
                            <w:sz w:val="24"/>
                          </w:rPr>
                          <w:t>按規服藥重要性等衛教</w:t>
                        </w:r>
                      </w:p>
                      <w:p>
                        <w:pPr>
                          <w:pStyle w:val="TableParagraph"/>
                          <w:numPr>
                            <w:ilvl w:val="0"/>
                            <w:numId w:val="111"/>
                          </w:numPr>
                          <w:tabs>
                            <w:tab w:pos="357" w:val="left" w:leader="none"/>
                          </w:tabs>
                          <w:spacing w:line="394" w:lineRule="exact" w:before="0" w:after="0"/>
                          <w:ind w:left="356" w:right="0" w:hanging="245"/>
                          <w:jc w:val="both"/>
                          <w:rPr>
                            <w:sz w:val="24"/>
                          </w:rPr>
                        </w:pPr>
                        <w:r>
                          <w:rPr>
                            <w:color w:val="231F20"/>
                            <w:sz w:val="24"/>
                          </w:rPr>
                          <w:t>完成境外經常性停留註記</w:t>
                        </w:r>
                      </w:p>
                      <w:p>
                        <w:pPr>
                          <w:pStyle w:val="TableParagraph"/>
                          <w:numPr>
                            <w:ilvl w:val="0"/>
                            <w:numId w:val="111"/>
                          </w:numPr>
                          <w:tabs>
                            <w:tab w:pos="357" w:val="left" w:leader="none"/>
                          </w:tabs>
                          <w:spacing w:line="391" w:lineRule="exact" w:before="0" w:after="0"/>
                          <w:ind w:left="356" w:right="0" w:hanging="245"/>
                          <w:jc w:val="both"/>
                          <w:rPr>
                            <w:sz w:val="24"/>
                          </w:rPr>
                        </w:pPr>
                        <w:r>
                          <w:rPr>
                            <w:color w:val="231F20"/>
                            <w:sz w:val="24"/>
                          </w:rPr>
                          <w:t>移工須維護是否留臺治療</w:t>
                        </w:r>
                      </w:p>
                    </w:tc>
                    <w:tc>
                      <w:tcPr>
                        <w:tcW w:w="2684" w:type="dxa"/>
                      </w:tcPr>
                      <w:p>
                        <w:pPr>
                          <w:pStyle w:val="TableParagraph"/>
                          <w:rPr>
                            <w:rFonts w:ascii="微軟正黑體"/>
                            <w:b/>
                            <w:sz w:val="32"/>
                          </w:rPr>
                        </w:pPr>
                      </w:p>
                      <w:p>
                        <w:pPr>
                          <w:pStyle w:val="TableParagraph"/>
                          <w:rPr>
                            <w:rFonts w:ascii="微軟正黑體"/>
                            <w:b/>
                            <w:sz w:val="32"/>
                          </w:rPr>
                        </w:pPr>
                      </w:p>
                      <w:p>
                        <w:pPr>
                          <w:pStyle w:val="TableParagraph"/>
                          <w:rPr>
                            <w:rFonts w:ascii="微軟正黑體"/>
                            <w:b/>
                            <w:sz w:val="32"/>
                          </w:rPr>
                        </w:pPr>
                      </w:p>
                      <w:p>
                        <w:pPr>
                          <w:pStyle w:val="TableParagraph"/>
                          <w:spacing w:before="3"/>
                          <w:rPr>
                            <w:rFonts w:ascii="微軟正黑體"/>
                            <w:b/>
                            <w:sz w:val="36"/>
                          </w:rPr>
                        </w:pPr>
                      </w:p>
                      <w:p>
                        <w:pPr>
                          <w:pStyle w:val="TableParagraph"/>
                          <w:ind w:left="112"/>
                          <w:rPr>
                            <w:sz w:val="24"/>
                          </w:rPr>
                        </w:pPr>
                        <w:r>
                          <w:rPr>
                            <w:color w:val="231F20"/>
                            <w:sz w:val="24"/>
                          </w:rPr>
                          <w:t>通報後 7 個工作日</w:t>
                        </w:r>
                      </w:p>
                    </w:tc>
                  </w:tr>
                  <w:tr>
                    <w:trPr>
                      <w:trHeight w:val="4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8"/>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0" w:lineRule="exact" w:before="31"/>
                          <w:ind w:left="112"/>
                          <w:rPr>
                            <w:sz w:val="24"/>
                          </w:rPr>
                        </w:pPr>
                        <w:r>
                          <w:rPr>
                            <w:color w:val="231F20"/>
                            <w:sz w:val="24"/>
                          </w:rPr>
                          <w:t>說明限制搭乘大眾飛航器規範</w:t>
                        </w:r>
                      </w:p>
                    </w:tc>
                    <w:tc>
                      <w:tcPr>
                        <w:tcW w:w="2684" w:type="dxa"/>
                      </w:tcPr>
                      <w:p>
                        <w:pPr>
                          <w:pStyle w:val="TableParagraph"/>
                          <w:spacing w:line="400" w:lineRule="exact" w:before="31"/>
                          <w:ind w:left="112"/>
                          <w:rPr>
                            <w:sz w:val="24"/>
                          </w:rPr>
                        </w:pPr>
                        <w:r>
                          <w:rPr>
                            <w:color w:val="231F20"/>
                            <w:sz w:val="24"/>
                          </w:rPr>
                          <w:t>符合限乘條件即進行</w:t>
                        </w:r>
                      </w:p>
                    </w:tc>
                  </w:tr>
                </w:tbl>
                <w:p>
                  <w:pPr>
                    <w:pStyle w:val="BodyText"/>
                  </w:pPr>
                </w:p>
              </w:txbxContent>
            </v:textbox>
            <w10:wrap type="none"/>
          </v:shape>
        </w:pict>
      </w:r>
      <w:r>
        <w:rPr>
          <w:color w:val="231F20"/>
        </w:rPr>
        <w:t>陸、結核病個案管理工作檢核表</w:t>
      </w:r>
    </w:p>
    <w:p>
      <w:pPr>
        <w:spacing w:after="0" w:line="240" w:lineRule="auto"/>
        <w:sectPr>
          <w:pgSz w:w="11910" w:h="16840"/>
          <w:pgMar w:top="1060" w:bottom="0" w:left="980" w:right="0"/>
        </w:sectPr>
      </w:pP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40"/>
        <w:gridCol w:w="1058"/>
        <w:gridCol w:w="1020"/>
        <w:gridCol w:w="3617"/>
        <w:gridCol w:w="2684"/>
      </w:tblGrid>
      <w:tr>
        <w:trPr>
          <w:trHeight w:val="451" w:hRule="atLeast"/>
        </w:trPr>
        <w:tc>
          <w:tcPr>
            <w:tcW w:w="3318" w:type="dxa"/>
            <w:gridSpan w:val="3"/>
            <w:shd w:val="clear" w:color="auto" w:fill="E6E7E8"/>
          </w:tcPr>
          <w:p>
            <w:pPr>
              <w:pStyle w:val="TableParagraph"/>
              <w:spacing w:line="432" w:lineRule="exact"/>
              <w:ind w:left="1158" w:right="1145"/>
              <w:jc w:val="center"/>
              <w:rPr>
                <w:rFonts w:ascii="微軟正黑體" w:eastAsia="微軟正黑體" w:hint="eastAsia"/>
                <w:b/>
                <w:sz w:val="24"/>
              </w:rPr>
            </w:pPr>
            <w:r>
              <w:rPr>
                <w:rFonts w:ascii="微軟正黑體" w:eastAsia="微軟正黑體" w:hint="eastAsia"/>
                <w:b/>
                <w:color w:val="231F20"/>
                <w:sz w:val="24"/>
              </w:rPr>
              <w:t>主責單位</w:t>
            </w:r>
          </w:p>
        </w:tc>
        <w:tc>
          <w:tcPr>
            <w:tcW w:w="3617" w:type="dxa"/>
            <w:vMerge w:val="restart"/>
            <w:shd w:val="clear" w:color="auto" w:fill="E6E7E8"/>
          </w:tcPr>
          <w:p>
            <w:pPr>
              <w:pStyle w:val="TableParagraph"/>
              <w:spacing w:before="3"/>
              <w:rPr>
                <w:rFonts w:ascii="微軟正黑體"/>
                <w:b/>
                <w:sz w:val="23"/>
              </w:rPr>
            </w:pPr>
          </w:p>
          <w:p>
            <w:pPr>
              <w:pStyle w:val="TableParagraph"/>
              <w:ind w:left="1307" w:right="1294"/>
              <w:jc w:val="center"/>
              <w:rPr>
                <w:rFonts w:ascii="微軟正黑體" w:eastAsia="微軟正黑體" w:hint="eastAsia"/>
                <w:b/>
                <w:sz w:val="24"/>
              </w:rPr>
            </w:pPr>
            <w:r>
              <w:rPr>
                <w:rFonts w:ascii="微軟正黑體" w:eastAsia="微軟正黑體" w:hint="eastAsia"/>
                <w:b/>
                <w:color w:val="231F20"/>
                <w:sz w:val="24"/>
              </w:rPr>
              <w:t>工作事項</w:t>
            </w:r>
          </w:p>
        </w:tc>
        <w:tc>
          <w:tcPr>
            <w:tcW w:w="2684" w:type="dxa"/>
            <w:vMerge w:val="restart"/>
            <w:shd w:val="clear" w:color="auto" w:fill="E6E7E8"/>
          </w:tcPr>
          <w:p>
            <w:pPr>
              <w:pStyle w:val="TableParagraph"/>
              <w:spacing w:before="3"/>
              <w:rPr>
                <w:rFonts w:ascii="微軟正黑體"/>
                <w:b/>
                <w:sz w:val="23"/>
              </w:rPr>
            </w:pPr>
          </w:p>
          <w:p>
            <w:pPr>
              <w:pStyle w:val="TableParagraph"/>
              <w:ind w:left="1081" w:right="1067"/>
              <w:jc w:val="center"/>
              <w:rPr>
                <w:rFonts w:ascii="微軟正黑體" w:eastAsia="微軟正黑體" w:hint="eastAsia"/>
                <w:b/>
                <w:sz w:val="24"/>
              </w:rPr>
            </w:pPr>
            <w:r>
              <w:rPr>
                <w:rFonts w:ascii="微軟正黑體" w:eastAsia="微軟正黑體" w:hint="eastAsia"/>
                <w:b/>
                <w:color w:val="231F20"/>
                <w:sz w:val="24"/>
              </w:rPr>
              <w:t>期程</w:t>
            </w:r>
          </w:p>
        </w:tc>
      </w:tr>
      <w:tr>
        <w:trPr>
          <w:trHeight w:val="851" w:hRule="atLeast"/>
        </w:trPr>
        <w:tc>
          <w:tcPr>
            <w:tcW w:w="1240" w:type="dxa"/>
            <w:shd w:val="clear" w:color="auto" w:fill="E6E7E8"/>
          </w:tcPr>
          <w:p>
            <w:pPr>
              <w:pStyle w:val="TableParagraph"/>
              <w:spacing w:line="218" w:lineRule="auto" w:before="22"/>
              <w:ind w:left="139" w:right="123" w:firstLine="37"/>
              <w:rPr>
                <w:rFonts w:ascii="微軟正黑體" w:eastAsia="微軟正黑體" w:hint="eastAsia"/>
                <w:b/>
                <w:sz w:val="24"/>
              </w:rPr>
            </w:pPr>
            <w:r>
              <w:rPr>
                <w:rFonts w:ascii="微軟正黑體" w:eastAsia="微軟正黑體" w:hint="eastAsia"/>
                <w:b/>
                <w:color w:val="231F20"/>
                <w:w w:val="95"/>
                <w:sz w:val="24"/>
              </w:rPr>
              <w:t>疾管署 </w:t>
            </w:r>
            <w:r>
              <w:rPr>
                <w:rFonts w:ascii="微軟正黑體" w:eastAsia="微軟正黑體" w:hint="eastAsia"/>
                <w:b/>
                <w:color w:val="231F20"/>
                <w:w w:val="75"/>
                <w:sz w:val="24"/>
              </w:rPr>
              <w:t>／ </w:t>
            </w:r>
            <w:r>
              <w:rPr>
                <w:rFonts w:ascii="微軟正黑體" w:eastAsia="微軟正黑體" w:hint="eastAsia"/>
                <w:b/>
                <w:color w:val="231F20"/>
                <w:sz w:val="24"/>
              </w:rPr>
              <w:t>區管中心</w:t>
            </w:r>
          </w:p>
        </w:tc>
        <w:tc>
          <w:tcPr>
            <w:tcW w:w="1058" w:type="dxa"/>
            <w:shd w:val="clear" w:color="auto" w:fill="E6E7E8"/>
          </w:tcPr>
          <w:p>
            <w:pPr>
              <w:pStyle w:val="TableParagraph"/>
              <w:spacing w:before="193"/>
              <w:ind w:left="168"/>
              <w:rPr>
                <w:rFonts w:ascii="微軟正黑體" w:eastAsia="微軟正黑體" w:hint="eastAsia"/>
                <w:b/>
                <w:sz w:val="24"/>
              </w:rPr>
            </w:pPr>
            <w:r>
              <w:rPr>
                <w:rFonts w:ascii="微軟正黑體" w:eastAsia="微軟正黑體" w:hint="eastAsia"/>
                <w:b/>
                <w:color w:val="231F20"/>
                <w:sz w:val="24"/>
              </w:rPr>
              <w:t>衛生局</w:t>
            </w:r>
          </w:p>
        </w:tc>
        <w:tc>
          <w:tcPr>
            <w:tcW w:w="1020" w:type="dxa"/>
            <w:shd w:val="clear" w:color="auto" w:fill="E6E7E8"/>
          </w:tcPr>
          <w:p>
            <w:pPr>
              <w:pStyle w:val="TableParagraph"/>
              <w:spacing w:before="193"/>
              <w:ind w:left="129" w:right="116"/>
              <w:jc w:val="center"/>
              <w:rPr>
                <w:rFonts w:ascii="微軟正黑體" w:eastAsia="微軟正黑體" w:hint="eastAsia"/>
                <w:b/>
                <w:sz w:val="24"/>
              </w:rPr>
            </w:pPr>
            <w:r>
              <w:rPr>
                <w:rFonts w:ascii="微軟正黑體" w:eastAsia="微軟正黑體" w:hint="eastAsia"/>
                <w:b/>
                <w:color w:val="231F20"/>
                <w:sz w:val="24"/>
              </w:rPr>
              <w:t>衛生所</w:t>
            </w:r>
          </w:p>
        </w:tc>
        <w:tc>
          <w:tcPr>
            <w:tcW w:w="3617" w:type="dxa"/>
            <w:vMerge/>
            <w:tcBorders>
              <w:top w:val="nil"/>
            </w:tcBorders>
            <w:shd w:val="clear" w:color="auto" w:fill="E6E7E8"/>
          </w:tcPr>
          <w:p>
            <w:pPr>
              <w:rPr>
                <w:sz w:val="2"/>
                <w:szCs w:val="2"/>
              </w:rPr>
            </w:pPr>
          </w:p>
        </w:tc>
        <w:tc>
          <w:tcPr>
            <w:tcW w:w="2684" w:type="dxa"/>
            <w:vMerge/>
            <w:tcBorders>
              <w:top w:val="nil"/>
            </w:tcBorders>
            <w:shd w:val="clear" w:color="auto" w:fill="E6E7E8"/>
          </w:tcPr>
          <w:p>
            <w:pPr>
              <w:rPr>
                <w:sz w:val="2"/>
                <w:szCs w:val="2"/>
              </w:rPr>
            </w:pPr>
          </w:p>
        </w:tc>
      </w:tr>
      <w:tr>
        <w:trPr>
          <w:trHeight w:val="4050"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numPr>
                <w:ilvl w:val="0"/>
                <w:numId w:val="112"/>
              </w:numPr>
              <w:tabs>
                <w:tab w:pos="357" w:val="left" w:leader="none"/>
              </w:tabs>
              <w:spacing w:line="230" w:lineRule="auto" w:before="36" w:after="0"/>
              <w:ind w:left="356" w:right="93" w:hanging="244"/>
              <w:jc w:val="left"/>
              <w:rPr>
                <w:sz w:val="24"/>
              </w:rPr>
            </w:pPr>
            <w:r>
              <w:rPr>
                <w:color w:val="231F20"/>
                <w:sz w:val="24"/>
              </w:rPr>
              <w:t>確認完成各類初次檢查，以利確診</w:t>
            </w:r>
          </w:p>
          <w:p>
            <w:pPr>
              <w:pStyle w:val="TableParagraph"/>
              <w:numPr>
                <w:ilvl w:val="0"/>
                <w:numId w:val="112"/>
              </w:numPr>
              <w:tabs>
                <w:tab w:pos="357" w:val="left" w:leader="none"/>
              </w:tabs>
              <w:spacing w:line="395" w:lineRule="exact" w:before="0" w:after="0"/>
              <w:ind w:left="356" w:right="0" w:hanging="245"/>
              <w:jc w:val="left"/>
              <w:rPr>
                <w:sz w:val="24"/>
              </w:rPr>
            </w:pPr>
            <w:r>
              <w:rPr>
                <w:color w:val="231F20"/>
                <w:spacing w:val="-1"/>
                <w:sz w:val="24"/>
              </w:rPr>
              <w:t>初查痰液</w:t>
            </w:r>
          </w:p>
          <w:p>
            <w:pPr>
              <w:pStyle w:val="TableParagraph"/>
              <w:numPr>
                <w:ilvl w:val="0"/>
                <w:numId w:val="112"/>
              </w:numPr>
              <w:tabs>
                <w:tab w:pos="357" w:val="left" w:leader="none"/>
              </w:tabs>
              <w:spacing w:line="400" w:lineRule="exact" w:before="0" w:after="0"/>
              <w:ind w:left="356" w:right="0" w:hanging="245"/>
              <w:jc w:val="left"/>
              <w:rPr>
                <w:sz w:val="24"/>
              </w:rPr>
            </w:pPr>
            <w:r>
              <w:rPr>
                <w:color w:val="231F20"/>
                <w:spacing w:val="-4"/>
                <w:sz w:val="24"/>
              </w:rPr>
              <w:t>胸部 </w:t>
            </w:r>
            <w:r>
              <w:rPr>
                <w:color w:val="231F20"/>
                <w:sz w:val="24"/>
              </w:rPr>
              <w:t>X</w:t>
            </w:r>
            <w:r>
              <w:rPr>
                <w:color w:val="231F20"/>
                <w:spacing w:val="-6"/>
                <w:sz w:val="24"/>
              </w:rPr>
              <w:t> 光</w:t>
            </w:r>
          </w:p>
          <w:p>
            <w:pPr>
              <w:pStyle w:val="TableParagraph"/>
              <w:numPr>
                <w:ilvl w:val="0"/>
                <w:numId w:val="112"/>
              </w:numPr>
              <w:tabs>
                <w:tab w:pos="357" w:val="left" w:leader="none"/>
              </w:tabs>
              <w:spacing w:line="400" w:lineRule="exact" w:before="0" w:after="0"/>
              <w:ind w:left="356" w:right="0" w:hanging="245"/>
              <w:jc w:val="left"/>
              <w:rPr>
                <w:sz w:val="24"/>
              </w:rPr>
            </w:pPr>
            <w:r>
              <w:rPr>
                <w:color w:val="231F20"/>
                <w:sz w:val="24"/>
              </w:rPr>
              <w:t>病理檢驗及後續細菌學檢驗</w:t>
            </w:r>
          </w:p>
          <w:p>
            <w:pPr>
              <w:pStyle w:val="TableParagraph"/>
              <w:numPr>
                <w:ilvl w:val="0"/>
                <w:numId w:val="112"/>
              </w:numPr>
              <w:tabs>
                <w:tab w:pos="357" w:val="left" w:leader="none"/>
              </w:tabs>
              <w:spacing w:line="230" w:lineRule="auto" w:before="3" w:after="0"/>
              <w:ind w:left="356" w:right="468" w:hanging="244"/>
              <w:jc w:val="left"/>
              <w:rPr>
                <w:sz w:val="24"/>
              </w:rPr>
            </w:pPr>
            <w:r>
              <w:rPr>
                <w:color w:val="231F20"/>
                <w:spacing w:val="-3"/>
                <w:w w:val="90"/>
                <w:sz w:val="24"/>
              </w:rPr>
              <w:t>共病檢測(HIV／DM／HBV／ </w:t>
            </w:r>
            <w:r>
              <w:rPr>
                <w:color w:val="231F20"/>
                <w:spacing w:val="-3"/>
                <w:sz w:val="24"/>
              </w:rPr>
              <w:t>HCV)</w:t>
            </w:r>
          </w:p>
          <w:p>
            <w:pPr>
              <w:pStyle w:val="TableParagraph"/>
              <w:numPr>
                <w:ilvl w:val="0"/>
                <w:numId w:val="112"/>
              </w:numPr>
              <w:tabs>
                <w:tab w:pos="357" w:val="left" w:leader="none"/>
              </w:tabs>
              <w:spacing w:line="230" w:lineRule="auto" w:before="0" w:after="0"/>
              <w:ind w:left="356" w:right="31" w:hanging="244"/>
              <w:jc w:val="left"/>
              <w:rPr>
                <w:sz w:val="24"/>
              </w:rPr>
            </w:pPr>
            <w:r>
              <w:rPr>
                <w:color w:val="231F20"/>
                <w:sz w:val="24"/>
              </w:rPr>
              <w:t>各類副作用監測基礎值</w:t>
            </w:r>
            <w:r>
              <w:rPr>
                <w:color w:val="231F20"/>
                <w:w w:val="110"/>
                <w:sz w:val="24"/>
              </w:rPr>
              <w:t>(肝功</w:t>
            </w:r>
            <w:r>
              <w:rPr>
                <w:color w:val="231F20"/>
                <w:spacing w:val="18"/>
                <w:w w:val="85"/>
                <w:sz w:val="24"/>
              </w:rPr>
              <w:t>能／ 腎功能／ 血糖／ 尿酸／白</w:t>
            </w:r>
            <w:r>
              <w:rPr>
                <w:color w:val="231F20"/>
                <w:spacing w:val="-3"/>
                <w:sz w:val="24"/>
              </w:rPr>
              <w:t> </w:t>
            </w:r>
          </w:p>
          <w:p>
            <w:pPr>
              <w:pStyle w:val="TableParagraph"/>
              <w:spacing w:line="393" w:lineRule="exact"/>
              <w:ind w:left="356"/>
              <w:rPr>
                <w:sz w:val="24"/>
              </w:rPr>
            </w:pPr>
            <w:r>
              <w:rPr>
                <w:color w:val="231F20"/>
                <w:spacing w:val="-8"/>
                <w:w w:val="110"/>
                <w:sz w:val="24"/>
              </w:rPr>
              <w:t>血球 </w:t>
            </w:r>
            <w:r>
              <w:rPr>
                <w:color w:val="231F20"/>
                <w:spacing w:val="1"/>
                <w:w w:val="75"/>
                <w:sz w:val="24"/>
              </w:rPr>
              <w:t>／ </w:t>
            </w:r>
            <w:r>
              <w:rPr>
                <w:color w:val="231F20"/>
                <w:w w:val="110"/>
                <w:sz w:val="24"/>
              </w:rPr>
              <w:t>血</w:t>
            </w:r>
            <w:r>
              <w:rPr>
                <w:color w:val="231F20"/>
                <w:w w:val="140"/>
                <w:sz w:val="24"/>
              </w:rPr>
              <w:t>\</w:t>
            </w:r>
            <w:r>
              <w:rPr>
                <w:color w:val="231F20"/>
                <w:spacing w:val="59"/>
                <w:w w:val="140"/>
                <w:sz w:val="24"/>
              </w:rPr>
              <w:t>板</w:t>
            </w:r>
            <w:r>
              <w:rPr>
                <w:color w:val="231F20"/>
                <w:spacing w:val="1"/>
                <w:w w:val="75"/>
                <w:sz w:val="24"/>
              </w:rPr>
              <w:t>／ </w:t>
            </w:r>
            <w:r>
              <w:rPr>
                <w:color w:val="231F20"/>
                <w:w w:val="110"/>
                <w:sz w:val="24"/>
              </w:rPr>
              <w:t>視力等)</w:t>
            </w:r>
          </w:p>
        </w:tc>
        <w:tc>
          <w:tcPr>
            <w:tcW w:w="2684" w:type="dxa"/>
          </w:tcPr>
          <w:p>
            <w:pPr>
              <w:pStyle w:val="TableParagraph"/>
              <w:rPr>
                <w:rFonts w:ascii="微軟正黑體"/>
                <w:b/>
                <w:sz w:val="32"/>
              </w:rPr>
            </w:pPr>
          </w:p>
          <w:p>
            <w:pPr>
              <w:pStyle w:val="TableParagraph"/>
              <w:rPr>
                <w:rFonts w:ascii="微軟正黑體"/>
                <w:b/>
                <w:sz w:val="32"/>
              </w:rPr>
            </w:pPr>
          </w:p>
          <w:p>
            <w:pPr>
              <w:pStyle w:val="TableParagraph"/>
              <w:spacing w:before="3"/>
              <w:rPr>
                <w:rFonts w:ascii="微軟正黑體"/>
                <w:b/>
                <w:sz w:val="35"/>
              </w:rPr>
            </w:pPr>
          </w:p>
          <w:p>
            <w:pPr>
              <w:pStyle w:val="TableParagraph"/>
              <w:ind w:left="112"/>
              <w:rPr>
                <w:sz w:val="24"/>
              </w:rPr>
            </w:pPr>
            <w:r>
              <w:rPr>
                <w:color w:val="231F20"/>
                <w:sz w:val="24"/>
              </w:rPr>
              <w:t>通報後 7 個工作日</w:t>
            </w:r>
          </w:p>
        </w:tc>
      </w:tr>
      <w:tr>
        <w:trPr>
          <w:trHeight w:val="455"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9" w:lineRule="exact" w:before="27"/>
              <w:ind w:left="112"/>
              <w:rPr>
                <w:sz w:val="24"/>
              </w:rPr>
            </w:pPr>
            <w:r>
              <w:rPr>
                <w:color w:val="231F20"/>
                <w:sz w:val="24"/>
              </w:rPr>
              <w:t>疾病診斷的確立</w:t>
            </w:r>
          </w:p>
        </w:tc>
        <w:tc>
          <w:tcPr>
            <w:tcW w:w="2684" w:type="dxa"/>
          </w:tcPr>
          <w:p>
            <w:pPr>
              <w:pStyle w:val="TableParagraph"/>
              <w:spacing w:line="409" w:lineRule="exact" w:before="27"/>
              <w:ind w:left="112"/>
              <w:rPr>
                <w:sz w:val="24"/>
              </w:rPr>
            </w:pPr>
            <w:r>
              <w:rPr>
                <w:color w:val="231F20"/>
                <w:sz w:val="24"/>
              </w:rPr>
              <w:t>通報後 2 個月內</w:t>
            </w:r>
          </w:p>
        </w:tc>
      </w:tr>
      <w:tr>
        <w:trPr>
          <w:trHeight w:val="8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9" w:lineRule="exact" w:before="25"/>
              <w:ind w:left="112"/>
              <w:rPr>
                <w:sz w:val="24"/>
              </w:rPr>
            </w:pPr>
            <w:r>
              <w:rPr>
                <w:color w:val="231F20"/>
                <w:spacing w:val="15"/>
                <w:sz w:val="24"/>
              </w:rPr>
              <w:t>追蹤驗痰結果</w:t>
            </w:r>
            <w:r>
              <w:rPr>
                <w:color w:val="231F20"/>
                <w:spacing w:val="34"/>
                <w:w w:val="128"/>
                <w:sz w:val="24"/>
              </w:rPr>
              <w:t>(塗片</w:t>
            </w:r>
            <w:r>
              <w:rPr>
                <w:color w:val="231F20"/>
                <w:w w:val="41"/>
                <w:sz w:val="24"/>
              </w:rPr>
              <w:t>／</w:t>
            </w:r>
            <w:r>
              <w:rPr>
                <w:color w:val="231F20"/>
                <w:spacing w:val="-1"/>
                <w:w w:val="111"/>
                <w:sz w:val="24"/>
              </w:rPr>
              <w:t>N</w:t>
            </w:r>
            <w:r>
              <w:rPr>
                <w:color w:val="231F20"/>
                <w:w w:val="103"/>
                <w:sz w:val="24"/>
              </w:rPr>
              <w:t>AA</w:t>
            </w:r>
            <w:r>
              <w:rPr>
                <w:color w:val="231F20"/>
                <w:w w:val="41"/>
                <w:sz w:val="24"/>
              </w:rPr>
              <w:t>／</w:t>
            </w:r>
            <w:r>
              <w:rPr>
                <w:color w:val="231F20"/>
                <w:spacing w:val="-1"/>
                <w:sz w:val="24"/>
              </w:rPr>
              <w:t> 培</w:t>
            </w:r>
          </w:p>
          <w:p>
            <w:pPr>
              <w:pStyle w:val="TableParagraph"/>
              <w:spacing w:line="398" w:lineRule="exact"/>
              <w:ind w:left="112"/>
              <w:rPr>
                <w:sz w:val="24"/>
              </w:rPr>
            </w:pPr>
            <w:r>
              <w:rPr>
                <w:color w:val="231F20"/>
                <w:w w:val="90"/>
                <w:sz w:val="24"/>
              </w:rPr>
              <w:t>養／ </w:t>
            </w:r>
            <w:r>
              <w:rPr>
                <w:color w:val="231F20"/>
                <w:w w:val="110"/>
                <w:sz w:val="24"/>
              </w:rPr>
              <w:t>鑑</w:t>
            </w:r>
            <w:r>
              <w:rPr>
                <w:color w:val="231F20"/>
                <w:w w:val="90"/>
                <w:sz w:val="24"/>
              </w:rPr>
              <w:t>定／ </w:t>
            </w:r>
            <w:r>
              <w:rPr>
                <w:color w:val="231F20"/>
                <w:w w:val="110"/>
                <w:sz w:val="24"/>
              </w:rPr>
              <w:t>藥敏</w:t>
            </w:r>
            <w:r>
              <w:rPr>
                <w:color w:val="231F20"/>
                <w:w w:val="280"/>
                <w:sz w:val="24"/>
              </w:rPr>
              <w:t>)</w:t>
            </w:r>
          </w:p>
        </w:tc>
        <w:tc>
          <w:tcPr>
            <w:tcW w:w="2684" w:type="dxa"/>
          </w:tcPr>
          <w:p>
            <w:pPr>
              <w:pStyle w:val="TableParagraph"/>
              <w:spacing w:before="225"/>
              <w:ind w:left="112"/>
              <w:rPr>
                <w:sz w:val="24"/>
              </w:rPr>
            </w:pPr>
            <w:r>
              <w:rPr>
                <w:color w:val="231F20"/>
                <w:sz w:val="24"/>
              </w:rPr>
              <w:t>時程請參閱圖 1</w:t>
            </w:r>
          </w:p>
        </w:tc>
      </w:tr>
      <w:tr>
        <w:trPr>
          <w:trHeight w:val="8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9" w:lineRule="exact" w:before="25"/>
              <w:ind w:left="112"/>
              <w:rPr>
                <w:sz w:val="24"/>
              </w:rPr>
            </w:pPr>
            <w:r>
              <w:rPr>
                <w:color w:val="231F20"/>
                <w:sz w:val="24"/>
              </w:rPr>
              <w:t>協助 </w:t>
            </w:r>
            <w:r>
              <w:rPr>
                <w:color w:val="231F20"/>
                <w:w w:val="70"/>
                <w:sz w:val="24"/>
              </w:rPr>
              <w:t>／ </w:t>
            </w:r>
            <w:r>
              <w:rPr>
                <w:color w:val="231F20"/>
                <w:sz w:val="24"/>
              </w:rPr>
              <w:t>確認高風險個案，完成快</w:t>
            </w:r>
          </w:p>
          <w:p>
            <w:pPr>
              <w:pStyle w:val="TableParagraph"/>
              <w:spacing w:line="398" w:lineRule="exact"/>
              <w:ind w:left="112"/>
              <w:rPr>
                <w:sz w:val="24"/>
              </w:rPr>
            </w:pPr>
            <w:r>
              <w:rPr>
                <w:color w:val="231F20"/>
                <w:sz w:val="24"/>
              </w:rPr>
              <w:t>速分子檢測</w:t>
            </w:r>
          </w:p>
        </w:tc>
        <w:tc>
          <w:tcPr>
            <w:tcW w:w="2684" w:type="dxa"/>
          </w:tcPr>
          <w:p>
            <w:pPr>
              <w:pStyle w:val="TableParagraph"/>
              <w:spacing w:before="225"/>
              <w:ind w:left="112"/>
              <w:rPr>
                <w:sz w:val="24"/>
              </w:rPr>
            </w:pPr>
            <w:r>
              <w:rPr>
                <w:color w:val="231F20"/>
                <w:sz w:val="24"/>
              </w:rPr>
              <w:t>符合條件時儘速送驗</w:t>
            </w:r>
          </w:p>
        </w:tc>
      </w:tr>
      <w:tr>
        <w:trPr>
          <w:trHeight w:val="8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12"/>
              <w:rPr>
                <w:rFonts w:ascii="微軟正黑體"/>
                <w:b/>
                <w:sz w:val="13"/>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before="225"/>
              <w:ind w:left="112"/>
              <w:rPr>
                <w:sz w:val="24"/>
              </w:rPr>
            </w:pPr>
            <w:r>
              <w:rPr>
                <w:color w:val="231F20"/>
                <w:sz w:val="24"/>
              </w:rPr>
              <w:t>完成接觸者調查 </w:t>
            </w:r>
            <w:r>
              <w:rPr>
                <w:color w:val="231F20"/>
                <w:w w:val="70"/>
                <w:sz w:val="24"/>
              </w:rPr>
              <w:t>／ </w:t>
            </w:r>
            <w:r>
              <w:rPr>
                <w:color w:val="231F20"/>
                <w:sz w:val="24"/>
              </w:rPr>
              <w:t>檢查及衛教</w:t>
            </w:r>
          </w:p>
        </w:tc>
        <w:tc>
          <w:tcPr>
            <w:tcW w:w="2684" w:type="dxa"/>
          </w:tcPr>
          <w:p>
            <w:pPr>
              <w:pStyle w:val="TableParagraph"/>
              <w:spacing w:line="409" w:lineRule="exact" w:before="25"/>
              <w:ind w:left="112"/>
              <w:rPr>
                <w:sz w:val="24"/>
              </w:rPr>
            </w:pPr>
            <w:r>
              <w:rPr>
                <w:color w:val="231F20"/>
                <w:sz w:val="24"/>
              </w:rPr>
              <w:t>指標確診起算 1 個月內</w:t>
            </w:r>
          </w:p>
          <w:p>
            <w:pPr>
              <w:pStyle w:val="TableParagraph"/>
              <w:spacing w:line="398" w:lineRule="exact"/>
              <w:ind w:left="112"/>
              <w:rPr>
                <w:sz w:val="24"/>
              </w:rPr>
            </w:pPr>
            <w:r>
              <w:rPr>
                <w:color w:val="231F20"/>
                <w:sz w:val="24"/>
              </w:rPr>
              <w:t>完成</w:t>
            </w:r>
          </w:p>
        </w:tc>
      </w:tr>
      <w:tr>
        <w:trPr>
          <w:trHeight w:val="8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9" w:lineRule="exact" w:before="25"/>
              <w:ind w:left="112"/>
              <w:rPr>
                <w:sz w:val="24"/>
              </w:rPr>
            </w:pPr>
            <w:r>
              <w:rPr>
                <w:color w:val="231F20"/>
                <w:w w:val="105"/>
                <w:sz w:val="24"/>
              </w:rPr>
              <w:t>藥物治療方案合宜性(請參閱診</w:t>
            </w:r>
          </w:p>
          <w:p>
            <w:pPr>
              <w:pStyle w:val="TableParagraph"/>
              <w:spacing w:line="398" w:lineRule="exact"/>
              <w:ind w:left="112"/>
              <w:rPr>
                <w:sz w:val="24"/>
              </w:rPr>
            </w:pPr>
            <w:r>
              <w:rPr>
                <w:color w:val="231F20"/>
                <w:w w:val="115"/>
                <w:sz w:val="24"/>
              </w:rPr>
              <w:t>治指引建議)</w:t>
            </w:r>
          </w:p>
        </w:tc>
        <w:tc>
          <w:tcPr>
            <w:tcW w:w="2684" w:type="dxa"/>
          </w:tcPr>
          <w:p>
            <w:pPr>
              <w:pStyle w:val="TableParagraph"/>
              <w:spacing w:before="225"/>
              <w:ind w:left="112"/>
              <w:rPr>
                <w:sz w:val="24"/>
              </w:rPr>
            </w:pPr>
            <w:r>
              <w:rPr>
                <w:color w:val="231F20"/>
                <w:sz w:val="24"/>
              </w:rPr>
              <w:t>每月</w:t>
            </w:r>
          </w:p>
        </w:tc>
      </w:tr>
      <w:tr>
        <w:trPr>
          <w:trHeight w:val="4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7" w:lineRule="exact" w:before="25"/>
              <w:ind w:left="112"/>
              <w:rPr>
                <w:sz w:val="24"/>
              </w:rPr>
            </w:pPr>
            <w:r>
              <w:rPr>
                <w:color w:val="231F20"/>
                <w:sz w:val="24"/>
              </w:rPr>
              <w:t>藥物副作用評估 </w:t>
            </w:r>
            <w:r>
              <w:rPr>
                <w:color w:val="231F20"/>
                <w:w w:val="70"/>
                <w:sz w:val="24"/>
              </w:rPr>
              <w:t>／ </w:t>
            </w:r>
            <w:r>
              <w:rPr>
                <w:color w:val="231F20"/>
                <w:sz w:val="24"/>
              </w:rPr>
              <w:t>衛教</w:t>
            </w:r>
          </w:p>
        </w:tc>
        <w:tc>
          <w:tcPr>
            <w:tcW w:w="2684" w:type="dxa"/>
          </w:tcPr>
          <w:p>
            <w:pPr>
              <w:pStyle w:val="TableParagraph"/>
              <w:spacing w:line="407" w:lineRule="exact" w:before="25"/>
              <w:ind w:left="112"/>
              <w:rPr>
                <w:sz w:val="24"/>
              </w:rPr>
            </w:pPr>
            <w:r>
              <w:rPr>
                <w:color w:val="231F20"/>
                <w:sz w:val="24"/>
              </w:rPr>
              <w:t>每月 </w:t>
            </w:r>
            <w:r>
              <w:rPr>
                <w:color w:val="231F20"/>
                <w:w w:val="70"/>
                <w:sz w:val="24"/>
              </w:rPr>
              <w:t>／ </w:t>
            </w:r>
            <w:r>
              <w:rPr>
                <w:color w:val="231F20"/>
                <w:sz w:val="24"/>
              </w:rPr>
              <w:t>必要時</w:t>
            </w:r>
          </w:p>
        </w:tc>
      </w:tr>
      <w:tr>
        <w:trPr>
          <w:trHeight w:val="4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7" w:lineRule="exact" w:before="25"/>
              <w:ind w:left="112"/>
              <w:rPr>
                <w:sz w:val="24"/>
              </w:rPr>
            </w:pPr>
            <w:r>
              <w:rPr>
                <w:color w:val="231F20"/>
                <w:sz w:val="24"/>
              </w:rPr>
              <w:t>個案體重之變化</w:t>
            </w:r>
          </w:p>
        </w:tc>
        <w:tc>
          <w:tcPr>
            <w:tcW w:w="2684" w:type="dxa"/>
          </w:tcPr>
          <w:p>
            <w:pPr>
              <w:pStyle w:val="TableParagraph"/>
              <w:spacing w:line="407" w:lineRule="exact" w:before="25"/>
              <w:ind w:left="112"/>
              <w:rPr>
                <w:sz w:val="24"/>
              </w:rPr>
            </w:pPr>
            <w:r>
              <w:rPr>
                <w:color w:val="231F20"/>
                <w:sz w:val="24"/>
              </w:rPr>
              <w:t>每月</w:t>
            </w:r>
          </w:p>
        </w:tc>
      </w:tr>
      <w:tr>
        <w:trPr>
          <w:trHeight w:val="4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7" w:lineRule="exact" w:before="25"/>
              <w:ind w:left="112"/>
              <w:rPr>
                <w:sz w:val="24"/>
              </w:rPr>
            </w:pPr>
            <w:r>
              <w:rPr>
                <w:color w:val="231F20"/>
                <w:spacing w:val="-3"/>
                <w:w w:val="110"/>
                <w:sz w:val="24"/>
              </w:rPr>
              <w:t>各項追蹤複查(痰液</w:t>
            </w:r>
            <w:r>
              <w:rPr>
                <w:color w:val="231F20"/>
                <w:spacing w:val="-15"/>
                <w:w w:val="70"/>
                <w:sz w:val="24"/>
              </w:rPr>
              <w:t>／ </w:t>
            </w:r>
            <w:r>
              <w:rPr>
                <w:color w:val="231F20"/>
                <w:spacing w:val="16"/>
                <w:w w:val="110"/>
                <w:sz w:val="24"/>
              </w:rPr>
              <w:t>胸部</w:t>
            </w:r>
            <w:r>
              <w:rPr>
                <w:color w:val="231F20"/>
                <w:w w:val="110"/>
                <w:sz w:val="24"/>
              </w:rPr>
              <w:t>X</w:t>
            </w:r>
            <w:r>
              <w:rPr>
                <w:color w:val="231F20"/>
                <w:spacing w:val="-20"/>
                <w:w w:val="110"/>
                <w:sz w:val="24"/>
              </w:rPr>
              <w:t> 光)</w:t>
            </w:r>
          </w:p>
        </w:tc>
        <w:tc>
          <w:tcPr>
            <w:tcW w:w="2684" w:type="dxa"/>
          </w:tcPr>
          <w:p>
            <w:pPr>
              <w:pStyle w:val="TableParagraph"/>
              <w:spacing w:line="407" w:lineRule="exact" w:before="25"/>
              <w:ind w:left="112"/>
              <w:rPr>
                <w:sz w:val="24"/>
              </w:rPr>
            </w:pPr>
            <w:r>
              <w:rPr>
                <w:color w:val="231F20"/>
                <w:sz w:val="24"/>
              </w:rPr>
              <w:t>依個別狀態</w:t>
            </w:r>
          </w:p>
        </w:tc>
      </w:tr>
      <w:tr>
        <w:trPr>
          <w:trHeight w:val="2450"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rPr>
                <w:rFonts w:ascii="微軟正黑體"/>
                <w:b/>
                <w:sz w:val="24"/>
              </w:rPr>
            </w:pPr>
          </w:p>
          <w:p>
            <w:pPr>
              <w:pStyle w:val="TableParagraph"/>
              <w:spacing w:before="2"/>
              <w:rPr>
                <w:rFonts w:ascii="微軟正黑體"/>
                <w:b/>
                <w:sz w:val="33"/>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rPr>
                <w:rFonts w:ascii="微軟正黑體"/>
                <w:b/>
                <w:sz w:val="32"/>
              </w:rPr>
            </w:pPr>
          </w:p>
          <w:p>
            <w:pPr>
              <w:pStyle w:val="TableParagraph"/>
              <w:spacing w:before="13"/>
              <w:rPr>
                <w:rFonts w:ascii="微軟正黑體"/>
                <w:b/>
                <w:sz w:val="23"/>
              </w:rPr>
            </w:pPr>
          </w:p>
          <w:p>
            <w:pPr>
              <w:pStyle w:val="TableParagraph"/>
              <w:ind w:left="112"/>
              <w:rPr>
                <w:sz w:val="24"/>
              </w:rPr>
            </w:pPr>
            <w:r>
              <w:rPr>
                <w:color w:val="231F20"/>
                <w:sz w:val="24"/>
              </w:rPr>
              <w:t>評估治療成效：複查痰液追蹤</w:t>
            </w:r>
          </w:p>
        </w:tc>
        <w:tc>
          <w:tcPr>
            <w:tcW w:w="2684" w:type="dxa"/>
          </w:tcPr>
          <w:p>
            <w:pPr>
              <w:pStyle w:val="TableParagraph"/>
              <w:spacing w:line="409" w:lineRule="exact" w:before="25"/>
              <w:ind w:left="112"/>
              <w:rPr>
                <w:sz w:val="24"/>
              </w:rPr>
            </w:pPr>
            <w:r>
              <w:rPr>
                <w:color w:val="231F20"/>
                <w:sz w:val="24"/>
              </w:rPr>
              <w:t>初查痰陽個案：</w:t>
            </w:r>
          </w:p>
          <w:p>
            <w:pPr>
              <w:pStyle w:val="TableParagraph"/>
              <w:numPr>
                <w:ilvl w:val="0"/>
                <w:numId w:val="113"/>
              </w:numPr>
              <w:tabs>
                <w:tab w:pos="368" w:val="left" w:leader="none"/>
              </w:tabs>
              <w:spacing w:line="400" w:lineRule="exact" w:before="0" w:after="0"/>
              <w:ind w:left="367" w:right="0" w:hanging="256"/>
              <w:jc w:val="left"/>
              <w:rPr>
                <w:sz w:val="24"/>
              </w:rPr>
            </w:pPr>
            <w:r>
              <w:rPr>
                <w:color w:val="231F20"/>
                <w:sz w:val="24"/>
              </w:rPr>
              <w:t>每月留痰至陰轉</w:t>
            </w:r>
          </w:p>
          <w:p>
            <w:pPr>
              <w:pStyle w:val="TableParagraph"/>
              <w:numPr>
                <w:ilvl w:val="0"/>
                <w:numId w:val="113"/>
              </w:numPr>
              <w:tabs>
                <w:tab w:pos="368" w:val="left" w:leader="none"/>
              </w:tabs>
              <w:spacing w:line="230" w:lineRule="auto" w:before="2" w:after="0"/>
              <w:ind w:left="367" w:right="92" w:hanging="255"/>
              <w:jc w:val="left"/>
              <w:rPr>
                <w:sz w:val="24"/>
              </w:rPr>
            </w:pPr>
            <w:r>
              <w:rPr>
                <w:color w:val="231F20"/>
                <w:spacing w:val="-1"/>
                <w:sz w:val="24"/>
              </w:rPr>
              <w:t>治療滿 </w:t>
            </w:r>
            <w:r>
              <w:rPr>
                <w:color w:val="231F20"/>
                <w:sz w:val="24"/>
              </w:rPr>
              <w:t>2</w:t>
            </w:r>
            <w:r>
              <w:rPr>
                <w:color w:val="231F20"/>
                <w:spacing w:val="-1"/>
                <w:sz w:val="24"/>
              </w:rPr>
              <w:t> 個月及完治</w:t>
            </w:r>
            <w:r>
              <w:rPr>
                <w:color w:val="231F20"/>
                <w:sz w:val="24"/>
              </w:rPr>
              <w:t>前</w:t>
            </w:r>
          </w:p>
          <w:p>
            <w:pPr>
              <w:pStyle w:val="TableParagraph"/>
              <w:numPr>
                <w:ilvl w:val="0"/>
                <w:numId w:val="113"/>
              </w:numPr>
              <w:tabs>
                <w:tab w:pos="368" w:val="left" w:leader="none"/>
              </w:tabs>
              <w:spacing w:line="395" w:lineRule="exact" w:before="0" w:after="0"/>
              <w:ind w:left="367" w:right="0" w:hanging="256"/>
              <w:jc w:val="left"/>
              <w:rPr>
                <w:sz w:val="24"/>
              </w:rPr>
            </w:pPr>
            <w:r>
              <w:rPr>
                <w:color w:val="231F20"/>
                <w:sz w:val="24"/>
              </w:rPr>
              <w:t>失落者於第 5 個月留</w:t>
            </w:r>
          </w:p>
          <w:p>
            <w:pPr>
              <w:pStyle w:val="TableParagraph"/>
              <w:spacing w:line="398" w:lineRule="exact"/>
              <w:ind w:left="367"/>
              <w:rPr>
                <w:sz w:val="24"/>
              </w:rPr>
            </w:pPr>
            <w:r>
              <w:rPr>
                <w:color w:val="231F20"/>
                <w:sz w:val="24"/>
              </w:rPr>
              <w:t>痰</w:t>
            </w:r>
          </w:p>
        </w:tc>
      </w:tr>
      <w:tr>
        <w:trPr>
          <w:trHeight w:val="8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12"/>
              <w:rPr>
                <w:rFonts w:ascii="微軟正黑體"/>
                <w:b/>
                <w:sz w:val="13"/>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before="225"/>
              <w:ind w:left="112"/>
              <w:rPr>
                <w:sz w:val="24"/>
              </w:rPr>
            </w:pPr>
            <w:r>
              <w:rPr>
                <w:color w:val="231F20"/>
                <w:sz w:val="24"/>
              </w:rPr>
              <w:t>評估治療成效：胸部 X 光追蹤</w:t>
            </w:r>
          </w:p>
        </w:tc>
        <w:tc>
          <w:tcPr>
            <w:tcW w:w="2684" w:type="dxa"/>
          </w:tcPr>
          <w:p>
            <w:pPr>
              <w:pStyle w:val="TableParagraph"/>
              <w:spacing w:line="409" w:lineRule="exact" w:before="25"/>
              <w:ind w:left="112"/>
              <w:rPr>
                <w:sz w:val="24"/>
              </w:rPr>
            </w:pPr>
            <w:r>
              <w:rPr>
                <w:color w:val="231F20"/>
                <w:sz w:val="24"/>
              </w:rPr>
              <w:t>治療前、治療後 1-2 月</w:t>
            </w:r>
          </w:p>
          <w:p>
            <w:pPr>
              <w:pStyle w:val="TableParagraph"/>
              <w:spacing w:line="398" w:lineRule="exact"/>
              <w:ind w:left="112"/>
              <w:rPr>
                <w:sz w:val="24"/>
              </w:rPr>
            </w:pPr>
            <w:r>
              <w:rPr>
                <w:color w:val="231F20"/>
                <w:sz w:val="24"/>
              </w:rPr>
              <w:t>及完治時</w:t>
            </w:r>
          </w:p>
        </w:tc>
      </w:tr>
    </w:tbl>
    <w:p>
      <w:pPr>
        <w:rPr>
          <w:sz w:val="2"/>
          <w:szCs w:val="2"/>
        </w:rPr>
      </w:pPr>
      <w:r>
        <w:rPr/>
        <w:pict>
          <v:group style="position:absolute;margin-left:-.000001pt;margin-top:178.154007pt;width:37.35pt;height:663.55pt;mso-position-horizontal-relative:page;mso-position-vertical-relative:page;z-index:251790336"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82"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62</w:t>
                    </w:r>
                  </w:p>
                </w:txbxContent>
              </v:textbox>
              <w10:wrap type="none"/>
            </v:shape>
            <w10:wrap type="none"/>
          </v:group>
        </w:pict>
      </w:r>
    </w:p>
    <w:p>
      <w:pPr>
        <w:spacing w:after="0"/>
        <w:rPr>
          <w:sz w:val="2"/>
          <w:szCs w:val="2"/>
        </w:rPr>
        <w:sectPr>
          <w:pgSz w:w="11910" w:h="16840"/>
          <w:pgMar w:top="1200" w:bottom="0" w:left="980" w:right="0"/>
        </w:sectPr>
      </w:pP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40"/>
        <w:gridCol w:w="1058"/>
        <w:gridCol w:w="1020"/>
        <w:gridCol w:w="3617"/>
        <w:gridCol w:w="2684"/>
      </w:tblGrid>
      <w:tr>
        <w:trPr>
          <w:trHeight w:val="451" w:hRule="atLeast"/>
        </w:trPr>
        <w:tc>
          <w:tcPr>
            <w:tcW w:w="3318" w:type="dxa"/>
            <w:gridSpan w:val="3"/>
            <w:shd w:val="clear" w:color="auto" w:fill="E6E7E8"/>
          </w:tcPr>
          <w:p>
            <w:pPr>
              <w:pStyle w:val="TableParagraph"/>
              <w:spacing w:line="432" w:lineRule="exact"/>
              <w:ind w:left="1158" w:right="1145"/>
              <w:jc w:val="center"/>
              <w:rPr>
                <w:rFonts w:ascii="微軟正黑體" w:eastAsia="微軟正黑體" w:hint="eastAsia"/>
                <w:b/>
                <w:sz w:val="24"/>
              </w:rPr>
            </w:pPr>
            <w:r>
              <w:rPr>
                <w:rFonts w:ascii="微軟正黑體" w:eastAsia="微軟正黑體" w:hint="eastAsia"/>
                <w:b/>
                <w:color w:val="231F20"/>
                <w:sz w:val="24"/>
              </w:rPr>
              <w:t>主責單位</w:t>
            </w:r>
          </w:p>
        </w:tc>
        <w:tc>
          <w:tcPr>
            <w:tcW w:w="3617" w:type="dxa"/>
            <w:vMerge w:val="restart"/>
            <w:shd w:val="clear" w:color="auto" w:fill="E6E7E8"/>
          </w:tcPr>
          <w:p>
            <w:pPr>
              <w:pStyle w:val="TableParagraph"/>
              <w:spacing w:before="3"/>
              <w:rPr>
                <w:rFonts w:ascii="微軟正黑體"/>
                <w:b/>
                <w:sz w:val="23"/>
              </w:rPr>
            </w:pPr>
          </w:p>
          <w:p>
            <w:pPr>
              <w:pStyle w:val="TableParagraph"/>
              <w:ind w:left="1307" w:right="1294"/>
              <w:jc w:val="center"/>
              <w:rPr>
                <w:rFonts w:ascii="微軟正黑體" w:eastAsia="微軟正黑體" w:hint="eastAsia"/>
                <w:b/>
                <w:sz w:val="24"/>
              </w:rPr>
            </w:pPr>
            <w:r>
              <w:rPr>
                <w:rFonts w:ascii="微軟正黑體" w:eastAsia="微軟正黑體" w:hint="eastAsia"/>
                <w:b/>
                <w:color w:val="231F20"/>
                <w:sz w:val="24"/>
              </w:rPr>
              <w:t>工作事項</w:t>
            </w:r>
          </w:p>
        </w:tc>
        <w:tc>
          <w:tcPr>
            <w:tcW w:w="2684" w:type="dxa"/>
            <w:vMerge w:val="restart"/>
            <w:shd w:val="clear" w:color="auto" w:fill="E6E7E8"/>
          </w:tcPr>
          <w:p>
            <w:pPr>
              <w:pStyle w:val="TableParagraph"/>
              <w:spacing w:before="3"/>
              <w:rPr>
                <w:rFonts w:ascii="微軟正黑體"/>
                <w:b/>
                <w:sz w:val="23"/>
              </w:rPr>
            </w:pPr>
          </w:p>
          <w:p>
            <w:pPr>
              <w:pStyle w:val="TableParagraph"/>
              <w:ind w:left="1081" w:right="1067"/>
              <w:jc w:val="center"/>
              <w:rPr>
                <w:rFonts w:ascii="微軟正黑體" w:eastAsia="微軟正黑體" w:hint="eastAsia"/>
                <w:b/>
                <w:sz w:val="24"/>
              </w:rPr>
            </w:pPr>
            <w:r>
              <w:rPr>
                <w:rFonts w:ascii="微軟正黑體" w:eastAsia="微軟正黑體" w:hint="eastAsia"/>
                <w:b/>
                <w:color w:val="231F20"/>
                <w:sz w:val="24"/>
              </w:rPr>
              <w:t>期程</w:t>
            </w:r>
          </w:p>
        </w:tc>
      </w:tr>
      <w:tr>
        <w:trPr>
          <w:trHeight w:val="851" w:hRule="atLeast"/>
        </w:trPr>
        <w:tc>
          <w:tcPr>
            <w:tcW w:w="1240" w:type="dxa"/>
            <w:shd w:val="clear" w:color="auto" w:fill="E6E7E8"/>
          </w:tcPr>
          <w:p>
            <w:pPr>
              <w:pStyle w:val="TableParagraph"/>
              <w:spacing w:line="218" w:lineRule="auto" w:before="22"/>
              <w:ind w:left="139" w:right="123" w:firstLine="37"/>
              <w:rPr>
                <w:rFonts w:ascii="微軟正黑體" w:eastAsia="微軟正黑體" w:hint="eastAsia"/>
                <w:b/>
                <w:sz w:val="24"/>
              </w:rPr>
            </w:pPr>
            <w:r>
              <w:rPr>
                <w:rFonts w:ascii="微軟正黑體" w:eastAsia="微軟正黑體" w:hint="eastAsia"/>
                <w:b/>
                <w:color w:val="231F20"/>
                <w:w w:val="95"/>
                <w:sz w:val="24"/>
              </w:rPr>
              <w:t>疾管署 </w:t>
            </w:r>
            <w:r>
              <w:rPr>
                <w:rFonts w:ascii="微軟正黑體" w:eastAsia="微軟正黑體" w:hint="eastAsia"/>
                <w:b/>
                <w:color w:val="231F20"/>
                <w:w w:val="75"/>
                <w:sz w:val="24"/>
              </w:rPr>
              <w:t>／ </w:t>
            </w:r>
            <w:r>
              <w:rPr>
                <w:rFonts w:ascii="微軟正黑體" w:eastAsia="微軟正黑體" w:hint="eastAsia"/>
                <w:b/>
                <w:color w:val="231F20"/>
                <w:sz w:val="24"/>
              </w:rPr>
              <w:t>區管中心</w:t>
            </w:r>
          </w:p>
        </w:tc>
        <w:tc>
          <w:tcPr>
            <w:tcW w:w="1058" w:type="dxa"/>
            <w:shd w:val="clear" w:color="auto" w:fill="E6E7E8"/>
          </w:tcPr>
          <w:p>
            <w:pPr>
              <w:pStyle w:val="TableParagraph"/>
              <w:spacing w:before="193"/>
              <w:ind w:left="148" w:right="135"/>
              <w:jc w:val="center"/>
              <w:rPr>
                <w:rFonts w:ascii="微軟正黑體" w:eastAsia="微軟正黑體" w:hint="eastAsia"/>
                <w:b/>
                <w:sz w:val="24"/>
              </w:rPr>
            </w:pPr>
            <w:r>
              <w:rPr>
                <w:rFonts w:ascii="微軟正黑體" w:eastAsia="微軟正黑體" w:hint="eastAsia"/>
                <w:b/>
                <w:color w:val="231F20"/>
                <w:sz w:val="24"/>
              </w:rPr>
              <w:t>衛生局</w:t>
            </w:r>
          </w:p>
        </w:tc>
        <w:tc>
          <w:tcPr>
            <w:tcW w:w="1020" w:type="dxa"/>
            <w:shd w:val="clear" w:color="auto" w:fill="E6E7E8"/>
          </w:tcPr>
          <w:p>
            <w:pPr>
              <w:pStyle w:val="TableParagraph"/>
              <w:spacing w:before="193"/>
              <w:ind w:left="129" w:right="116"/>
              <w:jc w:val="center"/>
              <w:rPr>
                <w:rFonts w:ascii="微軟正黑體" w:eastAsia="微軟正黑體" w:hint="eastAsia"/>
                <w:b/>
                <w:sz w:val="24"/>
              </w:rPr>
            </w:pPr>
            <w:r>
              <w:rPr>
                <w:rFonts w:ascii="微軟正黑體" w:eastAsia="微軟正黑體" w:hint="eastAsia"/>
                <w:b/>
                <w:color w:val="231F20"/>
                <w:sz w:val="24"/>
              </w:rPr>
              <w:t>衛生所</w:t>
            </w:r>
          </w:p>
        </w:tc>
        <w:tc>
          <w:tcPr>
            <w:tcW w:w="3617" w:type="dxa"/>
            <w:vMerge/>
            <w:tcBorders>
              <w:top w:val="nil"/>
            </w:tcBorders>
            <w:shd w:val="clear" w:color="auto" w:fill="E6E7E8"/>
          </w:tcPr>
          <w:p>
            <w:pPr>
              <w:rPr>
                <w:sz w:val="2"/>
                <w:szCs w:val="2"/>
              </w:rPr>
            </w:pPr>
          </w:p>
        </w:tc>
        <w:tc>
          <w:tcPr>
            <w:tcW w:w="2684" w:type="dxa"/>
            <w:vMerge/>
            <w:tcBorders>
              <w:top w:val="nil"/>
            </w:tcBorders>
            <w:shd w:val="clear" w:color="auto" w:fill="E6E7E8"/>
          </w:tcPr>
          <w:p>
            <w:pPr>
              <w:rPr>
                <w:sz w:val="2"/>
                <w:szCs w:val="2"/>
              </w:rPr>
            </w:pPr>
          </w:p>
        </w:tc>
      </w:tr>
      <w:tr>
        <w:trPr>
          <w:trHeight w:val="4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7" w:lineRule="exact" w:before="25"/>
              <w:ind w:left="112"/>
              <w:rPr>
                <w:sz w:val="24"/>
              </w:rPr>
            </w:pPr>
            <w:r>
              <w:rPr>
                <w:color w:val="231F20"/>
                <w:sz w:val="24"/>
              </w:rPr>
              <w:t>評估治療成效：臨床症狀改善</w:t>
            </w:r>
          </w:p>
        </w:tc>
        <w:tc>
          <w:tcPr>
            <w:tcW w:w="2684" w:type="dxa"/>
          </w:tcPr>
          <w:p>
            <w:pPr>
              <w:pStyle w:val="TableParagraph"/>
              <w:spacing w:line="407" w:lineRule="exact" w:before="25"/>
              <w:ind w:left="112"/>
              <w:rPr>
                <w:sz w:val="24"/>
              </w:rPr>
            </w:pPr>
            <w:r>
              <w:rPr>
                <w:color w:val="231F20"/>
                <w:sz w:val="24"/>
              </w:rPr>
              <w:t>每月</w:t>
            </w:r>
          </w:p>
        </w:tc>
      </w:tr>
      <w:tr>
        <w:trPr>
          <w:trHeight w:val="4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7" w:lineRule="exact" w:before="25"/>
              <w:ind w:left="112"/>
              <w:rPr>
                <w:sz w:val="24"/>
              </w:rPr>
            </w:pPr>
            <w:r>
              <w:rPr>
                <w:color w:val="231F20"/>
                <w:sz w:val="24"/>
              </w:rPr>
              <w:t>協助公費藥物申請</w:t>
            </w:r>
          </w:p>
        </w:tc>
        <w:tc>
          <w:tcPr>
            <w:tcW w:w="2684" w:type="dxa"/>
          </w:tcPr>
          <w:p>
            <w:pPr>
              <w:pStyle w:val="TableParagraph"/>
              <w:spacing w:line="407" w:lineRule="exact" w:before="25"/>
              <w:ind w:left="112"/>
              <w:rPr>
                <w:sz w:val="24"/>
              </w:rPr>
            </w:pPr>
            <w:r>
              <w:rPr>
                <w:color w:val="231F20"/>
                <w:sz w:val="24"/>
              </w:rPr>
              <w:t>必要時</w:t>
            </w:r>
          </w:p>
        </w:tc>
      </w:tr>
      <w:tr>
        <w:trPr>
          <w:trHeight w:val="4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7" w:lineRule="exact" w:before="25"/>
              <w:ind w:left="112"/>
              <w:rPr>
                <w:sz w:val="24"/>
              </w:rPr>
            </w:pPr>
            <w:r>
              <w:rPr>
                <w:color w:val="231F20"/>
                <w:sz w:val="24"/>
              </w:rPr>
              <w:t>進行訪視並做成紀錄</w:t>
            </w:r>
          </w:p>
        </w:tc>
        <w:tc>
          <w:tcPr>
            <w:tcW w:w="2684" w:type="dxa"/>
          </w:tcPr>
          <w:p>
            <w:pPr>
              <w:pStyle w:val="TableParagraph"/>
              <w:spacing w:line="407" w:lineRule="exact" w:before="25"/>
              <w:ind w:left="112"/>
              <w:rPr>
                <w:sz w:val="24"/>
              </w:rPr>
            </w:pPr>
            <w:r>
              <w:rPr>
                <w:color w:val="231F20"/>
                <w:sz w:val="24"/>
              </w:rPr>
              <w:t>每月 </w:t>
            </w:r>
            <w:r>
              <w:rPr>
                <w:color w:val="231F20"/>
                <w:w w:val="70"/>
                <w:sz w:val="24"/>
              </w:rPr>
              <w:t>／ </w:t>
            </w:r>
            <w:r>
              <w:rPr>
                <w:color w:val="231F20"/>
                <w:sz w:val="24"/>
              </w:rPr>
              <w:t>必要時</w:t>
            </w:r>
          </w:p>
        </w:tc>
      </w:tr>
      <w:tr>
        <w:trPr>
          <w:trHeight w:val="4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7" w:lineRule="exact" w:before="25"/>
              <w:ind w:left="112"/>
              <w:rPr>
                <w:sz w:val="24"/>
              </w:rPr>
            </w:pPr>
            <w:r>
              <w:rPr>
                <w:color w:val="231F20"/>
                <w:w w:val="110"/>
                <w:sz w:val="24"/>
              </w:rPr>
              <w:t>服藥遵從性評估(含DOTS)</w:t>
            </w:r>
          </w:p>
        </w:tc>
        <w:tc>
          <w:tcPr>
            <w:tcW w:w="2684" w:type="dxa"/>
          </w:tcPr>
          <w:p>
            <w:pPr>
              <w:pStyle w:val="TableParagraph"/>
              <w:spacing w:line="407" w:lineRule="exact" w:before="25"/>
              <w:ind w:left="113"/>
              <w:rPr>
                <w:sz w:val="24"/>
              </w:rPr>
            </w:pPr>
            <w:r>
              <w:rPr>
                <w:color w:val="231F20"/>
                <w:sz w:val="24"/>
              </w:rPr>
              <w:t>每月</w:t>
            </w:r>
          </w:p>
        </w:tc>
      </w:tr>
      <w:tr>
        <w:trPr>
          <w:trHeight w:val="451" w:hRule="atLeast"/>
        </w:trPr>
        <w:tc>
          <w:tcPr>
            <w:tcW w:w="1240" w:type="dxa"/>
          </w:tcPr>
          <w:p>
            <w:pPr>
              <w:pStyle w:val="TableParagraph"/>
              <w:rPr>
                <w:rFonts w:ascii="Times New Roman"/>
                <w:sz w:val="22"/>
              </w:rPr>
            </w:pP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6" w:lineRule="exact" w:before="25"/>
              <w:ind w:left="112"/>
              <w:rPr>
                <w:sz w:val="24"/>
              </w:rPr>
            </w:pPr>
            <w:r>
              <w:rPr>
                <w:color w:val="231F20"/>
                <w:sz w:val="24"/>
              </w:rPr>
              <w:t>經濟弱勢個案處理</w:t>
            </w:r>
          </w:p>
        </w:tc>
        <w:tc>
          <w:tcPr>
            <w:tcW w:w="2684" w:type="dxa"/>
          </w:tcPr>
          <w:p>
            <w:pPr>
              <w:pStyle w:val="TableParagraph"/>
              <w:spacing w:line="406" w:lineRule="exact" w:before="25"/>
              <w:ind w:left="112"/>
              <w:rPr>
                <w:sz w:val="24"/>
              </w:rPr>
            </w:pPr>
            <w:r>
              <w:rPr>
                <w:color w:val="231F20"/>
                <w:sz w:val="24"/>
              </w:rPr>
              <w:t>必要時</w:t>
            </w:r>
          </w:p>
        </w:tc>
      </w:tr>
      <w:tr>
        <w:trPr>
          <w:trHeight w:val="451" w:hRule="atLeast"/>
        </w:trPr>
        <w:tc>
          <w:tcPr>
            <w:tcW w:w="1240" w:type="dxa"/>
          </w:tcPr>
          <w:p>
            <w:pPr>
              <w:pStyle w:val="TableParagraph"/>
              <w:rPr>
                <w:rFonts w:ascii="Times New Roman"/>
                <w:sz w:val="22"/>
              </w:rPr>
            </w:pP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6" w:lineRule="exact" w:before="25"/>
              <w:ind w:left="112"/>
              <w:rPr>
                <w:sz w:val="24"/>
              </w:rPr>
            </w:pPr>
            <w:r>
              <w:rPr>
                <w:color w:val="231F20"/>
                <w:sz w:val="24"/>
              </w:rPr>
              <w:t>不合作個案施予隔腐治療作業</w:t>
            </w:r>
          </w:p>
        </w:tc>
        <w:tc>
          <w:tcPr>
            <w:tcW w:w="2684" w:type="dxa"/>
          </w:tcPr>
          <w:p>
            <w:pPr>
              <w:pStyle w:val="TableParagraph"/>
              <w:spacing w:line="406" w:lineRule="exact" w:before="25"/>
              <w:ind w:left="112"/>
              <w:rPr>
                <w:sz w:val="24"/>
              </w:rPr>
            </w:pPr>
            <w:r>
              <w:rPr>
                <w:color w:val="231F20"/>
                <w:sz w:val="24"/>
              </w:rPr>
              <w:t>必要時</w:t>
            </w:r>
          </w:p>
        </w:tc>
      </w:tr>
      <w:tr>
        <w:trPr>
          <w:trHeight w:val="451" w:hRule="atLeast"/>
        </w:trPr>
        <w:tc>
          <w:tcPr>
            <w:tcW w:w="1240" w:type="dxa"/>
          </w:tcPr>
          <w:p>
            <w:pPr>
              <w:pStyle w:val="TableParagraph"/>
              <w:spacing w:before="51"/>
              <w:ind w:right="483"/>
              <w:jc w:val="right"/>
              <w:rPr>
                <w:rFonts w:ascii="新細明體" w:eastAsia="新細明體" w:hint="eastAsia"/>
                <w:sz w:val="24"/>
              </w:rPr>
            </w:pPr>
            <w:r>
              <w:rPr>
                <w:rFonts w:ascii="新細明體" w:eastAsia="新細明體" w:hint="eastAsia"/>
                <w:color w:val="231F20"/>
                <w:sz w:val="24"/>
              </w:rPr>
              <w:t>口</w:t>
            </w: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6" w:lineRule="exact" w:before="25"/>
              <w:ind w:left="112"/>
              <w:rPr>
                <w:sz w:val="24"/>
              </w:rPr>
            </w:pPr>
            <w:r>
              <w:rPr>
                <w:color w:val="231F20"/>
                <w:sz w:val="24"/>
              </w:rPr>
              <w:t>失聯個案管理與處置</w:t>
            </w:r>
          </w:p>
        </w:tc>
        <w:tc>
          <w:tcPr>
            <w:tcW w:w="2684" w:type="dxa"/>
          </w:tcPr>
          <w:p>
            <w:pPr>
              <w:pStyle w:val="TableParagraph"/>
              <w:spacing w:line="406" w:lineRule="exact" w:before="25"/>
              <w:ind w:left="112"/>
              <w:rPr>
                <w:sz w:val="24"/>
              </w:rPr>
            </w:pPr>
            <w:r>
              <w:rPr>
                <w:color w:val="231F20"/>
                <w:sz w:val="24"/>
              </w:rPr>
              <w:t>必要時</w:t>
            </w:r>
          </w:p>
        </w:tc>
      </w:tr>
      <w:tr>
        <w:trPr>
          <w:trHeight w:val="851" w:hRule="atLeast"/>
        </w:trPr>
        <w:tc>
          <w:tcPr>
            <w:tcW w:w="1240" w:type="dxa"/>
          </w:tcPr>
          <w:p>
            <w:pPr>
              <w:pStyle w:val="TableParagraph"/>
              <w:spacing w:before="51"/>
              <w:ind w:right="483"/>
              <w:jc w:val="right"/>
              <w:rPr>
                <w:rFonts w:ascii="新細明體" w:eastAsia="新細明體" w:hint="eastAsia"/>
                <w:sz w:val="24"/>
              </w:rPr>
            </w:pPr>
            <w:r>
              <w:rPr>
                <w:rFonts w:ascii="新細明體" w:eastAsia="新細明體" w:hint="eastAsia"/>
                <w:color w:val="231F20"/>
                <w:sz w:val="24"/>
              </w:rPr>
              <w:t>口</w:t>
            </w: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9" w:lineRule="exact" w:before="25"/>
              <w:ind w:left="112"/>
              <w:rPr>
                <w:sz w:val="24"/>
              </w:rPr>
            </w:pPr>
            <w:r>
              <w:rPr>
                <w:color w:val="231F20"/>
                <w:sz w:val="24"/>
              </w:rPr>
              <w:t>召開縣市病例討論與進行特殊個</w:t>
            </w:r>
          </w:p>
          <w:p>
            <w:pPr>
              <w:pStyle w:val="TableParagraph"/>
              <w:spacing w:line="398" w:lineRule="exact"/>
              <w:ind w:left="112"/>
              <w:rPr>
                <w:sz w:val="24"/>
              </w:rPr>
            </w:pPr>
            <w:r>
              <w:rPr>
                <w:color w:val="231F20"/>
                <w:sz w:val="24"/>
              </w:rPr>
              <w:t>案訪視</w:t>
            </w:r>
          </w:p>
        </w:tc>
        <w:tc>
          <w:tcPr>
            <w:tcW w:w="2684" w:type="dxa"/>
          </w:tcPr>
          <w:p>
            <w:pPr>
              <w:pStyle w:val="TableParagraph"/>
              <w:spacing w:before="225"/>
              <w:ind w:left="112"/>
              <w:rPr>
                <w:sz w:val="24"/>
              </w:rPr>
            </w:pPr>
            <w:r>
              <w:rPr>
                <w:color w:val="231F20"/>
                <w:sz w:val="24"/>
              </w:rPr>
              <w:t>必要時</w:t>
            </w:r>
          </w:p>
        </w:tc>
      </w:tr>
      <w:tr>
        <w:trPr>
          <w:trHeight w:val="1251" w:hRule="atLeast"/>
        </w:trPr>
        <w:tc>
          <w:tcPr>
            <w:tcW w:w="1240" w:type="dxa"/>
          </w:tcPr>
          <w:p>
            <w:pPr>
              <w:pStyle w:val="TableParagraph"/>
              <w:spacing w:before="51"/>
              <w:ind w:right="483"/>
              <w:jc w:val="right"/>
              <w:rPr>
                <w:rFonts w:ascii="新細明體" w:eastAsia="新細明體" w:hint="eastAsia"/>
                <w:sz w:val="24"/>
              </w:rPr>
            </w:pPr>
            <w:r>
              <w:rPr>
                <w:rFonts w:ascii="新細明體" w:eastAsia="新細明體" w:hint="eastAsia"/>
                <w:color w:val="231F20"/>
                <w:sz w:val="24"/>
              </w:rPr>
              <w:t>口</w:t>
            </w: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230" w:lineRule="auto" w:before="36"/>
              <w:ind w:left="112" w:right="67"/>
              <w:rPr>
                <w:sz w:val="24"/>
              </w:rPr>
            </w:pPr>
            <w:r>
              <w:rPr>
                <w:color w:val="231F20"/>
                <w:sz w:val="24"/>
              </w:rPr>
              <w:t>抗藥性結核、使用針劑、困難個案等，轉介 TMTC 專業團隊評</w:t>
            </w:r>
          </w:p>
          <w:p>
            <w:pPr>
              <w:pStyle w:val="TableParagraph"/>
              <w:spacing w:line="393" w:lineRule="exact"/>
              <w:ind w:left="112"/>
              <w:rPr>
                <w:sz w:val="24"/>
              </w:rPr>
            </w:pPr>
            <w:r>
              <w:rPr>
                <w:color w:val="231F20"/>
                <w:sz w:val="24"/>
              </w:rPr>
              <w:t>估收案治療</w:t>
            </w:r>
          </w:p>
        </w:tc>
        <w:tc>
          <w:tcPr>
            <w:tcW w:w="2684" w:type="dxa"/>
          </w:tcPr>
          <w:p>
            <w:pPr>
              <w:pStyle w:val="TableParagraph"/>
              <w:spacing w:before="1"/>
              <w:rPr>
                <w:rFonts w:ascii="微軟正黑體"/>
                <w:b/>
                <w:sz w:val="23"/>
              </w:rPr>
            </w:pPr>
          </w:p>
          <w:p>
            <w:pPr>
              <w:pStyle w:val="TableParagraph"/>
              <w:spacing w:before="1"/>
              <w:ind w:left="112"/>
              <w:rPr>
                <w:sz w:val="24"/>
              </w:rPr>
            </w:pPr>
            <w:r>
              <w:rPr>
                <w:color w:val="231F20"/>
                <w:sz w:val="24"/>
              </w:rPr>
              <w:t>必要時</w:t>
            </w:r>
          </w:p>
        </w:tc>
      </w:tr>
      <w:tr>
        <w:trPr>
          <w:trHeight w:val="451" w:hRule="atLeast"/>
        </w:trPr>
        <w:tc>
          <w:tcPr>
            <w:tcW w:w="1240" w:type="dxa"/>
          </w:tcPr>
          <w:p>
            <w:pPr>
              <w:pStyle w:val="TableParagraph"/>
              <w:spacing w:before="51"/>
              <w:ind w:right="483"/>
              <w:jc w:val="right"/>
              <w:rPr>
                <w:rFonts w:ascii="新細明體" w:eastAsia="新細明體" w:hint="eastAsia"/>
                <w:sz w:val="24"/>
              </w:rPr>
            </w:pPr>
            <w:r>
              <w:rPr>
                <w:rFonts w:ascii="新細明體" w:eastAsia="新細明體" w:hint="eastAsia"/>
                <w:color w:val="231F20"/>
                <w:sz w:val="24"/>
              </w:rPr>
              <w:t>口</w:t>
            </w: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6" w:lineRule="exact" w:before="25"/>
              <w:ind w:left="112"/>
              <w:rPr>
                <w:sz w:val="24"/>
              </w:rPr>
            </w:pPr>
            <w:r>
              <w:rPr>
                <w:color w:val="231F20"/>
                <w:sz w:val="24"/>
              </w:rPr>
              <w:t>辦理區域級病例討論</w:t>
            </w:r>
          </w:p>
        </w:tc>
        <w:tc>
          <w:tcPr>
            <w:tcW w:w="2684" w:type="dxa"/>
          </w:tcPr>
          <w:p>
            <w:pPr>
              <w:pStyle w:val="TableParagraph"/>
              <w:spacing w:line="406" w:lineRule="exact" w:before="25"/>
              <w:ind w:left="112"/>
              <w:rPr>
                <w:sz w:val="24"/>
              </w:rPr>
            </w:pPr>
            <w:r>
              <w:rPr>
                <w:color w:val="231F20"/>
                <w:sz w:val="24"/>
              </w:rPr>
              <w:t>必要時</w:t>
            </w:r>
          </w:p>
        </w:tc>
      </w:tr>
      <w:tr>
        <w:trPr>
          <w:trHeight w:val="851" w:hRule="atLeast"/>
        </w:trPr>
        <w:tc>
          <w:tcPr>
            <w:tcW w:w="1240" w:type="dxa"/>
          </w:tcPr>
          <w:p>
            <w:pPr>
              <w:pStyle w:val="TableParagraph"/>
              <w:spacing w:before="12"/>
              <w:rPr>
                <w:rFonts w:ascii="微軟正黑體"/>
                <w:b/>
                <w:sz w:val="13"/>
              </w:rPr>
            </w:pPr>
          </w:p>
          <w:p>
            <w:pPr>
              <w:pStyle w:val="TableParagraph"/>
              <w:ind w:right="483"/>
              <w:jc w:val="right"/>
              <w:rPr>
                <w:rFonts w:ascii="新細明體" w:eastAsia="新細明體" w:hint="eastAsia"/>
                <w:sz w:val="24"/>
              </w:rPr>
            </w:pPr>
            <w:r>
              <w:rPr>
                <w:rFonts w:ascii="新細明體" w:eastAsia="新細明體" w:hint="eastAsia"/>
                <w:color w:val="231F20"/>
                <w:sz w:val="24"/>
              </w:rPr>
              <w:t>口</w:t>
            </w:r>
          </w:p>
        </w:tc>
        <w:tc>
          <w:tcPr>
            <w:tcW w:w="1058" w:type="dxa"/>
          </w:tcPr>
          <w:p>
            <w:pPr>
              <w:pStyle w:val="TableParagraph"/>
              <w:spacing w:before="12"/>
              <w:rPr>
                <w:rFonts w:ascii="微軟正黑體"/>
                <w:b/>
                <w:sz w:val="13"/>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12"/>
              <w:rPr>
                <w:rFonts w:ascii="微軟正黑體"/>
                <w:b/>
                <w:sz w:val="13"/>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before="225"/>
              <w:ind w:left="112"/>
              <w:rPr>
                <w:sz w:val="24"/>
              </w:rPr>
            </w:pPr>
            <w:r>
              <w:rPr>
                <w:color w:val="231F20"/>
                <w:sz w:val="24"/>
              </w:rPr>
              <w:t>跨國轉介</w:t>
            </w:r>
          </w:p>
        </w:tc>
        <w:tc>
          <w:tcPr>
            <w:tcW w:w="2684" w:type="dxa"/>
          </w:tcPr>
          <w:p>
            <w:pPr>
              <w:pStyle w:val="TableParagraph"/>
              <w:spacing w:line="409" w:lineRule="exact" w:before="25"/>
              <w:ind w:left="112"/>
              <w:rPr>
                <w:sz w:val="24"/>
              </w:rPr>
            </w:pPr>
            <w:r>
              <w:rPr>
                <w:color w:val="231F20"/>
                <w:sz w:val="24"/>
              </w:rPr>
              <w:t>於出境 </w:t>
            </w:r>
            <w:r>
              <w:rPr>
                <w:color w:val="231F20"/>
                <w:w w:val="70"/>
                <w:sz w:val="24"/>
              </w:rPr>
              <w:t>／ </w:t>
            </w:r>
            <w:r>
              <w:rPr>
                <w:color w:val="231F20"/>
                <w:sz w:val="24"/>
              </w:rPr>
              <w:t>檢驗結果登錄</w:t>
            </w:r>
          </w:p>
          <w:p>
            <w:pPr>
              <w:pStyle w:val="TableParagraph"/>
              <w:spacing w:line="398" w:lineRule="exact"/>
              <w:ind w:left="112"/>
              <w:rPr>
                <w:sz w:val="24"/>
              </w:rPr>
            </w:pPr>
            <w:r>
              <w:rPr>
                <w:color w:val="231F20"/>
                <w:sz w:val="24"/>
              </w:rPr>
              <w:t>後 14 天內</w:t>
            </w:r>
          </w:p>
        </w:tc>
      </w:tr>
      <w:tr>
        <w:trPr>
          <w:trHeight w:val="451" w:hRule="atLeast"/>
        </w:trPr>
        <w:tc>
          <w:tcPr>
            <w:tcW w:w="1240" w:type="dxa"/>
          </w:tcPr>
          <w:p>
            <w:pPr>
              <w:pStyle w:val="TableParagraph"/>
              <w:rPr>
                <w:rFonts w:ascii="Times New Roman"/>
                <w:sz w:val="22"/>
              </w:rPr>
            </w:pP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6" w:lineRule="exact" w:before="25"/>
              <w:ind w:left="112"/>
              <w:rPr>
                <w:sz w:val="24"/>
              </w:rPr>
            </w:pPr>
            <w:r>
              <w:rPr>
                <w:color w:val="231F20"/>
                <w:sz w:val="24"/>
              </w:rPr>
              <w:t>銷案作業</w:t>
            </w:r>
          </w:p>
        </w:tc>
        <w:tc>
          <w:tcPr>
            <w:tcW w:w="2684" w:type="dxa"/>
          </w:tcPr>
          <w:p>
            <w:pPr>
              <w:pStyle w:val="TableParagraph"/>
              <w:spacing w:line="406" w:lineRule="exact" w:before="25"/>
              <w:ind w:left="112"/>
              <w:rPr>
                <w:sz w:val="24"/>
              </w:rPr>
            </w:pPr>
            <w:r>
              <w:rPr>
                <w:color w:val="231F20"/>
                <w:sz w:val="24"/>
              </w:rPr>
              <w:t>依銷案類別辦理</w:t>
            </w:r>
          </w:p>
        </w:tc>
      </w:tr>
      <w:tr>
        <w:trPr>
          <w:trHeight w:val="451" w:hRule="atLeast"/>
        </w:trPr>
        <w:tc>
          <w:tcPr>
            <w:tcW w:w="1240" w:type="dxa"/>
          </w:tcPr>
          <w:p>
            <w:pPr>
              <w:pStyle w:val="TableParagraph"/>
              <w:spacing w:before="51"/>
              <w:ind w:right="483"/>
              <w:jc w:val="right"/>
              <w:rPr>
                <w:rFonts w:ascii="新細明體" w:eastAsia="新細明體" w:hint="eastAsia"/>
                <w:sz w:val="24"/>
              </w:rPr>
            </w:pPr>
            <w:r>
              <w:rPr>
                <w:rFonts w:ascii="新細明體" w:eastAsia="新細明體" w:hint="eastAsia"/>
                <w:color w:val="231F20"/>
                <w:sz w:val="24"/>
              </w:rPr>
              <w:t>口</w:t>
            </w: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6" w:lineRule="exact" w:before="25"/>
              <w:ind w:left="112"/>
              <w:rPr>
                <w:sz w:val="24"/>
              </w:rPr>
            </w:pPr>
            <w:r>
              <w:rPr>
                <w:color w:val="231F20"/>
                <w:sz w:val="24"/>
              </w:rPr>
              <w:t>個案管理及銷案口管稽核</w:t>
            </w:r>
          </w:p>
        </w:tc>
        <w:tc>
          <w:tcPr>
            <w:tcW w:w="2684" w:type="dxa"/>
          </w:tcPr>
          <w:p>
            <w:pPr>
              <w:pStyle w:val="TableParagraph"/>
              <w:spacing w:line="406" w:lineRule="exact" w:before="25"/>
              <w:ind w:left="112"/>
              <w:rPr>
                <w:sz w:val="24"/>
              </w:rPr>
            </w:pPr>
            <w:r>
              <w:rPr>
                <w:color w:val="231F20"/>
                <w:sz w:val="24"/>
              </w:rPr>
              <w:t>每月 </w:t>
            </w:r>
            <w:r>
              <w:rPr>
                <w:color w:val="231F20"/>
                <w:w w:val="70"/>
                <w:sz w:val="24"/>
              </w:rPr>
              <w:t>／ </w:t>
            </w:r>
            <w:r>
              <w:rPr>
                <w:color w:val="231F20"/>
                <w:sz w:val="24"/>
              </w:rPr>
              <w:t>必要時</w:t>
            </w:r>
          </w:p>
        </w:tc>
      </w:tr>
      <w:tr>
        <w:trPr>
          <w:trHeight w:val="1251" w:hRule="atLeast"/>
        </w:trPr>
        <w:tc>
          <w:tcPr>
            <w:tcW w:w="1240" w:type="dxa"/>
          </w:tcPr>
          <w:p>
            <w:pPr>
              <w:pStyle w:val="TableParagraph"/>
              <w:rPr>
                <w:rFonts w:ascii="Times New Roman"/>
                <w:sz w:val="22"/>
              </w:rPr>
            </w:pPr>
          </w:p>
        </w:tc>
        <w:tc>
          <w:tcPr>
            <w:tcW w:w="1058" w:type="dxa"/>
          </w:tcPr>
          <w:p>
            <w:pPr>
              <w:pStyle w:val="TableParagraph"/>
              <w:rPr>
                <w:rFonts w:ascii="Times New Roman"/>
                <w:sz w:val="22"/>
              </w:rPr>
            </w:pPr>
          </w:p>
        </w:tc>
        <w:tc>
          <w:tcPr>
            <w:tcW w:w="1020" w:type="dxa"/>
          </w:tcPr>
          <w:p>
            <w:pPr>
              <w:pStyle w:val="TableParagraph"/>
              <w:spacing w:before="9"/>
              <w:rPr>
                <w:rFonts w:ascii="微軟正黑體"/>
                <w:b/>
                <w:sz w:val="24"/>
              </w:rPr>
            </w:pPr>
          </w:p>
          <w:p>
            <w:pPr>
              <w:pStyle w:val="TableParagraph"/>
              <w:spacing w:before="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230" w:lineRule="auto" w:before="36"/>
              <w:ind w:left="112" w:right="90"/>
              <w:rPr>
                <w:sz w:val="24"/>
              </w:rPr>
            </w:pPr>
            <w:r>
              <w:rPr>
                <w:color w:val="231F20"/>
                <w:sz w:val="24"/>
              </w:rPr>
              <w:t>5 歲以下肺外結核個案、服用抗結核藥物造成視力損傷等個案，</w:t>
            </w:r>
          </w:p>
          <w:p>
            <w:pPr>
              <w:pStyle w:val="TableParagraph"/>
              <w:spacing w:line="393" w:lineRule="exact"/>
              <w:ind w:left="112"/>
              <w:rPr>
                <w:sz w:val="24"/>
              </w:rPr>
            </w:pPr>
            <w:r>
              <w:rPr>
                <w:color w:val="231F20"/>
                <w:sz w:val="24"/>
              </w:rPr>
              <w:t>銷案後追蹤其預後</w:t>
            </w:r>
          </w:p>
        </w:tc>
        <w:tc>
          <w:tcPr>
            <w:tcW w:w="2684" w:type="dxa"/>
          </w:tcPr>
          <w:p>
            <w:pPr>
              <w:pStyle w:val="TableParagraph"/>
              <w:spacing w:before="2"/>
              <w:rPr>
                <w:rFonts w:ascii="微軟正黑體"/>
                <w:b/>
                <w:sz w:val="23"/>
              </w:rPr>
            </w:pPr>
          </w:p>
          <w:p>
            <w:pPr>
              <w:pStyle w:val="TableParagraph"/>
              <w:ind w:left="112"/>
              <w:rPr>
                <w:sz w:val="24"/>
              </w:rPr>
            </w:pPr>
            <w:r>
              <w:rPr>
                <w:color w:val="231F20"/>
                <w:sz w:val="24"/>
              </w:rPr>
              <w:t>銷案後半年及 1 年</w:t>
            </w:r>
          </w:p>
        </w:tc>
      </w:tr>
      <w:tr>
        <w:trPr>
          <w:trHeight w:val="851" w:hRule="atLeast"/>
        </w:trPr>
        <w:tc>
          <w:tcPr>
            <w:tcW w:w="1240" w:type="dxa"/>
          </w:tcPr>
          <w:p>
            <w:pPr>
              <w:pStyle w:val="TableParagraph"/>
              <w:spacing w:before="51"/>
              <w:ind w:right="483"/>
              <w:jc w:val="right"/>
              <w:rPr>
                <w:rFonts w:ascii="新細明體" w:eastAsia="新細明體" w:hint="eastAsia"/>
                <w:sz w:val="24"/>
              </w:rPr>
            </w:pPr>
            <w:r>
              <w:rPr>
                <w:rFonts w:ascii="新細明體" w:eastAsia="新細明體" w:hint="eastAsia"/>
                <w:color w:val="231F20"/>
                <w:sz w:val="24"/>
              </w:rPr>
              <w:t>口</w:t>
            </w:r>
          </w:p>
        </w:tc>
        <w:tc>
          <w:tcPr>
            <w:tcW w:w="1058"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1020" w:type="dxa"/>
          </w:tcPr>
          <w:p>
            <w:pPr>
              <w:pStyle w:val="TableParagraph"/>
              <w:spacing w:before="51"/>
              <w:ind w:left="13"/>
              <w:jc w:val="center"/>
              <w:rPr>
                <w:rFonts w:ascii="新細明體" w:eastAsia="新細明體" w:hint="eastAsia"/>
                <w:sz w:val="24"/>
              </w:rPr>
            </w:pPr>
            <w:r>
              <w:rPr>
                <w:rFonts w:ascii="新細明體" w:eastAsia="新細明體" w:hint="eastAsia"/>
                <w:color w:val="231F20"/>
                <w:sz w:val="24"/>
              </w:rPr>
              <w:t>口</w:t>
            </w:r>
          </w:p>
        </w:tc>
        <w:tc>
          <w:tcPr>
            <w:tcW w:w="3617" w:type="dxa"/>
          </w:tcPr>
          <w:p>
            <w:pPr>
              <w:pStyle w:val="TableParagraph"/>
              <w:spacing w:line="409" w:lineRule="exact" w:before="25"/>
              <w:ind w:left="112"/>
              <w:rPr>
                <w:sz w:val="24"/>
              </w:rPr>
            </w:pPr>
            <w:r>
              <w:rPr>
                <w:color w:val="231F20"/>
                <w:spacing w:val="21"/>
                <w:sz w:val="24"/>
              </w:rPr>
              <w:t>結核病個案世代回顧</w:t>
            </w:r>
            <w:r>
              <w:rPr>
                <w:color w:val="231F20"/>
                <w:w w:val="300"/>
                <w:sz w:val="24"/>
              </w:rPr>
              <w:t>(</w:t>
            </w:r>
            <w:r>
              <w:rPr>
                <w:color w:val="231F20"/>
                <w:w w:val="92"/>
                <w:sz w:val="24"/>
              </w:rPr>
              <w:t>C</w:t>
            </w:r>
            <w:r>
              <w:rPr>
                <w:color w:val="231F20"/>
                <w:spacing w:val="-1"/>
                <w:w w:val="112"/>
                <w:sz w:val="24"/>
              </w:rPr>
              <w:t>oho</w:t>
            </w:r>
            <w:r>
              <w:rPr>
                <w:color w:val="231F20"/>
                <w:spacing w:val="7"/>
                <w:w w:val="112"/>
                <w:sz w:val="24"/>
              </w:rPr>
              <w:t>r</w:t>
            </w:r>
            <w:r>
              <w:rPr>
                <w:color w:val="231F20"/>
                <w:w w:val="130"/>
                <w:sz w:val="24"/>
              </w:rPr>
              <w:t>t</w:t>
            </w:r>
          </w:p>
          <w:p>
            <w:pPr>
              <w:pStyle w:val="TableParagraph"/>
              <w:spacing w:line="398" w:lineRule="exact"/>
              <w:ind w:left="112"/>
              <w:rPr>
                <w:sz w:val="24"/>
              </w:rPr>
            </w:pPr>
            <w:r>
              <w:rPr>
                <w:color w:val="231F20"/>
                <w:w w:val="110"/>
                <w:sz w:val="24"/>
              </w:rPr>
              <w:t>Review)評值作業</w:t>
            </w:r>
          </w:p>
        </w:tc>
        <w:tc>
          <w:tcPr>
            <w:tcW w:w="2684" w:type="dxa"/>
          </w:tcPr>
          <w:p>
            <w:pPr>
              <w:pStyle w:val="TableParagraph"/>
              <w:spacing w:before="225"/>
              <w:ind w:left="112"/>
              <w:rPr>
                <w:sz w:val="24"/>
              </w:rPr>
            </w:pPr>
            <w:r>
              <w:rPr>
                <w:color w:val="231F20"/>
                <w:sz w:val="24"/>
              </w:rPr>
              <w:t>每年</w:t>
            </w:r>
          </w:p>
        </w:tc>
      </w:tr>
    </w:tbl>
    <w:p>
      <w:pPr>
        <w:rPr>
          <w:sz w:val="2"/>
          <w:szCs w:val="2"/>
        </w:rPr>
      </w:pPr>
      <w:r>
        <w:rPr/>
        <w:pict>
          <v:group style="position:absolute;margin-left:557.684509pt;margin-top:178.154007pt;width:37.35pt;height:663.55pt;mso-position-horizontal-relative:page;mso-position-vertical-relative:page;z-index:251792384" coordorigin="11154,3563" coordsize="747,13271">
            <v:shape style="position:absolute;left:11283;top:4074;width:438;height:12760" type="#_x0000_t75" stroked="false">
              <v:imagedata r:id="rId49" o:title=""/>
            </v:shape>
            <v:shape style="position:absolute;left:11153;top:3563;width:747;height:812" coordorigin="11154,3563" coordsize="747,812" path="m11900,3563l11536,3563,11514,3565,11454,3599,11188,3881,11154,3969,11162,4015,11454,4338,11514,4372,11536,4374,11900,4374,11900,3563xe" filled="true" fillcolor="#7c8ac4" stroked="false">
              <v:path arrowok="t"/>
              <v:fill type="solid"/>
            </v:shape>
            <v:shape style="position:absolute;left:11307;top:3830;width:393;height:278" type="#_x0000_t75" stroked="false">
              <v:imagedata r:id="rId83" o:title=""/>
            </v:shape>
            <v:shape style="position:absolute;left:11378;top:4510;width:249;height:2257" type="#_x0000_t75" stroked="false">
              <v:imagedata r:id="rId51"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63</w:t>
                    </w:r>
                  </w:p>
                </w:txbxContent>
              </v:textbox>
              <w10:wrap type="none"/>
            </v:shape>
            <w10:wrap type="none"/>
          </v:group>
        </w:pict>
      </w:r>
    </w:p>
    <w:p>
      <w:pPr>
        <w:spacing w:after="0"/>
        <w:rPr>
          <w:sz w:val="2"/>
          <w:szCs w:val="2"/>
        </w:rPr>
        <w:sectPr>
          <w:pgSz w:w="11910" w:h="16840"/>
          <w:pgMar w:top="1200" w:bottom="0" w:left="980" w:right="0"/>
        </w:sectPr>
      </w:pPr>
    </w:p>
    <w:p>
      <w:pPr>
        <w:pStyle w:val="BodyText"/>
        <w:spacing w:before="16"/>
        <w:rPr>
          <w:rFonts w:ascii="微軟正黑體"/>
          <w:b/>
          <w:sz w:val="10"/>
        </w:rPr>
      </w:pPr>
      <w:r>
        <w:rPr/>
        <w:pict>
          <v:group style="position:absolute;margin-left:-.000001pt;margin-top:178.154007pt;width:37.35pt;height:663.55pt;mso-position-horizontal-relative:page;mso-position-vertical-relative:page;z-index:251794432" coordorigin="0,3563" coordsize="747,13271">
            <v:shape style="position:absolute;left:178;top:4074;width:438;height:12760" type="#_x0000_t75" stroked="false">
              <v:imagedata r:id="rId52" o:title=""/>
            </v:shape>
            <v:shape style="position:absolute;left:0;top:3563;width:747;height:812" coordorigin="0,3563" coordsize="747,812" path="m365,3563l0,3563,0,4374,365,4374,387,4372,447,4338,713,4056,747,3969,738,3922,447,3599,387,3565,365,3563xe" filled="true" fillcolor="#7c8ac4" stroked="false">
              <v:path arrowok="t"/>
              <v:fill type="solid"/>
            </v:shape>
            <v:shape style="position:absolute;left:202;top:3830;width:393;height:278" type="#_x0000_t75" stroked="false">
              <v:imagedata r:id="rId84" o:title=""/>
            </v:shape>
            <v:shape style="position:absolute;left:273;top:4510;width:249;height:2257" type="#_x0000_t75" stroked="false">
              <v:imagedata r:id="rId54"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64</w:t>
                    </w:r>
                  </w:p>
                </w:txbxContent>
              </v:textbox>
              <w10:wrap type="none"/>
            </v:shape>
            <w10:wrap type="none"/>
          </v:group>
        </w:pict>
      </w:r>
    </w:p>
    <w:p>
      <w:pPr>
        <w:spacing w:after="0"/>
        <w:rPr>
          <w:rFonts w:ascii="微軟正黑體"/>
          <w:sz w:val="10"/>
        </w:rPr>
        <w:sectPr>
          <w:pgSz w:w="11910" w:h="16840"/>
          <w:pgMar w:top="1600" w:bottom="0" w:left="980" w:right="0"/>
        </w:sectPr>
      </w:pPr>
    </w:p>
    <w:p>
      <w:pPr>
        <w:pStyle w:val="BodyText"/>
        <w:rPr>
          <w:rFonts w:ascii="微軟正黑體"/>
          <w:b/>
          <w:sz w:val="32"/>
        </w:rPr>
      </w:pPr>
    </w:p>
    <w:p>
      <w:pPr>
        <w:pStyle w:val="BodyText"/>
        <w:spacing w:before="17"/>
        <w:rPr>
          <w:rFonts w:ascii="微軟正黑體"/>
          <w:b/>
        </w:rPr>
      </w:pPr>
    </w:p>
    <w:p>
      <w:pPr>
        <w:spacing w:before="1"/>
        <w:ind w:left="153" w:right="0" w:firstLine="0"/>
        <w:jc w:val="left"/>
        <w:rPr>
          <w:rFonts w:ascii="微軟正黑體" w:eastAsia="微軟正黑體" w:hint="eastAsia"/>
          <w:b/>
          <w:sz w:val="24"/>
        </w:rPr>
      </w:pPr>
      <w:r>
        <w:rPr>
          <w:rFonts w:ascii="微軟正黑體" w:eastAsia="微軟正黑體" w:hint="eastAsia"/>
          <w:b/>
          <w:color w:val="221F1F"/>
          <w:sz w:val="24"/>
        </w:rPr>
        <w:t>壹、 目的：</w:t>
      </w:r>
    </w:p>
    <w:p>
      <w:pPr>
        <w:spacing w:before="3"/>
        <w:ind w:left="153" w:right="0" w:firstLine="0"/>
        <w:jc w:val="left"/>
        <w:rPr>
          <w:rFonts w:ascii="微軟正黑體" w:eastAsia="微軟正黑體" w:hint="eastAsia"/>
          <w:b/>
          <w:sz w:val="28"/>
        </w:rPr>
      </w:pPr>
      <w:bookmarkStart w:name="_TOC_250002" w:id="3"/>
      <w:r>
        <w:rPr/>
        <w:br w:type="column"/>
      </w:r>
      <w:bookmarkEnd w:id="3"/>
      <w:r>
        <w:rPr>
          <w:rFonts w:ascii="微軟正黑體" w:eastAsia="微軟正黑體" w:hint="eastAsia"/>
          <w:b/>
          <w:color w:val="221F1F"/>
          <w:sz w:val="28"/>
        </w:rPr>
        <w:t>第七章特定場域、身分個案防治重點</w:t>
      </w:r>
    </w:p>
    <w:p>
      <w:pPr>
        <w:pStyle w:val="BodyText"/>
        <w:spacing w:before="13"/>
        <w:rPr>
          <w:rFonts w:ascii="微軟正黑體"/>
          <w:b/>
          <w:sz w:val="26"/>
        </w:rPr>
      </w:pPr>
      <w:r>
        <w:rPr/>
        <w:br w:type="column"/>
      </w:r>
      <w:r>
        <w:rPr>
          <w:rFonts w:ascii="微軟正黑體"/>
          <w:b/>
          <w:sz w:val="26"/>
        </w:rPr>
      </w:r>
    </w:p>
    <w:p>
      <w:pPr>
        <w:pStyle w:val="ListParagraph"/>
        <w:numPr>
          <w:ilvl w:val="1"/>
          <w:numId w:val="114"/>
        </w:numPr>
        <w:tabs>
          <w:tab w:pos="828" w:val="left" w:leader="none"/>
        </w:tabs>
        <w:spacing w:line="240" w:lineRule="auto" w:before="0" w:after="0"/>
        <w:ind w:left="827" w:right="0" w:hanging="675"/>
        <w:jc w:val="left"/>
        <w:rPr>
          <w:rFonts w:ascii="微軟正黑體" w:eastAsia="微軟正黑體" w:hint="eastAsia"/>
          <w:sz w:val="20"/>
        </w:rPr>
      </w:pPr>
      <w:r>
        <w:rPr>
          <w:rFonts w:ascii="微軟正黑體" w:eastAsia="微軟正黑體" w:hint="eastAsia"/>
          <w:sz w:val="20"/>
        </w:rPr>
        <w:t>修訂</w:t>
      </w:r>
    </w:p>
    <w:p>
      <w:pPr>
        <w:spacing w:after="0" w:line="240" w:lineRule="auto"/>
        <w:jc w:val="left"/>
        <w:rPr>
          <w:rFonts w:ascii="微軟正黑體" w:eastAsia="微軟正黑體" w:hint="eastAsia"/>
          <w:sz w:val="20"/>
        </w:rPr>
        <w:sectPr>
          <w:pgSz w:w="11910" w:h="16840"/>
          <w:pgMar w:top="1260" w:bottom="280" w:left="980" w:right="2"/>
          <w:cols w:num="3" w:equalWidth="0">
            <w:col w:w="1480" w:space="1110"/>
            <w:col w:w="4674" w:space="1301"/>
            <w:col w:w="2363"/>
          </w:cols>
        </w:sectPr>
      </w:pPr>
    </w:p>
    <w:p>
      <w:pPr>
        <w:spacing w:line="237" w:lineRule="auto" w:before="0"/>
        <w:ind w:left="719" w:right="1054" w:firstLine="0"/>
        <w:jc w:val="both"/>
        <w:rPr>
          <w:rFonts w:ascii="微軟正黑體" w:eastAsia="微軟正黑體" w:hint="eastAsia"/>
          <w:sz w:val="22"/>
        </w:rPr>
      </w:pPr>
      <w:r>
        <w:rPr>
          <w:rFonts w:ascii="微軟正黑體" w:eastAsia="微軟正黑體" w:hint="eastAsia"/>
          <w:color w:val="221F1F"/>
          <w:spacing w:val="-10"/>
          <w:sz w:val="22"/>
        </w:rPr>
        <w:t>依據結核病個案不同的職業及身分，於工作場域可能頻繁與未被診斷治療的結核病人接觸或感染</w:t>
      </w:r>
      <w:r>
        <w:rPr>
          <w:rFonts w:ascii="微軟正黑體" w:eastAsia="微軟正黑體" w:hint="eastAsia"/>
          <w:color w:val="221F1F"/>
          <w:spacing w:val="-19"/>
          <w:sz w:val="22"/>
        </w:rPr>
        <w:t>管制措施不良等因素，致使其遭受到結核菌感染之風險較高。因此，需透過提供不同之防疫作為， 於平時即加強結核病防治，藉以保護特定場域/身分族群之個案，來降低感染或後續聚集事件發</w:t>
      </w:r>
      <w:r>
        <w:rPr>
          <w:rFonts w:ascii="微軟正黑體" w:eastAsia="微軟正黑體" w:hint="eastAsia"/>
          <w:color w:val="221F1F"/>
          <w:spacing w:val="-1"/>
          <w:sz w:val="22"/>
        </w:rPr>
        <w:t>生之機率。</w:t>
      </w:r>
    </w:p>
    <w:p>
      <w:pPr>
        <w:pStyle w:val="BodyText"/>
        <w:spacing w:before="13"/>
        <w:rPr>
          <w:rFonts w:ascii="微軟正黑體"/>
          <w:sz w:val="17"/>
        </w:rPr>
      </w:pPr>
    </w:p>
    <w:p>
      <w:pPr>
        <w:pStyle w:val="Heading2"/>
        <w:spacing w:line="465" w:lineRule="exact"/>
        <w:ind w:left="0" w:right="9002"/>
        <w:jc w:val="right"/>
      </w:pPr>
      <w:r>
        <w:rPr>
          <w:color w:val="221F1F"/>
          <w:spacing w:val="8"/>
          <w:position w:val="-2"/>
        </w:rPr>
        <w:t>貳、 </w:t>
      </w:r>
      <w:r>
        <w:rPr/>
        <w:t>特定職業：</w:t>
      </w:r>
    </w:p>
    <w:p>
      <w:pPr>
        <w:spacing w:line="390" w:lineRule="exact" w:before="0"/>
        <w:ind w:left="0" w:right="9033" w:firstLine="0"/>
        <w:jc w:val="right"/>
        <w:rPr>
          <w:rFonts w:ascii="微軟正黑體" w:eastAsia="微軟正黑體" w:hint="eastAsia"/>
          <w:sz w:val="22"/>
        </w:rPr>
      </w:pPr>
      <w:r>
        <w:rPr>
          <w:rFonts w:ascii="微軟正黑體" w:eastAsia="微軟正黑體" w:hint="eastAsia"/>
          <w:color w:val="221F1F"/>
          <w:spacing w:val="1"/>
          <w:sz w:val="22"/>
        </w:rPr>
        <w:t>一、  畜牧業者</w:t>
      </w:r>
    </w:p>
    <w:p>
      <w:pPr>
        <w:spacing w:line="232" w:lineRule="auto" w:before="1"/>
        <w:ind w:left="1005" w:right="1126" w:firstLine="0"/>
        <w:jc w:val="left"/>
        <w:rPr>
          <w:rFonts w:ascii="微軟正黑體" w:eastAsia="微軟正黑體" w:hint="eastAsia"/>
          <w:sz w:val="22"/>
        </w:rPr>
      </w:pPr>
      <w:r>
        <w:rPr>
          <w:rFonts w:ascii="微軟正黑體" w:eastAsia="微軟正黑體" w:hint="eastAsia"/>
          <w:color w:val="221F1F"/>
          <w:w w:val="95"/>
          <w:sz w:val="22"/>
        </w:rPr>
        <w:t>牛結核菌  </w:t>
      </w:r>
      <w:r>
        <w:rPr>
          <w:rFonts w:ascii="微軟正黑體" w:eastAsia="微軟正黑體" w:hint="eastAsia"/>
          <w:i/>
          <w:color w:val="221F1F"/>
          <w:w w:val="95"/>
          <w:sz w:val="23"/>
        </w:rPr>
        <w:t>Mycobacteriumbovis</w:t>
      </w:r>
      <w:r>
        <w:rPr>
          <w:rFonts w:ascii="微軟正黑體" w:eastAsia="微軟正黑體" w:hint="eastAsia"/>
          <w:color w:val="221F1F"/>
          <w:w w:val="95"/>
          <w:sz w:val="22"/>
        </w:rPr>
        <w:t>（</w:t>
      </w:r>
      <w:r>
        <w:rPr>
          <w:rFonts w:ascii="微軟正黑體" w:eastAsia="微軟正黑體" w:hint="eastAsia"/>
          <w:i/>
          <w:color w:val="221F1F"/>
          <w:w w:val="95"/>
          <w:sz w:val="23"/>
        </w:rPr>
        <w:t>M.bovis</w:t>
      </w:r>
      <w:r>
        <w:rPr>
          <w:rFonts w:ascii="微軟正黑體" w:eastAsia="微軟正黑體" w:hint="eastAsia"/>
          <w:color w:val="221F1F"/>
          <w:w w:val="95"/>
          <w:sz w:val="22"/>
        </w:rPr>
        <w:t>），為  MTBComplex（MTBC）之一，牛結核菌</w:t>
      </w:r>
      <w:r>
        <w:rPr>
          <w:rFonts w:ascii="微軟正黑體" w:eastAsia="微軟正黑體" w:hint="eastAsia"/>
          <w:color w:val="221F1F"/>
          <w:sz w:val="22"/>
        </w:rPr>
        <w:t>感染者及動物接觸者監測及管理重點，摘要如下，相關流程另參閱附件 7-1。</w:t>
      </w:r>
    </w:p>
    <w:p>
      <w:pPr>
        <w:spacing w:line="403" w:lineRule="exact" w:before="0"/>
        <w:ind w:left="719" w:right="0" w:firstLine="0"/>
        <w:jc w:val="left"/>
        <w:rPr>
          <w:rFonts w:ascii="微軟正黑體" w:eastAsia="微軟正黑體" w:hint="eastAsia"/>
          <w:sz w:val="22"/>
        </w:rPr>
      </w:pPr>
      <w:r>
        <w:rPr>
          <w:rFonts w:ascii="微軟正黑體" w:eastAsia="微軟正黑體" w:hint="eastAsia"/>
          <w:color w:val="221F1F"/>
          <w:sz w:val="22"/>
        </w:rPr>
        <w:t>(一) 針對牛結核菌感染監測對象分為：</w:t>
      </w:r>
    </w:p>
    <w:p>
      <w:pPr>
        <w:pStyle w:val="ListParagraph"/>
        <w:numPr>
          <w:ilvl w:val="2"/>
          <w:numId w:val="114"/>
        </w:numPr>
        <w:tabs>
          <w:tab w:pos="1286" w:val="left" w:leader="none"/>
        </w:tabs>
        <w:spacing w:line="400" w:lineRule="exact" w:before="0" w:after="0"/>
        <w:ind w:left="1286" w:right="0" w:hanging="281"/>
        <w:jc w:val="left"/>
        <w:rPr>
          <w:rFonts w:ascii="微軟正黑體" w:eastAsia="微軟正黑體" w:hint="eastAsia"/>
          <w:sz w:val="22"/>
        </w:rPr>
      </w:pPr>
      <w:r>
        <w:rPr>
          <w:rFonts w:ascii="微軟正黑體" w:eastAsia="微軟正黑體" w:hint="eastAsia"/>
          <w:color w:val="221F1F"/>
          <w:spacing w:val="-1"/>
          <w:sz w:val="22"/>
        </w:rPr>
        <w:t>主動監測：</w:t>
      </w:r>
    </w:p>
    <w:p>
      <w:pPr>
        <w:spacing w:line="237" w:lineRule="auto" w:before="0"/>
        <w:ind w:left="1286" w:right="1073" w:firstLine="0"/>
        <w:jc w:val="left"/>
        <w:rPr>
          <w:rFonts w:ascii="微軟正黑體" w:eastAsia="微軟正黑體" w:hint="eastAsia"/>
          <w:sz w:val="22"/>
        </w:rPr>
      </w:pPr>
      <w:r>
        <w:rPr>
          <w:rFonts w:ascii="微軟正黑體" w:eastAsia="微軟正黑體" w:hint="eastAsia"/>
          <w:color w:val="221F1F"/>
          <w:sz w:val="22"/>
        </w:rPr>
        <w:t>接獲行政院農業部動植物防疫檢疫署（下稱防檢署）通知飼養牛/鹿/羊或其他動物等確診罹患結核病案例之場域、飼主、工作人員及屠宰衛生檢查人員等接觸者。</w:t>
      </w:r>
    </w:p>
    <w:p>
      <w:pPr>
        <w:pStyle w:val="ListParagraph"/>
        <w:numPr>
          <w:ilvl w:val="2"/>
          <w:numId w:val="114"/>
        </w:numPr>
        <w:tabs>
          <w:tab w:pos="1286" w:val="left" w:leader="none"/>
        </w:tabs>
        <w:spacing w:line="400" w:lineRule="exact" w:before="0" w:after="0"/>
        <w:ind w:left="1286" w:right="0" w:hanging="281"/>
        <w:jc w:val="both"/>
        <w:rPr>
          <w:rFonts w:ascii="微軟正黑體" w:eastAsia="微軟正黑體" w:hint="eastAsia"/>
          <w:sz w:val="22"/>
        </w:rPr>
      </w:pPr>
      <w:r>
        <w:rPr>
          <w:rFonts w:ascii="微軟正黑體" w:eastAsia="微軟正黑體" w:hint="eastAsia"/>
          <w:color w:val="221F1F"/>
          <w:spacing w:val="-1"/>
          <w:sz w:val="22"/>
        </w:rPr>
        <w:t>被動監測：</w:t>
      </w:r>
    </w:p>
    <w:p>
      <w:pPr>
        <w:pStyle w:val="ListParagraph"/>
        <w:numPr>
          <w:ilvl w:val="3"/>
          <w:numId w:val="114"/>
        </w:numPr>
        <w:tabs>
          <w:tab w:pos="1430" w:val="left" w:leader="none"/>
        </w:tabs>
        <w:spacing w:line="232" w:lineRule="auto" w:before="6" w:after="0"/>
        <w:ind w:left="1146" w:right="2737" w:firstLine="0"/>
        <w:jc w:val="both"/>
        <w:rPr>
          <w:rFonts w:ascii="微軟正黑體" w:eastAsia="微軟正黑體" w:hint="eastAsia"/>
          <w:sz w:val="22"/>
        </w:rPr>
      </w:pPr>
      <w:r>
        <w:rPr>
          <w:rFonts w:ascii="微軟正黑體" w:eastAsia="微軟正黑體" w:hint="eastAsia"/>
          <w:color w:val="221F1F"/>
          <w:spacing w:val="-2"/>
          <w:sz w:val="22"/>
        </w:rPr>
        <w:t>結核病追蹤管理系統</w:t>
      </w:r>
      <w:r>
        <w:rPr>
          <w:rFonts w:ascii="微軟正黑體" w:eastAsia="微軟正黑體" w:hint="eastAsia"/>
          <w:color w:val="221F1F"/>
          <w:spacing w:val="-3"/>
          <w:sz w:val="22"/>
        </w:rPr>
        <w:t>（</w:t>
      </w:r>
      <w:r>
        <w:rPr>
          <w:rFonts w:ascii="微軟正黑體" w:eastAsia="微軟正黑體" w:hint="eastAsia"/>
          <w:color w:val="221F1F"/>
          <w:spacing w:val="1"/>
          <w:sz w:val="22"/>
        </w:rPr>
        <w:t>下稱 </w:t>
      </w:r>
      <w:r>
        <w:rPr>
          <w:rFonts w:ascii="微軟正黑體" w:eastAsia="微軟正黑體" w:hint="eastAsia"/>
          <w:color w:val="221F1F"/>
          <w:sz w:val="22"/>
        </w:rPr>
        <w:t>TB</w:t>
      </w:r>
      <w:r>
        <w:rPr>
          <w:rFonts w:ascii="微軟正黑體" w:eastAsia="微軟正黑體" w:hint="eastAsia"/>
          <w:color w:val="221F1F"/>
          <w:spacing w:val="2"/>
          <w:sz w:val="22"/>
        </w:rPr>
        <w:t> 系統</w:t>
      </w:r>
      <w:r>
        <w:rPr>
          <w:rFonts w:ascii="微軟正黑體" w:eastAsia="微軟正黑體" w:hint="eastAsia"/>
          <w:color w:val="221F1F"/>
          <w:sz w:val="22"/>
        </w:rPr>
        <w:t>）</w:t>
      </w:r>
      <w:r>
        <w:rPr>
          <w:rFonts w:ascii="微軟正黑體" w:eastAsia="微軟正黑體" w:hint="eastAsia"/>
          <w:color w:val="221F1F"/>
          <w:spacing w:val="-3"/>
          <w:sz w:val="22"/>
        </w:rPr>
        <w:t>曾註記為列管畜牧業被通報者； </w:t>
      </w:r>
      <w:r>
        <w:rPr>
          <w:rFonts w:ascii="微軟正黑體" w:eastAsia="微軟正黑體" w:hint="eastAsia"/>
          <w:color w:val="221F1F"/>
          <w:spacing w:val="4"/>
          <w:w w:val="95"/>
          <w:sz w:val="22"/>
        </w:rPr>
        <w:t>(2</w:t>
      </w:r>
      <w:r>
        <w:rPr>
          <w:rFonts w:ascii="微軟正黑體" w:eastAsia="微軟正黑體" w:hint="eastAsia"/>
          <w:color w:val="221F1F"/>
          <w:spacing w:val="-3"/>
          <w:w w:val="95"/>
          <w:sz w:val="22"/>
        </w:rPr>
        <w:t>)通報個案經檢驗為牛結核病</w:t>
      </w:r>
      <w:r>
        <w:rPr>
          <w:rFonts w:ascii="微軟正黑體" w:eastAsia="微軟正黑體" w:hint="eastAsia"/>
          <w:color w:val="221F1F"/>
          <w:w w:val="95"/>
          <w:sz w:val="22"/>
        </w:rPr>
        <w:t>（</w:t>
      </w:r>
      <w:r>
        <w:rPr>
          <w:rFonts w:ascii="微軟正黑體" w:eastAsia="微軟正黑體" w:hint="eastAsia"/>
          <w:i/>
          <w:color w:val="221F1F"/>
          <w:w w:val="95"/>
          <w:sz w:val="23"/>
        </w:rPr>
        <w:t>M.bovis</w:t>
      </w:r>
      <w:r>
        <w:rPr>
          <w:rFonts w:ascii="微軟正黑體" w:eastAsia="微軟正黑體" w:hint="eastAsia"/>
          <w:color w:val="221F1F"/>
          <w:w w:val="95"/>
          <w:sz w:val="22"/>
        </w:rPr>
        <w:t>）</w:t>
      </w:r>
      <w:r>
        <w:rPr>
          <w:rFonts w:ascii="微軟正黑體" w:eastAsia="微軟正黑體" w:hint="eastAsia"/>
          <w:color w:val="221F1F"/>
          <w:spacing w:val="-3"/>
          <w:w w:val="95"/>
          <w:sz w:val="22"/>
        </w:rPr>
        <w:t>個案，回溯調查動物接觸史；  </w:t>
      </w:r>
      <w:r>
        <w:rPr>
          <w:rFonts w:ascii="微軟正黑體" w:eastAsia="微軟正黑體" w:hint="eastAsia"/>
          <w:color w:val="221F1F"/>
          <w:spacing w:val="4"/>
          <w:sz w:val="22"/>
        </w:rPr>
        <w:t>(3</w:t>
      </w:r>
      <w:r>
        <w:rPr>
          <w:rFonts w:ascii="微軟正黑體" w:eastAsia="微軟正黑體" w:hint="eastAsia"/>
          <w:color w:val="221F1F"/>
          <w:spacing w:val="-3"/>
          <w:sz w:val="22"/>
        </w:rPr>
        <w:t>)經通報結核病，且痰檢查結果為 </w:t>
      </w:r>
      <w:r>
        <w:rPr>
          <w:rFonts w:ascii="微軟正黑體" w:eastAsia="微軟正黑體" w:hint="eastAsia"/>
          <w:color w:val="221F1F"/>
          <w:sz w:val="22"/>
        </w:rPr>
        <w:t>MTBC</w:t>
      </w:r>
      <w:r>
        <w:rPr>
          <w:rFonts w:ascii="微軟正黑體" w:eastAsia="微軟正黑體" w:hint="eastAsia"/>
          <w:color w:val="221F1F"/>
          <w:spacing w:val="-3"/>
          <w:sz w:val="22"/>
        </w:rPr>
        <w:t> 者，加強動物接觸史調查。</w:t>
      </w:r>
    </w:p>
    <w:p>
      <w:pPr>
        <w:spacing w:line="399" w:lineRule="exact" w:before="0"/>
        <w:ind w:left="719" w:right="0" w:firstLine="0"/>
        <w:jc w:val="both"/>
        <w:rPr>
          <w:rFonts w:ascii="微軟正黑體" w:eastAsia="微軟正黑體" w:hint="eastAsia"/>
          <w:sz w:val="22"/>
        </w:rPr>
      </w:pPr>
      <w:r>
        <w:rPr>
          <w:rFonts w:ascii="微軟正黑體" w:eastAsia="微軟正黑體" w:hint="eastAsia"/>
          <w:color w:val="221F1F"/>
          <w:sz w:val="22"/>
        </w:rPr>
        <w:t>(二) 管理重點：</w:t>
      </w:r>
    </w:p>
    <w:p>
      <w:pPr>
        <w:pStyle w:val="ListParagraph"/>
        <w:numPr>
          <w:ilvl w:val="0"/>
          <w:numId w:val="115"/>
        </w:numPr>
        <w:tabs>
          <w:tab w:pos="1286" w:val="left" w:leader="none"/>
        </w:tabs>
        <w:spacing w:line="237" w:lineRule="auto" w:before="1" w:after="0"/>
        <w:ind w:left="1286" w:right="1129" w:hanging="281"/>
        <w:jc w:val="both"/>
        <w:rPr>
          <w:rFonts w:ascii="微軟正黑體" w:eastAsia="微軟正黑體" w:hint="eastAsia"/>
          <w:sz w:val="22"/>
        </w:rPr>
      </w:pPr>
      <w:r>
        <w:rPr>
          <w:rFonts w:ascii="微軟正黑體" w:eastAsia="微軟正黑體" w:hint="eastAsia"/>
          <w:color w:val="221F1F"/>
          <w:spacing w:val="-3"/>
          <w:sz w:val="22"/>
        </w:rPr>
        <w:t>疾管署將防檢署不定期提供之新增屠檢人員身分資料建立於 </w:t>
      </w:r>
      <w:r>
        <w:rPr>
          <w:rFonts w:ascii="微軟正黑體" w:eastAsia="微軟正黑體" w:hint="eastAsia"/>
          <w:color w:val="221F1F"/>
          <w:sz w:val="22"/>
        </w:rPr>
        <w:t>TB</w:t>
      </w:r>
      <w:r>
        <w:rPr>
          <w:rFonts w:ascii="微軟正黑體" w:eastAsia="微軟正黑體" w:hint="eastAsia"/>
          <w:color w:val="221F1F"/>
          <w:spacing w:val="-2"/>
          <w:sz w:val="22"/>
        </w:rPr>
        <w:t> 系統，以利該屠檢人員通</w:t>
      </w:r>
      <w:r>
        <w:rPr>
          <w:rFonts w:ascii="微軟正黑體" w:eastAsia="微軟正黑體" w:hint="eastAsia"/>
          <w:color w:val="221F1F"/>
          <w:spacing w:val="-3"/>
          <w:sz w:val="22"/>
        </w:rPr>
        <w:t>報結核病時，系統資料即時勾稽比對。</w:t>
      </w:r>
    </w:p>
    <w:p>
      <w:pPr>
        <w:pStyle w:val="ListParagraph"/>
        <w:numPr>
          <w:ilvl w:val="0"/>
          <w:numId w:val="115"/>
        </w:numPr>
        <w:tabs>
          <w:tab w:pos="1286" w:val="left" w:leader="none"/>
        </w:tabs>
        <w:spacing w:line="398" w:lineRule="exact" w:before="0" w:after="0"/>
        <w:ind w:left="1286" w:right="0" w:hanging="281"/>
        <w:jc w:val="both"/>
        <w:rPr>
          <w:rFonts w:ascii="微軟正黑體" w:eastAsia="微軟正黑體" w:hint="eastAsia"/>
          <w:sz w:val="22"/>
        </w:rPr>
      </w:pPr>
      <w:r>
        <w:rPr>
          <w:rFonts w:ascii="微軟正黑體" w:eastAsia="微軟正黑體" w:hint="eastAsia"/>
          <w:color w:val="221F1F"/>
          <w:spacing w:val="-2"/>
          <w:sz w:val="22"/>
        </w:rPr>
        <w:t>接獲確診牛結核畜牧場</w:t>
      </w:r>
      <w:r>
        <w:rPr>
          <w:rFonts w:ascii="微軟正黑體" w:eastAsia="微軟正黑體" w:hint="eastAsia"/>
          <w:color w:val="221F1F"/>
          <w:spacing w:val="-4"/>
          <w:sz w:val="22"/>
        </w:rPr>
        <w:t>/</w:t>
      </w:r>
      <w:r>
        <w:rPr>
          <w:rFonts w:ascii="微軟正黑體" w:eastAsia="微軟正黑體" w:hint="eastAsia"/>
          <w:color w:val="221F1F"/>
          <w:sz w:val="22"/>
        </w:rPr>
        <w:t>屠宰場/</w:t>
      </w:r>
      <w:r>
        <w:rPr>
          <w:rFonts w:ascii="微軟正黑體" w:eastAsia="微軟正黑體" w:hint="eastAsia"/>
          <w:color w:val="221F1F"/>
          <w:spacing w:val="-2"/>
          <w:sz w:val="22"/>
        </w:rPr>
        <w:t>獸醫院</w:t>
      </w:r>
    </w:p>
    <w:p>
      <w:pPr>
        <w:pStyle w:val="ListParagraph"/>
        <w:numPr>
          <w:ilvl w:val="1"/>
          <w:numId w:val="115"/>
        </w:numPr>
        <w:tabs>
          <w:tab w:pos="1572" w:val="left" w:leader="none"/>
        </w:tabs>
        <w:spacing w:line="237" w:lineRule="auto" w:before="1" w:after="0"/>
        <w:ind w:left="1571" w:right="1125" w:hanging="425"/>
        <w:jc w:val="both"/>
        <w:rPr>
          <w:rFonts w:ascii="微軟正黑體" w:eastAsia="微軟正黑體" w:hint="eastAsia"/>
          <w:sz w:val="22"/>
        </w:rPr>
      </w:pPr>
      <w:r>
        <w:rPr>
          <w:rFonts w:ascii="微軟正黑體" w:eastAsia="微軟正黑體" w:hint="eastAsia"/>
          <w:color w:val="221F1F"/>
          <w:sz w:val="22"/>
        </w:rPr>
        <w:t>牛結核確診場域所屬各區管制中心接獲疾管署疫情中心轉防檢署通知牛結核事件，各區管制中心應於 3</w:t>
      </w:r>
      <w:r>
        <w:rPr>
          <w:rFonts w:ascii="微軟正黑體" w:eastAsia="微軟正黑體" w:hint="eastAsia"/>
          <w:color w:val="221F1F"/>
          <w:spacing w:val="7"/>
          <w:sz w:val="22"/>
        </w:rPr>
        <w:t> 個工作天內至</w:t>
      </w:r>
      <w:r>
        <w:rPr>
          <w:rFonts w:ascii="微軟正黑體" w:eastAsia="微軟正黑體" w:hint="eastAsia"/>
          <w:color w:val="221F1F"/>
          <w:sz w:val="22"/>
        </w:rPr>
        <w:t>TB</w:t>
      </w:r>
      <w:r>
        <w:rPr>
          <w:rFonts w:ascii="微軟正黑體" w:eastAsia="微軟正黑體" w:hint="eastAsia"/>
          <w:color w:val="221F1F"/>
          <w:spacing w:val="-9"/>
          <w:sz w:val="22"/>
        </w:rPr>
        <w:t> 系統完成該牛結核事件資料建立，並通知確診場域</w:t>
      </w:r>
      <w:r>
        <w:rPr>
          <w:rFonts w:ascii="微軟正黑體" w:eastAsia="微軟正黑體" w:hint="eastAsia"/>
          <w:color w:val="221F1F"/>
          <w:spacing w:val="-6"/>
          <w:sz w:val="22"/>
        </w:rPr>
        <w:t>所屬地方主管機關</w:t>
      </w:r>
      <w:r>
        <w:rPr>
          <w:rFonts w:ascii="微軟正黑體" w:eastAsia="微軟正黑體" w:hint="eastAsia"/>
          <w:color w:val="221F1F"/>
          <w:sz w:val="22"/>
        </w:rPr>
        <w:t>（</w:t>
      </w:r>
      <w:r>
        <w:rPr>
          <w:rFonts w:ascii="微軟正黑體" w:eastAsia="微軟正黑體" w:hint="eastAsia"/>
          <w:color w:val="221F1F"/>
          <w:spacing w:val="-2"/>
          <w:sz w:val="22"/>
        </w:rPr>
        <w:t>直轄市或縣</w:t>
      </w:r>
      <w:r>
        <w:rPr>
          <w:rFonts w:ascii="微軟正黑體" w:eastAsia="微軟正黑體" w:hint="eastAsia"/>
          <w:color w:val="221F1F"/>
          <w:spacing w:val="-3"/>
          <w:sz w:val="22"/>
        </w:rPr>
        <w:t>（</w:t>
      </w:r>
      <w:r>
        <w:rPr>
          <w:rFonts w:ascii="微軟正黑體" w:eastAsia="微軟正黑體" w:hint="eastAsia"/>
          <w:color w:val="221F1F"/>
          <w:sz w:val="22"/>
        </w:rPr>
        <w:t>市）</w:t>
      </w:r>
      <w:r>
        <w:rPr>
          <w:rFonts w:ascii="微軟正黑體" w:eastAsia="微軟正黑體" w:hint="eastAsia"/>
          <w:color w:val="221F1F"/>
          <w:spacing w:val="-2"/>
          <w:sz w:val="22"/>
        </w:rPr>
        <w:t>政府</w:t>
      </w:r>
      <w:r>
        <w:rPr>
          <w:rFonts w:ascii="微軟正黑體" w:eastAsia="微軟正黑體" w:hint="eastAsia"/>
          <w:color w:val="221F1F"/>
          <w:sz w:val="22"/>
        </w:rPr>
        <w:t>）。</w:t>
      </w:r>
    </w:p>
    <w:p>
      <w:pPr>
        <w:pStyle w:val="ListParagraph"/>
        <w:numPr>
          <w:ilvl w:val="1"/>
          <w:numId w:val="115"/>
        </w:numPr>
        <w:tabs>
          <w:tab w:pos="1572" w:val="left" w:leader="none"/>
        </w:tabs>
        <w:spacing w:line="237" w:lineRule="auto" w:before="0" w:after="0"/>
        <w:ind w:left="1571" w:right="1129" w:hanging="425"/>
        <w:jc w:val="both"/>
        <w:rPr>
          <w:rFonts w:ascii="微軟正黑體" w:eastAsia="微軟正黑體" w:hint="eastAsia"/>
          <w:sz w:val="22"/>
        </w:rPr>
      </w:pPr>
      <w:r>
        <w:rPr>
          <w:rFonts w:ascii="微軟正黑體" w:eastAsia="微軟正黑體" w:hint="eastAsia"/>
          <w:color w:val="221F1F"/>
          <w:sz w:val="22"/>
        </w:rPr>
        <w:t>衛生局接獲牛結核事件通知後 1</w:t>
      </w:r>
      <w:r>
        <w:rPr>
          <w:rFonts w:ascii="微軟正黑體" w:eastAsia="微軟正黑體" w:hint="eastAsia"/>
          <w:color w:val="221F1F"/>
          <w:spacing w:val="-3"/>
          <w:sz w:val="22"/>
        </w:rPr>
        <w:t> 個月內，針對該場域之飼主、工作人員等接觸者進行</w:t>
      </w:r>
      <w:r>
        <w:rPr>
          <w:rFonts w:ascii="微軟正黑體" w:eastAsia="微軟正黑體" w:hint="eastAsia"/>
          <w:color w:val="221F1F"/>
          <w:spacing w:val="-13"/>
          <w:sz w:val="22"/>
        </w:rPr>
        <w:t>衛教，並建議相關工作人員自主健康管理；勸導雇主協助受僱者、飼主或獸醫院等接觸</w:t>
      </w:r>
      <w:r>
        <w:rPr>
          <w:rFonts w:ascii="微軟正黑體" w:eastAsia="微軟正黑體" w:hint="eastAsia"/>
          <w:color w:val="221F1F"/>
          <w:spacing w:val="-2"/>
          <w:sz w:val="22"/>
        </w:rPr>
        <w:t>人員接受胸部 </w:t>
      </w:r>
      <w:r>
        <w:rPr>
          <w:rFonts w:ascii="微軟正黑體" w:eastAsia="微軟正黑體" w:hint="eastAsia"/>
          <w:color w:val="221F1F"/>
          <w:sz w:val="22"/>
        </w:rPr>
        <w:t>X</w:t>
      </w:r>
      <w:r>
        <w:rPr>
          <w:rFonts w:ascii="微軟正黑體" w:eastAsia="微軟正黑體" w:hint="eastAsia"/>
          <w:color w:val="221F1F"/>
          <w:spacing w:val="-3"/>
          <w:sz w:val="22"/>
        </w:rPr>
        <w:t> 光檢查，同時，匡列為牛結核事件之接觸者，並將相關人員清冊提供各區管制中心。</w:t>
      </w:r>
    </w:p>
    <w:p>
      <w:pPr>
        <w:pStyle w:val="ListParagraph"/>
        <w:numPr>
          <w:ilvl w:val="1"/>
          <w:numId w:val="115"/>
        </w:numPr>
        <w:tabs>
          <w:tab w:pos="1572" w:val="left" w:leader="none"/>
        </w:tabs>
        <w:spacing w:line="235" w:lineRule="auto" w:before="1" w:after="0"/>
        <w:ind w:left="1571" w:right="1126" w:hanging="425"/>
        <w:jc w:val="both"/>
        <w:rPr>
          <w:rFonts w:ascii="微軟正黑體" w:eastAsia="微軟正黑體" w:hint="eastAsia"/>
          <w:sz w:val="22"/>
        </w:rPr>
      </w:pPr>
      <w:r>
        <w:rPr>
          <w:rFonts w:ascii="微軟正黑體" w:eastAsia="微軟正黑體" w:hint="eastAsia"/>
          <w:color w:val="221F1F"/>
          <w:sz w:val="22"/>
        </w:rPr>
        <w:t>各區管制中心於 7</w:t>
      </w:r>
      <w:r>
        <w:rPr>
          <w:rFonts w:ascii="微軟正黑體" w:eastAsia="微軟正黑體" w:hint="eastAsia"/>
          <w:color w:val="221F1F"/>
          <w:spacing w:val="-7"/>
          <w:sz w:val="22"/>
        </w:rPr>
        <w:t> 個工作天內將疫調清冊上傳至該牛結核事件項下，以利與 </w:t>
      </w:r>
      <w:r>
        <w:rPr>
          <w:rFonts w:ascii="微軟正黑體" w:eastAsia="微軟正黑體" w:hint="eastAsia"/>
          <w:color w:val="221F1F"/>
          <w:sz w:val="22"/>
        </w:rPr>
        <w:t>TB 系統通</w:t>
      </w:r>
      <w:r>
        <w:rPr>
          <w:rFonts w:ascii="微軟正黑體" w:eastAsia="微軟正黑體" w:hint="eastAsia"/>
          <w:color w:val="221F1F"/>
          <w:spacing w:val="-2"/>
          <w:sz w:val="22"/>
        </w:rPr>
        <w:t>報資料勾稽比對。</w:t>
      </w:r>
    </w:p>
    <w:p>
      <w:pPr>
        <w:pStyle w:val="ListParagraph"/>
        <w:numPr>
          <w:ilvl w:val="0"/>
          <w:numId w:val="115"/>
        </w:numPr>
        <w:tabs>
          <w:tab w:pos="1286" w:val="left" w:leader="none"/>
        </w:tabs>
        <w:spacing w:line="396" w:lineRule="exact" w:before="1" w:after="0"/>
        <w:ind w:left="1286" w:right="0" w:hanging="281"/>
        <w:jc w:val="both"/>
        <w:rPr>
          <w:rFonts w:ascii="微軟正黑體" w:eastAsia="微軟正黑體" w:hint="eastAsia"/>
          <w:sz w:val="22"/>
        </w:rPr>
      </w:pPr>
      <w:r>
        <w:rPr>
          <w:rFonts w:ascii="微軟正黑體" w:eastAsia="微軟正黑體" w:hint="eastAsia"/>
          <w:color w:val="221F1F"/>
          <w:spacing w:val="-2"/>
          <w:sz w:val="22"/>
        </w:rPr>
        <w:t>疑似牛結核個案通報</w:t>
      </w:r>
    </w:p>
    <w:p>
      <w:pPr>
        <w:pStyle w:val="ListParagraph"/>
        <w:numPr>
          <w:ilvl w:val="1"/>
          <w:numId w:val="115"/>
        </w:numPr>
        <w:tabs>
          <w:tab w:pos="1627" w:val="left" w:leader="none"/>
        </w:tabs>
        <w:spacing w:line="414" w:lineRule="exact" w:before="0" w:after="0"/>
        <w:ind w:left="1626" w:right="0" w:hanging="481"/>
        <w:jc w:val="both"/>
        <w:rPr>
          <w:rFonts w:ascii="微軟正黑體" w:eastAsia="微軟正黑體" w:hint="eastAsia"/>
          <w:sz w:val="22"/>
        </w:rPr>
      </w:pPr>
      <w:r>
        <w:rPr>
          <w:rFonts w:ascii="微軟正黑體" w:eastAsia="微軟正黑體" w:hint="eastAsia"/>
          <w:color w:val="221F1F"/>
          <w:spacing w:val="-1"/>
          <w:sz w:val="22"/>
        </w:rPr>
        <w:t>因 </w:t>
      </w:r>
      <w:r>
        <w:rPr>
          <w:rFonts w:ascii="微軟正黑體" w:eastAsia="微軟正黑體" w:hint="eastAsia"/>
          <w:i/>
          <w:color w:val="221F1F"/>
          <w:sz w:val="23"/>
        </w:rPr>
        <w:t>M.bovis</w:t>
      </w:r>
      <w:r>
        <w:rPr>
          <w:rFonts w:ascii="微軟正黑體" w:eastAsia="微軟正黑體" w:hint="eastAsia"/>
          <w:i/>
          <w:color w:val="221F1F"/>
          <w:spacing w:val="-4"/>
          <w:sz w:val="23"/>
        </w:rPr>
        <w:t> </w:t>
      </w:r>
      <w:r>
        <w:rPr>
          <w:rFonts w:ascii="微軟正黑體" w:eastAsia="微軟正黑體" w:hint="eastAsia"/>
          <w:color w:val="221F1F"/>
          <w:spacing w:val="-3"/>
          <w:sz w:val="22"/>
        </w:rPr>
        <w:t>菌株有高比例對於抗結核藥物 </w:t>
      </w:r>
      <w:r>
        <w:rPr>
          <w:rFonts w:ascii="微軟正黑體" w:eastAsia="微軟正黑體" w:hint="eastAsia"/>
          <w:color w:val="221F1F"/>
          <w:spacing w:val="-6"/>
          <w:sz w:val="22"/>
        </w:rPr>
        <w:t>Pyrazinamide（PZA）</w:t>
      </w:r>
      <w:r>
        <w:rPr>
          <w:rFonts w:ascii="微軟正黑體" w:eastAsia="微軟正黑體" w:hint="eastAsia"/>
          <w:color w:val="221F1F"/>
          <w:spacing w:val="-8"/>
          <w:sz w:val="22"/>
        </w:rPr>
        <w:t>具抗藥性，故列管畜</w:t>
      </w:r>
    </w:p>
    <w:p>
      <w:pPr>
        <w:pStyle w:val="BodyText"/>
        <w:rPr>
          <w:rFonts w:ascii="微軟正黑體"/>
          <w:sz w:val="20"/>
        </w:rPr>
      </w:pPr>
    </w:p>
    <w:p>
      <w:pPr>
        <w:pStyle w:val="BodyText"/>
        <w:rPr>
          <w:rFonts w:ascii="微軟正黑體"/>
          <w:sz w:val="13"/>
        </w:rPr>
      </w:pPr>
    </w:p>
    <w:p>
      <w:pPr>
        <w:spacing w:before="95"/>
        <w:ind w:left="0" w:right="391" w:firstLine="0"/>
        <w:jc w:val="right"/>
        <w:rPr>
          <w:rFonts w:ascii="Arial"/>
          <w:sz w:val="16"/>
        </w:rPr>
      </w:pPr>
      <w:r>
        <w:rPr>
          <w:rFonts w:ascii="Arial"/>
          <w:color w:val="221F1F"/>
          <w:w w:val="100"/>
          <w:sz w:val="16"/>
        </w:rPr>
        <w:t>1</w:t>
      </w:r>
    </w:p>
    <w:p>
      <w:pPr>
        <w:spacing w:after="0"/>
        <w:jc w:val="right"/>
        <w:rPr>
          <w:rFonts w:ascii="Arial"/>
          <w:sz w:val="16"/>
        </w:rPr>
        <w:sectPr>
          <w:type w:val="continuous"/>
          <w:pgSz w:w="11910" w:h="16840"/>
          <w:pgMar w:top="720" w:bottom="280" w:left="980" w:right="2"/>
        </w:sectPr>
      </w:pPr>
    </w:p>
    <w:p>
      <w:pPr>
        <w:spacing w:line="237" w:lineRule="auto" w:before="37"/>
        <w:ind w:left="1626" w:right="1128" w:firstLine="0"/>
        <w:jc w:val="both"/>
        <w:rPr>
          <w:rFonts w:ascii="微軟正黑體" w:eastAsia="微軟正黑體" w:hint="eastAsia"/>
          <w:sz w:val="22"/>
        </w:rPr>
      </w:pPr>
      <w:r>
        <w:rPr>
          <w:rFonts w:ascii="微軟正黑體" w:eastAsia="微軟正黑體" w:hint="eastAsia"/>
          <w:color w:val="221F1F"/>
          <w:spacing w:val="-2"/>
          <w:sz w:val="22"/>
        </w:rPr>
        <w:t>牧場人員、具牛結核病個案或動物接觸史者通報結核病時，衛生局應輔導通報個案所</w:t>
      </w:r>
      <w:r>
        <w:rPr>
          <w:rFonts w:ascii="微軟正黑體" w:eastAsia="微軟正黑體" w:hint="eastAsia"/>
          <w:color w:val="221F1F"/>
          <w:spacing w:val="-3"/>
          <w:sz w:val="22"/>
        </w:rPr>
        <w:t>屬醫療院所即時送驗新鮮痰液至疾管署指定實驗室，進行 </w:t>
      </w:r>
      <w:r>
        <w:rPr>
          <w:rFonts w:ascii="微軟正黑體" w:eastAsia="微軟正黑體" w:hint="eastAsia"/>
          <w:color w:val="221F1F"/>
          <w:sz w:val="22"/>
        </w:rPr>
        <w:t>isoniazid</w:t>
      </w:r>
      <w:r>
        <w:rPr>
          <w:rFonts w:ascii="微軟正黑體" w:eastAsia="微軟正黑體" w:hint="eastAsia"/>
          <w:color w:val="221F1F"/>
          <w:spacing w:val="1"/>
          <w:sz w:val="22"/>
        </w:rPr>
        <w:t> 及 </w:t>
      </w:r>
      <w:r>
        <w:rPr>
          <w:rFonts w:ascii="微軟正黑體" w:eastAsia="微軟正黑體" w:hint="eastAsia"/>
          <w:color w:val="221F1F"/>
          <w:sz w:val="22"/>
        </w:rPr>
        <w:t>rifampin</w:t>
      </w:r>
      <w:r>
        <w:rPr>
          <w:rFonts w:ascii="微軟正黑體" w:eastAsia="微軟正黑體" w:hint="eastAsia"/>
          <w:color w:val="221F1F"/>
          <w:spacing w:val="-1"/>
          <w:sz w:val="22"/>
        </w:rPr>
        <w:t> 快速</w:t>
      </w:r>
      <w:r>
        <w:rPr>
          <w:rFonts w:ascii="微軟正黑體" w:eastAsia="微軟正黑體" w:hint="eastAsia"/>
          <w:color w:val="221F1F"/>
          <w:spacing w:val="-15"/>
          <w:sz w:val="22"/>
        </w:rPr>
        <w:t>分子抗藥性檢測，以利臨床醫師及早取得藥敏結果，檢視處方藥物種類是否足夠有效。</w:t>
      </w:r>
    </w:p>
    <w:p>
      <w:pPr>
        <w:pStyle w:val="ListParagraph"/>
        <w:numPr>
          <w:ilvl w:val="1"/>
          <w:numId w:val="115"/>
        </w:numPr>
        <w:tabs>
          <w:tab w:pos="1627" w:val="left" w:leader="none"/>
        </w:tabs>
        <w:spacing w:line="237" w:lineRule="auto" w:before="0" w:after="0"/>
        <w:ind w:left="1626" w:right="1128" w:hanging="480"/>
        <w:jc w:val="both"/>
        <w:rPr>
          <w:rFonts w:ascii="微軟正黑體" w:eastAsia="微軟正黑體" w:hint="eastAsia"/>
          <w:sz w:val="22"/>
        </w:rPr>
      </w:pPr>
      <w:r>
        <w:rPr>
          <w:rFonts w:ascii="微軟正黑體" w:eastAsia="微軟正黑體" w:hint="eastAsia"/>
          <w:color w:val="221F1F"/>
          <w:spacing w:val="-2"/>
          <w:sz w:val="22"/>
        </w:rPr>
        <w:t>個案若同時對其他抗結核一線藥物具有抗藥性或副作用，衛生局應儘速提送「結核病</w:t>
      </w:r>
      <w:r>
        <w:rPr>
          <w:rFonts w:ascii="微軟正黑體" w:eastAsia="微軟正黑體" w:hint="eastAsia"/>
          <w:color w:val="221F1F"/>
          <w:spacing w:val="-3"/>
          <w:sz w:val="22"/>
        </w:rPr>
        <w:t>診療諮詢小組」會議審議，評估是否使用二線藥物治療。</w:t>
      </w:r>
    </w:p>
    <w:p>
      <w:pPr>
        <w:pStyle w:val="ListParagraph"/>
        <w:numPr>
          <w:ilvl w:val="1"/>
          <w:numId w:val="115"/>
        </w:numPr>
        <w:tabs>
          <w:tab w:pos="1627" w:val="left" w:leader="none"/>
        </w:tabs>
        <w:spacing w:line="237" w:lineRule="auto" w:before="0" w:after="0"/>
        <w:ind w:left="1626" w:right="1128" w:hanging="480"/>
        <w:jc w:val="both"/>
        <w:rPr>
          <w:rFonts w:ascii="微軟正黑體" w:eastAsia="微軟正黑體" w:hint="eastAsia"/>
          <w:sz w:val="22"/>
        </w:rPr>
      </w:pPr>
      <w:r>
        <w:rPr>
          <w:rFonts w:ascii="微軟正黑體" w:eastAsia="微軟正黑體" w:hint="eastAsia"/>
          <w:color w:val="221F1F"/>
          <w:spacing w:val="-6"/>
          <w:sz w:val="22"/>
        </w:rPr>
        <w:t>若細菌學檢查結果為結核菌群</w:t>
      </w:r>
      <w:r>
        <w:rPr>
          <w:rFonts w:ascii="微軟正黑體" w:eastAsia="微軟正黑體" w:hint="eastAsia"/>
          <w:color w:val="221F1F"/>
          <w:spacing w:val="-8"/>
          <w:sz w:val="22"/>
        </w:rPr>
        <w:t>（MTBC）</w:t>
      </w:r>
      <w:r>
        <w:rPr>
          <w:rFonts w:ascii="微軟正黑體" w:eastAsia="微軟正黑體" w:hint="eastAsia"/>
          <w:color w:val="221F1F"/>
          <w:spacing w:val="-10"/>
          <w:sz w:val="22"/>
        </w:rPr>
        <w:t>時，衛生局應輔導通報個案所屬醫療院所，儘</w:t>
      </w:r>
      <w:r>
        <w:rPr>
          <w:rFonts w:ascii="微軟正黑體" w:eastAsia="微軟正黑體" w:hint="eastAsia"/>
          <w:color w:val="221F1F"/>
          <w:spacing w:val="-11"/>
          <w:sz w:val="22"/>
        </w:rPr>
        <w:t>速將菌株送至疾管署檢驗及疫苗研製中心分枝桿菌實驗室進行菌株鑑定，釐清是否為</w:t>
      </w:r>
      <w:r>
        <w:rPr>
          <w:rFonts w:ascii="微軟正黑體" w:eastAsia="微軟正黑體" w:hint="eastAsia"/>
          <w:color w:val="221F1F"/>
          <w:spacing w:val="-3"/>
          <w:sz w:val="22"/>
        </w:rPr>
        <w:t>牛結核菌感染，並將菌株鑑定結果回饋診療醫師。</w:t>
      </w:r>
    </w:p>
    <w:p>
      <w:pPr>
        <w:pStyle w:val="ListParagraph"/>
        <w:numPr>
          <w:ilvl w:val="1"/>
          <w:numId w:val="115"/>
        </w:numPr>
        <w:tabs>
          <w:tab w:pos="1627" w:val="left" w:leader="none"/>
        </w:tabs>
        <w:spacing w:line="405" w:lineRule="exact" w:before="0" w:after="0"/>
        <w:ind w:left="1626" w:right="0" w:hanging="481"/>
        <w:jc w:val="both"/>
        <w:rPr>
          <w:rFonts w:ascii="微軟正黑體" w:eastAsia="微軟正黑體" w:hint="eastAsia"/>
          <w:sz w:val="22"/>
        </w:rPr>
      </w:pPr>
      <w:r>
        <w:rPr>
          <w:rFonts w:ascii="微軟正黑體" w:eastAsia="微軟正黑體" w:hint="eastAsia"/>
          <w:color w:val="221F1F"/>
          <w:spacing w:val="-1"/>
          <w:sz w:val="22"/>
        </w:rPr>
        <w:t>確認感染 </w:t>
      </w:r>
      <w:r>
        <w:rPr>
          <w:rFonts w:ascii="微軟正黑體" w:eastAsia="微軟正黑體" w:hint="eastAsia"/>
          <w:i/>
          <w:color w:val="221F1F"/>
          <w:sz w:val="23"/>
        </w:rPr>
        <w:t>M.bovis</w:t>
      </w:r>
      <w:r>
        <w:rPr>
          <w:rFonts w:ascii="微軟正黑體" w:eastAsia="微軟正黑體" w:hint="eastAsia"/>
          <w:i/>
          <w:color w:val="221F1F"/>
          <w:spacing w:val="-4"/>
          <w:sz w:val="23"/>
        </w:rPr>
        <w:t> </w:t>
      </w:r>
      <w:r>
        <w:rPr>
          <w:rFonts w:ascii="微軟正黑體" w:eastAsia="微軟正黑體" w:hint="eastAsia"/>
          <w:color w:val="221F1F"/>
          <w:spacing w:val="-3"/>
          <w:sz w:val="22"/>
        </w:rPr>
        <w:t>之結核病人，應持續管理，不得以排除診斷原因銷案。</w:t>
      </w:r>
    </w:p>
    <w:p>
      <w:pPr>
        <w:pStyle w:val="BodyText"/>
        <w:spacing w:before="3"/>
        <w:rPr>
          <w:rFonts w:ascii="微軟正黑體"/>
          <w:sz w:val="21"/>
        </w:rPr>
      </w:pPr>
    </w:p>
    <w:p>
      <w:pPr>
        <w:spacing w:line="401" w:lineRule="exact" w:before="1"/>
        <w:ind w:left="436" w:right="0" w:firstLine="0"/>
        <w:jc w:val="both"/>
        <w:rPr>
          <w:rFonts w:ascii="微軟正黑體" w:eastAsia="微軟正黑體" w:hint="eastAsia"/>
          <w:sz w:val="22"/>
        </w:rPr>
      </w:pPr>
      <w:r>
        <w:rPr>
          <w:rFonts w:ascii="微軟正黑體" w:eastAsia="微軟正黑體" w:hint="eastAsia"/>
          <w:color w:val="221F1F"/>
          <w:sz w:val="22"/>
        </w:rPr>
        <w:t>二、 醫療</w:t>
      </w:r>
      <w:r>
        <w:rPr>
          <w:rFonts w:ascii="微軟正黑體" w:eastAsia="微軟正黑體" w:hint="eastAsia"/>
          <w:color w:val="FF0000"/>
          <w:sz w:val="22"/>
        </w:rPr>
        <w:t>院所工作者</w:t>
      </w:r>
    </w:p>
    <w:p>
      <w:pPr>
        <w:spacing w:line="237" w:lineRule="auto" w:before="0"/>
        <w:ind w:left="1005" w:right="1076" w:firstLine="0"/>
        <w:jc w:val="both"/>
        <w:rPr>
          <w:rFonts w:ascii="微軟正黑體" w:eastAsia="微軟正黑體" w:hint="eastAsia"/>
          <w:sz w:val="22"/>
        </w:rPr>
      </w:pPr>
      <w:r>
        <w:rPr/>
        <w:pict>
          <v:shape style="position:absolute;margin-left:99.264pt;margin-top:76.884544pt;width:439.7pt;height:410pt;mso-position-horizontal-relative:page;mso-position-vertical-relative:paragraph;z-index:25179648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8"/>
                    <w:gridCol w:w="3971"/>
                    <w:gridCol w:w="3680"/>
                  </w:tblGrid>
                  <w:tr>
                    <w:trPr>
                      <w:trHeight w:val="568" w:hRule="atLeast"/>
                    </w:trPr>
                    <w:tc>
                      <w:tcPr>
                        <w:tcW w:w="1128" w:type="dxa"/>
                        <w:shd w:val="clear" w:color="auto" w:fill="E8E8E8"/>
                      </w:tcPr>
                      <w:p>
                        <w:pPr>
                          <w:pStyle w:val="TableParagraph"/>
                          <w:spacing w:before="132"/>
                          <w:ind w:left="103" w:right="94"/>
                          <w:jc w:val="center"/>
                          <w:rPr>
                            <w:rFonts w:ascii="微軟正黑體" w:eastAsia="微軟正黑體" w:hint="eastAsia"/>
                            <w:b/>
                            <w:sz w:val="22"/>
                          </w:rPr>
                        </w:pPr>
                        <w:r>
                          <w:rPr>
                            <w:rFonts w:ascii="微軟正黑體" w:eastAsia="微軟正黑體" w:hint="eastAsia"/>
                            <w:b/>
                            <w:color w:val="221F1F"/>
                            <w:sz w:val="22"/>
                          </w:rPr>
                          <w:t>時程</w:t>
                        </w:r>
                      </w:p>
                    </w:tc>
                    <w:tc>
                      <w:tcPr>
                        <w:tcW w:w="3971" w:type="dxa"/>
                        <w:shd w:val="clear" w:color="auto" w:fill="E8E8E8"/>
                      </w:tcPr>
                      <w:p>
                        <w:pPr>
                          <w:pStyle w:val="TableParagraph"/>
                          <w:spacing w:before="132"/>
                          <w:ind w:left="1527" w:right="1513"/>
                          <w:jc w:val="center"/>
                          <w:rPr>
                            <w:rFonts w:ascii="微軟正黑體" w:eastAsia="微軟正黑體" w:hint="eastAsia"/>
                            <w:b/>
                            <w:sz w:val="22"/>
                          </w:rPr>
                        </w:pPr>
                        <w:r>
                          <w:rPr>
                            <w:rFonts w:ascii="微軟正黑體" w:eastAsia="微軟正黑體" w:hint="eastAsia"/>
                            <w:b/>
                            <w:color w:val="221F1F"/>
                            <w:sz w:val="22"/>
                          </w:rPr>
                          <w:t>醫療院所</w:t>
                        </w:r>
                      </w:p>
                    </w:tc>
                    <w:tc>
                      <w:tcPr>
                        <w:tcW w:w="3680" w:type="dxa"/>
                        <w:tcBorders>
                          <w:right w:val="single" w:sz="6" w:space="0" w:color="000000"/>
                        </w:tcBorders>
                        <w:shd w:val="clear" w:color="auto" w:fill="E8E8E8"/>
                      </w:tcPr>
                      <w:p>
                        <w:pPr>
                          <w:pStyle w:val="TableParagraph"/>
                          <w:spacing w:before="108"/>
                          <w:ind w:left="1380" w:right="1367"/>
                          <w:jc w:val="center"/>
                          <w:rPr>
                            <w:rFonts w:ascii="微軟正黑體" w:eastAsia="微軟正黑體" w:hint="eastAsia"/>
                            <w:b/>
                            <w:sz w:val="22"/>
                          </w:rPr>
                        </w:pPr>
                        <w:r>
                          <w:rPr>
                            <w:rFonts w:ascii="微軟正黑體" w:eastAsia="微軟正黑體" w:hint="eastAsia"/>
                            <w:b/>
                            <w:color w:val="221F1F"/>
                            <w:sz w:val="22"/>
                          </w:rPr>
                          <w:t>衛生單位</w:t>
                        </w:r>
                      </w:p>
                    </w:tc>
                  </w:tr>
                  <w:tr>
                    <w:trPr>
                      <w:trHeight w:val="7601" w:hRule="atLeast"/>
                    </w:trPr>
                    <w:tc>
                      <w:tcPr>
                        <w:tcW w:w="1128" w:type="dxa"/>
                      </w:tcPr>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spacing w:before="177"/>
                          <w:ind w:left="103" w:right="94"/>
                          <w:jc w:val="center"/>
                          <w:rPr>
                            <w:rFonts w:ascii="微軟正黑體" w:eastAsia="微軟正黑體" w:hint="eastAsia"/>
                            <w:sz w:val="22"/>
                          </w:rPr>
                        </w:pPr>
                        <w:r>
                          <w:rPr>
                            <w:rFonts w:ascii="微軟正黑體" w:eastAsia="微軟正黑體" w:hint="eastAsia"/>
                            <w:color w:val="221F1F"/>
                            <w:sz w:val="22"/>
                          </w:rPr>
                          <w:t>平時作為</w:t>
                        </w:r>
                      </w:p>
                    </w:tc>
                    <w:tc>
                      <w:tcPr>
                        <w:tcW w:w="3971" w:type="dxa"/>
                      </w:tcPr>
                      <w:p>
                        <w:pPr>
                          <w:pStyle w:val="TableParagraph"/>
                          <w:spacing w:line="402" w:lineRule="exact" w:before="60"/>
                          <w:ind w:left="110"/>
                          <w:jc w:val="both"/>
                          <w:rPr>
                            <w:rFonts w:ascii="微軟正黑體" w:eastAsia="微軟正黑體" w:hint="eastAsia"/>
                            <w:sz w:val="22"/>
                          </w:rPr>
                        </w:pPr>
                        <w:r>
                          <w:rPr>
                            <w:rFonts w:ascii="微軟正黑體" w:eastAsia="微軟正黑體" w:hint="eastAsia"/>
                            <w:color w:val="221F1F"/>
                            <w:sz w:val="22"/>
                          </w:rPr>
                          <w:t>1. </w:t>
                        </w:r>
                        <w:r>
                          <w:rPr>
                            <w:rFonts w:ascii="微軟正黑體" w:eastAsia="微軟正黑體" w:hint="eastAsia"/>
                            <w:color w:val="FF0000"/>
                            <w:sz w:val="22"/>
                          </w:rPr>
                          <w:t>醫院</w:t>
                        </w:r>
                        <w:r>
                          <w:rPr>
                            <w:rFonts w:ascii="微軟正黑體" w:eastAsia="微軟正黑體" w:hint="eastAsia"/>
                            <w:color w:val="221F1F"/>
                            <w:sz w:val="22"/>
                          </w:rPr>
                          <w:t>應制定院內結核病診治規範</w:t>
                        </w:r>
                      </w:p>
                      <w:p>
                        <w:pPr>
                          <w:pStyle w:val="TableParagraph"/>
                          <w:numPr>
                            <w:ilvl w:val="0"/>
                            <w:numId w:val="116"/>
                          </w:numPr>
                          <w:tabs>
                            <w:tab w:pos="428" w:val="left" w:leader="none"/>
                          </w:tabs>
                          <w:spacing w:line="400" w:lineRule="exact" w:before="0" w:after="0"/>
                          <w:ind w:left="427" w:right="0" w:hanging="285"/>
                          <w:jc w:val="both"/>
                          <w:rPr>
                            <w:rFonts w:ascii="微軟正黑體" w:eastAsia="微軟正黑體" w:hint="eastAsia"/>
                            <w:sz w:val="22"/>
                          </w:rPr>
                        </w:pPr>
                        <w:r>
                          <w:rPr>
                            <w:rFonts w:ascii="微軟正黑體" w:eastAsia="微軟正黑體" w:hint="eastAsia"/>
                            <w:color w:val="221F1F"/>
                            <w:spacing w:val="-10"/>
                            <w:sz w:val="22"/>
                          </w:rPr>
                          <w:t>依據「醫院感染管制查核基準」辦理</w:t>
                        </w:r>
                      </w:p>
                      <w:p>
                        <w:pPr>
                          <w:pStyle w:val="TableParagraph"/>
                          <w:numPr>
                            <w:ilvl w:val="0"/>
                            <w:numId w:val="116"/>
                          </w:numPr>
                          <w:tabs>
                            <w:tab w:pos="428" w:val="left" w:leader="none"/>
                          </w:tabs>
                          <w:spacing w:line="237" w:lineRule="auto" w:before="1" w:after="0"/>
                          <w:ind w:left="427" w:right="94" w:hanging="284"/>
                          <w:jc w:val="both"/>
                          <w:rPr>
                            <w:rFonts w:ascii="微軟正黑體" w:eastAsia="微軟正黑體" w:hint="eastAsia"/>
                            <w:sz w:val="22"/>
                          </w:rPr>
                        </w:pPr>
                        <w:r>
                          <w:rPr>
                            <w:rFonts w:ascii="微軟正黑體" w:eastAsia="微軟正黑體" w:hint="eastAsia"/>
                            <w:color w:val="221F1F"/>
                            <w:spacing w:val="5"/>
                            <w:sz w:val="22"/>
                          </w:rPr>
                          <w:t>訂定院內發現結核病個案及接觸者</w:t>
                        </w:r>
                        <w:r>
                          <w:rPr>
                            <w:rFonts w:ascii="微軟正黑體" w:eastAsia="微軟正黑體" w:hint="eastAsia"/>
                            <w:color w:val="221F1F"/>
                            <w:spacing w:val="-2"/>
                            <w:sz w:val="22"/>
                          </w:rPr>
                          <w:t>調查追蹤之作業程序</w:t>
                        </w:r>
                      </w:p>
                      <w:p>
                        <w:pPr>
                          <w:pStyle w:val="TableParagraph"/>
                          <w:numPr>
                            <w:ilvl w:val="0"/>
                            <w:numId w:val="116"/>
                          </w:numPr>
                          <w:tabs>
                            <w:tab w:pos="428" w:val="left" w:leader="none"/>
                          </w:tabs>
                          <w:spacing w:line="237" w:lineRule="auto" w:before="0" w:after="0"/>
                          <w:ind w:left="427" w:right="37" w:hanging="284"/>
                          <w:jc w:val="both"/>
                          <w:rPr>
                            <w:rFonts w:ascii="微軟正黑體" w:eastAsia="微軟正黑體" w:hint="eastAsia"/>
                            <w:sz w:val="22"/>
                          </w:rPr>
                        </w:pPr>
                        <w:r>
                          <w:rPr>
                            <w:rFonts w:ascii="微軟正黑體" w:eastAsia="微軟正黑體" w:hint="eastAsia"/>
                            <w:color w:val="221F1F"/>
                            <w:spacing w:val="-6"/>
                            <w:sz w:val="22"/>
                          </w:rPr>
                          <w:t>規範各科別醫師於門診病人問診中， </w:t>
                        </w:r>
                        <w:r>
                          <w:rPr>
                            <w:rFonts w:ascii="微軟正黑體" w:eastAsia="微軟正黑體" w:hint="eastAsia"/>
                            <w:color w:val="221F1F"/>
                            <w:spacing w:val="6"/>
                            <w:sz w:val="22"/>
                          </w:rPr>
                          <w:t>加入結核病接觸史及疑似症狀的問診</w:t>
                        </w:r>
                      </w:p>
                      <w:p>
                        <w:pPr>
                          <w:pStyle w:val="TableParagraph"/>
                          <w:numPr>
                            <w:ilvl w:val="0"/>
                            <w:numId w:val="117"/>
                          </w:numPr>
                          <w:tabs>
                            <w:tab w:pos="334" w:val="left" w:leader="none"/>
                          </w:tabs>
                          <w:spacing w:line="237" w:lineRule="auto" w:before="0" w:after="0"/>
                          <w:ind w:left="333" w:right="91" w:hanging="224"/>
                          <w:jc w:val="both"/>
                          <w:rPr>
                            <w:rFonts w:ascii="微軟正黑體" w:eastAsia="微軟正黑體" w:hint="eastAsia"/>
                            <w:sz w:val="22"/>
                          </w:rPr>
                        </w:pPr>
                        <w:r>
                          <w:rPr>
                            <w:rFonts w:ascii="微軟正黑體" w:eastAsia="微軟正黑體" w:hint="eastAsia"/>
                            <w:color w:val="221F1F"/>
                            <w:spacing w:val="-2"/>
                            <w:sz w:val="22"/>
                          </w:rPr>
                          <w:t>對於不明原因咳嗽 </w:t>
                        </w:r>
                        <w:r>
                          <w:rPr>
                            <w:rFonts w:ascii="微軟正黑體" w:eastAsia="微軟正黑體" w:hint="eastAsia"/>
                            <w:color w:val="221F1F"/>
                            <w:sz w:val="22"/>
                          </w:rPr>
                          <w:t>5</w:t>
                        </w:r>
                        <w:r>
                          <w:rPr>
                            <w:rFonts w:ascii="微軟正黑體" w:eastAsia="微軟正黑體" w:hint="eastAsia"/>
                            <w:color w:val="221F1F"/>
                            <w:spacing w:val="-2"/>
                            <w:sz w:val="22"/>
                          </w:rPr>
                          <w:t> 天以上之</w:t>
                        </w:r>
                        <w:r>
                          <w:rPr>
                            <w:rFonts w:ascii="微軟正黑體" w:eastAsia="微軟正黑體" w:hint="eastAsia"/>
                            <w:color w:val="FF0000"/>
                            <w:spacing w:val="-6"/>
                            <w:sz w:val="22"/>
                          </w:rPr>
                          <w:t>醫療院</w:t>
                        </w:r>
                        <w:r>
                          <w:rPr>
                            <w:rFonts w:ascii="微軟正黑體" w:eastAsia="微軟正黑體" w:hint="eastAsia"/>
                            <w:color w:val="FF0000"/>
                            <w:sz w:val="22"/>
                          </w:rPr>
                          <w:t>所</w:t>
                        </w:r>
                        <w:r>
                          <w:rPr>
                            <w:rFonts w:ascii="微軟正黑體" w:eastAsia="微軟正黑體" w:hint="eastAsia"/>
                            <w:color w:val="221F1F"/>
                            <w:spacing w:val="-2"/>
                            <w:sz w:val="22"/>
                          </w:rPr>
                          <w:t>工作者及病人，應進行結核病鑑別</w:t>
                        </w:r>
                        <w:r>
                          <w:rPr>
                            <w:rFonts w:ascii="微軟正黑體" w:eastAsia="微軟正黑體" w:hint="eastAsia"/>
                            <w:color w:val="221F1F"/>
                            <w:sz w:val="22"/>
                          </w:rPr>
                          <w:t>診斷</w:t>
                        </w:r>
                        <w:r>
                          <w:rPr>
                            <w:rFonts w:ascii="微軟正黑體" w:eastAsia="微軟正黑體" w:hint="eastAsia"/>
                            <w:color w:val="FF0000"/>
                            <w:sz w:val="22"/>
                          </w:rPr>
                          <w:t>或轉診機制</w:t>
                        </w:r>
                        <w:r>
                          <w:rPr>
                            <w:rFonts w:ascii="微軟正黑體" w:eastAsia="微軟正黑體" w:hint="eastAsia"/>
                            <w:color w:val="221F1F"/>
                            <w:spacing w:val="-2"/>
                            <w:sz w:val="22"/>
                          </w:rPr>
                          <w:t>，並設立追蹤列管等</w:t>
                        </w:r>
                        <w:r>
                          <w:rPr>
                            <w:rFonts w:ascii="微軟正黑體" w:eastAsia="微軟正黑體" w:hint="eastAsia"/>
                            <w:color w:val="221F1F"/>
                            <w:spacing w:val="-3"/>
                            <w:sz w:val="22"/>
                          </w:rPr>
                          <w:t>咳嗽監測機制及作業流程</w:t>
                        </w:r>
                      </w:p>
                      <w:p>
                        <w:pPr>
                          <w:pStyle w:val="TableParagraph"/>
                          <w:numPr>
                            <w:ilvl w:val="0"/>
                            <w:numId w:val="117"/>
                          </w:numPr>
                          <w:tabs>
                            <w:tab w:pos="334" w:val="left" w:leader="none"/>
                          </w:tabs>
                          <w:spacing w:line="211" w:lineRule="auto" w:before="0" w:after="0"/>
                          <w:ind w:left="333" w:right="0" w:hanging="224"/>
                          <w:jc w:val="both"/>
                          <w:rPr>
                            <w:rFonts w:ascii="微軟正黑體" w:eastAsia="微軟正黑體" w:hint="eastAsia"/>
                            <w:sz w:val="22"/>
                          </w:rPr>
                        </w:pPr>
                        <w:r>
                          <w:rPr>
                            <w:rFonts w:ascii="微軟正黑體" w:eastAsia="微軟正黑體" w:hint="eastAsia"/>
                            <w:color w:val="221F1F"/>
                            <w:spacing w:val="4"/>
                            <w:sz w:val="22"/>
                          </w:rPr>
                          <w:t>每位</w:t>
                        </w:r>
                        <w:r>
                          <w:rPr>
                            <w:rFonts w:ascii="微軟正黑體" w:eastAsia="微軟正黑體" w:hint="eastAsia"/>
                            <w:color w:val="FF0000"/>
                            <w:spacing w:val="4"/>
                            <w:sz w:val="22"/>
                          </w:rPr>
                          <w:t>醫療院所</w:t>
                        </w:r>
                        <w:r>
                          <w:rPr>
                            <w:rFonts w:ascii="微軟正黑體" w:eastAsia="微軟正黑體" w:hint="eastAsia"/>
                            <w:color w:val="221F1F"/>
                            <w:spacing w:val="-10"/>
                            <w:sz w:val="22"/>
                          </w:rPr>
                          <w:t>工作者，皆應</w:t>
                        </w:r>
                        <w:r>
                          <w:rPr>
                            <w:rFonts w:ascii="微軟正黑體" w:eastAsia="微軟正黑體" w:hint="eastAsia"/>
                            <w:color w:val="FF0000"/>
                            <w:spacing w:val="4"/>
                            <w:sz w:val="22"/>
                          </w:rPr>
                          <w:t>依法</w:t>
                        </w:r>
                        <w:r>
                          <w:rPr>
                            <w:rFonts w:ascii="微軟正黑體" w:eastAsia="微軟正黑體" w:hint="eastAsia"/>
                            <w:color w:val="221F1F"/>
                            <w:spacing w:val="4"/>
                            <w:sz w:val="22"/>
                          </w:rPr>
                          <w:t>完成</w:t>
                        </w:r>
                      </w:p>
                      <w:p>
                        <w:pPr>
                          <w:pStyle w:val="TableParagraph"/>
                          <w:spacing w:line="235" w:lineRule="auto"/>
                          <w:ind w:left="333" w:right="63"/>
                          <w:rPr>
                            <w:rFonts w:ascii="微軟正黑體" w:eastAsia="微軟正黑體" w:hint="eastAsia"/>
                            <w:sz w:val="22"/>
                          </w:rPr>
                        </w:pPr>
                        <w:r>
                          <w:rPr>
                            <w:rFonts w:ascii="微軟正黑體" w:eastAsia="微軟正黑體" w:hint="eastAsia"/>
                            <w:color w:val="221F1F"/>
                            <w:sz w:val="22"/>
                          </w:rPr>
                          <w:t>職前</w:t>
                        </w:r>
                        <w:r>
                          <w:rPr>
                            <w:rFonts w:ascii="微軟正黑體" w:eastAsia="微軟正黑體" w:hint="eastAsia"/>
                            <w:color w:val="FF0000"/>
                            <w:sz w:val="22"/>
                          </w:rPr>
                          <w:t>健康檢查（含胸部X 光檢查）</w:t>
                        </w:r>
                        <w:r>
                          <w:rPr>
                            <w:rFonts w:ascii="微軟正黑體" w:eastAsia="微軟正黑體" w:hint="eastAsia"/>
                            <w:color w:val="221F1F"/>
                            <w:sz w:val="22"/>
                          </w:rPr>
                          <w:t>， 建立基本影像資料，並進行結核病篩</w:t>
                        </w:r>
                      </w:p>
                      <w:p>
                        <w:pPr>
                          <w:pStyle w:val="TableParagraph"/>
                          <w:spacing w:line="237" w:lineRule="auto"/>
                          <w:ind w:left="333" w:right="101"/>
                          <w:rPr>
                            <w:rFonts w:ascii="微軟正黑體" w:eastAsia="微軟正黑體" w:hint="eastAsia"/>
                            <w:sz w:val="22"/>
                          </w:rPr>
                        </w:pPr>
                        <w:r>
                          <w:rPr>
                            <w:rFonts w:ascii="微軟正黑體" w:eastAsia="微軟正黑體" w:hint="eastAsia"/>
                            <w:color w:val="221F1F"/>
                            <w:sz w:val="22"/>
                          </w:rPr>
                          <w:t>檢；爾後健康管理應依醫院感染管制規定辦理（包含離職員工）</w:t>
                        </w:r>
                      </w:p>
                      <w:p>
                        <w:pPr>
                          <w:pStyle w:val="TableParagraph"/>
                          <w:numPr>
                            <w:ilvl w:val="0"/>
                            <w:numId w:val="117"/>
                          </w:numPr>
                          <w:tabs>
                            <w:tab w:pos="334" w:val="left" w:leader="none"/>
                          </w:tabs>
                          <w:spacing w:line="220" w:lineRule="auto" w:before="2" w:after="0"/>
                          <w:ind w:left="333" w:right="91" w:hanging="224"/>
                          <w:jc w:val="left"/>
                          <w:rPr>
                            <w:rFonts w:ascii="微軟正黑體" w:eastAsia="微軟正黑體" w:hint="eastAsia"/>
                            <w:sz w:val="22"/>
                          </w:rPr>
                        </w:pPr>
                        <w:r>
                          <w:rPr>
                            <w:rFonts w:ascii="微軟正黑體" w:eastAsia="微軟正黑體" w:hint="eastAsia"/>
                            <w:color w:val="221F1F"/>
                            <w:spacing w:val="-4"/>
                            <w:sz w:val="22"/>
                          </w:rPr>
                          <w:t>確保室內通風並依「室內空氣品質管</w:t>
                        </w:r>
                        <w:r>
                          <w:rPr>
                            <w:rFonts w:ascii="微軟正黑體" w:eastAsia="微軟正黑體" w:hint="eastAsia"/>
                            <w:color w:val="221F1F"/>
                            <w:spacing w:val="-6"/>
                            <w:sz w:val="22"/>
                          </w:rPr>
                          <w:t>理法」之規範，定期監控室內空氣品</w:t>
                        </w:r>
                      </w:p>
                      <w:p>
                        <w:pPr>
                          <w:pStyle w:val="TableParagraph"/>
                          <w:spacing w:line="352" w:lineRule="exact" w:before="7"/>
                          <w:ind w:left="333"/>
                          <w:rPr>
                            <w:rFonts w:ascii="微軟正黑體" w:eastAsia="微軟正黑體" w:hint="eastAsia"/>
                            <w:sz w:val="22"/>
                          </w:rPr>
                        </w:pPr>
                        <w:r>
                          <w:rPr>
                            <w:rFonts w:ascii="微軟正黑體" w:eastAsia="微軟正黑體" w:hint="eastAsia"/>
                            <w:color w:val="221F1F"/>
                            <w:sz w:val="22"/>
                          </w:rPr>
                          <w:t>質（二氧化碳值），提供足夠換氣量</w:t>
                        </w:r>
                      </w:p>
                    </w:tc>
                    <w:tc>
                      <w:tcPr>
                        <w:tcW w:w="3680" w:type="dxa"/>
                        <w:tcBorders>
                          <w:right w:val="single" w:sz="6" w:space="0" w:color="000000"/>
                        </w:tcBorders>
                      </w:tcPr>
                      <w:p>
                        <w:pPr>
                          <w:pStyle w:val="TableParagraph"/>
                          <w:numPr>
                            <w:ilvl w:val="0"/>
                            <w:numId w:val="118"/>
                          </w:numPr>
                          <w:tabs>
                            <w:tab w:pos="379" w:val="left" w:leader="none"/>
                          </w:tabs>
                          <w:spacing w:line="237" w:lineRule="auto" w:before="31" w:after="0"/>
                          <w:ind w:left="378" w:right="135" w:hanging="272"/>
                          <w:jc w:val="left"/>
                          <w:rPr>
                            <w:rFonts w:ascii="微軟正黑體" w:eastAsia="微軟正黑體" w:hint="eastAsia"/>
                            <w:color w:val="221F1F"/>
                            <w:sz w:val="22"/>
                          </w:rPr>
                        </w:pPr>
                        <w:r>
                          <w:rPr>
                            <w:rFonts w:ascii="微軟正黑體" w:eastAsia="微軟正黑體" w:hint="eastAsia"/>
                            <w:color w:val="221F1F"/>
                            <w:spacing w:val="17"/>
                            <w:sz w:val="22"/>
                          </w:rPr>
                          <w:t>辦理</w:t>
                        </w:r>
                        <w:r>
                          <w:rPr>
                            <w:rFonts w:ascii="微軟正黑體" w:eastAsia="微軟正黑體" w:hint="eastAsia"/>
                            <w:color w:val="FF0000"/>
                            <w:spacing w:val="4"/>
                            <w:sz w:val="22"/>
                          </w:rPr>
                          <w:t>轄區</w:t>
                        </w:r>
                        <w:r>
                          <w:rPr>
                            <w:rFonts w:ascii="微軟正黑體" w:eastAsia="微軟正黑體" w:hint="eastAsia"/>
                            <w:color w:val="221F1F"/>
                            <w:spacing w:val="24"/>
                            <w:sz w:val="22"/>
                          </w:rPr>
                          <w:t>「醫院感染管制查核</w:t>
                        </w:r>
                        <w:r>
                          <w:rPr>
                            <w:rFonts w:ascii="微軟正黑體" w:eastAsia="微軟正黑體" w:hint="eastAsia"/>
                            <w:color w:val="221F1F"/>
                            <w:spacing w:val="7"/>
                            <w:sz w:val="22"/>
                          </w:rPr>
                          <w:t>作業」</w:t>
                        </w:r>
                      </w:p>
                      <w:p>
                        <w:pPr>
                          <w:pStyle w:val="TableParagraph"/>
                          <w:numPr>
                            <w:ilvl w:val="0"/>
                            <w:numId w:val="118"/>
                          </w:numPr>
                          <w:tabs>
                            <w:tab w:pos="379" w:val="left" w:leader="none"/>
                          </w:tabs>
                          <w:spacing w:line="237" w:lineRule="auto" w:before="0" w:after="0"/>
                          <w:ind w:left="378" w:right="103" w:hanging="272"/>
                          <w:jc w:val="left"/>
                          <w:rPr>
                            <w:rFonts w:ascii="微軟正黑體" w:eastAsia="微軟正黑體" w:hint="eastAsia"/>
                            <w:sz w:val="22"/>
                          </w:rPr>
                        </w:pPr>
                        <w:r>
                          <w:rPr>
                            <w:rFonts w:ascii="微軟正黑體" w:eastAsia="微軟正黑體" w:hint="eastAsia"/>
                            <w:color w:val="221F1F"/>
                            <w:spacing w:val="24"/>
                            <w:sz w:val="22"/>
                          </w:rPr>
                          <w:t>定期監控</w:t>
                        </w:r>
                        <w:r>
                          <w:rPr>
                            <w:rFonts w:ascii="微軟正黑體" w:eastAsia="微軟正黑體" w:hint="eastAsia"/>
                            <w:color w:val="FF0000"/>
                            <w:spacing w:val="24"/>
                            <w:sz w:val="22"/>
                          </w:rPr>
                          <w:t>轄區</w:t>
                        </w:r>
                        <w:r>
                          <w:rPr>
                            <w:rFonts w:ascii="微軟正黑體" w:eastAsia="微軟正黑體" w:hint="eastAsia"/>
                            <w:color w:val="221F1F"/>
                            <w:spacing w:val="21"/>
                            <w:sz w:val="22"/>
                          </w:rPr>
                          <w:t>醫療院所內是否</w:t>
                        </w:r>
                        <w:r>
                          <w:rPr>
                            <w:rFonts w:ascii="微軟正黑體" w:eastAsia="微軟正黑體" w:hint="eastAsia"/>
                            <w:color w:val="221F1F"/>
                            <w:spacing w:val="9"/>
                            <w:sz w:val="22"/>
                          </w:rPr>
                          <w:t>發生疑似聚集</w:t>
                        </w:r>
                        <w:r>
                          <w:rPr>
                            <w:rFonts w:ascii="微軟正黑體" w:eastAsia="微軟正黑體" w:hint="eastAsia"/>
                            <w:color w:val="FF0000"/>
                            <w:spacing w:val="-2"/>
                            <w:sz w:val="22"/>
                          </w:rPr>
                          <w:t>感染</w:t>
                        </w:r>
                        <w:r>
                          <w:rPr>
                            <w:rFonts w:ascii="微軟正黑體" w:eastAsia="微軟正黑體" w:hint="eastAsia"/>
                            <w:color w:val="221F1F"/>
                            <w:sz w:val="22"/>
                          </w:rPr>
                          <w:t>事件</w:t>
                        </w:r>
                      </w:p>
                    </w:tc>
                  </w:tr>
                </w:tbl>
                <w:p>
                  <w:pPr>
                    <w:pStyle w:val="BodyText"/>
                  </w:pPr>
                </w:p>
              </w:txbxContent>
            </v:textbox>
            <w10:wrap type="none"/>
          </v:shape>
        </w:pict>
      </w:r>
      <w:r>
        <w:rPr>
          <w:rFonts w:ascii="微軟正黑體" w:eastAsia="微軟正黑體" w:hint="eastAsia"/>
          <w:color w:val="221F1F"/>
          <w:sz w:val="22"/>
        </w:rPr>
        <w:t>醫療院所工作者</w:t>
      </w:r>
      <w:r>
        <w:rPr>
          <w:rFonts w:ascii="微軟正黑體" w:eastAsia="微軟正黑體" w:hint="eastAsia"/>
          <w:color w:val="FF0000"/>
          <w:sz w:val="22"/>
        </w:rPr>
        <w:t>泛指醫院或診所</w:t>
      </w:r>
      <w:r>
        <w:rPr>
          <w:rFonts w:ascii="微軟正黑體" w:eastAsia="微軟正黑體" w:hint="eastAsia"/>
          <w:color w:val="221F1F"/>
          <w:sz w:val="22"/>
        </w:rPr>
        <w:t>之醫師、護理人員、技術員、醫檢師、緊急醫療救護人員、實習生、醫師助理等相關醫療專業人員及看護、志工、負責飲食/內務整理/維修人員及院內行政人員等。因頻繁與病人接觸或暴露高風險場域，致使罹患結核病之</w:t>
      </w:r>
      <w:r>
        <w:rPr>
          <w:rFonts w:ascii="微軟正黑體" w:eastAsia="微軟正黑體" w:hint="eastAsia"/>
          <w:color w:val="FF0000"/>
          <w:sz w:val="22"/>
        </w:rPr>
        <w:t>風險高</w:t>
      </w:r>
      <w:r>
        <w:rPr>
          <w:rFonts w:ascii="微軟正黑體" w:eastAsia="微軟正黑體" w:hint="eastAsia"/>
          <w:color w:val="221F1F"/>
          <w:sz w:val="22"/>
        </w:rPr>
        <w:t>於一般民眾， 故需提供特殊防疫措施，降低院內感染之風險。</w:t>
      </w: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spacing w:before="16"/>
        <w:rPr>
          <w:rFonts w:ascii="微軟正黑體"/>
          <w:sz w:val="12"/>
        </w:rPr>
      </w:pPr>
      <w:r>
        <w:rPr/>
        <w:pict>
          <v:shape style="position:absolute;margin-left:217.490005pt;margin-top:14.129052pt;width:88.15pt;height:.1pt;mso-position-horizontal-relative:page;mso-position-vertical-relative:paragraph;z-index:-251521024;mso-wrap-distance-left:0;mso-wrap-distance-right:0" coordorigin="4350,283" coordsize="1763,0" path="m4350,283l6112,283e" filled="false" stroked="true" strokeweight=".599980pt" strokecolor="#221f1f">
            <v:path arrowok="t"/>
            <v:stroke dashstyle="solid"/>
            <w10:wrap type="topAndBottom"/>
          </v:shape>
        </w:pict>
      </w: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spacing w:before="17"/>
        <w:rPr>
          <w:rFonts w:ascii="微軟正黑體"/>
          <w:sz w:val="31"/>
        </w:rPr>
      </w:pPr>
    </w:p>
    <w:p>
      <w:pPr>
        <w:spacing w:before="1"/>
        <w:ind w:left="0" w:right="391" w:firstLine="0"/>
        <w:jc w:val="right"/>
        <w:rPr>
          <w:rFonts w:ascii="Arial"/>
          <w:sz w:val="16"/>
        </w:rPr>
      </w:pPr>
      <w:r>
        <w:rPr>
          <w:rFonts w:ascii="Arial"/>
          <w:color w:val="221F1F"/>
          <w:w w:val="100"/>
          <w:sz w:val="16"/>
        </w:rPr>
        <w:t>2</w:t>
      </w:r>
    </w:p>
    <w:p>
      <w:pPr>
        <w:spacing w:after="0"/>
        <w:jc w:val="right"/>
        <w:rPr>
          <w:rFonts w:ascii="Arial"/>
          <w:sz w:val="16"/>
        </w:rPr>
        <w:sectPr>
          <w:pgSz w:w="11910" w:h="16840"/>
          <w:pgMar w:top="1140" w:bottom="280" w:left="980" w:right="2"/>
        </w:sectPr>
      </w:pPr>
    </w:p>
    <w:tbl>
      <w:tblPr>
        <w:tblW w:w="0" w:type="auto"/>
        <w:jc w:val="left"/>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8"/>
        <w:gridCol w:w="3971"/>
        <w:gridCol w:w="3680"/>
      </w:tblGrid>
      <w:tr>
        <w:trPr>
          <w:trHeight w:val="568" w:hRule="atLeast"/>
        </w:trPr>
        <w:tc>
          <w:tcPr>
            <w:tcW w:w="1128" w:type="dxa"/>
            <w:shd w:val="clear" w:color="auto" w:fill="E8E8E8"/>
          </w:tcPr>
          <w:p>
            <w:pPr>
              <w:pStyle w:val="TableParagraph"/>
              <w:spacing w:before="126"/>
              <w:ind w:left="342"/>
              <w:rPr>
                <w:rFonts w:ascii="微軟正黑體" w:eastAsia="微軟正黑體" w:hint="eastAsia"/>
                <w:b/>
                <w:sz w:val="22"/>
              </w:rPr>
            </w:pPr>
            <w:r>
              <w:rPr>
                <w:rFonts w:ascii="微軟正黑體" w:eastAsia="微軟正黑體" w:hint="eastAsia"/>
                <w:b/>
                <w:color w:val="221F1F"/>
                <w:sz w:val="22"/>
              </w:rPr>
              <w:t>時程</w:t>
            </w:r>
          </w:p>
        </w:tc>
        <w:tc>
          <w:tcPr>
            <w:tcW w:w="3971" w:type="dxa"/>
            <w:shd w:val="clear" w:color="auto" w:fill="E8E8E8"/>
          </w:tcPr>
          <w:p>
            <w:pPr>
              <w:pStyle w:val="TableParagraph"/>
              <w:spacing w:before="126"/>
              <w:ind w:left="1527" w:right="1513"/>
              <w:jc w:val="center"/>
              <w:rPr>
                <w:rFonts w:ascii="微軟正黑體" w:eastAsia="微軟正黑體" w:hint="eastAsia"/>
                <w:b/>
                <w:sz w:val="22"/>
              </w:rPr>
            </w:pPr>
            <w:r>
              <w:rPr>
                <w:rFonts w:ascii="微軟正黑體" w:eastAsia="微軟正黑體" w:hint="eastAsia"/>
                <w:b/>
                <w:color w:val="221F1F"/>
                <w:sz w:val="22"/>
              </w:rPr>
              <w:t>醫療院所</w:t>
            </w:r>
          </w:p>
        </w:tc>
        <w:tc>
          <w:tcPr>
            <w:tcW w:w="3680" w:type="dxa"/>
            <w:tcBorders>
              <w:right w:val="single" w:sz="6" w:space="0" w:color="000000"/>
            </w:tcBorders>
            <w:shd w:val="clear" w:color="auto" w:fill="E8E8E8"/>
          </w:tcPr>
          <w:p>
            <w:pPr>
              <w:pStyle w:val="TableParagraph"/>
              <w:spacing w:before="102"/>
              <w:ind w:left="1380" w:right="1367"/>
              <w:jc w:val="center"/>
              <w:rPr>
                <w:rFonts w:ascii="微軟正黑體" w:eastAsia="微軟正黑體" w:hint="eastAsia"/>
                <w:b/>
                <w:sz w:val="22"/>
              </w:rPr>
            </w:pPr>
            <w:r>
              <w:rPr>
                <w:rFonts w:ascii="微軟正黑體" w:eastAsia="微軟正黑體" w:hint="eastAsia"/>
                <w:b/>
                <w:color w:val="221F1F"/>
                <w:sz w:val="22"/>
              </w:rPr>
              <w:t>衛生單位</w:t>
            </w:r>
          </w:p>
        </w:tc>
      </w:tr>
      <w:tr>
        <w:trPr>
          <w:trHeight w:val="13602" w:hRule="atLeast"/>
        </w:trPr>
        <w:tc>
          <w:tcPr>
            <w:tcW w:w="1128" w:type="dxa"/>
          </w:tcPr>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spacing w:before="8"/>
              <w:rPr>
                <w:rFonts w:ascii="Arial"/>
                <w:sz w:val="34"/>
              </w:rPr>
            </w:pPr>
          </w:p>
          <w:p>
            <w:pPr>
              <w:pStyle w:val="TableParagraph"/>
              <w:spacing w:line="237" w:lineRule="auto"/>
              <w:ind w:left="122" w:right="110"/>
              <w:rPr>
                <w:rFonts w:ascii="微軟正黑體" w:eastAsia="微軟正黑體" w:hint="eastAsia"/>
                <w:sz w:val="22"/>
              </w:rPr>
            </w:pPr>
            <w:r>
              <w:rPr>
                <w:rFonts w:ascii="微軟正黑體" w:eastAsia="微軟正黑體" w:hint="eastAsia"/>
                <w:color w:val="221F1F"/>
                <w:sz w:val="22"/>
              </w:rPr>
              <w:t>出現結核病病人時</w:t>
            </w:r>
          </w:p>
        </w:tc>
        <w:tc>
          <w:tcPr>
            <w:tcW w:w="3971" w:type="dxa"/>
          </w:tcPr>
          <w:p>
            <w:pPr>
              <w:pStyle w:val="TableParagraph"/>
              <w:numPr>
                <w:ilvl w:val="0"/>
                <w:numId w:val="119"/>
              </w:numPr>
              <w:tabs>
                <w:tab w:pos="334" w:val="left" w:leader="none"/>
              </w:tabs>
              <w:spacing w:line="237" w:lineRule="auto" w:before="57" w:after="0"/>
              <w:ind w:left="333" w:right="91" w:hanging="224"/>
              <w:jc w:val="both"/>
              <w:rPr>
                <w:rFonts w:ascii="微軟正黑體" w:eastAsia="微軟正黑體" w:hint="eastAsia"/>
                <w:sz w:val="22"/>
              </w:rPr>
            </w:pPr>
            <w:r>
              <w:rPr>
                <w:rFonts w:ascii="微軟正黑體" w:eastAsia="微軟正黑體" w:hint="eastAsia"/>
                <w:color w:val="FF0000"/>
                <w:spacing w:val="-1"/>
                <w:sz w:val="22"/>
              </w:rPr>
              <w:t>院所於接獲衛生單位通知所屬「醫療</w:t>
            </w:r>
            <w:r>
              <w:rPr>
                <w:rFonts w:ascii="微軟正黑體" w:eastAsia="微軟正黑體" w:hint="eastAsia"/>
                <w:color w:val="FF0000"/>
                <w:spacing w:val="-19"/>
                <w:sz w:val="22"/>
              </w:rPr>
              <w:t>院所工作者」已研判確診為結核病</w:t>
            </w:r>
            <w:r>
              <w:rPr>
                <w:rFonts w:ascii="微軟正黑體" w:eastAsia="微軟正黑體" w:hint="eastAsia"/>
                <w:color w:val="FF0000"/>
                <w:spacing w:val="-3"/>
                <w:sz w:val="22"/>
              </w:rPr>
              <w:t>（</w:t>
            </w:r>
            <w:r>
              <w:rPr>
                <w:rFonts w:ascii="微軟正黑體" w:eastAsia="微軟正黑體" w:hint="eastAsia"/>
                <w:color w:val="FF0000"/>
                <w:spacing w:val="-14"/>
                <w:sz w:val="22"/>
              </w:rPr>
              <w:t>確</w:t>
            </w:r>
            <w:r>
              <w:rPr>
                <w:rFonts w:ascii="微軟正黑體" w:eastAsia="微軟正黑體" w:hint="eastAsia"/>
                <w:color w:val="FF0000"/>
                <w:sz w:val="22"/>
              </w:rPr>
              <w:t>診條件請見第六章結核病個案管理</w:t>
            </w:r>
            <w:r>
              <w:rPr>
                <w:rFonts w:ascii="微軟正黑體" w:eastAsia="微軟正黑體" w:hint="eastAsia"/>
                <w:color w:val="FF0000"/>
                <w:spacing w:val="-16"/>
                <w:sz w:val="22"/>
              </w:rPr>
              <w:t>） </w:t>
            </w:r>
            <w:r>
              <w:rPr>
                <w:rFonts w:ascii="微軟正黑體" w:eastAsia="微軟正黑體" w:hint="eastAsia"/>
                <w:color w:val="FF0000"/>
                <w:spacing w:val="2"/>
                <w:sz w:val="22"/>
              </w:rPr>
              <w:t>之 </w:t>
            </w:r>
            <w:r>
              <w:rPr>
                <w:rFonts w:ascii="微軟正黑體" w:eastAsia="微軟正黑體" w:hint="eastAsia"/>
                <w:color w:val="FF0000"/>
                <w:sz w:val="22"/>
              </w:rPr>
              <w:t>7</w:t>
            </w:r>
            <w:r>
              <w:rPr>
                <w:rFonts w:ascii="微軟正黑體" w:eastAsia="微軟正黑體" w:hint="eastAsia"/>
                <w:color w:val="FF0000"/>
                <w:spacing w:val="-1"/>
                <w:sz w:val="22"/>
              </w:rPr>
              <w:t> 天內，</w:t>
            </w:r>
            <w:r>
              <w:rPr>
                <w:rFonts w:ascii="微軟正黑體" w:eastAsia="微軟正黑體" w:hint="eastAsia"/>
                <w:color w:val="221F1F"/>
                <w:spacing w:val="-4"/>
                <w:sz w:val="22"/>
              </w:rPr>
              <w:t>填列「結核病列管族群個</w:t>
            </w:r>
            <w:r>
              <w:rPr>
                <w:rFonts w:ascii="微軟正黑體" w:eastAsia="微軟正黑體" w:hint="eastAsia"/>
                <w:color w:val="221F1F"/>
                <w:sz w:val="22"/>
              </w:rPr>
              <w:t>案（</w:t>
            </w:r>
            <w:r>
              <w:rPr>
                <w:rFonts w:ascii="微軟正黑體" w:eastAsia="微軟正黑體" w:hint="eastAsia"/>
                <w:color w:val="FF0000"/>
                <w:sz w:val="22"/>
              </w:rPr>
              <w:t>醫療院所</w:t>
            </w:r>
            <w:r>
              <w:rPr>
                <w:rFonts w:ascii="微軟正黑體" w:eastAsia="微軟正黑體" w:hint="eastAsia"/>
                <w:color w:val="221F1F"/>
                <w:sz w:val="22"/>
              </w:rPr>
              <w:t>工作者）</w:t>
            </w:r>
            <w:r>
              <w:rPr>
                <w:rFonts w:ascii="微軟正黑體" w:eastAsia="微軟正黑體" w:hint="eastAsia"/>
                <w:color w:val="221F1F"/>
                <w:spacing w:val="-3"/>
                <w:sz w:val="22"/>
              </w:rPr>
              <w:t>防疫措施調查</w:t>
            </w:r>
            <w:r>
              <w:rPr>
                <w:rFonts w:ascii="微軟正黑體" w:eastAsia="微軟正黑體" w:hint="eastAsia"/>
                <w:color w:val="221F1F"/>
                <w:spacing w:val="-44"/>
                <w:sz w:val="22"/>
              </w:rPr>
              <w:t>表</w:t>
            </w:r>
            <w:r>
              <w:rPr>
                <w:rFonts w:ascii="微軟正黑體" w:eastAsia="微軟正黑體" w:hint="eastAsia"/>
                <w:color w:val="221F1F"/>
                <w:sz w:val="22"/>
              </w:rPr>
              <w:t>（</w:t>
            </w:r>
            <w:r>
              <w:rPr>
                <w:rFonts w:ascii="微軟正黑體" w:eastAsia="微軟正黑體" w:hint="eastAsia"/>
                <w:color w:val="221F1F"/>
                <w:spacing w:val="2"/>
                <w:sz w:val="22"/>
              </w:rPr>
              <w:t>附件 </w:t>
            </w:r>
            <w:r>
              <w:rPr>
                <w:rFonts w:ascii="微軟正黑體" w:eastAsia="微軟正黑體" w:hint="eastAsia"/>
                <w:color w:val="FF0000"/>
                <w:spacing w:val="-12"/>
                <w:sz w:val="22"/>
              </w:rPr>
              <w:t>7-2</w:t>
            </w:r>
            <w:r>
              <w:rPr>
                <w:rFonts w:ascii="微軟正黑體" w:eastAsia="微軟正黑體" w:hint="eastAsia"/>
                <w:color w:val="221F1F"/>
                <w:spacing w:val="-12"/>
                <w:sz w:val="22"/>
              </w:rPr>
              <w:t>）</w:t>
            </w:r>
            <w:r>
              <w:rPr>
                <w:rFonts w:ascii="微軟正黑體" w:eastAsia="微軟正黑體" w:hint="eastAsia"/>
                <w:color w:val="221F1F"/>
                <w:spacing w:val="-44"/>
                <w:sz w:val="22"/>
              </w:rPr>
              <w:t>」，</w:t>
            </w:r>
            <w:r>
              <w:rPr>
                <w:rFonts w:ascii="微軟正黑體" w:eastAsia="微軟正黑體" w:hint="eastAsia"/>
                <w:color w:val="FF0000"/>
                <w:spacing w:val="-4"/>
                <w:sz w:val="22"/>
              </w:rPr>
              <w:t>若院所已先掌握員</w:t>
            </w:r>
            <w:r>
              <w:rPr>
                <w:rFonts w:ascii="微軟正黑體" w:eastAsia="微軟正黑體" w:hint="eastAsia"/>
                <w:color w:val="FF0000"/>
                <w:spacing w:val="-1"/>
                <w:sz w:val="22"/>
              </w:rPr>
              <w:t>工確診結核病，醫療院所亦可先進行前述調查作業。完成該工作者之職場</w:t>
            </w:r>
            <w:r>
              <w:rPr>
                <w:rFonts w:ascii="微軟正黑體" w:eastAsia="微軟正黑體" w:hint="eastAsia"/>
                <w:color w:val="FF0000"/>
                <w:sz w:val="22"/>
              </w:rPr>
              <w:t>接觸者調查作業後送院所所在地</w:t>
            </w:r>
            <w:r>
              <w:rPr>
                <w:rFonts w:ascii="微軟正黑體" w:eastAsia="微軟正黑體" w:hint="eastAsia"/>
                <w:color w:val="221F1F"/>
                <w:spacing w:val="-8"/>
                <w:sz w:val="22"/>
              </w:rPr>
              <w:t>衛生</w:t>
            </w:r>
            <w:r>
              <w:rPr>
                <w:rFonts w:ascii="微軟正黑體" w:eastAsia="微軟正黑體" w:hint="eastAsia"/>
                <w:color w:val="221F1F"/>
                <w:spacing w:val="-1"/>
                <w:sz w:val="22"/>
              </w:rPr>
              <w:t>局專案列管</w:t>
            </w:r>
          </w:p>
          <w:p>
            <w:pPr>
              <w:pStyle w:val="TableParagraph"/>
              <w:numPr>
                <w:ilvl w:val="0"/>
                <w:numId w:val="119"/>
              </w:numPr>
              <w:tabs>
                <w:tab w:pos="334" w:val="left" w:leader="none"/>
              </w:tabs>
              <w:spacing w:line="237" w:lineRule="auto" w:before="0" w:after="0"/>
              <w:ind w:left="333" w:right="89" w:hanging="224"/>
              <w:jc w:val="both"/>
              <w:rPr>
                <w:rFonts w:ascii="微軟正黑體" w:eastAsia="微軟正黑體" w:hint="eastAsia"/>
                <w:sz w:val="22"/>
              </w:rPr>
            </w:pPr>
            <w:r>
              <w:rPr>
                <w:rFonts w:ascii="微軟正黑體" w:eastAsia="微軟正黑體" w:hint="eastAsia"/>
                <w:color w:val="221F1F"/>
                <w:spacing w:val="7"/>
                <w:sz w:val="22"/>
              </w:rPr>
              <w:t>若指標個案服務</w:t>
            </w:r>
            <w:r>
              <w:rPr>
                <w:rFonts w:ascii="微軟正黑體" w:eastAsia="微軟正黑體" w:hint="eastAsia"/>
                <w:color w:val="221F1F"/>
                <w:spacing w:val="6"/>
                <w:sz w:val="22"/>
              </w:rPr>
              <w:t>/</w:t>
            </w:r>
            <w:r>
              <w:rPr>
                <w:rFonts w:ascii="微軟正黑體" w:eastAsia="微軟正黑體" w:hint="eastAsia"/>
                <w:color w:val="221F1F"/>
                <w:spacing w:val="8"/>
                <w:sz w:val="22"/>
              </w:rPr>
              <w:t>就診之</w:t>
            </w:r>
            <w:r>
              <w:rPr>
                <w:rFonts w:ascii="微軟正黑體" w:eastAsia="微軟正黑體" w:hint="eastAsia"/>
                <w:color w:val="FF0000"/>
                <w:spacing w:val="8"/>
                <w:sz w:val="22"/>
              </w:rPr>
              <w:t>醫療院所</w:t>
            </w:r>
            <w:r>
              <w:rPr>
                <w:rFonts w:ascii="微軟正黑體" w:eastAsia="微軟正黑體" w:hint="eastAsia"/>
                <w:color w:val="221F1F"/>
                <w:spacing w:val="-11"/>
                <w:sz w:val="22"/>
              </w:rPr>
              <w:t>為</w:t>
            </w:r>
            <w:r>
              <w:rPr>
                <w:rFonts w:ascii="微軟正黑體" w:eastAsia="微軟正黑體" w:hint="eastAsia"/>
                <w:color w:val="221F1F"/>
                <w:sz w:val="22"/>
              </w:rPr>
              <w:t>醫院感染管制查核之對象，其</w:t>
            </w:r>
            <w:r>
              <w:rPr>
                <w:rFonts w:ascii="微軟正黑體" w:eastAsia="微軟正黑體" w:hint="eastAsia"/>
                <w:color w:val="FF0000"/>
                <w:spacing w:val="-5"/>
                <w:sz w:val="22"/>
              </w:rPr>
              <w:t>院內暴</w:t>
            </w:r>
            <w:r>
              <w:rPr>
                <w:rFonts w:ascii="微軟正黑體" w:eastAsia="微軟正黑體" w:hint="eastAsia"/>
                <w:color w:val="FF0000"/>
                <w:spacing w:val="14"/>
                <w:sz w:val="22"/>
              </w:rPr>
              <w:t>露結核病個案</w:t>
            </w:r>
            <w:r>
              <w:rPr>
                <w:rFonts w:ascii="微軟正黑體" w:eastAsia="微軟正黑體" w:hint="eastAsia"/>
                <w:color w:val="221F1F"/>
                <w:spacing w:val="12"/>
                <w:sz w:val="22"/>
              </w:rPr>
              <w:t>之接觸者追蹤得依據</w:t>
            </w:r>
          </w:p>
          <w:p>
            <w:pPr>
              <w:pStyle w:val="TableParagraph"/>
              <w:spacing w:line="237" w:lineRule="auto"/>
              <w:ind w:left="333" w:right="34"/>
              <w:jc w:val="both"/>
              <w:rPr>
                <w:rFonts w:ascii="微軟正黑體" w:eastAsia="微軟正黑體" w:hint="eastAsia"/>
                <w:sz w:val="22"/>
              </w:rPr>
            </w:pPr>
            <w:r>
              <w:rPr>
                <w:rFonts w:ascii="微軟正黑體" w:eastAsia="微軟正黑體" w:hint="eastAsia"/>
                <w:color w:val="221F1F"/>
                <w:sz w:val="22"/>
              </w:rPr>
              <w:t>「醫院感染管制查核基準」規範，進</w:t>
            </w:r>
            <w:r>
              <w:rPr>
                <w:rFonts w:ascii="微軟正黑體" w:eastAsia="微軟正黑體" w:hint="eastAsia"/>
                <w:color w:val="221F1F"/>
                <w:spacing w:val="7"/>
                <w:sz w:val="22"/>
              </w:rPr>
              <w:t>行住院中病人</w:t>
            </w:r>
            <w:r>
              <w:rPr>
                <w:rFonts w:ascii="微軟正黑體" w:eastAsia="微軟正黑體" w:hint="eastAsia"/>
                <w:color w:val="221F1F"/>
                <w:spacing w:val="8"/>
                <w:sz w:val="22"/>
              </w:rPr>
              <w:t>/</w:t>
            </w:r>
            <w:r>
              <w:rPr>
                <w:rFonts w:ascii="微軟正黑體" w:eastAsia="微軟正黑體" w:hint="eastAsia"/>
                <w:color w:val="FF0000"/>
                <w:spacing w:val="7"/>
                <w:sz w:val="22"/>
              </w:rPr>
              <w:t>醫療院所</w:t>
            </w:r>
            <w:r>
              <w:rPr>
                <w:rFonts w:ascii="微軟正黑體" w:eastAsia="微軟正黑體" w:hint="eastAsia"/>
                <w:color w:val="221F1F"/>
                <w:spacing w:val="6"/>
                <w:sz w:val="22"/>
              </w:rPr>
              <w:t>工作者身分</w:t>
            </w:r>
            <w:r>
              <w:rPr>
                <w:rFonts w:ascii="微軟正黑體" w:eastAsia="微軟正黑體" w:hint="eastAsia"/>
                <w:color w:val="221F1F"/>
                <w:spacing w:val="-14"/>
                <w:sz w:val="22"/>
              </w:rPr>
              <w:t>之接觸者調查、檢查及後續追蹤作業。</w:t>
            </w:r>
            <w:r>
              <w:rPr>
                <w:rFonts w:ascii="微軟正黑體" w:eastAsia="微軟正黑體" w:hint="eastAsia"/>
                <w:color w:val="221F1F"/>
                <w:sz w:val="22"/>
              </w:rPr>
              <w:t>有關匡列接觸者之技巧，請參閱第十一章「結核病接觸者追蹤管理」內容辦理，院所應向接觸者充分說明，避免缺乏衛教，導致接觸者認為院所有隱</w:t>
            </w:r>
            <w:r>
              <w:rPr>
                <w:rFonts w:ascii="微軟正黑體" w:eastAsia="微軟正黑體" w:hint="eastAsia"/>
                <w:color w:val="FF0000"/>
                <w:sz w:val="22"/>
              </w:rPr>
              <w:t>匿</w:t>
            </w:r>
            <w:r>
              <w:rPr>
                <w:rFonts w:ascii="微軟正黑體" w:eastAsia="微軟正黑體" w:hint="eastAsia"/>
                <w:color w:val="221F1F"/>
                <w:spacing w:val="-2"/>
                <w:sz w:val="22"/>
              </w:rPr>
              <w:t>疫情之情事</w:t>
            </w:r>
          </w:p>
          <w:p>
            <w:pPr>
              <w:pStyle w:val="TableParagraph"/>
              <w:numPr>
                <w:ilvl w:val="0"/>
                <w:numId w:val="119"/>
              </w:numPr>
              <w:tabs>
                <w:tab w:pos="334" w:val="left" w:leader="none"/>
              </w:tabs>
              <w:spacing w:line="237" w:lineRule="auto" w:before="0" w:after="0"/>
              <w:ind w:left="333" w:right="91" w:hanging="224"/>
              <w:jc w:val="both"/>
              <w:rPr>
                <w:rFonts w:ascii="微軟正黑體" w:eastAsia="微軟正黑體" w:hint="eastAsia"/>
                <w:sz w:val="22"/>
              </w:rPr>
            </w:pPr>
            <w:r>
              <w:rPr>
                <w:rFonts w:ascii="微軟正黑體" w:eastAsia="微軟正黑體" w:hint="eastAsia"/>
                <w:color w:val="221F1F"/>
                <w:sz w:val="22"/>
              </w:rPr>
              <w:t>非醫院感染管制查核對象之</w:t>
            </w:r>
            <w:r>
              <w:rPr>
                <w:rFonts w:ascii="微軟正黑體" w:eastAsia="微軟正黑體" w:hint="eastAsia"/>
                <w:color w:val="FF0000"/>
                <w:sz w:val="22"/>
              </w:rPr>
              <w:t>院所</w:t>
            </w:r>
            <w:r>
              <w:rPr>
                <w:rFonts w:ascii="微軟正黑體" w:eastAsia="微軟正黑體" w:hint="eastAsia"/>
                <w:color w:val="221F1F"/>
                <w:spacing w:val="-8"/>
                <w:sz w:val="22"/>
              </w:rPr>
              <w:t>內接</w:t>
            </w:r>
            <w:r>
              <w:rPr>
                <w:rFonts w:ascii="微軟正黑體" w:eastAsia="微軟正黑體" w:hint="eastAsia"/>
                <w:color w:val="221F1F"/>
                <w:spacing w:val="-1"/>
                <w:sz w:val="22"/>
              </w:rPr>
              <w:t>觸者，則依工作手冊第十一章「結核</w:t>
            </w:r>
            <w:r>
              <w:rPr>
                <w:rFonts w:ascii="微軟正黑體" w:eastAsia="微軟正黑體" w:hint="eastAsia"/>
                <w:color w:val="221F1F"/>
                <w:spacing w:val="-3"/>
                <w:sz w:val="22"/>
              </w:rPr>
              <w:t>病接觸者追蹤管理」辦理</w:t>
            </w:r>
          </w:p>
          <w:p>
            <w:pPr>
              <w:pStyle w:val="TableParagraph"/>
              <w:numPr>
                <w:ilvl w:val="0"/>
                <w:numId w:val="119"/>
              </w:numPr>
              <w:tabs>
                <w:tab w:pos="334" w:val="left" w:leader="none"/>
              </w:tabs>
              <w:spacing w:line="237" w:lineRule="auto" w:before="0" w:after="0"/>
              <w:ind w:left="333" w:right="38" w:hanging="224"/>
              <w:jc w:val="both"/>
              <w:rPr>
                <w:rFonts w:ascii="微軟正黑體" w:eastAsia="微軟正黑體" w:hint="eastAsia"/>
                <w:sz w:val="22"/>
              </w:rPr>
            </w:pPr>
            <w:r>
              <w:rPr>
                <w:rFonts w:ascii="微軟正黑體" w:eastAsia="微軟正黑體" w:hint="eastAsia"/>
                <w:color w:val="221F1F"/>
                <w:sz w:val="22"/>
              </w:rPr>
              <w:t>當</w:t>
            </w:r>
            <w:r>
              <w:rPr>
                <w:rFonts w:ascii="微軟正黑體" w:eastAsia="微軟正黑體" w:hint="eastAsia"/>
                <w:color w:val="FF0000"/>
                <w:sz w:val="22"/>
              </w:rPr>
              <w:t>醫療院所</w:t>
            </w:r>
            <w:r>
              <w:rPr>
                <w:rFonts w:ascii="微軟正黑體" w:eastAsia="微軟正黑體" w:hint="eastAsia"/>
                <w:color w:val="221F1F"/>
                <w:sz w:val="22"/>
              </w:rPr>
              <w:t>被發現及通報疑似結核病聚集感染事件（詳見工作手冊第十二</w:t>
            </w:r>
            <w:r>
              <w:rPr>
                <w:rFonts w:ascii="微軟正黑體" w:eastAsia="微軟正黑體" w:hint="eastAsia"/>
                <w:color w:val="221F1F"/>
                <w:spacing w:val="-10"/>
                <w:sz w:val="22"/>
              </w:rPr>
              <w:t>章「疑似結核病聚集事件處理」</w:t>
            </w:r>
            <w:r>
              <w:rPr>
                <w:rFonts w:ascii="微軟正黑體" w:eastAsia="微軟正黑體" w:hint="eastAsia"/>
                <w:color w:val="221F1F"/>
                <w:spacing w:val="-44"/>
                <w:sz w:val="22"/>
              </w:rPr>
              <w:t>）</w:t>
            </w:r>
            <w:r>
              <w:rPr>
                <w:rFonts w:ascii="微軟正黑體" w:eastAsia="微軟正黑體" w:hint="eastAsia"/>
                <w:color w:val="221F1F"/>
                <w:spacing w:val="-19"/>
                <w:sz w:val="22"/>
              </w:rPr>
              <w:t>時， </w:t>
            </w:r>
            <w:r>
              <w:rPr>
                <w:rFonts w:ascii="微軟正黑體" w:eastAsia="微軟正黑體" w:hint="eastAsia"/>
                <w:color w:val="221F1F"/>
                <w:sz w:val="22"/>
              </w:rPr>
              <w:t>應配合各級衛生主管機關調查及提供當次事件之疫情相關資訊及菌株</w:t>
            </w:r>
            <w:r>
              <w:rPr>
                <w:rFonts w:ascii="微軟正黑體" w:eastAsia="微軟正黑體" w:hint="eastAsia"/>
                <w:color w:val="FF0000"/>
                <w:sz w:val="22"/>
              </w:rPr>
              <w:t>，以</w:t>
            </w:r>
            <w:r>
              <w:rPr>
                <w:rFonts w:ascii="微軟正黑體" w:eastAsia="微軟正黑體" w:hint="eastAsia"/>
                <w:color w:val="FF0000"/>
                <w:spacing w:val="4"/>
                <w:sz w:val="22"/>
              </w:rPr>
              <w:t>利後續處置研判 修</w:t>
            </w:r>
          </w:p>
        </w:tc>
        <w:tc>
          <w:tcPr>
            <w:tcW w:w="3680" w:type="dxa"/>
            <w:tcBorders>
              <w:right w:val="single" w:sz="6" w:space="0" w:color="000000"/>
            </w:tcBorders>
          </w:tcPr>
          <w:p>
            <w:pPr>
              <w:pStyle w:val="TableParagraph"/>
              <w:numPr>
                <w:ilvl w:val="0"/>
                <w:numId w:val="120"/>
              </w:numPr>
              <w:tabs>
                <w:tab w:pos="429" w:val="left" w:leader="none"/>
              </w:tabs>
              <w:spacing w:line="237" w:lineRule="auto" w:before="26" w:after="0"/>
              <w:ind w:left="428" w:right="106" w:hanging="288"/>
              <w:jc w:val="both"/>
              <w:rPr>
                <w:rFonts w:ascii="微軟正黑體" w:eastAsia="微軟正黑體" w:hint="eastAsia"/>
                <w:color w:val="FF0000"/>
                <w:sz w:val="22"/>
              </w:rPr>
            </w:pPr>
            <w:r>
              <w:rPr>
                <w:rFonts w:ascii="微軟正黑體" w:eastAsia="微軟正黑體" w:hint="eastAsia"/>
                <w:color w:val="FF0000"/>
                <w:sz w:val="22"/>
              </w:rPr>
              <w:t>醫療院所工作者通報為結核病， 其個案管理單位，於個案確診後應立即填列「結核病列管族群個</w:t>
            </w:r>
            <w:r>
              <w:rPr>
                <w:rFonts w:ascii="微軟正黑體" w:eastAsia="微軟正黑體" w:hint="eastAsia"/>
                <w:color w:val="FF0000"/>
                <w:spacing w:val="-87"/>
                <w:sz w:val="22"/>
              </w:rPr>
              <w:t>案</w:t>
            </w:r>
            <w:r>
              <w:rPr>
                <w:rFonts w:ascii="微軟正黑體" w:eastAsia="微軟正黑體" w:hint="eastAsia"/>
                <w:color w:val="FF0000"/>
                <w:sz w:val="22"/>
              </w:rPr>
              <w:t>（</w:t>
            </w:r>
            <w:r>
              <w:rPr>
                <w:rFonts w:ascii="微軟正黑體" w:eastAsia="微軟正黑體" w:hint="eastAsia"/>
                <w:color w:val="FF0000"/>
                <w:spacing w:val="-3"/>
                <w:sz w:val="22"/>
              </w:rPr>
              <w:t>醫療院所工作者</w:t>
            </w:r>
            <w:r>
              <w:rPr>
                <w:rFonts w:ascii="微軟正黑體" w:eastAsia="微軟正黑體" w:hint="eastAsia"/>
                <w:color w:val="FF0000"/>
                <w:spacing w:val="-87"/>
                <w:sz w:val="22"/>
              </w:rPr>
              <w:t>）</w:t>
            </w:r>
            <w:r>
              <w:rPr>
                <w:rFonts w:ascii="微軟正黑體" w:eastAsia="微軟正黑體" w:hint="eastAsia"/>
                <w:color w:val="FF0000"/>
                <w:spacing w:val="-5"/>
                <w:sz w:val="22"/>
              </w:rPr>
              <w:t>防疫措施調</w:t>
            </w:r>
            <w:r>
              <w:rPr>
                <w:rFonts w:ascii="微軟正黑體" w:eastAsia="微軟正黑體" w:hint="eastAsia"/>
                <w:color w:val="FF0000"/>
                <w:spacing w:val="-17"/>
                <w:sz w:val="22"/>
              </w:rPr>
              <w:t>查表</w:t>
            </w:r>
            <w:r>
              <w:rPr>
                <w:rFonts w:ascii="微軟正黑體" w:eastAsia="微軟正黑體" w:hint="eastAsia"/>
                <w:color w:val="FF0000"/>
                <w:spacing w:val="-3"/>
                <w:sz w:val="22"/>
              </w:rPr>
              <w:t>（</w:t>
            </w:r>
            <w:r>
              <w:rPr>
                <w:rFonts w:ascii="微軟正黑體" w:eastAsia="微軟正黑體" w:hint="eastAsia"/>
                <w:color w:val="FF0000"/>
                <w:spacing w:val="3"/>
                <w:sz w:val="22"/>
              </w:rPr>
              <w:t>附件 </w:t>
            </w:r>
            <w:r>
              <w:rPr>
                <w:rFonts w:ascii="微軟正黑體" w:eastAsia="微軟正黑體" w:hint="eastAsia"/>
                <w:color w:val="FF0000"/>
                <w:spacing w:val="-11"/>
                <w:sz w:val="22"/>
              </w:rPr>
              <w:t>7-2）</w:t>
            </w:r>
            <w:r>
              <w:rPr>
                <w:rFonts w:ascii="微軟正黑體" w:eastAsia="微軟正黑體" w:hint="eastAsia"/>
                <w:color w:val="FF0000"/>
                <w:spacing w:val="-14"/>
                <w:sz w:val="22"/>
              </w:rPr>
              <w:t>」，並提供予醫</w:t>
            </w:r>
            <w:r>
              <w:rPr>
                <w:rFonts w:ascii="微軟正黑體" w:eastAsia="微軟正黑體" w:hint="eastAsia"/>
                <w:color w:val="FF0000"/>
                <w:sz w:val="22"/>
              </w:rPr>
              <w:t>療院所，以啟動該名個案之職場接觸者調查作業，倘個案管理單位與院所所在地分屬不同縣市， 請個案管理單位衛生局透過行政協助機制，轉請醫療院所所在地衛生局協助輔導院所完成調查作業</w:t>
            </w:r>
          </w:p>
          <w:p>
            <w:pPr>
              <w:pStyle w:val="TableParagraph"/>
              <w:numPr>
                <w:ilvl w:val="0"/>
                <w:numId w:val="120"/>
              </w:numPr>
              <w:tabs>
                <w:tab w:pos="429" w:val="left" w:leader="none"/>
              </w:tabs>
              <w:spacing w:line="237" w:lineRule="auto" w:before="0" w:after="0"/>
              <w:ind w:left="428" w:right="99" w:hanging="288"/>
              <w:jc w:val="both"/>
              <w:rPr>
                <w:rFonts w:ascii="微軟正黑體" w:eastAsia="微軟正黑體" w:hint="eastAsia"/>
                <w:sz w:val="22"/>
              </w:rPr>
            </w:pPr>
            <w:r>
              <w:rPr>
                <w:rFonts w:ascii="微軟正黑體" w:eastAsia="微軟正黑體" w:hint="eastAsia"/>
                <w:color w:val="221F1F"/>
                <w:spacing w:val="16"/>
                <w:sz w:val="22"/>
              </w:rPr>
              <w:t>「確診」結核病之醫療院所工作者，</w:t>
            </w:r>
            <w:r>
              <w:rPr>
                <w:rFonts w:ascii="微軟正黑體" w:eastAsia="微軟正黑體" w:hint="eastAsia"/>
                <w:color w:val="FF0000"/>
                <w:spacing w:val="22"/>
                <w:sz w:val="22"/>
              </w:rPr>
              <w:t>其院所所在地衛生局</w:t>
            </w:r>
            <w:r>
              <w:rPr>
                <w:rFonts w:ascii="微軟正黑體" w:eastAsia="微軟正黑體" w:hint="eastAsia"/>
                <w:color w:val="221F1F"/>
                <w:sz w:val="22"/>
              </w:rPr>
              <w:t>應</w:t>
            </w:r>
            <w:r>
              <w:rPr>
                <w:rFonts w:ascii="微軟正黑體" w:eastAsia="微軟正黑體" w:hint="eastAsia"/>
                <w:color w:val="221F1F"/>
                <w:spacing w:val="24"/>
                <w:sz w:val="22"/>
              </w:rPr>
              <w:t>儘速完成疫情調查，</w:t>
            </w:r>
            <w:r>
              <w:rPr>
                <w:rFonts w:ascii="微軟正黑體" w:eastAsia="微軟正黑體" w:hint="eastAsia"/>
                <w:color w:val="FF0000"/>
                <w:spacing w:val="2"/>
                <w:sz w:val="22"/>
              </w:rPr>
              <w:t>並檢視院</w:t>
            </w:r>
            <w:r>
              <w:rPr>
                <w:rFonts w:ascii="微軟正黑體" w:eastAsia="微軟正黑體" w:hint="eastAsia"/>
                <w:color w:val="FF0000"/>
                <w:spacing w:val="18"/>
                <w:sz w:val="22"/>
              </w:rPr>
              <w:t>所提出之結核病列管族群個案</w:t>
            </w:r>
          </w:p>
          <w:p>
            <w:pPr>
              <w:pStyle w:val="TableParagraph"/>
              <w:spacing w:line="235" w:lineRule="auto"/>
              <w:ind w:left="428" w:right="87"/>
              <w:jc w:val="both"/>
              <w:rPr>
                <w:rFonts w:ascii="微軟正黑體" w:eastAsia="微軟正黑體" w:hint="eastAsia"/>
                <w:sz w:val="22"/>
              </w:rPr>
            </w:pPr>
            <w:r>
              <w:rPr>
                <w:rFonts w:ascii="微軟正黑體" w:eastAsia="微軟正黑體" w:hint="eastAsia"/>
                <w:color w:val="FF0000"/>
                <w:sz w:val="22"/>
              </w:rPr>
              <w:t>（醫療院所工作者）防疫措施調查表(附件 7-2)之相關防治措施是否妥適</w:t>
            </w:r>
            <w:r>
              <w:rPr>
                <w:rFonts w:ascii="微軟正黑體" w:eastAsia="微軟正黑體" w:hint="eastAsia"/>
                <w:position w:val="-2"/>
                <w:sz w:val="22"/>
              </w:rPr>
              <w:t>，</w:t>
            </w:r>
            <w:r>
              <w:rPr>
                <w:rFonts w:ascii="微軟正黑體" w:eastAsia="微軟正黑體" w:hint="eastAsia"/>
                <w:color w:val="221F1F"/>
                <w:sz w:val="22"/>
              </w:rPr>
              <w:t>同時取得員工班表及</w:t>
            </w:r>
            <w:r>
              <w:rPr>
                <w:rFonts w:ascii="微軟正黑體" w:eastAsia="微軟正黑體" w:hint="eastAsia"/>
                <w:color w:val="FF0000"/>
                <w:sz w:val="22"/>
              </w:rPr>
              <w:t>其</w:t>
            </w:r>
            <w:r>
              <w:rPr>
                <w:rFonts w:ascii="微軟正黑體" w:eastAsia="微軟正黑體" w:hint="eastAsia"/>
                <w:color w:val="221F1F"/>
                <w:sz w:val="22"/>
              </w:rPr>
              <w:t>接觸</w:t>
            </w:r>
            <w:r>
              <w:rPr>
                <w:rFonts w:ascii="微軟正黑體" w:eastAsia="微軟正黑體" w:hint="eastAsia"/>
                <w:color w:val="FF0000"/>
                <w:sz w:val="22"/>
              </w:rPr>
              <w:t>之</w:t>
            </w:r>
            <w:r>
              <w:rPr>
                <w:rFonts w:ascii="微軟正黑體" w:eastAsia="微軟正黑體" w:hint="eastAsia"/>
                <w:color w:val="221F1F"/>
                <w:sz w:val="22"/>
              </w:rPr>
              <w:t>病人清單，以釐清符合接觸者檢查之對象及對院</w:t>
            </w:r>
            <w:r>
              <w:rPr>
                <w:rFonts w:ascii="微軟正黑體" w:eastAsia="微軟正黑體" w:hint="eastAsia"/>
                <w:color w:val="FF0000"/>
                <w:sz w:val="22"/>
              </w:rPr>
              <w:t>所</w:t>
            </w:r>
            <w:r>
              <w:rPr>
                <w:rFonts w:ascii="微軟正黑體" w:eastAsia="微軟正黑體" w:hint="eastAsia"/>
                <w:color w:val="221F1F"/>
                <w:sz w:val="22"/>
              </w:rPr>
              <w:t>內接觸者進行專案列管作業，以確實控制疫情，</w:t>
            </w:r>
            <w:r>
              <w:rPr>
                <w:rFonts w:ascii="微軟正黑體" w:eastAsia="微軟正黑體" w:hint="eastAsia"/>
                <w:color w:val="FF0000"/>
                <w:sz w:val="22"/>
              </w:rPr>
              <w:t>前述調查表完成後，交由個案管理單位掃描後上傳至 TB 系統該確診個案項下備查</w:t>
            </w:r>
            <w:r>
              <w:rPr>
                <w:rFonts w:ascii="微軟正黑體" w:eastAsia="微軟正黑體" w:hint="eastAsia"/>
                <w:color w:val="221F1F"/>
                <w:sz w:val="22"/>
              </w:rPr>
              <w:t>：</w:t>
            </w:r>
          </w:p>
          <w:p>
            <w:pPr>
              <w:pStyle w:val="TableParagraph"/>
              <w:spacing w:line="237" w:lineRule="auto"/>
              <w:ind w:left="428" w:right="51" w:hanging="322"/>
              <w:jc w:val="both"/>
              <w:rPr>
                <w:rFonts w:ascii="微軟正黑體" w:eastAsia="微軟正黑體" w:hint="eastAsia"/>
                <w:sz w:val="22"/>
              </w:rPr>
            </w:pPr>
            <w:r>
              <w:rPr>
                <w:rFonts w:ascii="微軟正黑體" w:eastAsia="微軟正黑體" w:hint="eastAsia"/>
                <w:color w:val="221F1F"/>
                <w:sz w:val="22"/>
              </w:rPr>
              <w:t>(1)</w:t>
            </w:r>
            <w:r>
              <w:rPr>
                <w:rFonts w:ascii="微軟正黑體" w:eastAsia="微軟正黑體" w:hint="eastAsia"/>
                <w:color w:val="FF0000"/>
                <w:sz w:val="22"/>
              </w:rPr>
              <w:t>依「醫院感染管制查核基準」</w:t>
            </w:r>
            <w:r>
              <w:rPr>
                <w:rFonts w:ascii="微軟正黑體" w:eastAsia="微軟正黑體" w:hint="eastAsia"/>
                <w:color w:val="221F1F"/>
                <w:sz w:val="22"/>
              </w:rPr>
              <w:t>應進行同病室/職場接觸者衛教， 若經協調</w:t>
            </w:r>
            <w:r>
              <w:rPr>
                <w:rFonts w:ascii="微軟正黑體" w:eastAsia="微軟正黑體" w:hint="eastAsia"/>
                <w:color w:val="FF0000"/>
                <w:sz w:val="22"/>
              </w:rPr>
              <w:t>，</w:t>
            </w:r>
            <w:r>
              <w:rPr>
                <w:rFonts w:ascii="微軟正黑體" w:eastAsia="微軟正黑體" w:hint="eastAsia"/>
                <w:color w:val="221F1F"/>
                <w:sz w:val="22"/>
              </w:rPr>
              <w:t>醫療院所欲自行進行同病室/職場接觸者衛教，</w:t>
            </w:r>
            <w:r>
              <w:rPr>
                <w:rFonts w:ascii="微軟正黑體" w:eastAsia="微軟正黑體" w:hint="eastAsia"/>
                <w:color w:val="FF0000"/>
                <w:sz w:val="22"/>
              </w:rPr>
              <w:t>院所所在地衛生局</w:t>
            </w:r>
            <w:r>
              <w:rPr>
                <w:rFonts w:ascii="微軟正黑體" w:eastAsia="微軟正黑體" w:hint="eastAsia"/>
                <w:color w:val="221F1F"/>
                <w:sz w:val="22"/>
              </w:rPr>
              <w:t>仍應注意接觸者後續轉銜作業， 以 利 </w:t>
            </w:r>
            <w:r>
              <w:rPr>
                <w:rFonts w:ascii="微軟正黑體" w:eastAsia="微軟正黑體" w:hint="eastAsia"/>
                <w:color w:val="FF0000"/>
                <w:sz w:val="22"/>
              </w:rPr>
              <w:t>追蹤 接 觸 者 執 行 </w:t>
            </w:r>
            <w:r>
              <w:rPr>
                <w:rFonts w:ascii="微軟正黑體" w:eastAsia="微軟正黑體" w:hint="eastAsia"/>
                <w:color w:val="221F1F"/>
                <w:sz w:val="22"/>
              </w:rPr>
              <w:t>第 12 個 月 胸</w:t>
            </w:r>
          </w:p>
          <w:p>
            <w:pPr>
              <w:pStyle w:val="TableParagraph"/>
              <w:spacing w:line="352" w:lineRule="exact"/>
              <w:ind w:left="428"/>
              <w:jc w:val="both"/>
              <w:rPr>
                <w:rFonts w:ascii="微軟正黑體" w:eastAsia="微軟正黑體" w:hint="eastAsia"/>
                <w:sz w:val="22"/>
              </w:rPr>
            </w:pPr>
            <w:r>
              <w:rPr>
                <w:rFonts w:ascii="微軟正黑體" w:eastAsia="微軟正黑體" w:hint="eastAsia"/>
                <w:color w:val="221F1F"/>
                <w:sz w:val="22"/>
              </w:rPr>
              <w:t>部 X 光追蹤檢查</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
        <w:rPr>
          <w:rFonts w:ascii="Arial"/>
          <w:sz w:val="20"/>
        </w:rPr>
      </w:pPr>
    </w:p>
    <w:p>
      <w:pPr>
        <w:spacing w:before="0"/>
        <w:ind w:left="0" w:right="391" w:firstLine="0"/>
        <w:jc w:val="right"/>
        <w:rPr>
          <w:rFonts w:ascii="Arial"/>
          <w:sz w:val="16"/>
        </w:rPr>
      </w:pPr>
      <w:r>
        <w:rPr>
          <w:rFonts w:ascii="Arial"/>
          <w:color w:val="221F1F"/>
          <w:w w:val="100"/>
          <w:sz w:val="16"/>
        </w:rPr>
        <w:t>3</w:t>
      </w:r>
    </w:p>
    <w:p>
      <w:pPr>
        <w:spacing w:after="0"/>
        <w:jc w:val="right"/>
        <w:rPr>
          <w:rFonts w:ascii="Arial"/>
          <w:sz w:val="16"/>
        </w:rPr>
        <w:sectPr>
          <w:pgSz w:w="11910" w:h="16840"/>
          <w:pgMar w:top="1120" w:bottom="280" w:left="980" w:right="2"/>
        </w:sectPr>
      </w:pPr>
    </w:p>
    <w:tbl>
      <w:tblPr>
        <w:tblW w:w="0" w:type="auto"/>
        <w:jc w:val="left"/>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8"/>
        <w:gridCol w:w="3971"/>
        <w:gridCol w:w="3680"/>
      </w:tblGrid>
      <w:tr>
        <w:trPr>
          <w:trHeight w:val="568" w:hRule="atLeast"/>
        </w:trPr>
        <w:tc>
          <w:tcPr>
            <w:tcW w:w="1128" w:type="dxa"/>
            <w:shd w:val="clear" w:color="auto" w:fill="E8E8E8"/>
          </w:tcPr>
          <w:p>
            <w:pPr>
              <w:pStyle w:val="TableParagraph"/>
              <w:spacing w:before="126"/>
              <w:ind w:left="342"/>
              <w:rPr>
                <w:rFonts w:ascii="微軟正黑體" w:eastAsia="微軟正黑體" w:hint="eastAsia"/>
                <w:b/>
                <w:sz w:val="22"/>
              </w:rPr>
            </w:pPr>
            <w:r>
              <w:rPr>
                <w:rFonts w:ascii="微軟正黑體" w:eastAsia="微軟正黑體" w:hint="eastAsia"/>
                <w:b/>
                <w:color w:val="221F1F"/>
                <w:sz w:val="22"/>
              </w:rPr>
              <w:t>時程</w:t>
            </w:r>
          </w:p>
        </w:tc>
        <w:tc>
          <w:tcPr>
            <w:tcW w:w="3971" w:type="dxa"/>
            <w:shd w:val="clear" w:color="auto" w:fill="E8E8E8"/>
          </w:tcPr>
          <w:p>
            <w:pPr>
              <w:pStyle w:val="TableParagraph"/>
              <w:spacing w:before="126"/>
              <w:ind w:left="1527" w:right="1513"/>
              <w:jc w:val="center"/>
              <w:rPr>
                <w:rFonts w:ascii="微軟正黑體" w:eastAsia="微軟正黑體" w:hint="eastAsia"/>
                <w:b/>
                <w:sz w:val="22"/>
              </w:rPr>
            </w:pPr>
            <w:r>
              <w:rPr>
                <w:rFonts w:ascii="微軟正黑體" w:eastAsia="微軟正黑體" w:hint="eastAsia"/>
                <w:b/>
                <w:color w:val="221F1F"/>
                <w:sz w:val="22"/>
              </w:rPr>
              <w:t>醫療院所</w:t>
            </w:r>
          </w:p>
        </w:tc>
        <w:tc>
          <w:tcPr>
            <w:tcW w:w="3680" w:type="dxa"/>
            <w:tcBorders>
              <w:right w:val="single" w:sz="6" w:space="0" w:color="000000"/>
            </w:tcBorders>
            <w:shd w:val="clear" w:color="auto" w:fill="E8E8E8"/>
          </w:tcPr>
          <w:p>
            <w:pPr>
              <w:pStyle w:val="TableParagraph"/>
              <w:spacing w:before="102"/>
              <w:ind w:left="1380" w:right="1367"/>
              <w:jc w:val="center"/>
              <w:rPr>
                <w:rFonts w:ascii="微軟正黑體" w:eastAsia="微軟正黑體" w:hint="eastAsia"/>
                <w:b/>
                <w:sz w:val="22"/>
              </w:rPr>
            </w:pPr>
            <w:r>
              <w:rPr>
                <w:rFonts w:ascii="微軟正黑體" w:eastAsia="微軟正黑體" w:hint="eastAsia"/>
                <w:b/>
                <w:color w:val="221F1F"/>
                <w:sz w:val="22"/>
              </w:rPr>
              <w:t>衛生單位</w:t>
            </w:r>
          </w:p>
        </w:tc>
      </w:tr>
      <w:tr>
        <w:trPr>
          <w:trHeight w:val="6000" w:hRule="atLeast"/>
        </w:trPr>
        <w:tc>
          <w:tcPr>
            <w:tcW w:w="1128" w:type="dxa"/>
          </w:tcPr>
          <w:p>
            <w:pPr>
              <w:pStyle w:val="TableParagraph"/>
              <w:rPr>
                <w:rFonts w:ascii="Times New Roman"/>
                <w:sz w:val="22"/>
              </w:rPr>
            </w:pPr>
          </w:p>
        </w:tc>
        <w:tc>
          <w:tcPr>
            <w:tcW w:w="3971" w:type="dxa"/>
          </w:tcPr>
          <w:p>
            <w:pPr>
              <w:pStyle w:val="TableParagraph"/>
              <w:rPr>
                <w:rFonts w:ascii="Times New Roman"/>
                <w:sz w:val="22"/>
              </w:rPr>
            </w:pPr>
          </w:p>
        </w:tc>
        <w:tc>
          <w:tcPr>
            <w:tcW w:w="3680" w:type="dxa"/>
            <w:tcBorders>
              <w:right w:val="single" w:sz="6" w:space="0" w:color="000000"/>
            </w:tcBorders>
          </w:tcPr>
          <w:p>
            <w:pPr>
              <w:pStyle w:val="TableParagraph"/>
              <w:numPr>
                <w:ilvl w:val="0"/>
                <w:numId w:val="121"/>
              </w:numPr>
              <w:tabs>
                <w:tab w:pos="389" w:val="left" w:leader="none"/>
              </w:tabs>
              <w:spacing w:line="237" w:lineRule="auto" w:before="26" w:after="0"/>
              <w:ind w:left="428" w:right="51" w:hanging="322"/>
              <w:jc w:val="both"/>
              <w:rPr>
                <w:rFonts w:ascii="微軟正黑體" w:eastAsia="微軟正黑體" w:hint="eastAsia"/>
                <w:sz w:val="22"/>
              </w:rPr>
            </w:pPr>
            <w:r>
              <w:rPr>
                <w:rFonts w:ascii="微軟正黑體" w:eastAsia="微軟正黑體" w:hint="eastAsia"/>
                <w:color w:val="221F1F"/>
                <w:spacing w:val="24"/>
                <w:sz w:val="22"/>
              </w:rPr>
              <w:t>非屬前述查核基準規範之接觸</w:t>
            </w:r>
            <w:r>
              <w:rPr>
                <w:rFonts w:ascii="微軟正黑體" w:eastAsia="微軟正黑體" w:hint="eastAsia"/>
                <w:color w:val="221F1F"/>
                <w:spacing w:val="-140"/>
                <w:w w:val="100"/>
                <w:sz w:val="22"/>
              </w:rPr>
              <w:t>者</w:t>
            </w:r>
            <w:r>
              <w:rPr>
                <w:rFonts w:ascii="微軟正黑體" w:eastAsia="微軟正黑體" w:hint="eastAsia"/>
                <w:color w:val="221F1F"/>
                <w:w w:val="100"/>
                <w:sz w:val="22"/>
              </w:rPr>
              <w:t>（</w:t>
            </w:r>
            <w:r>
              <w:rPr>
                <w:rFonts w:ascii="微軟正黑體" w:eastAsia="微軟正黑體" w:hint="eastAsia"/>
                <w:color w:val="221F1F"/>
                <w:spacing w:val="-10"/>
                <w:w w:val="100"/>
                <w:sz w:val="22"/>
              </w:rPr>
              <w:t>如陪病者或診所接觸者等</w:t>
            </w:r>
            <w:r>
              <w:rPr>
                <w:rFonts w:ascii="微軟正黑體" w:eastAsia="微軟正黑體" w:hint="eastAsia"/>
                <w:color w:val="221F1F"/>
                <w:spacing w:val="-152"/>
                <w:w w:val="100"/>
                <w:sz w:val="22"/>
              </w:rPr>
              <w:t>）</w:t>
            </w:r>
            <w:r>
              <w:rPr>
                <w:rFonts w:ascii="微軟正黑體" w:eastAsia="微軟正黑體" w:hint="eastAsia"/>
                <w:color w:val="221F1F"/>
                <w:spacing w:val="-17"/>
                <w:w w:val="100"/>
                <w:sz w:val="22"/>
              </w:rPr>
              <w:t>，其</w:t>
            </w:r>
            <w:r>
              <w:rPr>
                <w:rFonts w:ascii="微軟正黑體" w:eastAsia="微軟正黑體" w:hint="eastAsia"/>
                <w:color w:val="221F1F"/>
                <w:spacing w:val="21"/>
                <w:sz w:val="22"/>
              </w:rPr>
              <w:t>調查</w:t>
            </w:r>
            <w:r>
              <w:rPr>
                <w:rFonts w:ascii="微軟正黑體" w:eastAsia="微軟正黑體" w:hint="eastAsia"/>
                <w:color w:val="221F1F"/>
                <w:sz w:val="22"/>
              </w:rPr>
              <w:t>/</w:t>
            </w:r>
            <w:r>
              <w:rPr>
                <w:rFonts w:ascii="微軟正黑體" w:eastAsia="微軟正黑體" w:hint="eastAsia"/>
                <w:color w:val="221F1F"/>
                <w:spacing w:val="21"/>
                <w:sz w:val="22"/>
              </w:rPr>
              <w:t>檢查</w:t>
            </w:r>
            <w:r>
              <w:rPr>
                <w:rFonts w:ascii="微軟正黑體" w:eastAsia="微軟正黑體" w:hint="eastAsia"/>
                <w:color w:val="221F1F"/>
                <w:sz w:val="22"/>
              </w:rPr>
              <w:t>/</w:t>
            </w:r>
            <w:r>
              <w:rPr>
                <w:rFonts w:ascii="微軟正黑體" w:eastAsia="微軟正黑體" w:hint="eastAsia"/>
                <w:color w:val="221F1F"/>
                <w:spacing w:val="4"/>
                <w:sz w:val="22"/>
              </w:rPr>
              <w:t>衛教等工作，由</w:t>
            </w:r>
            <w:r>
              <w:rPr>
                <w:rFonts w:ascii="微軟正黑體" w:eastAsia="微軟正黑體" w:hint="eastAsia"/>
                <w:color w:val="FF0000"/>
                <w:sz w:val="22"/>
              </w:rPr>
              <w:t>所涉</w:t>
            </w:r>
            <w:r>
              <w:rPr>
                <w:rFonts w:ascii="微軟正黑體" w:eastAsia="微軟正黑體" w:hint="eastAsia"/>
                <w:color w:val="221F1F"/>
                <w:spacing w:val="6"/>
                <w:sz w:val="22"/>
              </w:rPr>
              <w:t>衛生單位執行</w:t>
            </w:r>
            <w:r>
              <w:rPr>
                <w:rFonts w:ascii="微軟正黑體" w:eastAsia="微軟正黑體" w:hint="eastAsia"/>
                <w:color w:val="FF0000"/>
                <w:spacing w:val="3"/>
                <w:sz w:val="22"/>
              </w:rPr>
              <w:t>，分工詳見工作手</w:t>
            </w:r>
            <w:r>
              <w:rPr>
                <w:rFonts w:ascii="微軟正黑體" w:eastAsia="微軟正黑體" w:hint="eastAsia"/>
                <w:color w:val="FF0000"/>
                <w:spacing w:val="15"/>
                <w:sz w:val="22"/>
              </w:rPr>
              <w:t>冊第</w:t>
            </w:r>
            <w:r>
              <w:rPr>
                <w:rFonts w:ascii="微軟正黑體" w:eastAsia="微軟正黑體" w:hint="eastAsia"/>
                <w:color w:val="FF0000"/>
                <w:sz w:val="22"/>
              </w:rPr>
              <w:t>11</w:t>
            </w:r>
            <w:r>
              <w:rPr>
                <w:rFonts w:ascii="微軟正黑體" w:eastAsia="微軟正黑體" w:hint="eastAsia"/>
                <w:color w:val="FF0000"/>
                <w:spacing w:val="-5"/>
                <w:sz w:val="22"/>
              </w:rPr>
              <w:t> 章結核病接觸者追蹤管理</w:t>
            </w:r>
          </w:p>
          <w:p>
            <w:pPr>
              <w:pStyle w:val="TableParagraph"/>
              <w:numPr>
                <w:ilvl w:val="0"/>
                <w:numId w:val="121"/>
              </w:numPr>
              <w:tabs>
                <w:tab w:pos="379" w:val="left" w:leader="none"/>
              </w:tabs>
              <w:spacing w:line="237" w:lineRule="auto" w:before="0" w:after="0"/>
              <w:ind w:left="428" w:right="103" w:hanging="322"/>
              <w:jc w:val="both"/>
              <w:rPr>
                <w:rFonts w:ascii="微軟正黑體" w:eastAsia="微軟正黑體" w:hint="eastAsia"/>
                <w:sz w:val="22"/>
              </w:rPr>
            </w:pPr>
            <w:r>
              <w:rPr>
                <w:rFonts w:ascii="微軟正黑體" w:eastAsia="微軟正黑體" w:hint="eastAsia"/>
                <w:color w:val="FF0000"/>
                <w:spacing w:val="20"/>
                <w:sz w:val="22"/>
              </w:rPr>
              <w:t>衛教應著重說明檢驗陽性僅能</w:t>
            </w:r>
            <w:r>
              <w:rPr>
                <w:rFonts w:ascii="微軟正黑體" w:eastAsia="微軟正黑體" w:hint="eastAsia"/>
                <w:color w:val="FF0000"/>
                <w:spacing w:val="12"/>
                <w:sz w:val="22"/>
              </w:rPr>
              <w:t>代表遭受感染， 但無法證實何時受感染</w:t>
            </w:r>
          </w:p>
          <w:p>
            <w:pPr>
              <w:pStyle w:val="TableParagraph"/>
              <w:numPr>
                <w:ilvl w:val="0"/>
                <w:numId w:val="122"/>
              </w:numPr>
              <w:tabs>
                <w:tab w:pos="429" w:val="left" w:leader="none"/>
              </w:tabs>
              <w:spacing w:line="237" w:lineRule="auto" w:before="0" w:after="0"/>
              <w:ind w:left="428" w:right="112" w:hanging="288"/>
              <w:jc w:val="both"/>
              <w:rPr>
                <w:rFonts w:ascii="微軟正黑體" w:eastAsia="微軟正黑體" w:hint="eastAsia"/>
                <w:sz w:val="22"/>
              </w:rPr>
            </w:pPr>
            <w:r>
              <w:rPr>
                <w:rFonts w:ascii="微軟正黑體" w:eastAsia="微軟正黑體" w:hint="eastAsia"/>
                <w:color w:val="FF0000"/>
                <w:spacing w:val="-1"/>
                <w:sz w:val="22"/>
              </w:rPr>
              <w:t>非職場接觸者，由該醫療院所工作者結核病個案之管理單位完成</w:t>
            </w:r>
            <w:r>
              <w:rPr>
                <w:rFonts w:ascii="微軟正黑體" w:eastAsia="微軟正黑體" w:hint="eastAsia"/>
                <w:color w:val="FF0000"/>
                <w:sz w:val="22"/>
              </w:rPr>
              <w:t>調查</w:t>
            </w:r>
          </w:p>
          <w:p>
            <w:pPr>
              <w:pStyle w:val="TableParagraph"/>
              <w:numPr>
                <w:ilvl w:val="0"/>
                <w:numId w:val="122"/>
              </w:numPr>
              <w:tabs>
                <w:tab w:pos="429" w:val="left" w:leader="none"/>
              </w:tabs>
              <w:spacing w:line="237" w:lineRule="auto" w:before="0" w:after="0"/>
              <w:ind w:left="428" w:right="108" w:hanging="288"/>
              <w:jc w:val="both"/>
              <w:rPr>
                <w:rFonts w:ascii="微軟正黑體" w:eastAsia="微軟正黑體" w:hint="eastAsia"/>
                <w:sz w:val="22"/>
              </w:rPr>
            </w:pPr>
            <w:r>
              <w:rPr>
                <w:rFonts w:ascii="微軟正黑體" w:eastAsia="微軟正黑體" w:hint="eastAsia"/>
                <w:color w:val="221F1F"/>
                <w:spacing w:val="18"/>
                <w:sz w:val="22"/>
              </w:rPr>
              <w:t>相關管理原則及接觸者檢查規</w:t>
            </w:r>
            <w:r>
              <w:rPr>
                <w:rFonts w:ascii="微軟正黑體" w:eastAsia="微軟正黑體" w:hint="eastAsia"/>
                <w:color w:val="221F1F"/>
                <w:spacing w:val="-11"/>
                <w:sz w:val="22"/>
              </w:rPr>
              <w:t>範，請參考工作手冊「第 </w:t>
            </w:r>
            <w:r>
              <w:rPr>
                <w:rFonts w:ascii="微軟正黑體" w:eastAsia="微軟正黑體" w:hint="eastAsia"/>
                <w:color w:val="221F1F"/>
                <w:sz w:val="22"/>
              </w:rPr>
              <w:t>11</w:t>
            </w:r>
            <w:r>
              <w:rPr>
                <w:rFonts w:ascii="微軟正黑體" w:eastAsia="微軟正黑體" w:hint="eastAsia"/>
                <w:color w:val="221F1F"/>
                <w:spacing w:val="-4"/>
                <w:sz w:val="22"/>
              </w:rPr>
              <w:t> 章結</w:t>
            </w:r>
            <w:r>
              <w:rPr>
                <w:rFonts w:ascii="微軟正黑體" w:eastAsia="微軟正黑體" w:hint="eastAsia"/>
                <w:color w:val="221F1F"/>
                <w:spacing w:val="-16"/>
                <w:sz w:val="22"/>
              </w:rPr>
              <w:t>核病接觸者追蹤管理」及「醫院感</w:t>
            </w:r>
          </w:p>
          <w:p>
            <w:pPr>
              <w:pStyle w:val="TableParagraph"/>
              <w:spacing w:line="353" w:lineRule="exact"/>
              <w:ind w:left="428"/>
              <w:rPr>
                <w:rFonts w:ascii="微軟正黑體" w:eastAsia="微軟正黑體" w:hint="eastAsia"/>
                <w:sz w:val="22"/>
              </w:rPr>
            </w:pPr>
            <w:r>
              <w:rPr>
                <w:rFonts w:ascii="微軟正黑體" w:eastAsia="微軟正黑體" w:hint="eastAsia"/>
                <w:color w:val="221F1F"/>
                <w:sz w:val="22"/>
              </w:rPr>
              <w:t>染管制查核基準」等規定辦理</w:t>
            </w:r>
          </w:p>
        </w:tc>
      </w:tr>
    </w:tbl>
    <w:p>
      <w:pPr>
        <w:pStyle w:val="BodyText"/>
        <w:rPr>
          <w:rFonts w:ascii="Arial"/>
          <w:sz w:val="20"/>
        </w:rPr>
      </w:pPr>
    </w:p>
    <w:p>
      <w:pPr>
        <w:pStyle w:val="BodyText"/>
        <w:rPr>
          <w:rFonts w:ascii="Arial"/>
          <w:sz w:val="20"/>
        </w:rPr>
      </w:pPr>
    </w:p>
    <w:p>
      <w:pPr>
        <w:pStyle w:val="BodyText"/>
        <w:spacing w:before="5"/>
        <w:rPr>
          <w:rFonts w:ascii="Arial"/>
          <w:sz w:val="23"/>
        </w:rPr>
      </w:pPr>
    </w:p>
    <w:p>
      <w:pPr>
        <w:spacing w:before="45"/>
        <w:ind w:left="436" w:right="0" w:firstLine="0"/>
        <w:jc w:val="left"/>
        <w:rPr>
          <w:rFonts w:ascii="微軟正黑體" w:eastAsia="微軟正黑體" w:hint="eastAsia"/>
          <w:sz w:val="22"/>
        </w:rPr>
      </w:pPr>
      <w:r>
        <w:rPr>
          <w:rFonts w:ascii="微軟正黑體" w:eastAsia="微軟正黑體" w:hint="eastAsia"/>
          <w:color w:val="221F1F"/>
          <w:sz w:val="22"/>
        </w:rPr>
        <w:t>三、 校園/教育單位之工作者及學生</w:t>
      </w:r>
    </w:p>
    <w:p>
      <w:pPr>
        <w:spacing w:line="235" w:lineRule="auto" w:before="182"/>
        <w:ind w:left="1005" w:right="1125" w:firstLine="0"/>
        <w:jc w:val="left"/>
        <w:rPr>
          <w:rFonts w:ascii="微軟正黑體" w:eastAsia="微軟正黑體" w:hint="eastAsia"/>
          <w:sz w:val="22"/>
        </w:rPr>
      </w:pPr>
      <w:r>
        <w:rPr/>
        <w:pict>
          <v:shape style="position:absolute;margin-left:99.264pt;margin-top:45.758255pt;width:439.7pt;height:279.45pt;mso-position-horizontal-relative:page;mso-position-vertical-relative:paragraph;z-index:25179750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3824"/>
                    <w:gridCol w:w="3824"/>
                  </w:tblGrid>
                  <w:tr>
                    <w:trPr>
                      <w:trHeight w:val="568" w:hRule="atLeast"/>
                    </w:trPr>
                    <w:tc>
                      <w:tcPr>
                        <w:tcW w:w="1130" w:type="dxa"/>
                        <w:shd w:val="clear" w:color="auto" w:fill="E8E8E8"/>
                      </w:tcPr>
                      <w:p>
                        <w:pPr>
                          <w:pStyle w:val="TableParagraph"/>
                          <w:spacing w:before="132"/>
                          <w:ind w:left="103" w:right="96"/>
                          <w:jc w:val="center"/>
                          <w:rPr>
                            <w:rFonts w:ascii="微軟正黑體" w:eastAsia="微軟正黑體" w:hint="eastAsia"/>
                            <w:b/>
                            <w:sz w:val="22"/>
                          </w:rPr>
                        </w:pPr>
                        <w:r>
                          <w:rPr>
                            <w:rFonts w:ascii="微軟正黑體" w:eastAsia="微軟正黑體" w:hint="eastAsia"/>
                            <w:b/>
                            <w:color w:val="221F1F"/>
                            <w:sz w:val="22"/>
                          </w:rPr>
                          <w:t>時程</w:t>
                        </w:r>
                      </w:p>
                    </w:tc>
                    <w:tc>
                      <w:tcPr>
                        <w:tcW w:w="3824" w:type="dxa"/>
                        <w:shd w:val="clear" w:color="auto" w:fill="E8E8E8"/>
                      </w:tcPr>
                      <w:p>
                        <w:pPr>
                          <w:pStyle w:val="TableParagraph"/>
                          <w:spacing w:before="132"/>
                          <w:ind w:left="1203"/>
                          <w:rPr>
                            <w:rFonts w:ascii="微軟正黑體" w:eastAsia="微軟正黑體" w:hint="eastAsia"/>
                            <w:b/>
                            <w:sz w:val="22"/>
                          </w:rPr>
                        </w:pPr>
                        <w:r>
                          <w:rPr>
                            <w:rFonts w:ascii="Times New Roman" w:eastAsia="Times New Roman"/>
                            <w:color w:val="221F1F"/>
                            <w:spacing w:val="-56"/>
                            <w:w w:val="100"/>
                            <w:sz w:val="22"/>
                            <w:u w:val="single" w:color="221F1F"/>
                          </w:rPr>
                          <w:t> </w:t>
                        </w:r>
                        <w:r>
                          <w:rPr>
                            <w:rFonts w:ascii="微軟正黑體" w:eastAsia="微軟正黑體" w:hint="eastAsia"/>
                            <w:b/>
                            <w:color w:val="221F1F"/>
                            <w:sz w:val="22"/>
                            <w:u w:val="single" w:color="221F1F"/>
                          </w:rPr>
                          <w:t>校園/教育單位</w:t>
                        </w:r>
                      </w:p>
                    </w:tc>
                    <w:tc>
                      <w:tcPr>
                        <w:tcW w:w="3824" w:type="dxa"/>
                        <w:tcBorders>
                          <w:right w:val="single" w:sz="6" w:space="0" w:color="000000"/>
                        </w:tcBorders>
                        <w:shd w:val="clear" w:color="auto" w:fill="E8E8E8"/>
                      </w:tcPr>
                      <w:p>
                        <w:pPr>
                          <w:pStyle w:val="TableParagraph"/>
                          <w:spacing w:before="108"/>
                          <w:ind w:left="1453" w:right="1438"/>
                          <w:jc w:val="center"/>
                          <w:rPr>
                            <w:rFonts w:ascii="微軟正黑體" w:eastAsia="微軟正黑體" w:hint="eastAsia"/>
                            <w:b/>
                            <w:sz w:val="22"/>
                          </w:rPr>
                        </w:pPr>
                        <w:r>
                          <w:rPr>
                            <w:rFonts w:ascii="微軟正黑體" w:eastAsia="微軟正黑體" w:hint="eastAsia"/>
                            <w:b/>
                            <w:color w:val="221F1F"/>
                            <w:sz w:val="22"/>
                          </w:rPr>
                          <w:t>衛生單位</w:t>
                        </w:r>
                      </w:p>
                    </w:tc>
                  </w:tr>
                  <w:tr>
                    <w:trPr>
                      <w:trHeight w:val="3780" w:hRule="atLeast"/>
                    </w:trPr>
                    <w:tc>
                      <w:tcPr>
                        <w:tcW w:w="1130" w:type="dxa"/>
                      </w:tcPr>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spacing w:before="5"/>
                          <w:rPr>
                            <w:rFonts w:ascii="Arial"/>
                            <w:sz w:val="37"/>
                          </w:rPr>
                        </w:pPr>
                      </w:p>
                      <w:p>
                        <w:pPr>
                          <w:pStyle w:val="TableParagraph"/>
                          <w:ind w:left="103" w:right="96"/>
                          <w:jc w:val="center"/>
                          <w:rPr>
                            <w:rFonts w:ascii="微軟正黑體" w:eastAsia="微軟正黑體" w:hint="eastAsia"/>
                            <w:sz w:val="22"/>
                          </w:rPr>
                        </w:pPr>
                        <w:r>
                          <w:rPr>
                            <w:rFonts w:ascii="微軟正黑體" w:eastAsia="微軟正黑體" w:hint="eastAsia"/>
                            <w:color w:val="221F1F"/>
                            <w:sz w:val="22"/>
                          </w:rPr>
                          <w:t>平時作為</w:t>
                        </w:r>
                      </w:p>
                    </w:tc>
                    <w:tc>
                      <w:tcPr>
                        <w:tcW w:w="3824" w:type="dxa"/>
                      </w:tcPr>
                      <w:p>
                        <w:pPr>
                          <w:pStyle w:val="TableParagraph"/>
                          <w:numPr>
                            <w:ilvl w:val="0"/>
                            <w:numId w:val="123"/>
                          </w:numPr>
                          <w:tabs>
                            <w:tab w:pos="401" w:val="left" w:leader="none"/>
                          </w:tabs>
                          <w:spacing w:line="235" w:lineRule="auto" w:before="214" w:after="0"/>
                          <w:ind w:left="459" w:right="113" w:hanging="246"/>
                          <w:jc w:val="left"/>
                          <w:rPr>
                            <w:rFonts w:ascii="微軟正黑體" w:eastAsia="微軟正黑體" w:hint="eastAsia"/>
                            <w:sz w:val="22"/>
                          </w:rPr>
                        </w:pPr>
                        <w:r>
                          <w:rPr>
                            <w:rFonts w:ascii="微軟正黑體" w:eastAsia="微軟正黑體" w:hint="eastAsia"/>
                            <w:color w:val="221F1F"/>
                            <w:spacing w:val="13"/>
                            <w:sz w:val="22"/>
                          </w:rPr>
                          <w:t>辦理結核病防治衛教宣導及自我</w:t>
                        </w:r>
                        <w:r>
                          <w:rPr>
                            <w:rFonts w:ascii="微軟正黑體" w:eastAsia="微軟正黑體" w:hint="eastAsia"/>
                            <w:color w:val="221F1F"/>
                            <w:spacing w:val="-1"/>
                            <w:sz w:val="22"/>
                          </w:rPr>
                          <w:t>健康監測與管理</w:t>
                        </w:r>
                      </w:p>
                      <w:p>
                        <w:pPr>
                          <w:pStyle w:val="TableParagraph"/>
                          <w:numPr>
                            <w:ilvl w:val="0"/>
                            <w:numId w:val="123"/>
                          </w:numPr>
                          <w:tabs>
                            <w:tab w:pos="401" w:val="left" w:leader="none"/>
                          </w:tabs>
                          <w:spacing w:line="237" w:lineRule="auto" w:before="4" w:after="0"/>
                          <w:ind w:left="459" w:right="113" w:hanging="246"/>
                          <w:jc w:val="both"/>
                          <w:rPr>
                            <w:rFonts w:ascii="微軟正黑體" w:eastAsia="微軟正黑體" w:hint="eastAsia"/>
                            <w:sz w:val="22"/>
                          </w:rPr>
                        </w:pPr>
                        <w:r>
                          <w:rPr>
                            <w:rFonts w:ascii="微軟正黑體" w:eastAsia="微軟正黑體" w:hint="eastAsia"/>
                            <w:color w:val="221F1F"/>
                            <w:spacing w:val="13"/>
                            <w:sz w:val="22"/>
                          </w:rPr>
                          <w:t>平日應針對室內空氣品質定期自</w:t>
                        </w:r>
                        <w:r>
                          <w:rPr>
                            <w:rFonts w:ascii="微軟正黑體" w:eastAsia="微軟正黑體" w:hint="eastAsia"/>
                            <w:color w:val="221F1F"/>
                            <w:spacing w:val="8"/>
                            <w:sz w:val="22"/>
                          </w:rPr>
                          <w:t>我監測，維持良好的室內空氣品質</w:t>
                        </w:r>
                      </w:p>
                      <w:p>
                        <w:pPr>
                          <w:pStyle w:val="TableParagraph"/>
                          <w:numPr>
                            <w:ilvl w:val="0"/>
                            <w:numId w:val="123"/>
                          </w:numPr>
                          <w:tabs>
                            <w:tab w:pos="393" w:val="left" w:leader="none"/>
                          </w:tabs>
                          <w:spacing w:line="237" w:lineRule="auto" w:before="0" w:after="0"/>
                          <w:ind w:left="459" w:right="117" w:hanging="246"/>
                          <w:jc w:val="both"/>
                          <w:rPr>
                            <w:rFonts w:ascii="微軟正黑體" w:eastAsia="微軟正黑體" w:hint="eastAsia"/>
                            <w:sz w:val="22"/>
                          </w:rPr>
                        </w:pPr>
                        <w:r>
                          <w:rPr>
                            <w:rFonts w:ascii="微軟正黑體" w:eastAsia="微軟正黑體" w:hint="eastAsia"/>
                            <w:color w:val="221F1F"/>
                            <w:spacing w:val="-41"/>
                            <w:sz w:val="22"/>
                          </w:rPr>
                          <w:t>依</w:t>
                        </w:r>
                        <w:r>
                          <w:rPr>
                            <w:rFonts w:ascii="微軟正黑體" w:eastAsia="微軟正黑體" w:hint="eastAsia"/>
                            <w:color w:val="221F1F"/>
                            <w:spacing w:val="19"/>
                            <w:sz w:val="22"/>
                          </w:rPr>
                          <w:t>（註</w:t>
                        </w:r>
                        <w:r>
                          <w:rPr>
                            <w:rFonts w:ascii="微軟正黑體" w:eastAsia="微軟正黑體" w:hint="eastAsia"/>
                            <w:color w:val="221F1F"/>
                            <w:spacing w:val="-80"/>
                            <w:sz w:val="22"/>
                          </w:rPr>
                          <w:t>）</w:t>
                        </w:r>
                        <w:r>
                          <w:rPr>
                            <w:rFonts w:ascii="微軟正黑體" w:eastAsia="微軟正黑體" w:hint="eastAsia"/>
                            <w:color w:val="221F1F"/>
                            <w:spacing w:val="15"/>
                            <w:sz w:val="22"/>
                          </w:rPr>
                          <w:t>「在學學生</w:t>
                        </w:r>
                        <w:r>
                          <w:rPr>
                            <w:rFonts w:ascii="微軟正黑體" w:eastAsia="微軟正黑體" w:hint="eastAsia"/>
                            <w:color w:val="221F1F"/>
                            <w:sz w:val="22"/>
                          </w:rPr>
                          <w:t>/</w:t>
                        </w:r>
                        <w:r>
                          <w:rPr>
                            <w:rFonts w:ascii="微軟正黑體" w:eastAsia="微軟正黑體" w:hint="eastAsia"/>
                            <w:color w:val="221F1F"/>
                            <w:spacing w:val="9"/>
                            <w:sz w:val="22"/>
                          </w:rPr>
                          <w:t>新生</w:t>
                        </w:r>
                        <w:r>
                          <w:rPr>
                            <w:rFonts w:ascii="微軟正黑體" w:eastAsia="微軟正黑體" w:hint="eastAsia"/>
                            <w:color w:val="221F1F"/>
                            <w:sz w:val="22"/>
                          </w:rPr>
                          <w:t>/</w:t>
                        </w:r>
                        <w:r>
                          <w:rPr>
                            <w:rFonts w:ascii="微軟正黑體" w:eastAsia="微軟正黑體" w:hint="eastAsia"/>
                            <w:color w:val="221F1F"/>
                            <w:spacing w:val="2"/>
                            <w:sz w:val="22"/>
                          </w:rPr>
                          <w:t>教職員</w:t>
                        </w:r>
                        <w:r>
                          <w:rPr>
                            <w:rFonts w:ascii="微軟正黑體" w:eastAsia="微軟正黑體" w:hint="eastAsia"/>
                            <w:color w:val="221F1F"/>
                            <w:spacing w:val="7"/>
                            <w:sz w:val="22"/>
                          </w:rPr>
                          <w:t>工定期體檢胸部Ｘ光異常追蹤流</w:t>
                        </w:r>
                        <w:r>
                          <w:rPr>
                            <w:rFonts w:ascii="微軟正黑體" w:eastAsia="微軟正黑體" w:hint="eastAsia"/>
                            <w:color w:val="221F1F"/>
                            <w:spacing w:val="-36"/>
                            <w:sz w:val="22"/>
                          </w:rPr>
                          <w:t>程」</w:t>
                        </w:r>
                        <w:r>
                          <w:rPr>
                            <w:rFonts w:ascii="微軟正黑體" w:eastAsia="微軟正黑體" w:hint="eastAsia"/>
                            <w:color w:val="221F1F"/>
                            <w:spacing w:val="16"/>
                            <w:sz w:val="22"/>
                          </w:rPr>
                          <w:t>（</w:t>
                        </w:r>
                        <w:r>
                          <w:rPr>
                            <w:rFonts w:ascii="微軟正黑體" w:eastAsia="微軟正黑體" w:hint="eastAsia"/>
                            <w:color w:val="221F1F"/>
                            <w:spacing w:val="6"/>
                            <w:sz w:val="22"/>
                          </w:rPr>
                          <w:t>圖 </w:t>
                        </w:r>
                        <w:r>
                          <w:rPr>
                            <w:rFonts w:ascii="微軟正黑體" w:eastAsia="微軟正黑體" w:hint="eastAsia"/>
                            <w:color w:val="221F1F"/>
                            <w:spacing w:val="-24"/>
                            <w:sz w:val="22"/>
                          </w:rPr>
                          <w:t>1）</w:t>
                        </w:r>
                        <w:r>
                          <w:rPr>
                            <w:rFonts w:ascii="微軟正黑體" w:eastAsia="微軟正黑體" w:hint="eastAsia"/>
                            <w:color w:val="221F1F"/>
                            <w:spacing w:val="3"/>
                            <w:sz w:val="22"/>
                          </w:rPr>
                          <w:t>，落實體檢報告胸部</w:t>
                        </w:r>
                      </w:p>
                      <w:p>
                        <w:pPr>
                          <w:pStyle w:val="TableParagraph"/>
                          <w:spacing w:line="347" w:lineRule="exact"/>
                          <w:ind w:left="459"/>
                          <w:jc w:val="both"/>
                          <w:rPr>
                            <w:rFonts w:ascii="微軟正黑體" w:eastAsia="微軟正黑體" w:hint="eastAsia"/>
                            <w:sz w:val="22"/>
                          </w:rPr>
                        </w:pPr>
                        <w:r>
                          <w:rPr>
                            <w:rFonts w:ascii="微軟正黑體" w:eastAsia="微軟正黑體" w:hint="eastAsia"/>
                            <w:color w:val="221F1F"/>
                            <w:sz w:val="22"/>
                          </w:rPr>
                          <w:t>X 光異常之追蹤轉介</w:t>
                        </w:r>
                      </w:p>
                    </w:tc>
                    <w:tc>
                      <w:tcPr>
                        <w:tcW w:w="3824" w:type="dxa"/>
                        <w:tcBorders>
                          <w:right w:val="single" w:sz="6" w:space="0" w:color="000000"/>
                        </w:tcBorders>
                      </w:tcPr>
                      <w:p>
                        <w:pPr>
                          <w:pStyle w:val="TableParagraph"/>
                          <w:numPr>
                            <w:ilvl w:val="0"/>
                            <w:numId w:val="124"/>
                          </w:numPr>
                          <w:tabs>
                            <w:tab w:pos="397" w:val="left" w:leader="none"/>
                          </w:tabs>
                          <w:spacing w:line="235" w:lineRule="auto" w:before="34" w:after="0"/>
                          <w:ind w:left="458" w:right="120" w:hanging="245"/>
                          <w:jc w:val="left"/>
                          <w:rPr>
                            <w:rFonts w:ascii="微軟正黑體" w:eastAsia="微軟正黑體" w:hint="eastAsia"/>
                            <w:sz w:val="22"/>
                          </w:rPr>
                        </w:pPr>
                        <w:r>
                          <w:rPr>
                            <w:rFonts w:ascii="微軟正黑體" w:eastAsia="微軟正黑體" w:hint="eastAsia"/>
                            <w:color w:val="221F1F"/>
                            <w:spacing w:val="8"/>
                            <w:sz w:val="22"/>
                          </w:rPr>
                          <w:t>定期監控校園</w:t>
                        </w:r>
                        <w:r>
                          <w:rPr>
                            <w:rFonts w:ascii="微軟正黑體" w:eastAsia="微軟正黑體" w:hint="eastAsia"/>
                            <w:color w:val="221F1F"/>
                            <w:spacing w:val="3"/>
                            <w:sz w:val="22"/>
                          </w:rPr>
                          <w:t>/</w:t>
                        </w:r>
                        <w:r>
                          <w:rPr>
                            <w:rFonts w:ascii="微軟正黑體" w:eastAsia="微軟正黑體" w:hint="eastAsia"/>
                            <w:color w:val="221F1F"/>
                            <w:spacing w:val="5"/>
                            <w:sz w:val="22"/>
                          </w:rPr>
                          <w:t>教育單位是否發生</w:t>
                        </w:r>
                        <w:r>
                          <w:rPr>
                            <w:rFonts w:ascii="微軟正黑體" w:eastAsia="微軟正黑體" w:hint="eastAsia"/>
                            <w:color w:val="221F1F"/>
                            <w:spacing w:val="1"/>
                            <w:sz w:val="22"/>
                          </w:rPr>
                          <w:t>疑似聚集事件</w:t>
                        </w:r>
                      </w:p>
                      <w:p>
                        <w:pPr>
                          <w:pStyle w:val="TableParagraph"/>
                          <w:numPr>
                            <w:ilvl w:val="0"/>
                            <w:numId w:val="124"/>
                          </w:numPr>
                          <w:tabs>
                            <w:tab w:pos="406" w:val="left" w:leader="none"/>
                          </w:tabs>
                          <w:spacing w:line="237" w:lineRule="auto" w:before="4" w:after="0"/>
                          <w:ind w:left="458" w:right="122" w:hanging="245"/>
                          <w:jc w:val="left"/>
                          <w:rPr>
                            <w:rFonts w:ascii="微軟正黑體" w:eastAsia="微軟正黑體" w:hint="eastAsia"/>
                            <w:sz w:val="22"/>
                          </w:rPr>
                        </w:pPr>
                        <w:r>
                          <w:rPr>
                            <w:rFonts w:ascii="微軟正黑體" w:eastAsia="微軟正黑體" w:hint="eastAsia"/>
                            <w:color w:val="221F1F"/>
                            <w:spacing w:val="12"/>
                            <w:sz w:val="22"/>
                          </w:rPr>
                          <w:t>必要時協助辦理結核病防治衛教</w:t>
                        </w:r>
                        <w:r>
                          <w:rPr>
                            <w:rFonts w:ascii="微軟正黑體" w:eastAsia="微軟正黑體" w:hint="eastAsia"/>
                            <w:color w:val="221F1F"/>
                            <w:sz w:val="22"/>
                          </w:rPr>
                          <w:t>宣導</w:t>
                        </w:r>
                      </w:p>
                    </w:tc>
                  </w:tr>
                  <w:tr>
                    <w:trPr>
                      <w:trHeight w:val="1200" w:hRule="atLeast"/>
                    </w:trPr>
                    <w:tc>
                      <w:tcPr>
                        <w:tcW w:w="1130" w:type="dxa"/>
                      </w:tcPr>
                      <w:p>
                        <w:pPr>
                          <w:pStyle w:val="TableParagraph"/>
                          <w:spacing w:before="3"/>
                          <w:rPr>
                            <w:rFonts w:ascii="Arial"/>
                            <w:sz w:val="28"/>
                          </w:rPr>
                        </w:pPr>
                      </w:p>
                      <w:p>
                        <w:pPr>
                          <w:pStyle w:val="TableParagraph"/>
                          <w:spacing w:line="235" w:lineRule="auto"/>
                          <w:ind w:left="122" w:right="112"/>
                          <w:rPr>
                            <w:rFonts w:ascii="微軟正黑體" w:eastAsia="微軟正黑體" w:hint="eastAsia"/>
                            <w:sz w:val="22"/>
                          </w:rPr>
                        </w:pPr>
                        <w:r>
                          <w:rPr>
                            <w:rFonts w:ascii="微軟正黑體" w:eastAsia="微軟正黑體" w:hint="eastAsia"/>
                            <w:color w:val="221F1F"/>
                            <w:sz w:val="22"/>
                          </w:rPr>
                          <w:t>出現結核病病人時</w:t>
                        </w:r>
                      </w:p>
                    </w:tc>
                    <w:tc>
                      <w:tcPr>
                        <w:tcW w:w="3824" w:type="dxa"/>
                      </w:tcPr>
                      <w:p>
                        <w:pPr>
                          <w:pStyle w:val="TableParagraph"/>
                          <w:spacing w:line="402" w:lineRule="exact" w:before="28"/>
                          <w:ind w:right="110"/>
                          <w:jc w:val="right"/>
                          <w:rPr>
                            <w:rFonts w:ascii="微軟正黑體" w:eastAsia="微軟正黑體" w:hint="eastAsia"/>
                            <w:sz w:val="22"/>
                          </w:rPr>
                        </w:pPr>
                        <w:r>
                          <w:rPr>
                            <w:rFonts w:ascii="微軟正黑體" w:eastAsia="微軟正黑體" w:hint="eastAsia"/>
                            <w:color w:val="221F1F"/>
                            <w:sz w:val="22"/>
                          </w:rPr>
                          <w:t>1. 遵守傳染病防治法第 10 條及第</w:t>
                        </w:r>
                      </w:p>
                      <w:p>
                        <w:pPr>
                          <w:pStyle w:val="TableParagraph"/>
                          <w:spacing w:line="400" w:lineRule="exact"/>
                          <w:ind w:right="62"/>
                          <w:jc w:val="right"/>
                          <w:rPr>
                            <w:rFonts w:ascii="微軟正黑體" w:eastAsia="微軟正黑體" w:hint="eastAsia"/>
                            <w:sz w:val="22"/>
                          </w:rPr>
                        </w:pPr>
                        <w:r>
                          <w:rPr>
                            <w:rFonts w:ascii="微軟正黑體" w:eastAsia="微軟正黑體" w:hint="eastAsia"/>
                            <w:color w:val="221F1F"/>
                            <w:sz w:val="22"/>
                          </w:rPr>
                          <w:t>12 條規定，保護個案隱私及就學、</w:t>
                        </w:r>
                      </w:p>
                      <w:p>
                        <w:pPr>
                          <w:pStyle w:val="TableParagraph"/>
                          <w:spacing w:line="350" w:lineRule="exact"/>
                          <w:ind w:right="117"/>
                          <w:jc w:val="right"/>
                          <w:rPr>
                            <w:rFonts w:ascii="微軟正黑體" w:eastAsia="微軟正黑體" w:hint="eastAsia"/>
                            <w:sz w:val="22"/>
                          </w:rPr>
                        </w:pPr>
                        <w:r>
                          <w:rPr>
                            <w:rFonts w:ascii="微軟正黑體" w:eastAsia="微軟正黑體" w:hint="eastAsia"/>
                            <w:color w:val="221F1F"/>
                            <w:sz w:val="22"/>
                          </w:rPr>
                          <w:t>工作等相關權益，並不得洩漏個案</w:t>
                        </w:r>
                      </w:p>
                    </w:tc>
                    <w:tc>
                      <w:tcPr>
                        <w:tcW w:w="3824" w:type="dxa"/>
                        <w:tcBorders>
                          <w:right w:val="single" w:sz="6" w:space="0" w:color="000000"/>
                        </w:tcBorders>
                      </w:tcPr>
                      <w:p>
                        <w:pPr>
                          <w:pStyle w:val="TableParagraph"/>
                          <w:spacing w:line="237" w:lineRule="auto" w:before="31"/>
                          <w:ind w:left="468" w:right="115" w:hanging="284"/>
                          <w:rPr>
                            <w:rFonts w:ascii="微軟正黑體" w:eastAsia="微軟正黑體" w:hint="eastAsia"/>
                            <w:sz w:val="22"/>
                          </w:rPr>
                        </w:pPr>
                        <w:r>
                          <w:rPr>
                            <w:rFonts w:ascii="微軟正黑體" w:eastAsia="微軟正黑體" w:hint="eastAsia"/>
                            <w:color w:val="221F1F"/>
                            <w:sz w:val="22"/>
                          </w:rPr>
                          <w:t>1</w:t>
                        </w:r>
                        <w:r>
                          <w:rPr>
                            <w:rFonts w:ascii="微軟正黑體" w:eastAsia="微軟正黑體" w:hint="eastAsia"/>
                            <w:color w:val="221F1F"/>
                            <w:spacing w:val="-8"/>
                            <w:sz w:val="22"/>
                          </w:rPr>
                          <w:t>. 協助開立結核病個案有效服藥</w:t>
                        </w:r>
                        <w:r>
                          <w:rPr>
                            <w:rFonts w:ascii="微軟正黑體" w:eastAsia="微軟正黑體" w:hint="eastAsia"/>
                            <w:color w:val="221F1F"/>
                            <w:sz w:val="22"/>
                          </w:rPr>
                          <w:t>（</w:t>
                        </w:r>
                        <w:r>
                          <w:rPr>
                            <w:rFonts w:ascii="微軟正黑體" w:eastAsia="微軟正黑體" w:hint="eastAsia"/>
                            <w:color w:val="221F1F"/>
                            <w:spacing w:val="-14"/>
                            <w:sz w:val="22"/>
                          </w:rPr>
                          <w:t>加</w:t>
                        </w:r>
                        <w:r>
                          <w:rPr>
                            <w:rFonts w:ascii="微軟正黑體" w:eastAsia="微軟正黑體" w:hint="eastAsia"/>
                            <w:color w:val="221F1F"/>
                            <w:spacing w:val="17"/>
                            <w:sz w:val="22"/>
                          </w:rPr>
                          <w:t>入 </w:t>
                        </w:r>
                        <w:r>
                          <w:rPr>
                            <w:rFonts w:ascii="微軟正黑體" w:eastAsia="微軟正黑體" w:hint="eastAsia"/>
                            <w:color w:val="221F1F"/>
                            <w:sz w:val="22"/>
                          </w:rPr>
                          <w:t>DOTS）14 天以上之「結核病</w:t>
                        </w:r>
                      </w:p>
                      <w:p>
                        <w:pPr>
                          <w:pStyle w:val="TableParagraph"/>
                          <w:spacing w:line="347" w:lineRule="exact"/>
                          <w:ind w:left="468"/>
                          <w:rPr>
                            <w:rFonts w:ascii="微軟正黑體" w:eastAsia="微軟正黑體" w:hint="eastAsia"/>
                            <w:sz w:val="22"/>
                          </w:rPr>
                        </w:pPr>
                        <w:r>
                          <w:rPr>
                            <w:rFonts w:ascii="微軟正黑體" w:eastAsia="微軟正黑體" w:hint="eastAsia"/>
                            <w:color w:val="221F1F"/>
                            <w:spacing w:val="-2"/>
                            <w:sz w:val="22"/>
                          </w:rPr>
                          <w:t>個案可恢復上班</w:t>
                        </w:r>
                        <w:r>
                          <w:rPr>
                            <w:rFonts w:ascii="微軟正黑體" w:eastAsia="微軟正黑體" w:hint="eastAsia"/>
                            <w:color w:val="221F1F"/>
                            <w:sz w:val="22"/>
                          </w:rPr>
                          <w:t>/</w:t>
                        </w:r>
                        <w:r>
                          <w:rPr>
                            <w:rFonts w:ascii="微軟正黑體" w:eastAsia="微軟正黑體" w:hint="eastAsia"/>
                            <w:color w:val="221F1F"/>
                            <w:spacing w:val="-3"/>
                            <w:sz w:val="22"/>
                          </w:rPr>
                          <w:t>上課證明單</w:t>
                        </w:r>
                        <w:r>
                          <w:rPr>
                            <w:rFonts w:ascii="微軟正黑體" w:eastAsia="微軟正黑體" w:hint="eastAsia"/>
                            <w:color w:val="221F1F"/>
                            <w:spacing w:val="-171"/>
                            <w:sz w:val="22"/>
                          </w:rPr>
                          <w:t>」</w:t>
                        </w:r>
                        <w:r>
                          <w:rPr>
                            <w:rFonts w:ascii="微軟正黑體" w:eastAsia="微軟正黑體" w:hint="eastAsia"/>
                            <w:color w:val="221F1F"/>
                            <w:sz w:val="22"/>
                          </w:rPr>
                          <w:t>（附</w:t>
                        </w:r>
                      </w:p>
                    </w:tc>
                  </w:tr>
                </w:tbl>
                <w:p>
                  <w:pPr>
                    <w:pStyle w:val="BodyText"/>
                  </w:pPr>
                </w:p>
              </w:txbxContent>
            </v:textbox>
            <w10:wrap type="none"/>
          </v:shape>
        </w:pict>
      </w:r>
      <w:r>
        <w:rPr>
          <w:rFonts w:ascii="微軟正黑體" w:eastAsia="微軟正黑體" w:hint="eastAsia"/>
          <w:sz w:val="22"/>
        </w:rPr>
        <w:t>有關校園/</w:t>
      </w:r>
      <w:r>
        <w:rPr>
          <w:rFonts w:ascii="微軟正黑體" w:eastAsia="微軟正黑體" w:hint="eastAsia"/>
          <w:spacing w:val="-9"/>
          <w:sz w:val="22"/>
        </w:rPr>
        <w:t>教育單位</w:t>
      </w:r>
      <w:r>
        <w:rPr>
          <w:rFonts w:ascii="微軟正黑體" w:eastAsia="微軟正黑體" w:hint="eastAsia"/>
          <w:sz w:val="22"/>
        </w:rPr>
        <w:t>（</w:t>
      </w:r>
      <w:r>
        <w:rPr>
          <w:rFonts w:ascii="微軟正黑體" w:eastAsia="微軟正黑體" w:hint="eastAsia"/>
          <w:spacing w:val="-6"/>
          <w:sz w:val="22"/>
        </w:rPr>
        <w:t>包含補習班、課輔</w:t>
      </w:r>
      <w:r>
        <w:rPr>
          <w:rFonts w:ascii="微軟正黑體" w:eastAsia="微軟正黑體" w:hint="eastAsia"/>
          <w:spacing w:val="-29"/>
          <w:sz w:val="22"/>
        </w:rPr>
        <w:t>）</w:t>
      </w:r>
      <w:r>
        <w:rPr>
          <w:rFonts w:ascii="微軟正黑體" w:eastAsia="微軟正黑體" w:hint="eastAsia"/>
          <w:spacing w:val="-5"/>
          <w:sz w:val="22"/>
        </w:rPr>
        <w:t>之結核病防治相關內容，請參閱疾病管制署全球資</w:t>
      </w:r>
      <w:r>
        <w:rPr>
          <w:rFonts w:ascii="微軟正黑體" w:eastAsia="微軟正黑體" w:hint="eastAsia"/>
          <w:spacing w:val="-4"/>
          <w:sz w:val="22"/>
        </w:rPr>
        <w:t>訊網首頁&gt;傳染病與防疫專題&gt;傳染病介紹&gt;第三類法定傳染病&gt;結核病&gt;校園防治專區。</w:t>
      </w: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spacing w:before="14"/>
        <w:rPr>
          <w:rFonts w:ascii="微軟正黑體"/>
          <w:sz w:val="38"/>
        </w:rPr>
      </w:pPr>
    </w:p>
    <w:p>
      <w:pPr>
        <w:spacing w:before="1"/>
        <w:ind w:left="0" w:right="391" w:firstLine="0"/>
        <w:jc w:val="right"/>
        <w:rPr>
          <w:rFonts w:ascii="Arial"/>
          <w:sz w:val="16"/>
        </w:rPr>
      </w:pPr>
      <w:r>
        <w:rPr>
          <w:rFonts w:ascii="Arial"/>
          <w:color w:val="221F1F"/>
          <w:w w:val="100"/>
          <w:sz w:val="16"/>
        </w:rPr>
        <w:t>4</w:t>
      </w:r>
    </w:p>
    <w:p>
      <w:pPr>
        <w:spacing w:after="0"/>
        <w:jc w:val="right"/>
        <w:rPr>
          <w:rFonts w:ascii="Arial"/>
          <w:sz w:val="16"/>
        </w:rPr>
        <w:sectPr>
          <w:pgSz w:w="11910" w:h="16840"/>
          <w:pgMar w:top="1120" w:bottom="280" w:left="980" w:right="2"/>
        </w:sectPr>
      </w:pPr>
    </w:p>
    <w:tbl>
      <w:tblPr>
        <w:tblW w:w="0" w:type="auto"/>
        <w:jc w:val="left"/>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3824"/>
        <w:gridCol w:w="3824"/>
      </w:tblGrid>
      <w:tr>
        <w:trPr>
          <w:trHeight w:val="568" w:hRule="atLeast"/>
        </w:trPr>
        <w:tc>
          <w:tcPr>
            <w:tcW w:w="1130" w:type="dxa"/>
            <w:shd w:val="clear" w:color="auto" w:fill="E8E8E8"/>
          </w:tcPr>
          <w:p>
            <w:pPr>
              <w:pStyle w:val="TableParagraph"/>
              <w:spacing w:before="126"/>
              <w:ind w:left="103" w:right="96"/>
              <w:jc w:val="center"/>
              <w:rPr>
                <w:rFonts w:ascii="微軟正黑體" w:eastAsia="微軟正黑體" w:hint="eastAsia"/>
                <w:b/>
                <w:sz w:val="22"/>
              </w:rPr>
            </w:pPr>
            <w:r>
              <w:rPr>
                <w:rFonts w:ascii="微軟正黑體" w:eastAsia="微軟正黑體" w:hint="eastAsia"/>
                <w:b/>
                <w:color w:val="221F1F"/>
                <w:sz w:val="22"/>
              </w:rPr>
              <w:t>時程</w:t>
            </w:r>
          </w:p>
        </w:tc>
        <w:tc>
          <w:tcPr>
            <w:tcW w:w="3824" w:type="dxa"/>
            <w:shd w:val="clear" w:color="auto" w:fill="E8E8E8"/>
          </w:tcPr>
          <w:p>
            <w:pPr>
              <w:pStyle w:val="TableParagraph"/>
              <w:spacing w:before="126"/>
              <w:ind w:left="1203"/>
              <w:rPr>
                <w:rFonts w:ascii="微軟正黑體" w:eastAsia="微軟正黑體" w:hint="eastAsia"/>
                <w:b/>
                <w:sz w:val="22"/>
              </w:rPr>
            </w:pPr>
            <w:r>
              <w:rPr>
                <w:rFonts w:ascii="Times New Roman" w:eastAsia="Times New Roman"/>
                <w:color w:val="221F1F"/>
                <w:spacing w:val="-56"/>
                <w:w w:val="100"/>
                <w:sz w:val="22"/>
                <w:u w:val="single" w:color="221F1F"/>
              </w:rPr>
              <w:t> </w:t>
            </w:r>
            <w:r>
              <w:rPr>
                <w:rFonts w:ascii="微軟正黑體" w:eastAsia="微軟正黑體" w:hint="eastAsia"/>
                <w:b/>
                <w:color w:val="221F1F"/>
                <w:sz w:val="22"/>
                <w:u w:val="single" w:color="221F1F"/>
              </w:rPr>
              <w:t>校園/教育單位</w:t>
            </w:r>
          </w:p>
        </w:tc>
        <w:tc>
          <w:tcPr>
            <w:tcW w:w="3824" w:type="dxa"/>
            <w:tcBorders>
              <w:right w:val="single" w:sz="6" w:space="0" w:color="000000"/>
            </w:tcBorders>
            <w:shd w:val="clear" w:color="auto" w:fill="E8E8E8"/>
          </w:tcPr>
          <w:p>
            <w:pPr>
              <w:pStyle w:val="TableParagraph"/>
              <w:spacing w:before="102"/>
              <w:ind w:left="1453" w:right="1438"/>
              <w:jc w:val="center"/>
              <w:rPr>
                <w:rFonts w:ascii="微軟正黑體" w:eastAsia="微軟正黑體" w:hint="eastAsia"/>
                <w:b/>
                <w:sz w:val="22"/>
              </w:rPr>
            </w:pPr>
            <w:r>
              <w:rPr>
                <w:rFonts w:ascii="微軟正黑體" w:eastAsia="微軟正黑體" w:hint="eastAsia"/>
                <w:b/>
                <w:color w:val="221F1F"/>
                <w:sz w:val="22"/>
              </w:rPr>
              <w:t>衛生單位</w:t>
            </w:r>
          </w:p>
        </w:tc>
      </w:tr>
      <w:tr>
        <w:trPr>
          <w:trHeight w:val="3780" w:hRule="atLeast"/>
        </w:trPr>
        <w:tc>
          <w:tcPr>
            <w:tcW w:w="1130" w:type="dxa"/>
          </w:tcPr>
          <w:p>
            <w:pPr>
              <w:pStyle w:val="TableParagraph"/>
              <w:rPr>
                <w:rFonts w:ascii="Times New Roman"/>
                <w:sz w:val="22"/>
              </w:rPr>
            </w:pPr>
          </w:p>
        </w:tc>
        <w:tc>
          <w:tcPr>
            <w:tcW w:w="3824" w:type="dxa"/>
          </w:tcPr>
          <w:p>
            <w:pPr>
              <w:pStyle w:val="TableParagraph"/>
              <w:spacing w:line="401" w:lineRule="exact" w:before="23"/>
              <w:ind w:left="468"/>
              <w:rPr>
                <w:rFonts w:ascii="微軟正黑體" w:eastAsia="微軟正黑體" w:hint="eastAsia"/>
                <w:sz w:val="22"/>
              </w:rPr>
            </w:pPr>
            <w:r>
              <w:rPr>
                <w:rFonts w:ascii="微軟正黑體" w:eastAsia="微軟正黑體" w:hint="eastAsia"/>
                <w:color w:val="221F1F"/>
                <w:sz w:val="22"/>
              </w:rPr>
              <w:t>姓名及相關資料</w:t>
            </w:r>
          </w:p>
          <w:p>
            <w:pPr>
              <w:pStyle w:val="TableParagraph"/>
              <w:numPr>
                <w:ilvl w:val="0"/>
                <w:numId w:val="125"/>
              </w:numPr>
              <w:tabs>
                <w:tab w:pos="469" w:val="left" w:leader="none"/>
              </w:tabs>
              <w:spacing w:line="237" w:lineRule="auto" w:before="0" w:after="0"/>
              <w:ind w:left="468" w:right="117" w:hanging="284"/>
              <w:jc w:val="both"/>
              <w:rPr>
                <w:rFonts w:ascii="微軟正黑體" w:eastAsia="微軟正黑體" w:hint="eastAsia"/>
                <w:sz w:val="22"/>
              </w:rPr>
            </w:pPr>
            <w:r>
              <w:rPr>
                <w:rFonts w:ascii="微軟正黑體" w:eastAsia="微軟正黑體" w:hint="eastAsia"/>
                <w:color w:val="221F1F"/>
                <w:spacing w:val="8"/>
                <w:sz w:val="22"/>
              </w:rPr>
              <w:t>協助衛生單位執行確診結核病個案之接觸者調查與檢查的相關事</w:t>
            </w:r>
            <w:r>
              <w:rPr>
                <w:rFonts w:ascii="微軟正黑體" w:eastAsia="微軟正黑體" w:hint="eastAsia"/>
                <w:color w:val="221F1F"/>
                <w:spacing w:val="-39"/>
                <w:sz w:val="22"/>
              </w:rPr>
              <w:t>務</w:t>
            </w:r>
            <w:r>
              <w:rPr>
                <w:rFonts w:ascii="微軟正黑體" w:eastAsia="微軟正黑體" w:hint="eastAsia"/>
                <w:color w:val="221F1F"/>
                <w:sz w:val="22"/>
              </w:rPr>
              <w:t>（</w:t>
            </w:r>
            <w:r>
              <w:rPr>
                <w:rFonts w:ascii="微軟正黑體" w:eastAsia="微軟正黑體" w:hint="eastAsia"/>
                <w:color w:val="221F1F"/>
                <w:spacing w:val="-10"/>
                <w:sz w:val="22"/>
              </w:rPr>
              <w:t>請參閱第十一章「結核病接觸</w:t>
            </w:r>
            <w:r>
              <w:rPr>
                <w:rFonts w:ascii="微軟正黑體" w:eastAsia="微軟正黑體" w:hint="eastAsia"/>
                <w:color w:val="221F1F"/>
                <w:spacing w:val="-1"/>
                <w:sz w:val="22"/>
              </w:rPr>
              <w:t>者追蹤管理」</w:t>
            </w:r>
            <w:r>
              <w:rPr>
                <w:rFonts w:ascii="微軟正黑體" w:eastAsia="微軟正黑體" w:hint="eastAsia"/>
                <w:color w:val="221F1F"/>
                <w:sz w:val="22"/>
              </w:rPr>
              <w:t>）</w:t>
            </w:r>
          </w:p>
          <w:p>
            <w:pPr>
              <w:pStyle w:val="TableParagraph"/>
              <w:numPr>
                <w:ilvl w:val="0"/>
                <w:numId w:val="125"/>
              </w:numPr>
              <w:tabs>
                <w:tab w:pos="469" w:val="left" w:leader="none"/>
              </w:tabs>
              <w:spacing w:line="237" w:lineRule="auto" w:before="0" w:after="0"/>
              <w:ind w:left="468" w:right="121" w:hanging="284"/>
              <w:jc w:val="both"/>
              <w:rPr>
                <w:rFonts w:ascii="微軟正黑體" w:eastAsia="微軟正黑體" w:hint="eastAsia"/>
                <w:sz w:val="22"/>
              </w:rPr>
            </w:pPr>
            <w:r>
              <w:rPr>
                <w:rFonts w:ascii="微軟正黑體" w:eastAsia="微軟正黑體" w:hint="eastAsia"/>
                <w:color w:val="221F1F"/>
                <w:spacing w:val="7"/>
                <w:sz w:val="22"/>
              </w:rPr>
              <w:t>輔導個案按規服藥與進行藥物副</w:t>
            </w:r>
            <w:r>
              <w:rPr>
                <w:rFonts w:ascii="微軟正黑體" w:eastAsia="微軟正黑體" w:hint="eastAsia"/>
                <w:color w:val="221F1F"/>
                <w:spacing w:val="-1"/>
                <w:sz w:val="22"/>
              </w:rPr>
              <w:t>作用的關懷</w:t>
            </w:r>
          </w:p>
          <w:p>
            <w:pPr>
              <w:pStyle w:val="TableParagraph"/>
              <w:numPr>
                <w:ilvl w:val="0"/>
                <w:numId w:val="125"/>
              </w:numPr>
              <w:tabs>
                <w:tab w:pos="469" w:val="left" w:leader="none"/>
              </w:tabs>
              <w:spacing w:line="400" w:lineRule="exact" w:before="0" w:after="0"/>
              <w:ind w:left="468" w:right="0" w:hanging="285"/>
              <w:jc w:val="both"/>
              <w:rPr>
                <w:rFonts w:ascii="微軟正黑體" w:eastAsia="微軟正黑體" w:hint="eastAsia"/>
                <w:sz w:val="22"/>
              </w:rPr>
            </w:pPr>
            <w:r>
              <w:rPr>
                <w:rFonts w:ascii="微軟正黑體" w:eastAsia="微軟正黑體" w:hint="eastAsia"/>
                <w:color w:val="221F1F"/>
                <w:spacing w:val="-3"/>
                <w:sz w:val="22"/>
              </w:rPr>
              <w:t>配合衛生單位執行都治服藥</w:t>
            </w:r>
          </w:p>
        </w:tc>
        <w:tc>
          <w:tcPr>
            <w:tcW w:w="3824" w:type="dxa"/>
            <w:tcBorders>
              <w:right w:val="single" w:sz="6" w:space="0" w:color="000000"/>
            </w:tcBorders>
          </w:tcPr>
          <w:p>
            <w:pPr>
              <w:pStyle w:val="TableParagraph"/>
              <w:spacing w:line="401" w:lineRule="exact" w:before="23"/>
              <w:ind w:left="468"/>
              <w:jc w:val="both"/>
              <w:rPr>
                <w:rFonts w:ascii="微軟正黑體" w:eastAsia="微軟正黑體" w:hint="eastAsia"/>
                <w:sz w:val="22"/>
              </w:rPr>
            </w:pPr>
            <w:r>
              <w:rPr>
                <w:rFonts w:ascii="微軟正黑體" w:eastAsia="微軟正黑體" w:hint="eastAsia"/>
                <w:color w:val="221F1F"/>
                <w:sz w:val="22"/>
              </w:rPr>
              <w:t>件 7-3）</w:t>
            </w:r>
          </w:p>
          <w:p>
            <w:pPr>
              <w:pStyle w:val="TableParagraph"/>
              <w:numPr>
                <w:ilvl w:val="0"/>
                <w:numId w:val="126"/>
              </w:numPr>
              <w:tabs>
                <w:tab w:pos="469" w:val="left" w:leader="none"/>
              </w:tabs>
              <w:spacing w:line="237" w:lineRule="auto" w:before="0" w:after="0"/>
              <w:ind w:left="468" w:right="38" w:hanging="284"/>
              <w:jc w:val="both"/>
              <w:rPr>
                <w:rFonts w:ascii="微軟正黑體" w:eastAsia="微軟正黑體" w:hint="eastAsia"/>
                <w:sz w:val="22"/>
              </w:rPr>
            </w:pPr>
            <w:r>
              <w:rPr>
                <w:rFonts w:ascii="微軟正黑體" w:eastAsia="微軟正黑體" w:hint="eastAsia"/>
                <w:color w:val="221F1F"/>
                <w:spacing w:val="-9"/>
                <w:sz w:val="22"/>
              </w:rPr>
              <w:t>主責個案管理及接觸者調查、環境</w:t>
            </w:r>
            <w:r>
              <w:rPr>
                <w:rFonts w:ascii="微軟正黑體" w:eastAsia="微軟正黑體" w:hint="eastAsia"/>
                <w:color w:val="221F1F"/>
                <w:spacing w:val="-12"/>
                <w:sz w:val="22"/>
              </w:rPr>
              <w:t>評估等相關作業。詳請參閱工作手</w:t>
            </w:r>
            <w:r>
              <w:rPr>
                <w:rFonts w:ascii="微軟正黑體" w:eastAsia="微軟正黑體" w:hint="eastAsia"/>
                <w:color w:val="221F1F"/>
                <w:spacing w:val="-13"/>
                <w:sz w:val="22"/>
              </w:rPr>
              <w:t>冊第六章「結核病個案管理」、第</w:t>
            </w:r>
            <w:r>
              <w:rPr>
                <w:rFonts w:ascii="微軟正黑體" w:eastAsia="微軟正黑體" w:hint="eastAsia"/>
                <w:color w:val="221F1F"/>
                <w:spacing w:val="-8"/>
                <w:sz w:val="22"/>
              </w:rPr>
              <w:t>十一章「結核病接觸者追蹤管理」</w:t>
            </w:r>
            <w:r>
              <w:rPr>
                <w:rFonts w:ascii="微軟正黑體" w:eastAsia="微軟正黑體" w:hint="eastAsia"/>
                <w:color w:val="221F1F"/>
                <w:spacing w:val="-11"/>
                <w:sz w:val="22"/>
              </w:rPr>
              <w:t>及第三章「潛伏結核感染診斷及治療」</w:t>
            </w:r>
          </w:p>
          <w:p>
            <w:pPr>
              <w:pStyle w:val="TableParagraph"/>
              <w:numPr>
                <w:ilvl w:val="0"/>
                <w:numId w:val="126"/>
              </w:numPr>
              <w:tabs>
                <w:tab w:pos="469" w:val="left" w:leader="none"/>
              </w:tabs>
              <w:spacing w:line="237" w:lineRule="auto" w:before="0" w:after="0"/>
              <w:ind w:left="468" w:right="116" w:hanging="284"/>
              <w:jc w:val="both"/>
              <w:rPr>
                <w:rFonts w:ascii="微軟正黑體" w:eastAsia="微軟正黑體" w:hint="eastAsia"/>
                <w:sz w:val="22"/>
              </w:rPr>
            </w:pPr>
            <w:r>
              <w:rPr>
                <w:rFonts w:ascii="微軟正黑體" w:eastAsia="微軟正黑體" w:hint="eastAsia"/>
                <w:color w:val="221F1F"/>
                <w:spacing w:val="2"/>
                <w:sz w:val="22"/>
              </w:rPr>
              <w:t>完成校園</w:t>
            </w:r>
            <w:r>
              <w:rPr>
                <w:rFonts w:ascii="微軟正黑體" w:eastAsia="微軟正黑體" w:hint="eastAsia"/>
                <w:color w:val="221F1F"/>
                <w:sz w:val="22"/>
              </w:rPr>
              <w:t>/</w:t>
            </w:r>
            <w:r>
              <w:rPr>
                <w:rFonts w:ascii="微軟正黑體" w:eastAsia="微軟正黑體" w:hint="eastAsia"/>
                <w:color w:val="221F1F"/>
                <w:spacing w:val="-2"/>
                <w:sz w:val="22"/>
              </w:rPr>
              <w:t>教育單位個案疫調，並</w:t>
            </w:r>
            <w:r>
              <w:rPr>
                <w:rFonts w:ascii="微軟正黑體" w:eastAsia="微軟正黑體" w:hint="eastAsia"/>
                <w:color w:val="221F1F"/>
                <w:spacing w:val="-3"/>
                <w:sz w:val="22"/>
              </w:rPr>
              <w:t>追溯調查有無疑似聚集事件</w:t>
            </w:r>
          </w:p>
        </w:tc>
      </w:tr>
      <w:tr>
        <w:trPr>
          <w:trHeight w:val="5339" w:hRule="atLeast"/>
        </w:trPr>
        <w:tc>
          <w:tcPr>
            <w:tcW w:w="1130" w:type="dxa"/>
          </w:tcPr>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spacing w:before="239"/>
              <w:ind w:left="103" w:right="96"/>
              <w:jc w:val="center"/>
              <w:rPr>
                <w:rFonts w:ascii="微軟正黑體" w:eastAsia="微軟正黑體" w:hint="eastAsia"/>
                <w:sz w:val="22"/>
              </w:rPr>
            </w:pPr>
            <w:r>
              <w:rPr>
                <w:rFonts w:ascii="微軟正黑體" w:eastAsia="微軟正黑體" w:hint="eastAsia"/>
                <w:color w:val="221F1F"/>
                <w:sz w:val="22"/>
              </w:rPr>
              <w:t>備註</w:t>
            </w:r>
          </w:p>
        </w:tc>
        <w:tc>
          <w:tcPr>
            <w:tcW w:w="7648" w:type="dxa"/>
            <w:gridSpan w:val="2"/>
            <w:tcBorders>
              <w:right w:val="single" w:sz="6" w:space="0" w:color="000000"/>
            </w:tcBorders>
          </w:tcPr>
          <w:p>
            <w:pPr>
              <w:pStyle w:val="TableParagraph"/>
              <w:spacing w:line="237" w:lineRule="auto" w:before="206"/>
              <w:ind w:left="213" w:right="114"/>
              <w:rPr>
                <w:rFonts w:ascii="微軟正黑體" w:eastAsia="微軟正黑體" w:hint="eastAsia"/>
                <w:sz w:val="22"/>
              </w:rPr>
            </w:pPr>
            <w:r>
              <w:rPr>
                <w:rFonts w:ascii="微軟正黑體" w:eastAsia="微軟正黑體" w:hint="eastAsia"/>
                <w:color w:val="221F1F"/>
                <w:sz w:val="22"/>
              </w:rPr>
              <w:t>為執行校園/教育單位結核病防治並兼顧結核病個案權益，個案恢復上班/上課之標準，依以下原則辦理：</w:t>
            </w:r>
          </w:p>
          <w:p>
            <w:pPr>
              <w:pStyle w:val="TableParagraph"/>
              <w:numPr>
                <w:ilvl w:val="0"/>
                <w:numId w:val="127"/>
              </w:numPr>
              <w:tabs>
                <w:tab w:pos="575" w:val="left" w:leader="none"/>
              </w:tabs>
              <w:spacing w:line="413" w:lineRule="exact" w:before="174" w:after="0"/>
              <w:ind w:left="574" w:right="0" w:hanging="362"/>
              <w:jc w:val="left"/>
              <w:rPr>
                <w:rFonts w:ascii="微軟正黑體" w:eastAsia="微軟正黑體" w:hint="eastAsia"/>
                <w:sz w:val="22"/>
              </w:rPr>
            </w:pPr>
            <w:r>
              <w:rPr>
                <w:rFonts w:ascii="微軟正黑體" w:eastAsia="微軟正黑體" w:hint="eastAsia"/>
                <w:color w:val="221F1F"/>
                <w:spacing w:val="-1"/>
                <w:sz w:val="22"/>
              </w:rPr>
              <w:t>無傳染之虞</w:t>
            </w:r>
            <w:r>
              <w:rPr>
                <w:rFonts w:ascii="微軟正黑體" w:eastAsia="微軟正黑體" w:hint="eastAsia"/>
                <w:color w:val="221F1F"/>
                <w:sz w:val="22"/>
              </w:rPr>
              <w:t>（</w:t>
            </w:r>
            <w:r>
              <w:rPr>
                <w:rFonts w:ascii="微軟正黑體" w:eastAsia="微軟正黑體" w:hint="eastAsia"/>
                <w:color w:val="221F1F"/>
                <w:spacing w:val="-3"/>
                <w:sz w:val="22"/>
              </w:rPr>
              <w:t>痰培養陰性</w:t>
            </w:r>
            <w:r>
              <w:rPr>
                <w:rFonts w:ascii="微軟正黑體" w:eastAsia="微軟正黑體" w:hint="eastAsia"/>
                <w:color w:val="221F1F"/>
                <w:sz w:val="22"/>
              </w:rPr>
              <w:t>）</w:t>
            </w:r>
            <w:r>
              <w:rPr>
                <w:rFonts w:ascii="微軟正黑體" w:eastAsia="微軟正黑體" w:hint="eastAsia"/>
                <w:color w:val="221F1F"/>
                <w:spacing w:val="-3"/>
                <w:sz w:val="22"/>
              </w:rPr>
              <w:t>的結核病個案可正常上班、上學</w:t>
            </w:r>
          </w:p>
          <w:p>
            <w:pPr>
              <w:pStyle w:val="TableParagraph"/>
              <w:numPr>
                <w:ilvl w:val="0"/>
                <w:numId w:val="127"/>
              </w:numPr>
              <w:tabs>
                <w:tab w:pos="575" w:val="left" w:leader="none"/>
              </w:tabs>
              <w:spacing w:line="391" w:lineRule="exact" w:before="0" w:after="0"/>
              <w:ind w:left="574" w:right="0" w:hanging="362"/>
              <w:jc w:val="left"/>
              <w:rPr>
                <w:rFonts w:ascii="微軟正黑體" w:eastAsia="微軟正黑體" w:hint="eastAsia"/>
                <w:sz w:val="22"/>
              </w:rPr>
            </w:pPr>
            <w:r>
              <w:rPr>
                <w:rFonts w:ascii="微軟正黑體" w:eastAsia="微軟正黑體" w:hint="eastAsia"/>
                <w:color w:val="221F1F"/>
                <w:spacing w:val="1"/>
                <w:sz w:val="22"/>
              </w:rPr>
              <w:t>痰檢驗陽性具傳染之虞者，經提具醫療單位之陰轉證明，或衛生局開立</w:t>
            </w:r>
          </w:p>
          <w:p>
            <w:pPr>
              <w:pStyle w:val="TableParagraph"/>
              <w:spacing w:line="237" w:lineRule="auto" w:before="1"/>
              <w:ind w:left="574" w:right="69"/>
              <w:jc w:val="both"/>
              <w:rPr>
                <w:rFonts w:ascii="微軟正黑體" w:eastAsia="微軟正黑體" w:hint="eastAsia"/>
                <w:sz w:val="22"/>
              </w:rPr>
            </w:pPr>
            <w:r>
              <w:rPr>
                <w:rFonts w:ascii="微軟正黑體" w:eastAsia="微軟正黑體" w:hint="eastAsia"/>
                <w:color w:val="221F1F"/>
                <w:sz w:val="22"/>
              </w:rPr>
              <w:t>「結核病個案可恢復上班/上課證明單」（附件 7-3），證明個案有效服藥（加入 DOTS）14 天以上，即可恢復上班/上課，但仍建議應佩戴醫療級口罩至無傳染之虞</w:t>
            </w:r>
          </w:p>
          <w:p>
            <w:pPr>
              <w:pStyle w:val="TableParagraph"/>
              <w:numPr>
                <w:ilvl w:val="0"/>
                <w:numId w:val="127"/>
              </w:numPr>
              <w:tabs>
                <w:tab w:pos="575" w:val="left" w:leader="none"/>
              </w:tabs>
              <w:spacing w:line="235" w:lineRule="auto" w:before="2" w:after="0"/>
              <w:ind w:left="574" w:right="76" w:hanging="361"/>
              <w:jc w:val="both"/>
              <w:rPr>
                <w:rFonts w:ascii="微軟正黑體" w:eastAsia="微軟正黑體" w:hint="eastAsia"/>
                <w:sz w:val="22"/>
              </w:rPr>
            </w:pPr>
            <w:r>
              <w:rPr>
                <w:rFonts w:ascii="微軟正黑體" w:eastAsia="微軟正黑體" w:hint="eastAsia"/>
                <w:color w:val="221F1F"/>
                <w:spacing w:val="-3"/>
                <w:sz w:val="22"/>
              </w:rPr>
              <w:t>若遇有重要活動、考試必須返回上班</w:t>
            </w:r>
            <w:r>
              <w:rPr>
                <w:rFonts w:ascii="微軟正黑體" w:eastAsia="微軟正黑體" w:hint="eastAsia"/>
                <w:color w:val="221F1F"/>
                <w:sz w:val="22"/>
              </w:rPr>
              <w:t>/</w:t>
            </w:r>
            <w:r>
              <w:rPr>
                <w:rFonts w:ascii="微軟正黑體" w:eastAsia="微軟正黑體" w:hint="eastAsia"/>
                <w:color w:val="221F1F"/>
                <w:spacing w:val="-2"/>
                <w:sz w:val="22"/>
              </w:rPr>
              <w:t>上課等特殊情況時，可由學校依感</w:t>
            </w:r>
            <w:r>
              <w:rPr>
                <w:rFonts w:ascii="微軟正黑體" w:eastAsia="微軟正黑體" w:hint="eastAsia"/>
                <w:color w:val="221F1F"/>
                <w:spacing w:val="-1"/>
                <w:sz w:val="22"/>
              </w:rPr>
              <w:t>染管制原則之方式個別彈性處理</w:t>
            </w:r>
            <w:r>
              <w:rPr>
                <w:rFonts w:ascii="微軟正黑體" w:eastAsia="微軟正黑體" w:hint="eastAsia"/>
                <w:color w:val="221F1F"/>
                <w:sz w:val="22"/>
              </w:rPr>
              <w:t>（</w:t>
            </w:r>
            <w:r>
              <w:rPr>
                <w:rFonts w:ascii="微軟正黑體" w:eastAsia="微軟正黑體" w:hint="eastAsia"/>
                <w:color w:val="221F1F"/>
                <w:spacing w:val="-1"/>
                <w:sz w:val="22"/>
              </w:rPr>
              <w:t>如佩戴口罩、安排獨立通風教室等</w:t>
            </w:r>
            <w:r>
              <w:rPr>
                <w:rFonts w:ascii="微軟正黑體" w:eastAsia="微軟正黑體" w:hint="eastAsia"/>
                <w:color w:val="221F1F"/>
                <w:sz w:val="22"/>
              </w:rPr>
              <w:t>）</w:t>
            </w:r>
          </w:p>
          <w:p>
            <w:pPr>
              <w:pStyle w:val="TableParagraph"/>
              <w:numPr>
                <w:ilvl w:val="0"/>
                <w:numId w:val="127"/>
              </w:numPr>
              <w:tabs>
                <w:tab w:pos="575" w:val="left" w:leader="none"/>
              </w:tabs>
              <w:spacing w:line="230" w:lineRule="auto" w:before="11" w:after="0"/>
              <w:ind w:left="574" w:right="67" w:hanging="361"/>
              <w:jc w:val="both"/>
              <w:rPr>
                <w:rFonts w:ascii="微軟正黑體" w:eastAsia="微軟正黑體" w:hint="eastAsia"/>
                <w:sz w:val="22"/>
              </w:rPr>
            </w:pPr>
            <w:r>
              <w:rPr>
                <w:rFonts w:ascii="微軟正黑體" w:eastAsia="微軟正黑體" w:hint="eastAsia"/>
                <w:color w:val="221F1F"/>
                <w:spacing w:val="1"/>
                <w:sz w:val="22"/>
              </w:rPr>
              <w:t>多重抗藥性結核病個案，或為多重抗藥性結核病個案之接觸者發病時， </w:t>
            </w:r>
            <w:r>
              <w:rPr>
                <w:rFonts w:ascii="微軟正黑體" w:eastAsia="微軟正黑體" w:hint="eastAsia"/>
                <w:color w:val="221F1F"/>
                <w:spacing w:val="-10"/>
                <w:sz w:val="22"/>
              </w:rPr>
              <w:t>相關處理及恢復上班、上課時機，應由校方視個案實際臨床狀況，個別處</w:t>
            </w:r>
            <w:r>
              <w:rPr>
                <w:rFonts w:ascii="微軟正黑體" w:eastAsia="微軟正黑體" w:hint="eastAsia"/>
                <w:color w:val="221F1F"/>
                <w:spacing w:val="-7"/>
                <w:sz w:val="22"/>
              </w:rPr>
              <w:t>理或尋求衛生單位之協助</w:t>
            </w:r>
          </w:p>
        </w:tc>
      </w:tr>
    </w:tbl>
    <w:p>
      <w:pPr>
        <w:spacing w:line="383" w:lineRule="exact" w:before="21"/>
        <w:ind w:left="1005" w:right="0" w:firstLine="0"/>
        <w:jc w:val="left"/>
        <w:rPr>
          <w:rFonts w:ascii="微軟正黑體" w:eastAsia="微軟正黑體" w:hint="eastAsia"/>
          <w:sz w:val="22"/>
        </w:rPr>
      </w:pPr>
      <w:r>
        <w:rPr>
          <w:rFonts w:ascii="微軟正黑體" w:eastAsia="微軟正黑體" w:hint="eastAsia"/>
          <w:color w:val="221F1F"/>
          <w:sz w:val="22"/>
        </w:rPr>
        <w:t>備註：</w:t>
      </w:r>
    </w:p>
    <w:p>
      <w:pPr>
        <w:pStyle w:val="ListParagraph"/>
        <w:numPr>
          <w:ilvl w:val="0"/>
          <w:numId w:val="128"/>
        </w:numPr>
        <w:tabs>
          <w:tab w:pos="1286" w:val="left" w:leader="none"/>
        </w:tabs>
        <w:spacing w:line="350" w:lineRule="exact" w:before="0" w:after="0"/>
        <w:ind w:left="1286" w:right="0" w:hanging="281"/>
        <w:jc w:val="both"/>
        <w:rPr>
          <w:rFonts w:ascii="微軟正黑體" w:eastAsia="微軟正黑體" w:hint="eastAsia"/>
          <w:sz w:val="22"/>
        </w:rPr>
      </w:pPr>
      <w:r>
        <w:rPr>
          <w:rFonts w:ascii="微軟正黑體" w:eastAsia="微軟正黑體" w:hint="eastAsia"/>
          <w:color w:val="221F1F"/>
          <w:spacing w:val="-3"/>
          <w:sz w:val="22"/>
        </w:rPr>
        <w:t>本國籍學生之體檢相關規範請依「學校衛生法」規定辦理。</w:t>
      </w:r>
    </w:p>
    <w:p>
      <w:pPr>
        <w:pStyle w:val="ListParagraph"/>
        <w:numPr>
          <w:ilvl w:val="0"/>
          <w:numId w:val="128"/>
        </w:numPr>
        <w:tabs>
          <w:tab w:pos="1286" w:val="left" w:leader="none"/>
        </w:tabs>
        <w:spacing w:line="213" w:lineRule="auto" w:before="0" w:after="0"/>
        <w:ind w:left="1286" w:right="1130" w:hanging="281"/>
        <w:jc w:val="both"/>
        <w:rPr>
          <w:rFonts w:ascii="微軟正黑體" w:eastAsia="微軟正黑體" w:hint="eastAsia"/>
          <w:sz w:val="22"/>
        </w:rPr>
      </w:pPr>
      <w:r>
        <w:rPr>
          <w:rFonts w:ascii="微軟正黑體" w:eastAsia="微軟正黑體" w:hint="eastAsia"/>
          <w:color w:val="221F1F"/>
          <w:spacing w:val="-8"/>
          <w:sz w:val="22"/>
        </w:rPr>
        <w:t>針對外籍學生來臺就讀之相關體檢規範，請另參閱疾管署檢疫組公布之「外籍學生、僑生</w:t>
      </w:r>
      <w:r>
        <w:rPr>
          <w:rFonts w:ascii="微軟正黑體" w:eastAsia="微軟正黑體" w:hint="eastAsia"/>
          <w:color w:val="221F1F"/>
          <w:spacing w:val="-9"/>
          <w:sz w:val="22"/>
        </w:rPr>
        <w:t>及大陸港澳地區學生健康檢查參考事項」，及教育部公布之「大陸地區教育專業人士及學</w:t>
      </w:r>
      <w:r>
        <w:rPr>
          <w:rFonts w:ascii="微軟正黑體" w:eastAsia="微軟正黑體" w:hint="eastAsia"/>
          <w:color w:val="221F1F"/>
          <w:spacing w:val="-6"/>
          <w:sz w:val="22"/>
        </w:rPr>
        <w:t>生來臺從事教育活動審查要點」。</w:t>
      </w: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spacing w:before="13"/>
        <w:rPr>
          <w:rFonts w:ascii="微軟正黑體"/>
          <w:sz w:val="27"/>
        </w:rPr>
      </w:pPr>
    </w:p>
    <w:p>
      <w:pPr>
        <w:spacing w:before="95"/>
        <w:ind w:left="0" w:right="391" w:firstLine="0"/>
        <w:jc w:val="right"/>
        <w:rPr>
          <w:rFonts w:ascii="Arial"/>
          <w:sz w:val="16"/>
        </w:rPr>
      </w:pPr>
      <w:r>
        <w:rPr>
          <w:rFonts w:ascii="Arial"/>
          <w:color w:val="221F1F"/>
          <w:w w:val="100"/>
          <w:sz w:val="16"/>
        </w:rPr>
        <w:t>5</w:t>
      </w:r>
    </w:p>
    <w:p>
      <w:pPr>
        <w:spacing w:after="0"/>
        <w:jc w:val="right"/>
        <w:rPr>
          <w:rFonts w:ascii="Arial"/>
          <w:sz w:val="16"/>
        </w:rPr>
        <w:sectPr>
          <w:pgSz w:w="11910" w:h="16840"/>
          <w:pgMar w:top="1120" w:bottom="280" w:left="980" w:right="2"/>
        </w:sectPr>
      </w:pPr>
    </w:p>
    <w:p>
      <w:pPr>
        <w:spacing w:before="33"/>
        <w:ind w:left="575" w:right="0" w:firstLine="0"/>
        <w:jc w:val="left"/>
        <w:rPr>
          <w:rFonts w:ascii="微軟正黑體" w:eastAsia="微軟正黑體" w:hint="eastAsia"/>
          <w:sz w:val="22"/>
        </w:rPr>
      </w:pPr>
      <w:r>
        <w:rPr>
          <w:rFonts w:ascii="微軟正黑體" w:eastAsia="微軟正黑體" w:hint="eastAsia"/>
          <w:color w:val="221F1F"/>
          <w:sz w:val="22"/>
        </w:rPr>
        <w:t>圖 1、學生新生/教職員工定期體檢胸部Ｘ光異常追蹤流程</w:t>
      </w:r>
    </w:p>
    <w:p>
      <w:pPr>
        <w:pStyle w:val="BodyText"/>
        <w:spacing w:before="7"/>
        <w:rPr>
          <w:rFonts w:ascii="微軟正黑體"/>
          <w:sz w:val="27"/>
        </w:rPr>
      </w:pPr>
      <w:r>
        <w:rPr/>
        <w:drawing>
          <wp:anchor distT="0" distB="0" distL="0" distR="0" allowOverlap="1" layoutInCell="1" locked="0" behindDoc="0" simplePos="0" relativeHeight="137">
            <wp:simplePos x="0" y="0"/>
            <wp:positionH relativeFrom="page">
              <wp:posOffset>1014816</wp:posOffset>
            </wp:positionH>
            <wp:positionV relativeFrom="paragraph">
              <wp:posOffset>344657</wp:posOffset>
            </wp:positionV>
            <wp:extent cx="5785720" cy="8300180"/>
            <wp:effectExtent l="0" t="0" r="0" b="0"/>
            <wp:wrapTopAndBottom/>
            <wp:docPr id="17" name="image81.jpeg" descr="一張含有 文字, 螢幕擷取畫面, 字型, 數字 的圖片"/>
            <wp:cNvGraphicFramePr>
              <a:graphicFrameLocks noChangeAspect="1"/>
            </wp:cNvGraphicFramePr>
            <a:graphic>
              <a:graphicData uri="http://schemas.openxmlformats.org/drawingml/2006/picture">
                <pic:pic>
                  <pic:nvPicPr>
                    <pic:cNvPr id="18" name="image81.jpeg"/>
                    <pic:cNvPicPr/>
                  </pic:nvPicPr>
                  <pic:blipFill>
                    <a:blip r:embed="rId85" cstate="print"/>
                    <a:stretch>
                      <a:fillRect/>
                    </a:stretch>
                  </pic:blipFill>
                  <pic:spPr>
                    <a:xfrm>
                      <a:off x="0" y="0"/>
                      <a:ext cx="5785720" cy="8300180"/>
                    </a:xfrm>
                    <a:prstGeom prst="rect">
                      <a:avLst/>
                    </a:prstGeom>
                  </pic:spPr>
                </pic:pic>
              </a:graphicData>
            </a:graphic>
          </wp:anchor>
        </w:drawing>
      </w:r>
    </w:p>
    <w:p>
      <w:pPr>
        <w:pStyle w:val="BodyText"/>
        <w:rPr>
          <w:rFonts w:ascii="微軟正黑體"/>
          <w:sz w:val="20"/>
        </w:rPr>
      </w:pPr>
    </w:p>
    <w:p>
      <w:pPr>
        <w:pStyle w:val="BodyText"/>
        <w:rPr>
          <w:rFonts w:ascii="微軟正黑體"/>
          <w:sz w:val="20"/>
        </w:rPr>
      </w:pPr>
    </w:p>
    <w:p>
      <w:pPr>
        <w:pStyle w:val="BodyText"/>
        <w:spacing w:before="16"/>
        <w:rPr>
          <w:rFonts w:ascii="微軟正黑體"/>
          <w:sz w:val="11"/>
        </w:rPr>
      </w:pPr>
    </w:p>
    <w:p>
      <w:pPr>
        <w:spacing w:before="95"/>
        <w:ind w:left="0" w:right="391" w:firstLine="0"/>
        <w:jc w:val="right"/>
        <w:rPr>
          <w:rFonts w:ascii="Arial"/>
          <w:sz w:val="16"/>
        </w:rPr>
      </w:pPr>
      <w:r>
        <w:rPr>
          <w:rFonts w:ascii="Arial"/>
          <w:color w:val="221F1F"/>
          <w:w w:val="100"/>
          <w:sz w:val="16"/>
        </w:rPr>
        <w:t>6</w:t>
      </w:r>
    </w:p>
    <w:p>
      <w:pPr>
        <w:spacing w:after="0"/>
        <w:jc w:val="right"/>
        <w:rPr>
          <w:rFonts w:ascii="Arial"/>
          <w:sz w:val="16"/>
        </w:rPr>
        <w:sectPr>
          <w:pgSz w:w="11910" w:h="16840"/>
          <w:pgMar w:top="1120" w:bottom="280" w:left="980" w:right="2"/>
        </w:sectPr>
      </w:pPr>
    </w:p>
    <w:p>
      <w:pPr>
        <w:spacing w:line="387" w:lineRule="exact" w:before="34"/>
        <w:ind w:left="436" w:right="0" w:firstLine="0"/>
        <w:jc w:val="left"/>
        <w:rPr>
          <w:rFonts w:ascii="微軟正黑體" w:eastAsia="微軟正黑體" w:hint="eastAsia"/>
          <w:sz w:val="22"/>
        </w:rPr>
      </w:pPr>
      <w:r>
        <w:rPr>
          <w:rFonts w:ascii="微軟正黑體" w:eastAsia="微軟正黑體" w:hint="eastAsia"/>
          <w:color w:val="221F1F"/>
          <w:sz w:val="22"/>
        </w:rPr>
        <w:t>四、 外籍人士/移工</w:t>
      </w:r>
    </w:p>
    <w:p>
      <w:pPr>
        <w:spacing w:line="384" w:lineRule="exact" w:before="0"/>
        <w:ind w:left="522" w:right="0" w:firstLine="0"/>
        <w:jc w:val="left"/>
        <w:rPr>
          <w:rFonts w:ascii="微軟正黑體" w:eastAsia="微軟正黑體" w:hint="eastAsia"/>
          <w:sz w:val="22"/>
        </w:rPr>
      </w:pPr>
      <w:r>
        <w:rPr>
          <w:rFonts w:ascii="微軟正黑體" w:eastAsia="微軟正黑體" w:hint="eastAsia"/>
          <w:sz w:val="22"/>
        </w:rPr>
        <w:t>(一) </w:t>
      </w:r>
      <w:r>
        <w:rPr>
          <w:rFonts w:ascii="微軟正黑體" w:eastAsia="微軟正黑體" w:hint="eastAsia"/>
          <w:color w:val="221F1F"/>
          <w:sz w:val="22"/>
        </w:rPr>
        <w:t>受聘僱外國人之健康檢查主要依就業服務法第 48 條及「受聘僱外國人健康檢查管理辦法</w:t>
      </w:r>
    </w:p>
    <w:p>
      <w:pPr>
        <w:spacing w:line="400" w:lineRule="exact" w:before="0"/>
        <w:ind w:left="1005" w:right="0" w:firstLine="0"/>
        <w:jc w:val="left"/>
        <w:rPr>
          <w:rFonts w:ascii="微軟正黑體" w:eastAsia="微軟正黑體" w:hint="eastAsia"/>
          <w:sz w:val="22"/>
        </w:rPr>
      </w:pPr>
      <w:r>
        <w:rPr>
          <w:rFonts w:ascii="微軟正黑體" w:eastAsia="微軟正黑體" w:hint="eastAsia"/>
          <w:color w:val="221F1F"/>
          <w:sz w:val="22"/>
        </w:rPr>
        <w:t>｣辦理，入境後之健康檢查由指定醫院辦理。</w:t>
      </w:r>
    </w:p>
    <w:p>
      <w:pPr>
        <w:spacing w:line="237" w:lineRule="auto" w:before="1"/>
        <w:ind w:left="1005" w:right="1129" w:hanging="483"/>
        <w:jc w:val="both"/>
        <w:rPr>
          <w:rFonts w:ascii="微軟正黑體" w:eastAsia="微軟正黑體" w:hint="eastAsia"/>
          <w:sz w:val="22"/>
        </w:rPr>
      </w:pPr>
      <w:r>
        <w:rPr>
          <w:rFonts w:ascii="微軟正黑體" w:eastAsia="微軟正黑體" w:hint="eastAsia"/>
          <w:spacing w:val="2"/>
          <w:sz w:val="22"/>
        </w:rPr>
        <w:t>(二) </w:t>
      </w:r>
      <w:r>
        <w:rPr>
          <w:rFonts w:ascii="微軟正黑體" w:eastAsia="微軟正黑體" w:hint="eastAsia"/>
          <w:color w:val="221F1F"/>
          <w:spacing w:val="-7"/>
          <w:sz w:val="22"/>
        </w:rPr>
        <w:t>移工入境後通報結核病，於開始服用抗結核藥物時，衛生機關即已啟動個案管理及都治送藥</w:t>
      </w:r>
      <w:r>
        <w:rPr>
          <w:rFonts w:ascii="微軟正黑體" w:eastAsia="微軟正黑體" w:hint="eastAsia"/>
          <w:color w:val="221F1F"/>
          <w:spacing w:val="-10"/>
          <w:sz w:val="22"/>
        </w:rPr>
        <w:t>服務，提供罹病移工留臺治療，以減少移工逃逸，可避免社區傳播風險，給予移工與本國人相同公平之待遇（</w:t>
      </w:r>
      <w:r>
        <w:rPr>
          <w:rFonts w:ascii="微軟正黑體" w:eastAsia="微軟正黑體" w:hint="eastAsia"/>
          <w:color w:val="221F1F"/>
          <w:spacing w:val="-4"/>
          <w:sz w:val="22"/>
        </w:rPr>
        <w:t>如工作權、就醫權</w:t>
      </w:r>
      <w:r>
        <w:rPr>
          <w:rFonts w:ascii="微軟正黑體" w:eastAsia="微軟正黑體" w:hint="eastAsia"/>
          <w:color w:val="221F1F"/>
          <w:sz w:val="22"/>
        </w:rPr>
        <w:t>），</w:t>
      </w:r>
      <w:r>
        <w:rPr>
          <w:rFonts w:ascii="微軟正黑體" w:eastAsia="微軟正黑體" w:hint="eastAsia"/>
          <w:color w:val="221F1F"/>
          <w:spacing w:val="-1"/>
          <w:sz w:val="22"/>
        </w:rPr>
        <w:t>兼顧符合國際人權公約相關規定。</w:t>
      </w:r>
    </w:p>
    <w:p>
      <w:pPr>
        <w:spacing w:line="237" w:lineRule="auto" w:before="0"/>
        <w:ind w:left="1005" w:right="1124" w:hanging="483"/>
        <w:jc w:val="both"/>
        <w:rPr>
          <w:rFonts w:ascii="微軟正黑體" w:eastAsia="微軟正黑體" w:hint="eastAsia"/>
          <w:sz w:val="22"/>
        </w:rPr>
      </w:pPr>
      <w:r>
        <w:rPr>
          <w:rFonts w:ascii="微軟正黑體" w:eastAsia="微軟正黑體" w:hint="eastAsia"/>
          <w:spacing w:val="5"/>
          <w:sz w:val="22"/>
        </w:rPr>
        <w:t>(三) </w:t>
      </w:r>
      <w:r>
        <w:rPr>
          <w:rFonts w:ascii="微軟正黑體" w:eastAsia="微軟正黑體" w:hint="eastAsia"/>
          <w:color w:val="221F1F"/>
          <w:spacing w:val="3"/>
          <w:sz w:val="22"/>
        </w:rPr>
        <w:t>結核病個案身分別為移工者，於 </w:t>
      </w:r>
      <w:r>
        <w:rPr>
          <w:rFonts w:ascii="微軟正黑體" w:eastAsia="微軟正黑體" w:hint="eastAsia"/>
          <w:color w:val="221F1F"/>
          <w:sz w:val="22"/>
        </w:rPr>
        <w:t>TB</w:t>
      </w:r>
      <w:r>
        <w:rPr>
          <w:rFonts w:ascii="微軟正黑體" w:eastAsia="微軟正黑體" w:hint="eastAsia"/>
          <w:color w:val="221F1F"/>
          <w:spacing w:val="-8"/>
          <w:sz w:val="22"/>
        </w:rPr>
        <w:t> 系統「結核病個案收案訪視調查表」應填寫「是否申請</w:t>
      </w:r>
      <w:r>
        <w:rPr>
          <w:rFonts w:ascii="微軟正黑體" w:eastAsia="微軟正黑體" w:hint="eastAsia"/>
          <w:color w:val="221F1F"/>
          <w:spacing w:val="-7"/>
          <w:sz w:val="22"/>
        </w:rPr>
        <w:t>留臺治療</w:t>
      </w:r>
      <w:r>
        <w:rPr>
          <w:rFonts w:ascii="微軟正黑體" w:eastAsia="微軟正黑體" w:hint="eastAsia"/>
          <w:color w:val="221F1F"/>
          <w:sz w:val="22"/>
        </w:rPr>
        <w:t>｣</w:t>
      </w:r>
      <w:r>
        <w:rPr>
          <w:rFonts w:ascii="微軟正黑體" w:eastAsia="微軟正黑體" w:hint="eastAsia"/>
          <w:color w:val="221F1F"/>
          <w:spacing w:val="-44"/>
          <w:sz w:val="22"/>
        </w:rPr>
        <w:t>情況；船員</w:t>
      </w:r>
      <w:r>
        <w:rPr>
          <w:rFonts w:ascii="微軟正黑體" w:eastAsia="微軟正黑體" w:hint="eastAsia"/>
          <w:color w:val="221F1F"/>
          <w:spacing w:val="-75"/>
          <w:sz w:val="22"/>
        </w:rPr>
        <w:t>（</w:t>
      </w:r>
      <w:r>
        <w:rPr>
          <w:rFonts w:ascii="微軟正黑體" w:eastAsia="微軟正黑體" w:hint="eastAsia"/>
          <w:color w:val="221F1F"/>
          <w:spacing w:val="-94"/>
          <w:sz w:val="22"/>
        </w:rPr>
        <w:t>註</w:t>
      </w:r>
      <w:r>
        <w:rPr>
          <w:rFonts w:ascii="微軟正黑體" w:eastAsia="微軟正黑體" w:hint="eastAsia"/>
          <w:color w:val="221F1F"/>
          <w:spacing w:val="-72"/>
          <w:sz w:val="22"/>
        </w:rPr>
        <w:t>）</w:t>
      </w:r>
      <w:r>
        <w:rPr>
          <w:rFonts w:ascii="微軟正黑體" w:eastAsia="微軟正黑體" w:hint="eastAsia"/>
          <w:color w:val="221F1F"/>
          <w:spacing w:val="-26"/>
          <w:sz w:val="22"/>
        </w:rPr>
        <w:t>及單純肺外結核病者，可填選「不須評估</w:t>
      </w:r>
      <w:r>
        <w:rPr>
          <w:rFonts w:ascii="微軟正黑體" w:eastAsia="微軟正黑體" w:hint="eastAsia"/>
          <w:color w:val="221F1F"/>
          <w:spacing w:val="-10"/>
          <w:sz w:val="22"/>
        </w:rPr>
        <w:t>｣</w:t>
      </w:r>
      <w:r>
        <w:rPr>
          <w:rFonts w:ascii="微軟正黑體" w:eastAsia="微軟正黑體" w:hint="eastAsia"/>
          <w:color w:val="221F1F"/>
          <w:sz w:val="22"/>
        </w:rPr>
        <w:t>。註：依就業服務法第 46</w:t>
      </w:r>
      <w:r>
        <w:rPr>
          <w:rFonts w:ascii="微軟正黑體" w:eastAsia="微軟正黑體" w:hint="eastAsia"/>
          <w:color w:val="221F1F"/>
          <w:spacing w:val="6"/>
          <w:sz w:val="22"/>
        </w:rPr>
        <w:t> 條</w:t>
      </w:r>
      <w:r>
        <w:rPr>
          <w:rFonts w:ascii="微軟正黑體" w:eastAsia="微軟正黑體" w:hint="eastAsia"/>
          <w:color w:val="221F1F"/>
          <w:spacing w:val="14"/>
          <w:sz w:val="22"/>
        </w:rPr>
        <w:t>第 </w:t>
      </w:r>
      <w:r>
        <w:rPr>
          <w:rFonts w:ascii="微軟正黑體" w:eastAsia="微軟正黑體" w:hint="eastAsia"/>
          <w:color w:val="221F1F"/>
          <w:sz w:val="22"/>
        </w:rPr>
        <w:t>1</w:t>
      </w:r>
      <w:r>
        <w:rPr>
          <w:rFonts w:ascii="微軟正黑體" w:eastAsia="微軟正黑體" w:hint="eastAsia"/>
          <w:color w:val="221F1F"/>
          <w:spacing w:val="12"/>
          <w:sz w:val="22"/>
        </w:rPr>
        <w:t> 項第 </w:t>
      </w:r>
      <w:r>
        <w:rPr>
          <w:rFonts w:ascii="微軟正黑體" w:eastAsia="微軟正黑體" w:hint="eastAsia"/>
          <w:color w:val="221F1F"/>
          <w:sz w:val="22"/>
        </w:rPr>
        <w:t>7</w:t>
      </w:r>
      <w:r>
        <w:rPr>
          <w:rFonts w:ascii="微軟正黑體" w:eastAsia="微軟正黑體" w:hint="eastAsia"/>
          <w:color w:val="221F1F"/>
          <w:spacing w:val="4"/>
          <w:sz w:val="22"/>
        </w:rPr>
        <w:t> 款規定工作之外國人（</w:t>
      </w:r>
      <w:r>
        <w:rPr>
          <w:rFonts w:ascii="微軟正黑體" w:eastAsia="微軟正黑體" w:hint="eastAsia"/>
          <w:color w:val="221F1F"/>
          <w:spacing w:val="-3"/>
          <w:sz w:val="22"/>
        </w:rPr>
        <w:t>如商船、工作船及其他經交通部特許船舶之船員，其健</w:t>
      </w:r>
    </w:p>
    <w:p>
      <w:pPr>
        <w:spacing w:line="401" w:lineRule="exact" w:before="0"/>
        <w:ind w:left="1005" w:right="0" w:firstLine="0"/>
        <w:jc w:val="both"/>
        <w:rPr>
          <w:rFonts w:ascii="微軟正黑體" w:eastAsia="微軟正黑體" w:hint="eastAsia"/>
          <w:sz w:val="22"/>
        </w:rPr>
      </w:pPr>
      <w:r>
        <w:rPr>
          <w:rFonts w:ascii="微軟正黑體" w:eastAsia="微軟正黑體" w:hint="eastAsia"/>
          <w:color w:val="221F1F"/>
          <w:sz w:val="22"/>
        </w:rPr>
        <w:t>康檢查管理，依船員法第 8 條規定辦理）</w:t>
      </w:r>
    </w:p>
    <w:tbl>
      <w:tblPr>
        <w:tblW w:w="0" w:type="auto"/>
        <w:jc w:val="left"/>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2269"/>
        <w:gridCol w:w="1419"/>
        <w:gridCol w:w="708"/>
        <w:gridCol w:w="3538"/>
      </w:tblGrid>
      <w:tr>
        <w:trPr>
          <w:trHeight w:val="400" w:hRule="atLeast"/>
        </w:trPr>
        <w:tc>
          <w:tcPr>
            <w:tcW w:w="845" w:type="dxa"/>
            <w:vMerge w:val="restart"/>
            <w:shd w:val="clear" w:color="auto" w:fill="E8E8E8"/>
          </w:tcPr>
          <w:p>
            <w:pPr>
              <w:pStyle w:val="TableParagraph"/>
              <w:spacing w:line="237" w:lineRule="auto" w:before="46"/>
              <w:ind w:left="201" w:right="190"/>
              <w:rPr>
                <w:rFonts w:ascii="微軟正黑體" w:eastAsia="微軟正黑體" w:hint="eastAsia"/>
                <w:b/>
                <w:sz w:val="22"/>
              </w:rPr>
            </w:pPr>
            <w:r>
              <w:rPr>
                <w:rFonts w:ascii="微軟正黑體" w:eastAsia="微軟正黑體" w:hint="eastAsia"/>
                <w:b/>
                <w:color w:val="221F1F"/>
                <w:sz w:val="22"/>
              </w:rPr>
              <w:t>工作重點</w:t>
            </w:r>
          </w:p>
        </w:tc>
        <w:tc>
          <w:tcPr>
            <w:tcW w:w="2269" w:type="dxa"/>
            <w:vMerge w:val="restart"/>
            <w:shd w:val="clear" w:color="auto" w:fill="E8E8E8"/>
          </w:tcPr>
          <w:p>
            <w:pPr>
              <w:pStyle w:val="TableParagraph"/>
              <w:spacing w:before="244"/>
              <w:ind w:left="693"/>
              <w:rPr>
                <w:rFonts w:ascii="微軟正黑體" w:eastAsia="微軟正黑體" w:hint="eastAsia"/>
                <w:b/>
                <w:sz w:val="22"/>
              </w:rPr>
            </w:pPr>
            <w:r>
              <w:rPr>
                <w:rFonts w:ascii="微軟正黑體" w:eastAsia="微軟正黑體" w:hint="eastAsia"/>
                <w:b/>
                <w:color w:val="221F1F"/>
                <w:sz w:val="22"/>
              </w:rPr>
              <w:t>外籍人士</w:t>
            </w:r>
          </w:p>
        </w:tc>
        <w:tc>
          <w:tcPr>
            <w:tcW w:w="5665" w:type="dxa"/>
            <w:gridSpan w:val="3"/>
            <w:tcBorders>
              <w:right w:val="single" w:sz="6" w:space="0" w:color="000000"/>
            </w:tcBorders>
            <w:shd w:val="clear" w:color="auto" w:fill="E8E8E8"/>
          </w:tcPr>
          <w:p>
            <w:pPr>
              <w:pStyle w:val="TableParagraph"/>
              <w:spacing w:line="357" w:lineRule="exact" w:before="14"/>
              <w:ind w:left="2591" w:right="2581"/>
              <w:jc w:val="center"/>
              <w:rPr>
                <w:rFonts w:ascii="微軟正黑體" w:eastAsia="微軟正黑體" w:hint="eastAsia"/>
                <w:b/>
                <w:sz w:val="22"/>
              </w:rPr>
            </w:pPr>
            <w:r>
              <w:rPr>
                <w:rFonts w:ascii="微軟正黑體" w:eastAsia="微軟正黑體" w:hint="eastAsia"/>
                <w:b/>
                <w:color w:val="221F1F"/>
                <w:sz w:val="22"/>
              </w:rPr>
              <w:t>移工</w:t>
            </w:r>
          </w:p>
        </w:tc>
      </w:tr>
      <w:tr>
        <w:trPr>
          <w:trHeight w:val="450" w:hRule="atLeast"/>
        </w:trPr>
        <w:tc>
          <w:tcPr>
            <w:tcW w:w="845" w:type="dxa"/>
            <w:vMerge/>
            <w:tcBorders>
              <w:top w:val="nil"/>
            </w:tcBorders>
            <w:shd w:val="clear" w:color="auto" w:fill="E8E8E8"/>
          </w:tcPr>
          <w:p>
            <w:pPr>
              <w:rPr>
                <w:sz w:val="2"/>
                <w:szCs w:val="2"/>
              </w:rPr>
            </w:pPr>
          </w:p>
        </w:tc>
        <w:tc>
          <w:tcPr>
            <w:tcW w:w="2269" w:type="dxa"/>
            <w:vMerge/>
            <w:tcBorders>
              <w:top w:val="nil"/>
            </w:tcBorders>
            <w:shd w:val="clear" w:color="auto" w:fill="E8E8E8"/>
          </w:tcPr>
          <w:p>
            <w:pPr>
              <w:rPr>
                <w:sz w:val="2"/>
                <w:szCs w:val="2"/>
              </w:rPr>
            </w:pPr>
          </w:p>
        </w:tc>
        <w:tc>
          <w:tcPr>
            <w:tcW w:w="1419" w:type="dxa"/>
            <w:shd w:val="clear" w:color="auto" w:fill="E8E8E8"/>
          </w:tcPr>
          <w:p>
            <w:pPr>
              <w:pStyle w:val="TableParagraph"/>
              <w:spacing w:line="384" w:lineRule="exact" w:before="38"/>
              <w:ind w:left="267"/>
              <w:rPr>
                <w:rFonts w:ascii="微軟正黑體" w:eastAsia="微軟正黑體" w:hint="eastAsia"/>
                <w:b/>
                <w:sz w:val="22"/>
              </w:rPr>
            </w:pPr>
            <w:r>
              <w:rPr>
                <w:rFonts w:ascii="微軟正黑體" w:eastAsia="微軟正黑體" w:hint="eastAsia"/>
                <w:b/>
                <w:color w:val="221F1F"/>
                <w:sz w:val="22"/>
              </w:rPr>
              <w:t>健檢時機</w:t>
            </w:r>
          </w:p>
        </w:tc>
        <w:tc>
          <w:tcPr>
            <w:tcW w:w="708" w:type="dxa"/>
            <w:shd w:val="clear" w:color="auto" w:fill="E8E8E8"/>
          </w:tcPr>
          <w:p>
            <w:pPr>
              <w:pStyle w:val="TableParagraph"/>
              <w:spacing w:line="384" w:lineRule="exact" w:before="38"/>
              <w:ind w:left="114" w:right="104"/>
              <w:jc w:val="center"/>
              <w:rPr>
                <w:rFonts w:ascii="微軟正黑體" w:eastAsia="微軟正黑體" w:hint="eastAsia"/>
                <w:b/>
                <w:sz w:val="22"/>
              </w:rPr>
            </w:pPr>
            <w:r>
              <w:rPr>
                <w:rFonts w:ascii="微軟正黑體" w:eastAsia="微軟正黑體" w:hint="eastAsia"/>
                <w:b/>
                <w:color w:val="221F1F"/>
                <w:sz w:val="22"/>
              </w:rPr>
              <w:t>結果</w:t>
            </w:r>
          </w:p>
        </w:tc>
        <w:tc>
          <w:tcPr>
            <w:tcW w:w="3538" w:type="dxa"/>
            <w:tcBorders>
              <w:right w:val="single" w:sz="6" w:space="0" w:color="000000"/>
            </w:tcBorders>
            <w:shd w:val="clear" w:color="auto" w:fill="E8E8E8"/>
          </w:tcPr>
          <w:p>
            <w:pPr>
              <w:pStyle w:val="TableParagraph"/>
              <w:spacing w:before="14"/>
              <w:ind w:left="1528" w:right="1517"/>
              <w:jc w:val="center"/>
              <w:rPr>
                <w:rFonts w:ascii="微軟正黑體" w:eastAsia="微軟正黑體" w:hint="eastAsia"/>
                <w:b/>
                <w:sz w:val="22"/>
              </w:rPr>
            </w:pPr>
            <w:r>
              <w:rPr>
                <w:rFonts w:ascii="微軟正黑體" w:eastAsia="微軟正黑體" w:hint="eastAsia"/>
                <w:b/>
                <w:color w:val="221F1F"/>
                <w:sz w:val="22"/>
              </w:rPr>
              <w:t>處置</w:t>
            </w:r>
          </w:p>
        </w:tc>
      </w:tr>
      <w:tr>
        <w:trPr>
          <w:trHeight w:val="454" w:hRule="atLeast"/>
        </w:trPr>
        <w:tc>
          <w:tcPr>
            <w:tcW w:w="845" w:type="dxa"/>
            <w:tcBorders>
              <w:bottom w:val="nil"/>
            </w:tcBorders>
          </w:tcPr>
          <w:p>
            <w:pPr>
              <w:pStyle w:val="TableParagraph"/>
              <w:rPr>
                <w:rFonts w:ascii="Times New Roman"/>
                <w:sz w:val="22"/>
              </w:rPr>
            </w:pPr>
          </w:p>
        </w:tc>
        <w:tc>
          <w:tcPr>
            <w:tcW w:w="2269" w:type="dxa"/>
            <w:vMerge w:val="restart"/>
          </w:tcPr>
          <w:p>
            <w:pPr>
              <w:pStyle w:val="TableParagraph"/>
              <w:numPr>
                <w:ilvl w:val="0"/>
                <w:numId w:val="129"/>
              </w:numPr>
              <w:tabs>
                <w:tab w:pos="367" w:val="left" w:leader="none"/>
              </w:tabs>
              <w:spacing w:line="237" w:lineRule="auto" w:before="27" w:after="0"/>
              <w:ind w:left="366" w:right="94" w:hanging="284"/>
              <w:jc w:val="both"/>
              <w:rPr>
                <w:rFonts w:ascii="微軟正黑體" w:eastAsia="微軟正黑體" w:hint="eastAsia"/>
                <w:sz w:val="22"/>
              </w:rPr>
            </w:pPr>
            <w:r>
              <w:rPr>
                <w:rFonts w:ascii="微軟正黑體" w:eastAsia="微軟正黑體" w:hint="eastAsia"/>
                <w:color w:val="221F1F"/>
                <w:spacing w:val="32"/>
                <w:sz w:val="22"/>
              </w:rPr>
              <w:t>依移民署相關規</w:t>
            </w:r>
            <w:r>
              <w:rPr>
                <w:rFonts w:ascii="微軟正黑體" w:eastAsia="微軟正黑體" w:hint="eastAsia"/>
                <w:color w:val="221F1F"/>
                <w:spacing w:val="-11"/>
                <w:sz w:val="22"/>
              </w:rPr>
              <w:t>定，辦理停留</w:t>
            </w:r>
            <w:r>
              <w:rPr>
                <w:rFonts w:ascii="微軟正黑體" w:eastAsia="微軟正黑體" w:hint="eastAsia"/>
                <w:color w:val="221F1F"/>
                <w:spacing w:val="-4"/>
                <w:sz w:val="22"/>
              </w:rPr>
              <w:t>/</w:t>
            </w:r>
            <w:r>
              <w:rPr>
                <w:rFonts w:ascii="微軟正黑體" w:eastAsia="微軟正黑體" w:hint="eastAsia"/>
                <w:color w:val="221F1F"/>
                <w:spacing w:val="-8"/>
                <w:sz w:val="22"/>
              </w:rPr>
              <w:t>居留</w:t>
            </w:r>
            <w:r>
              <w:rPr>
                <w:rFonts w:ascii="微軟正黑體" w:eastAsia="微軟正黑體" w:hint="eastAsia"/>
                <w:color w:val="221F1F"/>
                <w:sz w:val="22"/>
              </w:rPr>
              <w:t>健檢，或依教育部規範辦理入學前健</w:t>
            </w:r>
            <w:r>
              <w:rPr>
                <w:rFonts w:ascii="微軟正黑體" w:eastAsia="微軟正黑體" w:hint="eastAsia"/>
                <w:color w:val="221F1F"/>
                <w:spacing w:val="-1"/>
                <w:sz w:val="22"/>
              </w:rPr>
              <w:t>檢，透過胸部 </w:t>
            </w:r>
            <w:r>
              <w:rPr>
                <w:rFonts w:ascii="微軟正黑體" w:eastAsia="微軟正黑體" w:hint="eastAsia"/>
                <w:color w:val="221F1F"/>
                <w:sz w:val="22"/>
              </w:rPr>
              <w:t>X</w:t>
            </w:r>
            <w:r>
              <w:rPr>
                <w:rFonts w:ascii="微軟正黑體" w:eastAsia="微軟正黑體" w:hint="eastAsia"/>
                <w:color w:val="221F1F"/>
                <w:spacing w:val="-6"/>
                <w:sz w:val="22"/>
              </w:rPr>
              <w:t> 光</w:t>
            </w:r>
            <w:r>
              <w:rPr>
                <w:rFonts w:ascii="微軟正黑體" w:eastAsia="微軟正黑體" w:hint="eastAsia"/>
                <w:color w:val="221F1F"/>
                <w:sz w:val="22"/>
              </w:rPr>
              <w:t>檢查進行結核病初篩</w:t>
            </w:r>
          </w:p>
          <w:p>
            <w:pPr>
              <w:pStyle w:val="TableParagraph"/>
              <w:numPr>
                <w:ilvl w:val="0"/>
                <w:numId w:val="129"/>
              </w:numPr>
              <w:tabs>
                <w:tab w:pos="367" w:val="left" w:leader="none"/>
              </w:tabs>
              <w:spacing w:line="237" w:lineRule="auto" w:before="0" w:after="0"/>
              <w:ind w:left="366" w:right="93" w:hanging="284"/>
              <w:jc w:val="both"/>
              <w:rPr>
                <w:rFonts w:ascii="微軟正黑體" w:eastAsia="微軟正黑體" w:hint="eastAsia"/>
                <w:sz w:val="22"/>
              </w:rPr>
            </w:pPr>
            <w:r>
              <w:rPr>
                <w:rFonts w:ascii="微軟正黑體" w:eastAsia="微軟正黑體" w:hint="eastAsia"/>
                <w:color w:val="221F1F"/>
                <w:spacing w:val="32"/>
                <w:sz w:val="22"/>
              </w:rPr>
              <w:t>健檢結果不合格</w:t>
            </w:r>
            <w:r>
              <w:rPr>
                <w:rFonts w:ascii="微軟正黑體" w:eastAsia="微軟正黑體" w:hint="eastAsia"/>
                <w:color w:val="221F1F"/>
                <w:spacing w:val="-10"/>
                <w:sz w:val="22"/>
              </w:rPr>
              <w:t>者，無法取得停留</w:t>
            </w:r>
            <w:r>
              <w:rPr>
                <w:rFonts w:ascii="微軟正黑體" w:eastAsia="微軟正黑體" w:hint="eastAsia"/>
                <w:color w:val="221F1F"/>
                <w:spacing w:val="-15"/>
                <w:sz w:val="22"/>
              </w:rPr>
              <w:t>/ </w:t>
            </w:r>
            <w:r>
              <w:rPr>
                <w:rFonts w:ascii="微軟正黑體" w:eastAsia="微軟正黑體" w:hint="eastAsia"/>
                <w:color w:val="221F1F"/>
                <w:sz w:val="22"/>
              </w:rPr>
              <w:t>居留資格受聘僱外國人健康檢查管理辦法之附表：指定醫院健康檢查項目不合格之認定及處理原則，參見表一</w:t>
            </w:r>
            <w:r>
              <w:rPr>
                <w:rFonts w:ascii="微軟正黑體" w:eastAsia="微軟正黑體" w:hint="eastAsia"/>
                <w:color w:val="221F1F"/>
                <w:spacing w:val="1"/>
                <w:sz w:val="22"/>
              </w:rPr>
              <w:t>胸部 </w:t>
            </w:r>
            <w:r>
              <w:rPr>
                <w:rFonts w:ascii="微軟正黑體" w:eastAsia="微軟正黑體" w:hint="eastAsia"/>
                <w:color w:val="221F1F"/>
                <w:sz w:val="22"/>
              </w:rPr>
              <w:t>X</w:t>
            </w:r>
            <w:r>
              <w:rPr>
                <w:rFonts w:ascii="微軟正黑體" w:eastAsia="微軟正黑體" w:hint="eastAsia"/>
                <w:color w:val="221F1F"/>
                <w:spacing w:val="-4"/>
                <w:sz w:val="22"/>
              </w:rPr>
              <w:t> 光肺結核檢</w:t>
            </w:r>
            <w:r>
              <w:rPr>
                <w:rFonts w:ascii="微軟正黑體" w:eastAsia="微軟正黑體" w:hint="eastAsia"/>
                <w:color w:val="221F1F"/>
                <w:sz w:val="22"/>
              </w:rPr>
              <w:t>查</w:t>
            </w:r>
          </w:p>
        </w:tc>
        <w:tc>
          <w:tcPr>
            <w:tcW w:w="1419" w:type="dxa"/>
            <w:tcBorders>
              <w:bottom w:val="nil"/>
            </w:tcBorders>
          </w:tcPr>
          <w:p>
            <w:pPr>
              <w:pStyle w:val="TableParagraph"/>
              <w:spacing w:line="402" w:lineRule="exact" w:before="24"/>
              <w:ind w:left="107"/>
              <w:rPr>
                <w:rFonts w:ascii="微軟正黑體" w:eastAsia="微軟正黑體" w:hint="eastAsia"/>
                <w:sz w:val="22"/>
              </w:rPr>
            </w:pPr>
            <w:r>
              <w:rPr>
                <w:rFonts w:ascii="微軟正黑體" w:eastAsia="微軟正黑體" w:hint="eastAsia"/>
                <w:color w:val="221F1F"/>
                <w:sz w:val="22"/>
              </w:rPr>
              <w:t>1. 入 國 3 日</w:t>
            </w:r>
          </w:p>
        </w:tc>
        <w:tc>
          <w:tcPr>
            <w:tcW w:w="708" w:type="dxa"/>
            <w:tcBorders>
              <w:bottom w:val="nil"/>
            </w:tcBorders>
          </w:tcPr>
          <w:p>
            <w:pPr>
              <w:pStyle w:val="TableParagraph"/>
              <w:rPr>
                <w:rFonts w:ascii="Times New Roman"/>
                <w:sz w:val="22"/>
              </w:rPr>
            </w:pPr>
          </w:p>
        </w:tc>
        <w:tc>
          <w:tcPr>
            <w:tcW w:w="3538" w:type="dxa"/>
            <w:vMerge w:val="restart"/>
            <w:tcBorders>
              <w:right w:val="single" w:sz="6" w:space="0" w:color="000000"/>
            </w:tcBorders>
          </w:tcPr>
          <w:p>
            <w:pPr>
              <w:pStyle w:val="TableParagraph"/>
              <w:spacing w:line="237" w:lineRule="auto" w:before="175"/>
              <w:ind w:left="106" w:right="132"/>
              <w:jc w:val="both"/>
              <w:rPr>
                <w:rFonts w:ascii="微軟正黑體" w:eastAsia="微軟正黑體" w:hint="eastAsia"/>
                <w:sz w:val="22"/>
              </w:rPr>
            </w:pPr>
            <w:r>
              <w:rPr>
                <w:rFonts w:ascii="微軟正黑體" w:eastAsia="微軟正黑體" w:hint="eastAsia"/>
                <w:color w:val="221F1F"/>
                <w:sz w:val="22"/>
              </w:rPr>
              <w:t>指定醫院應於受理移工，依下列健檢時機之次日起，將健康檢查結果清單上傳至疾管署指定資訊平臺</w:t>
            </w:r>
          </w:p>
          <w:p>
            <w:pPr>
              <w:pStyle w:val="TableParagraph"/>
              <w:numPr>
                <w:ilvl w:val="0"/>
                <w:numId w:val="130"/>
              </w:numPr>
              <w:tabs>
                <w:tab w:pos="340" w:val="left" w:leader="none"/>
              </w:tabs>
              <w:spacing w:line="393" w:lineRule="exact" w:before="196" w:after="0"/>
              <w:ind w:left="339" w:right="0" w:hanging="284"/>
              <w:jc w:val="both"/>
              <w:rPr>
                <w:rFonts w:ascii="微軟正黑體" w:eastAsia="微軟正黑體" w:hint="eastAsia"/>
                <w:sz w:val="22"/>
              </w:rPr>
            </w:pPr>
            <w:r>
              <w:rPr>
                <w:rFonts w:ascii="微軟正黑體" w:eastAsia="微軟正黑體" w:hint="eastAsia"/>
                <w:color w:val="221F1F"/>
                <w:sz w:val="22"/>
              </w:rPr>
              <w:t>入國 3</w:t>
            </w:r>
            <w:r>
              <w:rPr>
                <w:rFonts w:ascii="微軟正黑體" w:eastAsia="微軟正黑體" w:hint="eastAsia"/>
                <w:color w:val="221F1F"/>
                <w:spacing w:val="-1"/>
                <w:sz w:val="22"/>
              </w:rPr>
              <w:t> 日健檢</w:t>
            </w:r>
            <w:r>
              <w:rPr>
                <w:rFonts w:ascii="微軟正黑體" w:eastAsia="微軟正黑體" w:hint="eastAsia"/>
                <w:color w:val="221F1F"/>
                <w:sz w:val="22"/>
              </w:rPr>
              <w:t>：7</w:t>
            </w:r>
            <w:r>
              <w:rPr>
                <w:rFonts w:ascii="微軟正黑體" w:eastAsia="微軟正黑體" w:hint="eastAsia"/>
                <w:color w:val="221F1F"/>
                <w:spacing w:val="-3"/>
                <w:sz w:val="22"/>
              </w:rPr>
              <w:t> 個工作日內</w:t>
            </w:r>
          </w:p>
          <w:p>
            <w:pPr>
              <w:pStyle w:val="TableParagraph"/>
              <w:numPr>
                <w:ilvl w:val="0"/>
                <w:numId w:val="130"/>
              </w:numPr>
              <w:tabs>
                <w:tab w:pos="340" w:val="left" w:leader="none"/>
              </w:tabs>
              <w:spacing w:line="413" w:lineRule="exact" w:before="0" w:after="0"/>
              <w:ind w:left="339" w:right="0" w:hanging="284"/>
              <w:jc w:val="both"/>
              <w:rPr>
                <w:rFonts w:ascii="微軟正黑體" w:eastAsia="微軟正黑體" w:hint="eastAsia"/>
                <w:sz w:val="22"/>
              </w:rPr>
            </w:pPr>
            <w:r>
              <w:rPr>
                <w:rFonts w:ascii="微軟正黑體" w:eastAsia="微軟正黑體" w:hint="eastAsia"/>
                <w:color w:val="221F1F"/>
                <w:spacing w:val="-1"/>
                <w:position w:val="2"/>
                <w:sz w:val="22"/>
              </w:rPr>
              <w:t>定期健檢：</w:t>
            </w:r>
            <w:r>
              <w:rPr>
                <w:rFonts w:ascii="微軟正黑體" w:eastAsia="微軟正黑體" w:hint="eastAsia"/>
                <w:color w:val="221F1F"/>
                <w:position w:val="2"/>
                <w:sz w:val="22"/>
              </w:rPr>
              <w:t>10</w:t>
            </w:r>
            <w:r>
              <w:rPr>
                <w:rFonts w:ascii="微軟正黑體" w:eastAsia="微軟正黑體" w:hint="eastAsia"/>
                <w:color w:val="221F1F"/>
                <w:spacing w:val="-3"/>
                <w:position w:val="2"/>
                <w:sz w:val="22"/>
              </w:rPr>
              <w:t> 個工作日內</w:t>
            </w:r>
          </w:p>
        </w:tc>
      </w:tr>
      <w:tr>
        <w:trPr>
          <w:trHeight w:val="390"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spacing w:line="362" w:lineRule="exact"/>
              <w:ind w:left="311"/>
              <w:rPr>
                <w:rFonts w:ascii="微軟正黑體" w:eastAsia="微軟正黑體" w:hint="eastAsia"/>
                <w:sz w:val="22"/>
              </w:rPr>
            </w:pPr>
            <w:r>
              <w:rPr>
                <w:rFonts w:ascii="微軟正黑體" w:eastAsia="微軟正黑體" w:hint="eastAsia"/>
                <w:color w:val="221F1F"/>
                <w:sz w:val="22"/>
              </w:rPr>
              <w:t>健檢</w:t>
            </w:r>
          </w:p>
        </w:tc>
        <w:tc>
          <w:tcPr>
            <w:tcW w:w="708" w:type="dxa"/>
            <w:tcBorders>
              <w:top w:val="nil"/>
              <w:bottom w:val="nil"/>
            </w:tcBorders>
          </w:tcPr>
          <w:p>
            <w:pPr>
              <w:pStyle w:val="TableParagraph"/>
              <w:rPr>
                <w:rFonts w:ascii="Times New Roman"/>
                <w:sz w:val="22"/>
              </w:rPr>
            </w:pPr>
          </w:p>
        </w:tc>
        <w:tc>
          <w:tcPr>
            <w:tcW w:w="3538" w:type="dxa"/>
            <w:vMerge/>
            <w:tcBorders>
              <w:top w:val="nil"/>
              <w:right w:val="single" w:sz="6" w:space="0" w:color="000000"/>
            </w:tcBorders>
          </w:tcPr>
          <w:p>
            <w:pPr>
              <w:rPr>
                <w:sz w:val="2"/>
                <w:szCs w:val="2"/>
              </w:rPr>
            </w:pPr>
          </w:p>
        </w:tc>
      </w:tr>
      <w:tr>
        <w:trPr>
          <w:trHeight w:val="389"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spacing w:line="361" w:lineRule="exact"/>
              <w:ind w:left="107"/>
              <w:rPr>
                <w:rFonts w:ascii="微軟正黑體" w:eastAsia="微軟正黑體" w:hint="eastAsia"/>
                <w:sz w:val="22"/>
              </w:rPr>
            </w:pPr>
            <w:r>
              <w:rPr>
                <w:rFonts w:ascii="微軟正黑體" w:eastAsia="微軟正黑體" w:hint="eastAsia"/>
                <w:color w:val="221F1F"/>
                <w:sz w:val="22"/>
              </w:rPr>
              <w:t>2. 定期健檢</w:t>
            </w:r>
          </w:p>
        </w:tc>
        <w:tc>
          <w:tcPr>
            <w:tcW w:w="708" w:type="dxa"/>
            <w:tcBorders>
              <w:top w:val="nil"/>
              <w:bottom w:val="nil"/>
            </w:tcBorders>
          </w:tcPr>
          <w:p>
            <w:pPr>
              <w:pStyle w:val="TableParagraph"/>
              <w:rPr>
                <w:rFonts w:ascii="Times New Roman"/>
                <w:sz w:val="22"/>
              </w:rPr>
            </w:pPr>
          </w:p>
        </w:tc>
        <w:tc>
          <w:tcPr>
            <w:tcW w:w="3538" w:type="dxa"/>
            <w:vMerge/>
            <w:tcBorders>
              <w:top w:val="nil"/>
              <w:right w:val="single" w:sz="6" w:space="0" w:color="000000"/>
            </w:tcBorders>
          </w:tcPr>
          <w:p>
            <w:pPr>
              <w:rPr>
                <w:sz w:val="2"/>
                <w:szCs w:val="2"/>
              </w:rPr>
            </w:pPr>
          </w:p>
        </w:tc>
      </w:tr>
      <w:tr>
        <w:trPr>
          <w:trHeight w:val="410"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spacing w:line="363" w:lineRule="exact"/>
              <w:ind w:left="311"/>
              <w:rPr>
                <w:rFonts w:ascii="微軟正黑體" w:eastAsia="微軟正黑體" w:hint="eastAsia"/>
                <w:sz w:val="22"/>
              </w:rPr>
            </w:pPr>
            <w:r>
              <w:rPr>
                <w:rFonts w:ascii="微軟正黑體" w:eastAsia="微軟正黑體" w:hint="eastAsia"/>
                <w:color w:val="221F1F"/>
                <w:sz w:val="22"/>
              </w:rPr>
              <w:t>（入國工</w:t>
            </w:r>
          </w:p>
        </w:tc>
        <w:tc>
          <w:tcPr>
            <w:tcW w:w="708" w:type="dxa"/>
            <w:tcBorders>
              <w:top w:val="nil"/>
              <w:bottom w:val="nil"/>
            </w:tcBorders>
          </w:tcPr>
          <w:p>
            <w:pPr>
              <w:pStyle w:val="TableParagraph"/>
              <w:spacing w:line="381" w:lineRule="exact"/>
              <w:ind w:left="114" w:right="104"/>
              <w:jc w:val="center"/>
              <w:rPr>
                <w:rFonts w:ascii="微軟正黑體" w:eastAsia="微軟正黑體" w:hint="eastAsia"/>
                <w:sz w:val="22"/>
              </w:rPr>
            </w:pPr>
            <w:r>
              <w:rPr>
                <w:rFonts w:ascii="微軟正黑體" w:eastAsia="微軟正黑體" w:hint="eastAsia"/>
                <w:color w:val="221F1F"/>
                <w:sz w:val="22"/>
              </w:rPr>
              <w:t>合格</w:t>
            </w:r>
          </w:p>
        </w:tc>
        <w:tc>
          <w:tcPr>
            <w:tcW w:w="3538" w:type="dxa"/>
            <w:vMerge/>
            <w:tcBorders>
              <w:top w:val="nil"/>
              <w:right w:val="single" w:sz="6" w:space="0" w:color="000000"/>
            </w:tcBorders>
          </w:tcPr>
          <w:p>
            <w:pPr>
              <w:rPr>
                <w:sz w:val="2"/>
                <w:szCs w:val="2"/>
              </w:rPr>
            </w:pPr>
          </w:p>
        </w:tc>
      </w:tr>
      <w:tr>
        <w:trPr>
          <w:trHeight w:val="370"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spacing w:line="342" w:lineRule="exact"/>
              <w:ind w:left="311"/>
              <w:rPr>
                <w:rFonts w:ascii="微軟正黑體" w:eastAsia="微軟正黑體" w:hint="eastAsia"/>
                <w:sz w:val="22"/>
              </w:rPr>
            </w:pPr>
            <w:r>
              <w:rPr>
                <w:rFonts w:ascii="微軟正黑體" w:eastAsia="微軟正黑體" w:hint="eastAsia"/>
                <w:color w:val="221F1F"/>
                <w:sz w:val="22"/>
              </w:rPr>
              <w:t>作滿 </w:t>
            </w:r>
            <w:r>
              <w:rPr>
                <w:rFonts w:ascii="微軟正黑體" w:eastAsia="微軟正黑體" w:hint="eastAsia"/>
                <w:color w:val="221F1F"/>
                <w:spacing w:val="-51"/>
                <w:sz w:val="22"/>
              </w:rPr>
              <w:t>6、</w:t>
            </w:r>
            <w:r>
              <w:rPr>
                <w:rFonts w:ascii="微軟正黑體" w:eastAsia="微軟正黑體" w:hint="eastAsia"/>
                <w:color w:val="221F1F"/>
                <w:sz w:val="22"/>
              </w:rPr>
              <w:t>18</w:t>
            </w:r>
          </w:p>
        </w:tc>
        <w:tc>
          <w:tcPr>
            <w:tcW w:w="708" w:type="dxa"/>
            <w:tcBorders>
              <w:top w:val="nil"/>
              <w:bottom w:val="nil"/>
            </w:tcBorders>
          </w:tcPr>
          <w:p>
            <w:pPr>
              <w:pStyle w:val="TableParagraph"/>
              <w:rPr>
                <w:rFonts w:ascii="Times New Roman"/>
                <w:sz w:val="22"/>
              </w:rPr>
            </w:pPr>
          </w:p>
        </w:tc>
        <w:tc>
          <w:tcPr>
            <w:tcW w:w="3538" w:type="dxa"/>
            <w:vMerge/>
            <w:tcBorders>
              <w:top w:val="nil"/>
              <w:right w:val="single" w:sz="6" w:space="0" w:color="000000"/>
            </w:tcBorders>
          </w:tcPr>
          <w:p>
            <w:pPr>
              <w:rPr>
                <w:sz w:val="2"/>
                <w:szCs w:val="2"/>
              </w:rPr>
            </w:pPr>
          </w:p>
        </w:tc>
      </w:tr>
      <w:tr>
        <w:trPr>
          <w:trHeight w:val="391"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spacing w:line="362" w:lineRule="exact"/>
              <w:ind w:left="311"/>
              <w:rPr>
                <w:rFonts w:ascii="微軟正黑體" w:eastAsia="微軟正黑體" w:hint="eastAsia"/>
                <w:sz w:val="22"/>
              </w:rPr>
            </w:pPr>
            <w:r>
              <w:rPr>
                <w:rFonts w:ascii="微軟正黑體" w:eastAsia="微軟正黑體" w:hint="eastAsia"/>
                <w:color w:val="221F1F"/>
                <w:sz w:val="22"/>
              </w:rPr>
              <w:t>及 30 個</w:t>
            </w:r>
          </w:p>
        </w:tc>
        <w:tc>
          <w:tcPr>
            <w:tcW w:w="708" w:type="dxa"/>
            <w:tcBorders>
              <w:top w:val="nil"/>
              <w:bottom w:val="nil"/>
            </w:tcBorders>
          </w:tcPr>
          <w:p>
            <w:pPr>
              <w:pStyle w:val="TableParagraph"/>
              <w:rPr>
                <w:rFonts w:ascii="Times New Roman"/>
                <w:sz w:val="22"/>
              </w:rPr>
            </w:pPr>
          </w:p>
        </w:tc>
        <w:tc>
          <w:tcPr>
            <w:tcW w:w="3538" w:type="dxa"/>
            <w:vMerge/>
            <w:tcBorders>
              <w:top w:val="nil"/>
              <w:right w:val="single" w:sz="6" w:space="0" w:color="000000"/>
            </w:tcBorders>
          </w:tcPr>
          <w:p>
            <w:pPr>
              <w:rPr>
                <w:sz w:val="2"/>
                <w:szCs w:val="2"/>
              </w:rPr>
            </w:pPr>
          </w:p>
        </w:tc>
      </w:tr>
      <w:tr>
        <w:trPr>
          <w:trHeight w:val="473"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spacing w:line="364" w:lineRule="exact"/>
              <w:ind w:left="311"/>
              <w:rPr>
                <w:rFonts w:ascii="微軟正黑體" w:eastAsia="微軟正黑體" w:hint="eastAsia"/>
                <w:sz w:val="22"/>
              </w:rPr>
            </w:pPr>
            <w:r>
              <w:rPr>
                <w:rFonts w:ascii="微軟正黑體" w:eastAsia="微軟正黑體" w:hint="eastAsia"/>
                <w:color w:val="221F1F"/>
                <w:sz w:val="22"/>
              </w:rPr>
              <w:t>月）</w:t>
            </w:r>
          </w:p>
        </w:tc>
        <w:tc>
          <w:tcPr>
            <w:tcW w:w="708" w:type="dxa"/>
            <w:tcBorders>
              <w:top w:val="nil"/>
            </w:tcBorders>
          </w:tcPr>
          <w:p>
            <w:pPr>
              <w:pStyle w:val="TableParagraph"/>
              <w:rPr>
                <w:rFonts w:ascii="Times New Roman"/>
                <w:sz w:val="22"/>
              </w:rPr>
            </w:pPr>
          </w:p>
        </w:tc>
        <w:tc>
          <w:tcPr>
            <w:tcW w:w="3538" w:type="dxa"/>
            <w:vMerge/>
            <w:tcBorders>
              <w:top w:val="nil"/>
              <w:right w:val="single" w:sz="6" w:space="0" w:color="000000"/>
            </w:tcBorders>
          </w:tcPr>
          <w:p>
            <w:pPr>
              <w:rPr>
                <w:sz w:val="2"/>
                <w:szCs w:val="2"/>
              </w:rPr>
            </w:pPr>
          </w:p>
        </w:tc>
      </w:tr>
      <w:tr>
        <w:trPr>
          <w:trHeight w:val="486"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spacing w:line="402" w:lineRule="exact" w:before="55"/>
              <w:ind w:left="212"/>
              <w:rPr>
                <w:rFonts w:ascii="微軟正黑體" w:eastAsia="微軟正黑體" w:hint="eastAsia"/>
                <w:sz w:val="22"/>
              </w:rPr>
            </w:pPr>
            <w:r>
              <w:rPr>
                <w:rFonts w:ascii="微軟正黑體" w:eastAsia="微軟正黑體" w:hint="eastAsia"/>
                <w:color w:val="221F1F"/>
                <w:sz w:val="22"/>
              </w:rPr>
              <w:t>（檢查時程</w:t>
            </w:r>
          </w:p>
        </w:tc>
        <w:tc>
          <w:tcPr>
            <w:tcW w:w="708" w:type="dxa"/>
            <w:vMerge w:val="restart"/>
          </w:tcPr>
          <w:p>
            <w:pPr>
              <w:pStyle w:val="TableParagraph"/>
              <w:rPr>
                <w:rFonts w:ascii="微軟正黑體"/>
                <w:sz w:val="28"/>
              </w:rPr>
            </w:pPr>
          </w:p>
          <w:p>
            <w:pPr>
              <w:pStyle w:val="TableParagraph"/>
              <w:rPr>
                <w:rFonts w:ascii="微軟正黑體"/>
                <w:sz w:val="28"/>
              </w:rPr>
            </w:pPr>
          </w:p>
          <w:p>
            <w:pPr>
              <w:pStyle w:val="TableParagraph"/>
              <w:spacing w:before="12"/>
              <w:rPr>
                <w:rFonts w:ascii="微軟正黑體"/>
                <w:sz w:val="15"/>
              </w:rPr>
            </w:pPr>
          </w:p>
          <w:p>
            <w:pPr>
              <w:pStyle w:val="TableParagraph"/>
              <w:spacing w:line="237" w:lineRule="auto"/>
              <w:ind w:left="133" w:right="121"/>
              <w:rPr>
                <w:rFonts w:ascii="微軟正黑體" w:eastAsia="微軟正黑體" w:hint="eastAsia"/>
                <w:sz w:val="22"/>
              </w:rPr>
            </w:pPr>
            <w:r>
              <w:rPr>
                <w:rFonts w:ascii="微軟正黑體" w:eastAsia="微軟正黑體" w:hint="eastAsia"/>
                <w:color w:val="221F1F"/>
                <w:spacing w:val="-9"/>
                <w:sz w:val="22"/>
              </w:rPr>
              <w:t>初判不合</w:t>
            </w:r>
          </w:p>
          <w:p>
            <w:pPr>
              <w:pStyle w:val="TableParagraph"/>
              <w:spacing w:line="187" w:lineRule="auto"/>
              <w:ind w:left="-158"/>
              <w:rPr>
                <w:rFonts w:ascii="微軟正黑體" w:eastAsia="微軟正黑體" w:hint="eastAsia"/>
                <w:sz w:val="22"/>
              </w:rPr>
            </w:pPr>
            <w:r>
              <w:rPr>
                <w:rFonts w:ascii="微軟正黑體" w:eastAsia="微軟正黑體" w:hint="eastAsia"/>
                <w:color w:val="221F1F"/>
                <w:sz w:val="22"/>
              </w:rPr>
              <w:t>）</w:t>
            </w:r>
            <w:r>
              <w:rPr>
                <w:rFonts w:ascii="微軟正黑體" w:eastAsia="微軟正黑體" w:hint="eastAsia"/>
                <w:color w:val="221F1F"/>
                <w:spacing w:val="4"/>
                <w:sz w:val="22"/>
              </w:rPr>
              <w:t>   </w:t>
            </w:r>
            <w:r>
              <w:rPr>
                <w:rFonts w:ascii="微軟正黑體" w:eastAsia="微軟正黑體" w:hint="eastAsia"/>
                <w:color w:val="221F1F"/>
                <w:position w:val="-5"/>
                <w:sz w:val="22"/>
              </w:rPr>
              <w:t>格</w:t>
            </w:r>
          </w:p>
        </w:tc>
        <w:tc>
          <w:tcPr>
            <w:tcW w:w="3538" w:type="dxa"/>
            <w:vMerge w:val="restart"/>
            <w:tcBorders>
              <w:right w:val="single" w:sz="6" w:space="0" w:color="000000"/>
            </w:tcBorders>
          </w:tcPr>
          <w:p>
            <w:pPr>
              <w:pStyle w:val="TableParagraph"/>
              <w:numPr>
                <w:ilvl w:val="0"/>
                <w:numId w:val="131"/>
              </w:numPr>
              <w:tabs>
                <w:tab w:pos="278" w:val="left" w:leader="none"/>
              </w:tabs>
              <w:spacing w:line="237" w:lineRule="auto" w:before="209" w:after="0"/>
              <w:ind w:left="277" w:right="90" w:hanging="284"/>
              <w:jc w:val="both"/>
              <w:rPr>
                <w:rFonts w:ascii="微軟正黑體" w:eastAsia="微軟正黑體" w:hint="eastAsia"/>
                <w:sz w:val="22"/>
              </w:rPr>
            </w:pPr>
            <w:r>
              <w:rPr>
                <w:rFonts w:ascii="微軟正黑體" w:eastAsia="微軟正黑體" w:hint="eastAsia"/>
                <w:color w:val="221F1F"/>
                <w:spacing w:val="-15"/>
                <w:sz w:val="22"/>
              </w:rPr>
              <w:t>經判定為「疑似肺結核」或「無法</w:t>
            </w:r>
            <w:r>
              <w:rPr>
                <w:rFonts w:ascii="微軟正黑體" w:eastAsia="微軟正黑體" w:hint="eastAsia"/>
                <w:color w:val="221F1F"/>
                <w:spacing w:val="-14"/>
                <w:sz w:val="22"/>
              </w:rPr>
              <w:t>確認診斷」者，自收受健康檢查證</w:t>
            </w:r>
            <w:r>
              <w:rPr>
                <w:rFonts w:ascii="微軟正黑體" w:eastAsia="微軟正黑體" w:hint="eastAsia"/>
                <w:color w:val="221F1F"/>
                <w:spacing w:val="4"/>
                <w:sz w:val="22"/>
              </w:rPr>
              <w:t>明之次日起 </w:t>
            </w:r>
            <w:r>
              <w:rPr>
                <w:rFonts w:ascii="微軟正黑體" w:eastAsia="微軟正黑體" w:hint="eastAsia"/>
                <w:color w:val="221F1F"/>
                <w:sz w:val="22"/>
              </w:rPr>
              <w:t>15</w:t>
            </w:r>
            <w:r>
              <w:rPr>
                <w:rFonts w:ascii="微軟正黑體" w:eastAsia="微軟正黑體" w:hint="eastAsia"/>
                <w:color w:val="221F1F"/>
                <w:spacing w:val="2"/>
                <w:sz w:val="22"/>
              </w:rPr>
              <w:t> 日內，由雇主</w:t>
            </w:r>
            <w:r>
              <w:rPr>
                <w:rFonts w:ascii="微軟正黑體" w:eastAsia="微軟正黑體" w:hint="eastAsia"/>
                <w:color w:val="221F1F"/>
                <w:sz w:val="22"/>
              </w:rPr>
              <w:t>/</w:t>
            </w:r>
            <w:r>
              <w:rPr>
                <w:rFonts w:ascii="微軟正黑體" w:eastAsia="微軟正黑體" w:hint="eastAsia"/>
                <w:color w:val="221F1F"/>
                <w:spacing w:val="-11"/>
                <w:sz w:val="22"/>
              </w:rPr>
              <w:t>仲</w:t>
            </w:r>
            <w:r>
              <w:rPr>
                <w:rFonts w:ascii="微軟正黑體" w:eastAsia="微軟正黑體" w:hint="eastAsia"/>
                <w:color w:val="221F1F"/>
                <w:spacing w:val="3"/>
                <w:sz w:val="22"/>
              </w:rPr>
              <w:t>介偕移工攜帶健檢報告及胸部Ｘ </w:t>
            </w:r>
            <w:r>
              <w:rPr>
                <w:rFonts w:ascii="微軟正黑體" w:eastAsia="微軟正黑體" w:hint="eastAsia"/>
                <w:color w:val="221F1F"/>
                <w:spacing w:val="-3"/>
                <w:sz w:val="22"/>
              </w:rPr>
              <w:t>光片，至指定機構進行複檢</w:t>
            </w:r>
          </w:p>
          <w:p>
            <w:pPr>
              <w:pStyle w:val="TableParagraph"/>
              <w:numPr>
                <w:ilvl w:val="0"/>
                <w:numId w:val="131"/>
              </w:numPr>
              <w:tabs>
                <w:tab w:pos="278" w:val="left" w:leader="none"/>
              </w:tabs>
              <w:spacing w:line="237" w:lineRule="auto" w:before="0" w:after="0"/>
              <w:ind w:left="277" w:right="90" w:hanging="284"/>
              <w:jc w:val="both"/>
              <w:rPr>
                <w:rFonts w:ascii="微軟正黑體" w:eastAsia="微軟正黑體" w:hint="eastAsia"/>
                <w:sz w:val="22"/>
              </w:rPr>
            </w:pPr>
            <w:r>
              <w:rPr>
                <w:rFonts w:ascii="微軟正黑體" w:eastAsia="微軟正黑體" w:hint="eastAsia"/>
                <w:color w:val="221F1F"/>
                <w:spacing w:val="3"/>
                <w:sz w:val="22"/>
              </w:rPr>
              <w:t>辦理定期健檢移工初判不合格複</w:t>
            </w:r>
            <w:r>
              <w:rPr>
                <w:rFonts w:ascii="微軟正黑體" w:eastAsia="微軟正黑體" w:hint="eastAsia"/>
                <w:color w:val="221F1F"/>
                <w:spacing w:val="-8"/>
                <w:sz w:val="22"/>
              </w:rPr>
              <w:t>檢通知作業時</w:t>
            </w:r>
            <w:r>
              <w:rPr>
                <w:rFonts w:ascii="微軟正黑體" w:eastAsia="微軟正黑體" w:hint="eastAsia"/>
                <w:color w:val="221F1F"/>
                <w:spacing w:val="-3"/>
                <w:sz w:val="22"/>
              </w:rPr>
              <w:t>（</w:t>
            </w:r>
            <w:r>
              <w:rPr>
                <w:rFonts w:ascii="微軟正黑體" w:eastAsia="微軟正黑體" w:hint="eastAsia"/>
                <w:color w:val="221F1F"/>
                <w:spacing w:val="3"/>
                <w:sz w:val="22"/>
              </w:rPr>
              <w:t>附件 </w:t>
            </w:r>
            <w:r>
              <w:rPr>
                <w:rFonts w:ascii="微軟正黑體" w:eastAsia="微軟正黑體" w:hint="eastAsia"/>
                <w:color w:val="221F1F"/>
                <w:spacing w:val="-17"/>
                <w:sz w:val="22"/>
              </w:rPr>
              <w:t>7-4）</w:t>
            </w:r>
            <w:r>
              <w:rPr>
                <w:rFonts w:ascii="微軟正黑體" w:eastAsia="微軟正黑體" w:hint="eastAsia"/>
                <w:color w:val="221F1F"/>
                <w:spacing w:val="-10"/>
                <w:sz w:val="22"/>
              </w:rPr>
              <w:t>，應明</w:t>
            </w:r>
            <w:r>
              <w:rPr>
                <w:rFonts w:ascii="微軟正黑體" w:eastAsia="微軟正黑體" w:hint="eastAsia"/>
                <w:color w:val="221F1F"/>
                <w:spacing w:val="3"/>
                <w:sz w:val="22"/>
              </w:rPr>
              <w:t>確告知雇主協助移工申請留臺都</w:t>
            </w:r>
            <w:r>
              <w:rPr>
                <w:rFonts w:ascii="微軟正黑體" w:eastAsia="微軟正黑體" w:hint="eastAsia"/>
                <w:color w:val="221F1F"/>
                <w:spacing w:val="-1"/>
                <w:sz w:val="22"/>
              </w:rPr>
              <w:t>治服務之義務</w:t>
            </w:r>
          </w:p>
        </w:tc>
      </w:tr>
      <w:tr>
        <w:trPr>
          <w:trHeight w:val="389"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spacing w:line="361" w:lineRule="exact"/>
              <w:ind w:left="212"/>
              <w:rPr>
                <w:rFonts w:ascii="微軟正黑體" w:eastAsia="微軟正黑體" w:hint="eastAsia"/>
                <w:sz w:val="22"/>
              </w:rPr>
            </w:pPr>
            <w:r>
              <w:rPr>
                <w:rFonts w:ascii="微軟正黑體" w:eastAsia="微軟正黑體" w:hint="eastAsia"/>
                <w:color w:val="221F1F"/>
                <w:sz w:val="22"/>
              </w:rPr>
              <w:t>請參照疾管</w:t>
            </w:r>
          </w:p>
        </w:tc>
        <w:tc>
          <w:tcPr>
            <w:tcW w:w="708" w:type="dxa"/>
            <w:vMerge/>
            <w:tcBorders>
              <w:top w:val="nil"/>
            </w:tcBorders>
          </w:tcPr>
          <w:p>
            <w:pPr>
              <w:rPr>
                <w:sz w:val="2"/>
                <w:szCs w:val="2"/>
              </w:rPr>
            </w:pPr>
          </w:p>
        </w:tc>
        <w:tc>
          <w:tcPr>
            <w:tcW w:w="3538" w:type="dxa"/>
            <w:vMerge/>
            <w:tcBorders>
              <w:top w:val="nil"/>
              <w:right w:val="single" w:sz="6" w:space="0" w:color="000000"/>
            </w:tcBorders>
          </w:tcPr>
          <w:p>
            <w:pPr>
              <w:rPr>
                <w:sz w:val="2"/>
                <w:szCs w:val="2"/>
              </w:rPr>
            </w:pPr>
          </w:p>
        </w:tc>
      </w:tr>
      <w:tr>
        <w:trPr>
          <w:trHeight w:val="419" w:hRule="atLeast"/>
        </w:trPr>
        <w:tc>
          <w:tcPr>
            <w:tcW w:w="845" w:type="dxa"/>
            <w:tcBorders>
              <w:top w:val="nil"/>
              <w:bottom w:val="nil"/>
            </w:tcBorders>
          </w:tcPr>
          <w:p>
            <w:pPr>
              <w:pStyle w:val="TableParagraph"/>
              <w:spacing w:line="372" w:lineRule="exact" w:before="18"/>
              <w:ind w:left="182" w:right="173"/>
              <w:jc w:val="center"/>
              <w:rPr>
                <w:rFonts w:ascii="微軟正黑體" w:eastAsia="微軟正黑體" w:hint="eastAsia"/>
                <w:sz w:val="22"/>
              </w:rPr>
            </w:pPr>
            <w:r>
              <w:rPr>
                <w:rFonts w:ascii="微軟正黑體" w:eastAsia="微軟正黑體" w:hint="eastAsia"/>
                <w:color w:val="221F1F"/>
                <w:sz w:val="22"/>
              </w:rPr>
              <w:t>強化</w:t>
            </w:r>
          </w:p>
        </w:tc>
        <w:tc>
          <w:tcPr>
            <w:tcW w:w="2269" w:type="dxa"/>
            <w:vMerge/>
            <w:tcBorders>
              <w:top w:val="nil"/>
            </w:tcBorders>
          </w:tcPr>
          <w:p>
            <w:pPr>
              <w:rPr>
                <w:sz w:val="2"/>
                <w:szCs w:val="2"/>
              </w:rPr>
            </w:pPr>
          </w:p>
        </w:tc>
        <w:tc>
          <w:tcPr>
            <w:tcW w:w="1419" w:type="dxa"/>
            <w:tcBorders>
              <w:top w:val="nil"/>
              <w:bottom w:val="nil"/>
            </w:tcBorders>
          </w:tcPr>
          <w:p>
            <w:pPr>
              <w:pStyle w:val="TableParagraph"/>
              <w:spacing w:line="363" w:lineRule="exact"/>
              <w:ind w:left="212" w:right="-58"/>
              <w:rPr>
                <w:rFonts w:ascii="微軟正黑體" w:eastAsia="微軟正黑體" w:hint="eastAsia"/>
                <w:sz w:val="22"/>
              </w:rPr>
            </w:pPr>
            <w:r>
              <w:rPr>
                <w:rFonts w:ascii="微軟正黑體" w:eastAsia="微軟正黑體" w:hint="eastAsia"/>
                <w:color w:val="221F1F"/>
                <w:spacing w:val="14"/>
                <w:sz w:val="22"/>
              </w:rPr>
              <w:t>署 公 布 之 </w:t>
            </w:r>
            <w:r>
              <w:rPr>
                <w:rFonts w:ascii="微軟正黑體" w:eastAsia="微軟正黑體" w:hint="eastAsia"/>
                <w:color w:val="221F1F"/>
                <w:spacing w:val="-19"/>
                <w:sz w:val="22"/>
              </w:rPr>
              <w:t> </w:t>
            </w:r>
          </w:p>
        </w:tc>
        <w:tc>
          <w:tcPr>
            <w:tcW w:w="708" w:type="dxa"/>
            <w:vMerge/>
            <w:tcBorders>
              <w:top w:val="nil"/>
            </w:tcBorders>
          </w:tcPr>
          <w:p>
            <w:pPr>
              <w:rPr>
                <w:sz w:val="2"/>
                <w:szCs w:val="2"/>
              </w:rPr>
            </w:pPr>
          </w:p>
        </w:tc>
        <w:tc>
          <w:tcPr>
            <w:tcW w:w="3538" w:type="dxa"/>
            <w:vMerge/>
            <w:tcBorders>
              <w:top w:val="nil"/>
              <w:right w:val="single" w:sz="6" w:space="0" w:color="000000"/>
            </w:tcBorders>
          </w:tcPr>
          <w:p>
            <w:pPr>
              <w:rPr>
                <w:sz w:val="2"/>
                <w:szCs w:val="2"/>
              </w:rPr>
            </w:pPr>
          </w:p>
        </w:tc>
      </w:tr>
      <w:tr>
        <w:trPr>
          <w:trHeight w:val="390" w:hRule="atLeast"/>
        </w:trPr>
        <w:tc>
          <w:tcPr>
            <w:tcW w:w="845" w:type="dxa"/>
            <w:tcBorders>
              <w:top w:val="nil"/>
              <w:bottom w:val="nil"/>
            </w:tcBorders>
          </w:tcPr>
          <w:p>
            <w:pPr>
              <w:pStyle w:val="TableParagraph"/>
              <w:spacing w:line="362" w:lineRule="exact"/>
              <w:ind w:left="182" w:right="173"/>
              <w:jc w:val="center"/>
              <w:rPr>
                <w:rFonts w:ascii="微軟正黑體" w:eastAsia="微軟正黑體" w:hint="eastAsia"/>
                <w:sz w:val="22"/>
              </w:rPr>
            </w:pPr>
            <w:r>
              <w:rPr>
                <w:rFonts w:ascii="微軟正黑體" w:eastAsia="微軟正黑體" w:hint="eastAsia"/>
                <w:color w:val="221F1F"/>
                <w:sz w:val="22"/>
              </w:rPr>
              <w:t>外籍</w:t>
            </w:r>
          </w:p>
        </w:tc>
        <w:tc>
          <w:tcPr>
            <w:tcW w:w="2269" w:type="dxa"/>
            <w:vMerge/>
            <w:tcBorders>
              <w:top w:val="nil"/>
            </w:tcBorders>
          </w:tcPr>
          <w:p>
            <w:pPr>
              <w:rPr>
                <w:sz w:val="2"/>
                <w:szCs w:val="2"/>
              </w:rPr>
            </w:pPr>
          </w:p>
        </w:tc>
        <w:tc>
          <w:tcPr>
            <w:tcW w:w="1419" w:type="dxa"/>
            <w:tcBorders>
              <w:top w:val="nil"/>
              <w:bottom w:val="nil"/>
            </w:tcBorders>
          </w:tcPr>
          <w:p>
            <w:pPr>
              <w:pStyle w:val="TableParagraph"/>
              <w:spacing w:line="334" w:lineRule="exact"/>
              <w:ind w:left="212"/>
              <w:rPr>
                <w:rFonts w:ascii="微軟正黑體" w:eastAsia="微軟正黑體" w:hint="eastAsia"/>
                <w:sz w:val="22"/>
              </w:rPr>
            </w:pPr>
            <w:r>
              <w:rPr>
                <w:rFonts w:ascii="微軟正黑體" w:eastAsia="微軟正黑體" w:hint="eastAsia"/>
                <w:color w:val="221F1F"/>
                <w:sz w:val="22"/>
              </w:rPr>
              <w:t>「受聘僱外</w:t>
            </w:r>
          </w:p>
        </w:tc>
        <w:tc>
          <w:tcPr>
            <w:tcW w:w="708" w:type="dxa"/>
            <w:vMerge/>
            <w:tcBorders>
              <w:top w:val="nil"/>
            </w:tcBorders>
          </w:tcPr>
          <w:p>
            <w:pPr>
              <w:rPr>
                <w:sz w:val="2"/>
                <w:szCs w:val="2"/>
              </w:rPr>
            </w:pPr>
          </w:p>
        </w:tc>
        <w:tc>
          <w:tcPr>
            <w:tcW w:w="3538" w:type="dxa"/>
            <w:vMerge/>
            <w:tcBorders>
              <w:top w:val="nil"/>
              <w:right w:val="single" w:sz="6" w:space="0" w:color="000000"/>
            </w:tcBorders>
          </w:tcPr>
          <w:p>
            <w:pPr>
              <w:rPr>
                <w:sz w:val="2"/>
                <w:szCs w:val="2"/>
              </w:rPr>
            </w:pPr>
          </w:p>
        </w:tc>
      </w:tr>
      <w:tr>
        <w:trPr>
          <w:trHeight w:val="390" w:hRule="atLeast"/>
        </w:trPr>
        <w:tc>
          <w:tcPr>
            <w:tcW w:w="845" w:type="dxa"/>
            <w:tcBorders>
              <w:top w:val="nil"/>
              <w:bottom w:val="nil"/>
            </w:tcBorders>
          </w:tcPr>
          <w:p>
            <w:pPr>
              <w:pStyle w:val="TableParagraph"/>
              <w:spacing w:line="362" w:lineRule="exact"/>
              <w:ind w:left="182" w:right="173"/>
              <w:jc w:val="center"/>
              <w:rPr>
                <w:rFonts w:ascii="微軟正黑體" w:eastAsia="微軟正黑體" w:hint="eastAsia"/>
                <w:sz w:val="22"/>
              </w:rPr>
            </w:pPr>
            <w:r>
              <w:rPr>
                <w:rFonts w:ascii="微軟正黑體" w:eastAsia="微軟正黑體" w:hint="eastAsia"/>
                <w:color w:val="221F1F"/>
                <w:sz w:val="22"/>
              </w:rPr>
              <w:t>個案</w:t>
            </w:r>
          </w:p>
        </w:tc>
        <w:tc>
          <w:tcPr>
            <w:tcW w:w="2269" w:type="dxa"/>
            <w:vMerge/>
            <w:tcBorders>
              <w:top w:val="nil"/>
            </w:tcBorders>
          </w:tcPr>
          <w:p>
            <w:pPr>
              <w:rPr>
                <w:sz w:val="2"/>
                <w:szCs w:val="2"/>
              </w:rPr>
            </w:pPr>
          </w:p>
        </w:tc>
        <w:tc>
          <w:tcPr>
            <w:tcW w:w="1419" w:type="dxa"/>
            <w:tcBorders>
              <w:top w:val="nil"/>
              <w:bottom w:val="nil"/>
            </w:tcBorders>
          </w:tcPr>
          <w:p>
            <w:pPr>
              <w:pStyle w:val="TableParagraph"/>
              <w:spacing w:line="334" w:lineRule="exact"/>
              <w:ind w:left="212"/>
              <w:rPr>
                <w:rFonts w:ascii="微軟正黑體" w:eastAsia="微軟正黑體" w:hint="eastAsia"/>
                <w:sz w:val="22"/>
              </w:rPr>
            </w:pPr>
            <w:r>
              <w:rPr>
                <w:rFonts w:ascii="微軟正黑體" w:eastAsia="微軟正黑體" w:hint="eastAsia"/>
                <w:color w:val="221F1F"/>
                <w:sz w:val="22"/>
              </w:rPr>
              <w:t>國人健康檢</w:t>
            </w:r>
          </w:p>
        </w:tc>
        <w:tc>
          <w:tcPr>
            <w:tcW w:w="708" w:type="dxa"/>
            <w:vMerge/>
            <w:tcBorders>
              <w:top w:val="nil"/>
            </w:tcBorders>
          </w:tcPr>
          <w:p>
            <w:pPr>
              <w:rPr>
                <w:sz w:val="2"/>
                <w:szCs w:val="2"/>
              </w:rPr>
            </w:pPr>
          </w:p>
        </w:tc>
        <w:tc>
          <w:tcPr>
            <w:tcW w:w="3538" w:type="dxa"/>
            <w:vMerge/>
            <w:tcBorders>
              <w:top w:val="nil"/>
              <w:right w:val="single" w:sz="6" w:space="0" w:color="000000"/>
            </w:tcBorders>
          </w:tcPr>
          <w:p>
            <w:pPr>
              <w:rPr>
                <w:sz w:val="2"/>
                <w:szCs w:val="2"/>
              </w:rPr>
            </w:pPr>
          </w:p>
        </w:tc>
      </w:tr>
      <w:tr>
        <w:trPr>
          <w:trHeight w:val="418" w:hRule="atLeast"/>
        </w:trPr>
        <w:tc>
          <w:tcPr>
            <w:tcW w:w="845" w:type="dxa"/>
            <w:tcBorders>
              <w:top w:val="nil"/>
              <w:bottom w:val="nil"/>
            </w:tcBorders>
          </w:tcPr>
          <w:p>
            <w:pPr>
              <w:pStyle w:val="TableParagraph"/>
              <w:spacing w:line="390" w:lineRule="exact"/>
              <w:ind w:left="182" w:right="173"/>
              <w:jc w:val="center"/>
              <w:rPr>
                <w:rFonts w:ascii="微軟正黑體" w:eastAsia="微軟正黑體" w:hint="eastAsia"/>
                <w:sz w:val="22"/>
              </w:rPr>
            </w:pPr>
            <w:r>
              <w:rPr>
                <w:rFonts w:ascii="微軟正黑體" w:eastAsia="微軟正黑體" w:hint="eastAsia"/>
                <w:color w:val="221F1F"/>
                <w:sz w:val="22"/>
              </w:rPr>
              <w:t>主動</w:t>
            </w:r>
          </w:p>
        </w:tc>
        <w:tc>
          <w:tcPr>
            <w:tcW w:w="2269" w:type="dxa"/>
            <w:vMerge/>
            <w:tcBorders>
              <w:top w:val="nil"/>
            </w:tcBorders>
          </w:tcPr>
          <w:p>
            <w:pPr>
              <w:rPr>
                <w:sz w:val="2"/>
                <w:szCs w:val="2"/>
              </w:rPr>
            </w:pPr>
          </w:p>
        </w:tc>
        <w:tc>
          <w:tcPr>
            <w:tcW w:w="1419" w:type="dxa"/>
            <w:tcBorders>
              <w:top w:val="nil"/>
              <w:bottom w:val="nil"/>
            </w:tcBorders>
          </w:tcPr>
          <w:p>
            <w:pPr>
              <w:pStyle w:val="TableParagraph"/>
              <w:spacing w:line="334" w:lineRule="exact"/>
              <w:ind w:left="212"/>
              <w:rPr>
                <w:rFonts w:ascii="微軟正黑體" w:eastAsia="微軟正黑體" w:hint="eastAsia"/>
                <w:sz w:val="22"/>
              </w:rPr>
            </w:pPr>
            <w:r>
              <w:rPr>
                <w:rFonts w:ascii="微軟正黑體" w:eastAsia="微軟正黑體" w:hint="eastAsia"/>
                <w:color w:val="221F1F"/>
                <w:sz w:val="22"/>
              </w:rPr>
              <w:t>查理辦法」</w:t>
            </w:r>
          </w:p>
        </w:tc>
        <w:tc>
          <w:tcPr>
            <w:tcW w:w="708" w:type="dxa"/>
            <w:vMerge/>
            <w:tcBorders>
              <w:top w:val="nil"/>
            </w:tcBorders>
          </w:tcPr>
          <w:p>
            <w:pPr>
              <w:rPr>
                <w:sz w:val="2"/>
                <w:szCs w:val="2"/>
              </w:rPr>
            </w:pPr>
          </w:p>
        </w:tc>
        <w:tc>
          <w:tcPr>
            <w:tcW w:w="3538" w:type="dxa"/>
            <w:vMerge/>
            <w:tcBorders>
              <w:top w:val="nil"/>
              <w:right w:val="single" w:sz="6" w:space="0" w:color="000000"/>
            </w:tcBorders>
          </w:tcPr>
          <w:p>
            <w:pPr>
              <w:rPr>
                <w:sz w:val="2"/>
                <w:szCs w:val="2"/>
              </w:rPr>
            </w:pPr>
          </w:p>
        </w:tc>
      </w:tr>
      <w:tr>
        <w:trPr>
          <w:trHeight w:val="1404" w:hRule="atLeast"/>
        </w:trPr>
        <w:tc>
          <w:tcPr>
            <w:tcW w:w="845" w:type="dxa"/>
            <w:tcBorders>
              <w:top w:val="nil"/>
              <w:bottom w:val="nil"/>
            </w:tcBorders>
          </w:tcPr>
          <w:p>
            <w:pPr>
              <w:pStyle w:val="TableParagraph"/>
              <w:spacing w:line="365" w:lineRule="exact"/>
              <w:ind w:left="182" w:right="173"/>
              <w:jc w:val="center"/>
              <w:rPr>
                <w:rFonts w:ascii="微軟正黑體" w:eastAsia="微軟正黑體" w:hint="eastAsia"/>
                <w:sz w:val="22"/>
              </w:rPr>
            </w:pPr>
            <w:r>
              <w:rPr>
                <w:rFonts w:ascii="微軟正黑體" w:eastAsia="微軟正黑體" w:hint="eastAsia"/>
                <w:color w:val="221F1F"/>
                <w:sz w:val="22"/>
              </w:rPr>
              <w:t>發現</w:t>
            </w:r>
          </w:p>
        </w:tc>
        <w:tc>
          <w:tcPr>
            <w:tcW w:w="2269" w:type="dxa"/>
            <w:vMerge/>
            <w:tcBorders>
              <w:top w:val="nil"/>
            </w:tcBorders>
          </w:tcPr>
          <w:p>
            <w:pPr>
              <w:rPr>
                <w:sz w:val="2"/>
                <w:szCs w:val="2"/>
              </w:rPr>
            </w:pPr>
          </w:p>
        </w:tc>
        <w:tc>
          <w:tcPr>
            <w:tcW w:w="1419" w:type="dxa"/>
            <w:tcBorders>
              <w:top w:val="nil"/>
              <w:bottom w:val="nil"/>
            </w:tcBorders>
          </w:tcPr>
          <w:p>
            <w:pPr>
              <w:pStyle w:val="TableParagraph"/>
              <w:rPr>
                <w:rFonts w:ascii="Times New Roman"/>
                <w:sz w:val="22"/>
              </w:rPr>
            </w:pPr>
          </w:p>
        </w:tc>
        <w:tc>
          <w:tcPr>
            <w:tcW w:w="708" w:type="dxa"/>
            <w:vMerge/>
            <w:tcBorders>
              <w:top w:val="nil"/>
            </w:tcBorders>
          </w:tcPr>
          <w:p>
            <w:pPr>
              <w:rPr>
                <w:sz w:val="2"/>
                <w:szCs w:val="2"/>
              </w:rPr>
            </w:pPr>
          </w:p>
        </w:tc>
        <w:tc>
          <w:tcPr>
            <w:tcW w:w="3538" w:type="dxa"/>
            <w:vMerge/>
            <w:tcBorders>
              <w:top w:val="nil"/>
              <w:right w:val="single" w:sz="6" w:space="0" w:color="000000"/>
            </w:tcBorders>
          </w:tcPr>
          <w:p>
            <w:pPr>
              <w:rPr>
                <w:sz w:val="2"/>
                <w:szCs w:val="2"/>
              </w:rPr>
            </w:pPr>
          </w:p>
        </w:tc>
      </w:tr>
      <w:tr>
        <w:trPr>
          <w:trHeight w:val="1225" w:hRule="atLeast"/>
        </w:trPr>
        <w:tc>
          <w:tcPr>
            <w:tcW w:w="845" w:type="dxa"/>
            <w:tcBorders>
              <w:top w:val="nil"/>
              <w:bottom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bottom w:val="nil"/>
            </w:tcBorders>
          </w:tcPr>
          <w:p>
            <w:pPr>
              <w:pStyle w:val="TableParagraph"/>
              <w:rPr>
                <w:rFonts w:ascii="Times New Roman"/>
                <w:sz w:val="22"/>
              </w:rPr>
            </w:pPr>
          </w:p>
        </w:tc>
        <w:tc>
          <w:tcPr>
            <w:tcW w:w="708" w:type="dxa"/>
            <w:tcBorders>
              <w:bottom w:val="nil"/>
            </w:tcBorders>
          </w:tcPr>
          <w:p>
            <w:pPr>
              <w:pStyle w:val="TableParagraph"/>
              <w:rPr>
                <w:rFonts w:ascii="微軟正黑體"/>
                <w:sz w:val="28"/>
              </w:rPr>
            </w:pPr>
          </w:p>
          <w:p>
            <w:pPr>
              <w:pStyle w:val="TableParagraph"/>
              <w:spacing w:before="3"/>
              <w:rPr>
                <w:rFonts w:ascii="微軟正黑體"/>
                <w:sz w:val="15"/>
              </w:rPr>
            </w:pPr>
          </w:p>
          <w:p>
            <w:pPr>
              <w:pStyle w:val="TableParagraph"/>
              <w:spacing w:line="402" w:lineRule="exact"/>
              <w:ind w:left="114" w:right="104"/>
              <w:jc w:val="center"/>
              <w:rPr>
                <w:rFonts w:ascii="微軟正黑體" w:eastAsia="微軟正黑體" w:hint="eastAsia"/>
                <w:sz w:val="22"/>
              </w:rPr>
            </w:pPr>
            <w:r>
              <w:rPr>
                <w:rFonts w:ascii="微軟正黑體" w:eastAsia="微軟正黑體" w:hint="eastAsia"/>
                <w:color w:val="221F1F"/>
                <w:sz w:val="22"/>
              </w:rPr>
              <w:t>處理</w:t>
            </w:r>
          </w:p>
        </w:tc>
        <w:tc>
          <w:tcPr>
            <w:tcW w:w="3538" w:type="dxa"/>
            <w:vMerge w:val="restart"/>
            <w:tcBorders>
              <w:right w:val="single" w:sz="6" w:space="0" w:color="000000"/>
            </w:tcBorders>
          </w:tcPr>
          <w:p>
            <w:pPr>
              <w:pStyle w:val="TableParagraph"/>
              <w:spacing w:line="237" w:lineRule="auto" w:before="209"/>
              <w:ind w:left="282" w:right="39" w:hanging="284"/>
              <w:jc w:val="both"/>
              <w:rPr>
                <w:rFonts w:ascii="微軟正黑體" w:eastAsia="微軟正黑體" w:hint="eastAsia"/>
                <w:sz w:val="22"/>
              </w:rPr>
            </w:pPr>
            <w:r>
              <w:rPr>
                <w:rFonts w:ascii="微軟正黑體" w:eastAsia="微軟正黑體" w:hint="eastAsia"/>
                <w:color w:val="221F1F"/>
                <w:sz w:val="22"/>
              </w:rPr>
              <w:t>1. 經指定機構進行複檢結果為肺結</w:t>
            </w:r>
            <w:r>
              <w:rPr>
                <w:rFonts w:ascii="微軟正黑體" w:eastAsia="微軟正黑體" w:hint="eastAsia"/>
                <w:color w:val="221F1F"/>
                <w:spacing w:val="1"/>
                <w:sz w:val="22"/>
              </w:rPr>
              <w:t>核或結核性肋膜炎之移工，除多</w:t>
            </w:r>
            <w:r>
              <w:rPr>
                <w:rFonts w:ascii="微軟正黑體" w:eastAsia="微軟正黑體" w:hint="eastAsia"/>
                <w:color w:val="221F1F"/>
                <w:spacing w:val="-11"/>
                <w:sz w:val="22"/>
              </w:rPr>
              <w:t>重抗藥性結核病（MDR-TB</w:t>
            </w:r>
            <w:r>
              <w:rPr>
                <w:rFonts w:ascii="微軟正黑體" w:eastAsia="微軟正黑體" w:hint="eastAsia"/>
                <w:color w:val="221F1F"/>
                <w:spacing w:val="-4"/>
                <w:sz w:val="22"/>
              </w:rPr>
              <w:t>；包含單純肺外多重抗藥性結核病</w:t>
            </w:r>
            <w:r>
              <w:rPr>
                <w:rFonts w:ascii="微軟正黑體" w:eastAsia="微軟正黑體" w:hint="eastAsia"/>
                <w:color w:val="221F1F"/>
                <w:spacing w:val="-68"/>
                <w:sz w:val="22"/>
              </w:rPr>
              <w:t>）</w:t>
            </w:r>
            <w:r>
              <w:rPr>
                <w:rFonts w:ascii="微軟正黑體" w:eastAsia="微軟正黑體" w:hint="eastAsia"/>
                <w:color w:val="221F1F"/>
                <w:spacing w:val="-24"/>
                <w:sz w:val="22"/>
              </w:rPr>
              <w:t>外， </w:t>
            </w:r>
            <w:r>
              <w:rPr>
                <w:rFonts w:ascii="微軟正黑體" w:eastAsia="微軟正黑體" w:hint="eastAsia"/>
                <w:color w:val="221F1F"/>
                <w:spacing w:val="1"/>
                <w:sz w:val="22"/>
              </w:rPr>
              <w:t>雇主應於收受指定機構核發診斷</w:t>
            </w:r>
          </w:p>
          <w:p>
            <w:pPr>
              <w:pStyle w:val="TableParagraph"/>
              <w:spacing w:line="340" w:lineRule="exact"/>
              <w:ind w:left="282"/>
              <w:jc w:val="both"/>
              <w:rPr>
                <w:rFonts w:ascii="微軟正黑體" w:eastAsia="微軟正黑體" w:hint="eastAsia"/>
                <w:sz w:val="22"/>
              </w:rPr>
            </w:pPr>
            <w:r>
              <w:rPr>
                <w:rFonts w:ascii="微軟正黑體" w:eastAsia="微軟正黑體" w:hint="eastAsia"/>
                <w:color w:val="221F1F"/>
                <w:spacing w:val="1"/>
                <w:sz w:val="22"/>
              </w:rPr>
              <w:t>證明書之次日起  </w:t>
            </w:r>
            <w:r>
              <w:rPr>
                <w:rFonts w:ascii="微軟正黑體" w:eastAsia="微軟正黑體" w:hint="eastAsia"/>
                <w:color w:val="221F1F"/>
                <w:sz w:val="22"/>
              </w:rPr>
              <w:t>15  日內，檢具</w:t>
            </w:r>
          </w:p>
        </w:tc>
      </w:tr>
      <w:tr>
        <w:trPr>
          <w:trHeight w:val="1344" w:hRule="atLeast"/>
        </w:trPr>
        <w:tc>
          <w:tcPr>
            <w:tcW w:w="845" w:type="dxa"/>
            <w:tcBorders>
              <w:top w:val="nil"/>
            </w:tcBorders>
          </w:tcPr>
          <w:p>
            <w:pPr>
              <w:pStyle w:val="TableParagraph"/>
              <w:rPr>
                <w:rFonts w:ascii="Times New Roman"/>
                <w:sz w:val="22"/>
              </w:rPr>
            </w:pPr>
          </w:p>
        </w:tc>
        <w:tc>
          <w:tcPr>
            <w:tcW w:w="2269" w:type="dxa"/>
            <w:vMerge/>
            <w:tcBorders>
              <w:top w:val="nil"/>
            </w:tcBorders>
          </w:tcPr>
          <w:p>
            <w:pPr>
              <w:rPr>
                <w:sz w:val="2"/>
                <w:szCs w:val="2"/>
              </w:rPr>
            </w:pPr>
          </w:p>
        </w:tc>
        <w:tc>
          <w:tcPr>
            <w:tcW w:w="1419" w:type="dxa"/>
            <w:tcBorders>
              <w:top w:val="nil"/>
            </w:tcBorders>
          </w:tcPr>
          <w:p>
            <w:pPr>
              <w:pStyle w:val="TableParagraph"/>
              <w:rPr>
                <w:rFonts w:ascii="Times New Roman"/>
                <w:sz w:val="22"/>
              </w:rPr>
            </w:pPr>
          </w:p>
        </w:tc>
        <w:tc>
          <w:tcPr>
            <w:tcW w:w="708" w:type="dxa"/>
            <w:tcBorders>
              <w:top w:val="nil"/>
            </w:tcBorders>
          </w:tcPr>
          <w:p>
            <w:pPr>
              <w:pStyle w:val="TableParagraph"/>
              <w:spacing w:line="364" w:lineRule="exact"/>
              <w:ind w:left="114" w:right="104"/>
              <w:jc w:val="center"/>
              <w:rPr>
                <w:rFonts w:ascii="微軟正黑體" w:eastAsia="微軟正黑體" w:hint="eastAsia"/>
                <w:sz w:val="22"/>
              </w:rPr>
            </w:pPr>
            <w:r>
              <w:rPr>
                <w:rFonts w:ascii="微軟正黑體" w:eastAsia="微軟正黑體" w:hint="eastAsia"/>
                <w:color w:val="221F1F"/>
                <w:sz w:val="22"/>
              </w:rPr>
              <w:t>作為</w:t>
            </w:r>
          </w:p>
        </w:tc>
        <w:tc>
          <w:tcPr>
            <w:tcW w:w="3538" w:type="dxa"/>
            <w:vMerge/>
            <w:tcBorders>
              <w:top w:val="nil"/>
              <w:right w:val="single" w:sz="6" w:space="0" w:color="000000"/>
            </w:tcBorders>
          </w:tcPr>
          <w:p>
            <w:pPr>
              <w:rPr>
                <w:sz w:val="2"/>
                <w:szCs w:val="2"/>
              </w:rPr>
            </w:pPr>
          </w:p>
        </w:tc>
      </w:tr>
    </w:tbl>
    <w:p>
      <w:pPr>
        <w:pStyle w:val="BodyText"/>
        <w:spacing w:before="10"/>
        <w:rPr>
          <w:rFonts w:ascii="微軟正黑體"/>
          <w:sz w:val="38"/>
        </w:rPr>
      </w:pPr>
    </w:p>
    <w:p>
      <w:pPr>
        <w:spacing w:before="0"/>
        <w:ind w:left="0" w:right="391" w:firstLine="0"/>
        <w:jc w:val="right"/>
        <w:rPr>
          <w:rFonts w:ascii="Arial"/>
          <w:sz w:val="16"/>
        </w:rPr>
      </w:pPr>
      <w:r>
        <w:rPr>
          <w:rFonts w:ascii="Arial"/>
          <w:color w:val="221F1F"/>
          <w:w w:val="100"/>
          <w:sz w:val="16"/>
        </w:rPr>
        <w:t>7</w:t>
      </w:r>
    </w:p>
    <w:p>
      <w:pPr>
        <w:spacing w:after="0"/>
        <w:jc w:val="right"/>
        <w:rPr>
          <w:rFonts w:ascii="Arial"/>
          <w:sz w:val="16"/>
        </w:rPr>
        <w:sectPr>
          <w:pgSz w:w="11910" w:h="16840"/>
          <w:pgMar w:top="1140" w:bottom="280" w:left="980" w:right="2"/>
        </w:sectPr>
      </w:pPr>
    </w:p>
    <w:tbl>
      <w:tblPr>
        <w:tblW w:w="0" w:type="auto"/>
        <w:jc w:val="left"/>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2269"/>
        <w:gridCol w:w="1419"/>
        <w:gridCol w:w="708"/>
        <w:gridCol w:w="3538"/>
      </w:tblGrid>
      <w:tr>
        <w:trPr>
          <w:trHeight w:val="400" w:hRule="atLeast"/>
        </w:trPr>
        <w:tc>
          <w:tcPr>
            <w:tcW w:w="845" w:type="dxa"/>
            <w:vMerge w:val="restart"/>
            <w:tcBorders>
              <w:bottom w:val="nil"/>
            </w:tcBorders>
            <w:shd w:val="clear" w:color="auto" w:fill="E8E8E8"/>
          </w:tcPr>
          <w:p>
            <w:pPr>
              <w:pStyle w:val="TableParagraph"/>
              <w:spacing w:line="398" w:lineRule="exact" w:before="47"/>
              <w:ind w:left="201" w:right="190"/>
              <w:rPr>
                <w:rFonts w:ascii="微軟正黑體" w:eastAsia="微軟正黑體" w:hint="eastAsia"/>
                <w:b/>
                <w:sz w:val="22"/>
              </w:rPr>
            </w:pPr>
            <w:r>
              <w:rPr>
                <w:rFonts w:ascii="微軟正黑體" w:eastAsia="微軟正黑體" w:hint="eastAsia"/>
                <w:b/>
                <w:color w:val="221F1F"/>
                <w:sz w:val="22"/>
              </w:rPr>
              <w:t>工作重點</w:t>
            </w:r>
          </w:p>
        </w:tc>
        <w:tc>
          <w:tcPr>
            <w:tcW w:w="2269" w:type="dxa"/>
            <w:vMerge w:val="restart"/>
            <w:tcBorders>
              <w:bottom w:val="nil"/>
            </w:tcBorders>
            <w:shd w:val="clear" w:color="auto" w:fill="E8E8E8"/>
          </w:tcPr>
          <w:p>
            <w:pPr>
              <w:pStyle w:val="TableParagraph"/>
              <w:spacing w:before="8"/>
              <w:rPr>
                <w:rFonts w:ascii="Arial"/>
                <w:sz w:val="23"/>
              </w:rPr>
            </w:pPr>
          </w:p>
          <w:p>
            <w:pPr>
              <w:pStyle w:val="TableParagraph"/>
              <w:ind w:left="693"/>
              <w:rPr>
                <w:rFonts w:ascii="微軟正黑體" w:eastAsia="微軟正黑體" w:hint="eastAsia"/>
                <w:b/>
                <w:sz w:val="22"/>
              </w:rPr>
            </w:pPr>
            <w:r>
              <w:rPr>
                <w:rFonts w:ascii="微軟正黑體" w:eastAsia="微軟正黑體" w:hint="eastAsia"/>
                <w:b/>
                <w:color w:val="221F1F"/>
                <w:sz w:val="22"/>
              </w:rPr>
              <w:t>外籍人士</w:t>
            </w:r>
          </w:p>
        </w:tc>
        <w:tc>
          <w:tcPr>
            <w:tcW w:w="5665" w:type="dxa"/>
            <w:gridSpan w:val="3"/>
            <w:tcBorders>
              <w:right w:val="single" w:sz="6" w:space="0" w:color="000000"/>
            </w:tcBorders>
            <w:shd w:val="clear" w:color="auto" w:fill="E8E8E8"/>
          </w:tcPr>
          <w:p>
            <w:pPr>
              <w:pStyle w:val="TableParagraph"/>
              <w:spacing w:line="338" w:lineRule="exact" w:before="42"/>
              <w:ind w:left="2591" w:right="2581"/>
              <w:jc w:val="center"/>
              <w:rPr>
                <w:rFonts w:ascii="微軟正黑體" w:eastAsia="微軟正黑體" w:hint="eastAsia"/>
                <w:b/>
                <w:sz w:val="22"/>
              </w:rPr>
            </w:pPr>
            <w:r>
              <w:rPr>
                <w:rFonts w:ascii="微軟正黑體" w:eastAsia="微軟正黑體" w:hint="eastAsia"/>
                <w:b/>
                <w:color w:val="221F1F"/>
                <w:sz w:val="22"/>
              </w:rPr>
              <w:t>移工</w:t>
            </w:r>
          </w:p>
        </w:tc>
      </w:tr>
      <w:tr>
        <w:trPr>
          <w:trHeight w:val="451" w:hRule="atLeast"/>
        </w:trPr>
        <w:tc>
          <w:tcPr>
            <w:tcW w:w="845" w:type="dxa"/>
            <w:vMerge/>
            <w:tcBorders>
              <w:top w:val="nil"/>
              <w:bottom w:val="nil"/>
            </w:tcBorders>
            <w:shd w:val="clear" w:color="auto" w:fill="E8E8E8"/>
          </w:tcPr>
          <w:p>
            <w:pPr>
              <w:rPr>
                <w:sz w:val="2"/>
                <w:szCs w:val="2"/>
              </w:rPr>
            </w:pPr>
          </w:p>
        </w:tc>
        <w:tc>
          <w:tcPr>
            <w:tcW w:w="2269" w:type="dxa"/>
            <w:vMerge/>
            <w:tcBorders>
              <w:top w:val="nil"/>
              <w:bottom w:val="nil"/>
            </w:tcBorders>
            <w:shd w:val="clear" w:color="auto" w:fill="E8E8E8"/>
          </w:tcPr>
          <w:p>
            <w:pPr>
              <w:rPr>
                <w:sz w:val="2"/>
                <w:szCs w:val="2"/>
              </w:rPr>
            </w:pPr>
          </w:p>
        </w:tc>
        <w:tc>
          <w:tcPr>
            <w:tcW w:w="1419" w:type="dxa"/>
            <w:shd w:val="clear" w:color="auto" w:fill="E8E8E8"/>
          </w:tcPr>
          <w:p>
            <w:pPr>
              <w:pStyle w:val="TableParagraph"/>
              <w:spacing w:line="362" w:lineRule="exact" w:before="69"/>
              <w:ind w:left="267"/>
              <w:rPr>
                <w:rFonts w:ascii="微軟正黑體" w:eastAsia="微軟正黑體" w:hint="eastAsia"/>
                <w:b/>
                <w:sz w:val="22"/>
              </w:rPr>
            </w:pPr>
            <w:r>
              <w:rPr>
                <w:rFonts w:ascii="微軟正黑體" w:eastAsia="微軟正黑體" w:hint="eastAsia"/>
                <w:b/>
                <w:color w:val="221F1F"/>
                <w:sz w:val="22"/>
              </w:rPr>
              <w:t>健檢時機</w:t>
            </w:r>
          </w:p>
        </w:tc>
        <w:tc>
          <w:tcPr>
            <w:tcW w:w="708" w:type="dxa"/>
            <w:shd w:val="clear" w:color="auto" w:fill="E8E8E8"/>
          </w:tcPr>
          <w:p>
            <w:pPr>
              <w:pStyle w:val="TableParagraph"/>
              <w:spacing w:line="362" w:lineRule="exact" w:before="69"/>
              <w:ind w:left="133"/>
              <w:rPr>
                <w:rFonts w:ascii="微軟正黑體" w:eastAsia="微軟正黑體" w:hint="eastAsia"/>
                <w:b/>
                <w:sz w:val="22"/>
              </w:rPr>
            </w:pPr>
            <w:r>
              <w:rPr>
                <w:rFonts w:ascii="微軟正黑體" w:eastAsia="微軟正黑體" w:hint="eastAsia"/>
                <w:b/>
                <w:color w:val="221F1F"/>
                <w:sz w:val="22"/>
              </w:rPr>
              <w:t>結果</w:t>
            </w:r>
          </w:p>
        </w:tc>
        <w:tc>
          <w:tcPr>
            <w:tcW w:w="3538" w:type="dxa"/>
            <w:tcBorders>
              <w:right w:val="single" w:sz="6" w:space="0" w:color="000000"/>
            </w:tcBorders>
            <w:shd w:val="clear" w:color="auto" w:fill="E8E8E8"/>
          </w:tcPr>
          <w:p>
            <w:pPr>
              <w:pStyle w:val="TableParagraph"/>
              <w:spacing w:line="388" w:lineRule="exact" w:before="42"/>
              <w:ind w:left="1528" w:right="1517"/>
              <w:jc w:val="center"/>
              <w:rPr>
                <w:rFonts w:ascii="微軟正黑體" w:eastAsia="微軟正黑體" w:hint="eastAsia"/>
                <w:b/>
                <w:sz w:val="22"/>
              </w:rPr>
            </w:pPr>
            <w:r>
              <w:rPr>
                <w:rFonts w:ascii="微軟正黑體" w:eastAsia="微軟正黑體" w:hint="eastAsia"/>
                <w:b/>
                <w:color w:val="221F1F"/>
                <w:sz w:val="22"/>
              </w:rPr>
              <w:t>處置</w:t>
            </w:r>
          </w:p>
        </w:tc>
      </w:tr>
      <w:tr>
        <w:trPr>
          <w:trHeight w:val="7380" w:hRule="atLeast"/>
        </w:trPr>
        <w:tc>
          <w:tcPr>
            <w:tcW w:w="845" w:type="dxa"/>
            <w:vMerge w:val="restart"/>
            <w:tcBorders>
              <w:top w:val="nil"/>
            </w:tcBorders>
          </w:tcPr>
          <w:p>
            <w:pPr>
              <w:pStyle w:val="TableParagraph"/>
              <w:rPr>
                <w:rFonts w:ascii="Times New Roman"/>
                <w:sz w:val="22"/>
              </w:rPr>
            </w:pPr>
          </w:p>
        </w:tc>
        <w:tc>
          <w:tcPr>
            <w:tcW w:w="2269" w:type="dxa"/>
            <w:vMerge w:val="restart"/>
            <w:tcBorders>
              <w:top w:val="nil"/>
            </w:tcBorders>
          </w:tcPr>
          <w:p>
            <w:pPr>
              <w:pStyle w:val="TableParagraph"/>
              <w:rPr>
                <w:rFonts w:ascii="Times New Roman"/>
                <w:sz w:val="22"/>
              </w:rPr>
            </w:pPr>
          </w:p>
        </w:tc>
        <w:tc>
          <w:tcPr>
            <w:tcW w:w="1419" w:type="dxa"/>
            <w:vMerge w:val="restart"/>
          </w:tcPr>
          <w:p>
            <w:pPr>
              <w:pStyle w:val="TableParagraph"/>
              <w:rPr>
                <w:rFonts w:ascii="Times New Roman"/>
                <w:sz w:val="22"/>
              </w:rPr>
            </w:pPr>
          </w:p>
        </w:tc>
        <w:tc>
          <w:tcPr>
            <w:tcW w:w="708" w:type="dxa"/>
          </w:tcPr>
          <w:p>
            <w:pPr>
              <w:pStyle w:val="TableParagraph"/>
              <w:rPr>
                <w:rFonts w:ascii="Times New Roman"/>
                <w:sz w:val="22"/>
              </w:rPr>
            </w:pPr>
          </w:p>
        </w:tc>
        <w:tc>
          <w:tcPr>
            <w:tcW w:w="3538" w:type="dxa"/>
            <w:tcBorders>
              <w:right w:val="single" w:sz="6" w:space="0" w:color="000000"/>
            </w:tcBorders>
          </w:tcPr>
          <w:p>
            <w:pPr>
              <w:pStyle w:val="TableParagraph"/>
              <w:spacing w:line="237" w:lineRule="auto" w:before="57"/>
              <w:ind w:left="282" w:right="92"/>
              <w:jc w:val="both"/>
              <w:rPr>
                <w:rFonts w:ascii="微軟正黑體" w:eastAsia="微軟正黑體" w:hint="eastAsia"/>
                <w:sz w:val="22"/>
              </w:rPr>
            </w:pPr>
            <w:r>
              <w:rPr>
                <w:rFonts w:ascii="微軟正黑體" w:eastAsia="微軟正黑體" w:hint="eastAsia"/>
                <w:color w:val="221F1F"/>
                <w:spacing w:val="-15"/>
                <w:sz w:val="22"/>
              </w:rPr>
              <w:t>「診斷證明書」及「受聘僱外國人</w:t>
            </w:r>
            <w:r>
              <w:rPr>
                <w:rFonts w:ascii="微軟正黑體" w:eastAsia="微軟正黑體" w:hint="eastAsia"/>
                <w:color w:val="221F1F"/>
                <w:spacing w:val="1"/>
                <w:sz w:val="22"/>
              </w:rPr>
              <w:t>接受衛生單位安排都治服務同意書」向所轄衛生主管單位申請移工留臺治療都治服務，衛生局據</w:t>
            </w:r>
            <w:r>
              <w:rPr>
                <w:rFonts w:ascii="微軟正黑體" w:eastAsia="微軟正黑體" w:hint="eastAsia"/>
                <w:color w:val="221F1F"/>
                <w:spacing w:val="2"/>
                <w:sz w:val="22"/>
              </w:rPr>
              <w:t>以核發都治同意函予雇主</w:t>
            </w:r>
            <w:r>
              <w:rPr>
                <w:rFonts w:ascii="微軟正黑體" w:eastAsia="微軟正黑體" w:hint="eastAsia"/>
                <w:color w:val="221F1F"/>
                <w:spacing w:val="4"/>
                <w:sz w:val="22"/>
              </w:rPr>
              <w:t>（</w:t>
            </w:r>
            <w:r>
              <w:rPr>
                <w:rFonts w:ascii="微軟正黑體" w:eastAsia="微軟正黑體" w:hint="eastAsia"/>
                <w:color w:val="221F1F"/>
                <w:spacing w:val="2"/>
                <w:sz w:val="22"/>
              </w:rPr>
              <w:t>附件</w:t>
            </w:r>
            <w:r>
              <w:rPr>
                <w:rFonts w:ascii="微軟正黑體" w:eastAsia="微軟正黑體" w:hint="eastAsia"/>
                <w:color w:val="221F1F"/>
                <w:spacing w:val="-17"/>
                <w:sz w:val="22"/>
              </w:rPr>
              <w:t>7-5）</w:t>
            </w:r>
            <w:r>
              <w:rPr>
                <w:rFonts w:ascii="微軟正黑體" w:eastAsia="微軟正黑體" w:hint="eastAsia"/>
                <w:color w:val="221F1F"/>
                <w:spacing w:val="-4"/>
                <w:sz w:val="22"/>
              </w:rPr>
              <w:t>雇主未於期限內申請移工留</w:t>
            </w:r>
            <w:r>
              <w:rPr>
                <w:rFonts w:ascii="微軟正黑體" w:eastAsia="微軟正黑體" w:hint="eastAsia"/>
                <w:color w:val="221F1F"/>
                <w:spacing w:val="1"/>
                <w:sz w:val="22"/>
              </w:rPr>
              <w:t>臺治療者，衛生單位應主動通知勞工主管機關，告知移工留臺治療之權益，並輔導及協助雇主申請</w:t>
            </w:r>
          </w:p>
          <w:p>
            <w:pPr>
              <w:pStyle w:val="TableParagraph"/>
              <w:spacing w:line="237" w:lineRule="auto"/>
              <w:ind w:left="282" w:right="37" w:hanging="284"/>
              <w:rPr>
                <w:rFonts w:ascii="微軟正黑體" w:eastAsia="微軟正黑體" w:hint="eastAsia"/>
                <w:sz w:val="22"/>
              </w:rPr>
            </w:pPr>
            <w:r>
              <w:rPr>
                <w:rFonts w:ascii="微軟正黑體" w:eastAsia="微軟正黑體" w:hint="eastAsia"/>
                <w:color w:val="221F1F"/>
                <w:sz w:val="22"/>
              </w:rPr>
              <w:t>2. 倘移工拒絕留臺接受治療或未依</w:t>
            </w:r>
            <w:r>
              <w:rPr>
                <w:rFonts w:ascii="微軟正黑體" w:eastAsia="微軟正黑體" w:hint="eastAsia"/>
                <w:color w:val="221F1F"/>
                <w:spacing w:val="-1"/>
                <w:sz w:val="22"/>
              </w:rPr>
              <w:t>規定配合都治服藥治療累計達</w:t>
            </w:r>
            <w:r>
              <w:rPr>
                <w:rFonts w:ascii="微軟正黑體" w:eastAsia="微軟正黑體" w:hint="eastAsia"/>
                <w:color w:val="221F1F"/>
                <w:sz w:val="22"/>
              </w:rPr>
              <w:t>15 </w:t>
            </w:r>
            <w:r>
              <w:rPr>
                <w:rFonts w:ascii="微軟正黑體" w:eastAsia="微軟正黑體" w:hint="eastAsia"/>
                <w:color w:val="221F1F"/>
                <w:spacing w:val="-14"/>
                <w:sz w:val="22"/>
              </w:rPr>
              <w:t>日以上者，視為不合格，衛生局函</w:t>
            </w:r>
            <w:r>
              <w:rPr>
                <w:rFonts w:ascii="微軟正黑體" w:eastAsia="微軟正黑體" w:hint="eastAsia"/>
                <w:color w:val="221F1F"/>
                <w:spacing w:val="-8"/>
                <w:sz w:val="22"/>
              </w:rPr>
              <w:t>知雇主該移工不予備查</w:t>
            </w:r>
            <w:r>
              <w:rPr>
                <w:rFonts w:ascii="微軟正黑體" w:eastAsia="微軟正黑體" w:hint="eastAsia"/>
                <w:color w:val="221F1F"/>
                <w:spacing w:val="-3"/>
                <w:sz w:val="22"/>
              </w:rPr>
              <w:t>（</w:t>
            </w:r>
            <w:r>
              <w:rPr>
                <w:rFonts w:ascii="微軟正黑體" w:eastAsia="微軟正黑體" w:hint="eastAsia"/>
                <w:color w:val="221F1F"/>
                <w:spacing w:val="4"/>
                <w:sz w:val="22"/>
              </w:rPr>
              <w:t>附件 </w:t>
            </w:r>
            <w:r>
              <w:rPr>
                <w:rFonts w:ascii="微軟正黑體" w:eastAsia="微軟正黑體" w:hint="eastAsia"/>
                <w:color w:val="221F1F"/>
                <w:sz w:val="22"/>
              </w:rPr>
              <w:t>7- </w:t>
            </w:r>
            <w:r>
              <w:rPr>
                <w:rFonts w:ascii="微軟正黑體" w:eastAsia="微軟正黑體" w:hint="eastAsia"/>
                <w:color w:val="221F1F"/>
                <w:spacing w:val="-1"/>
                <w:w w:val="100"/>
                <w:sz w:val="22"/>
              </w:rPr>
              <w:t>6</w:t>
            </w:r>
            <w:r>
              <w:rPr>
                <w:rFonts w:ascii="微軟正黑體" w:eastAsia="微軟正黑體" w:hint="eastAsia"/>
                <w:color w:val="221F1F"/>
                <w:spacing w:val="-137"/>
                <w:w w:val="100"/>
                <w:sz w:val="22"/>
              </w:rPr>
              <w:t>）</w:t>
            </w:r>
            <w:r>
              <w:rPr>
                <w:rFonts w:ascii="微軟正黑體" w:eastAsia="微軟正黑體" w:hint="eastAsia"/>
                <w:color w:val="221F1F"/>
                <w:spacing w:val="-12"/>
                <w:w w:val="100"/>
                <w:sz w:val="22"/>
              </w:rPr>
              <w:t>，另函知勞動部廢止聘僱許可，</w:t>
            </w:r>
            <w:r>
              <w:rPr>
                <w:rFonts w:ascii="微軟正黑體" w:eastAsia="微軟正黑體" w:hint="eastAsia"/>
                <w:color w:val="221F1F"/>
                <w:spacing w:val="-15"/>
                <w:w w:val="100"/>
                <w:sz w:val="22"/>
              </w:rPr>
              <w:t>並副知內政部移民署</w:t>
            </w:r>
            <w:r>
              <w:rPr>
                <w:rFonts w:ascii="微軟正黑體" w:eastAsia="微軟正黑體" w:hint="eastAsia"/>
                <w:color w:val="221F1F"/>
                <w:w w:val="100"/>
                <w:sz w:val="22"/>
              </w:rPr>
              <w:t>（</w:t>
            </w:r>
            <w:r>
              <w:rPr>
                <w:rFonts w:ascii="微軟正黑體" w:eastAsia="微軟正黑體" w:hint="eastAsia"/>
                <w:color w:val="221F1F"/>
                <w:spacing w:val="-2"/>
                <w:w w:val="100"/>
                <w:sz w:val="22"/>
              </w:rPr>
              <w:t>附件</w:t>
            </w:r>
            <w:r>
              <w:rPr>
                <w:rFonts w:ascii="微軟正黑體" w:eastAsia="微軟正黑體" w:hint="eastAsia"/>
                <w:color w:val="221F1F"/>
                <w:spacing w:val="-2"/>
                <w:sz w:val="22"/>
              </w:rPr>
              <w:t> </w:t>
            </w:r>
            <w:r>
              <w:rPr>
                <w:rFonts w:ascii="微軟正黑體" w:eastAsia="微軟正黑體" w:hint="eastAsia"/>
                <w:color w:val="221F1F"/>
                <w:spacing w:val="-1"/>
                <w:w w:val="100"/>
                <w:sz w:val="22"/>
              </w:rPr>
              <w:t>7</w:t>
            </w:r>
            <w:r>
              <w:rPr>
                <w:rFonts w:ascii="微軟正黑體" w:eastAsia="微軟正黑體" w:hint="eastAsia"/>
                <w:color w:val="221F1F"/>
                <w:w w:val="100"/>
                <w:sz w:val="22"/>
              </w:rPr>
              <w:t>-</w:t>
            </w:r>
            <w:r>
              <w:rPr>
                <w:rFonts w:ascii="微軟正黑體" w:eastAsia="微軟正黑體" w:hint="eastAsia"/>
                <w:color w:val="221F1F"/>
                <w:spacing w:val="-1"/>
                <w:w w:val="100"/>
                <w:sz w:val="22"/>
              </w:rPr>
              <w:t>7</w:t>
            </w:r>
            <w:r>
              <w:rPr>
                <w:rFonts w:ascii="微軟正黑體" w:eastAsia="微軟正黑體" w:hint="eastAsia"/>
                <w:color w:val="221F1F"/>
                <w:spacing w:val="-166"/>
                <w:w w:val="100"/>
                <w:sz w:val="22"/>
              </w:rPr>
              <w:t>），</w:t>
            </w:r>
            <w:r>
              <w:rPr>
                <w:rFonts w:ascii="微軟正黑體" w:eastAsia="微軟正黑體" w:hint="eastAsia"/>
                <w:color w:val="221F1F"/>
                <w:spacing w:val="1"/>
                <w:sz w:val="22"/>
              </w:rPr>
              <w:t>進行限制入境註記，並由雇主負責遣返*</w:t>
            </w:r>
          </w:p>
        </w:tc>
      </w:tr>
      <w:tr>
        <w:trPr>
          <w:trHeight w:val="3201" w:hRule="atLeast"/>
        </w:trPr>
        <w:tc>
          <w:tcPr>
            <w:tcW w:w="845" w:type="dxa"/>
            <w:vMerge/>
            <w:tcBorders>
              <w:top w:val="nil"/>
            </w:tcBorders>
          </w:tcPr>
          <w:p>
            <w:pPr>
              <w:rPr>
                <w:sz w:val="2"/>
                <w:szCs w:val="2"/>
              </w:rPr>
            </w:pPr>
          </w:p>
        </w:tc>
        <w:tc>
          <w:tcPr>
            <w:tcW w:w="2269" w:type="dxa"/>
            <w:vMerge/>
            <w:tcBorders>
              <w:top w:val="nil"/>
            </w:tcBorders>
          </w:tcPr>
          <w:p>
            <w:pPr>
              <w:rPr>
                <w:sz w:val="2"/>
                <w:szCs w:val="2"/>
              </w:rPr>
            </w:pPr>
          </w:p>
        </w:tc>
        <w:tc>
          <w:tcPr>
            <w:tcW w:w="1419" w:type="dxa"/>
            <w:vMerge/>
            <w:tcBorders>
              <w:top w:val="nil"/>
            </w:tcBorders>
          </w:tcPr>
          <w:p>
            <w:pPr>
              <w:rPr>
                <w:sz w:val="2"/>
                <w:szCs w:val="2"/>
              </w:rPr>
            </w:pPr>
          </w:p>
        </w:tc>
        <w:tc>
          <w:tcPr>
            <w:tcW w:w="4246" w:type="dxa"/>
            <w:gridSpan w:val="2"/>
            <w:tcBorders>
              <w:right w:val="single" w:sz="6" w:space="0" w:color="000000"/>
            </w:tcBorders>
          </w:tcPr>
          <w:p>
            <w:pPr>
              <w:pStyle w:val="TableParagraph"/>
              <w:spacing w:line="237" w:lineRule="auto" w:before="26"/>
              <w:ind w:left="106" w:right="91"/>
              <w:jc w:val="both"/>
              <w:rPr>
                <w:rFonts w:ascii="微軟正黑體" w:eastAsia="微軟正黑體" w:hint="eastAsia"/>
                <w:sz w:val="22"/>
              </w:rPr>
            </w:pPr>
            <w:r>
              <w:rPr>
                <w:rFonts w:ascii="微軟正黑體" w:eastAsia="微軟正黑體" w:hint="eastAsia"/>
                <w:color w:val="221F1F"/>
                <w:sz w:val="22"/>
              </w:rPr>
              <w:t>*</w:t>
            </w:r>
            <w:r>
              <w:rPr>
                <w:rFonts w:ascii="微軟正黑體" w:eastAsia="微軟正黑體" w:hint="eastAsia"/>
                <w:color w:val="221F1F"/>
                <w:spacing w:val="-7"/>
                <w:sz w:val="22"/>
              </w:rPr>
              <w:t>備註：移工遭廢止聘僱許可，返回母國前</w:t>
            </w:r>
            <w:r>
              <w:rPr>
                <w:rFonts w:ascii="微軟正黑體" w:eastAsia="微軟正黑體" w:hint="eastAsia"/>
                <w:color w:val="221F1F"/>
                <w:sz w:val="22"/>
              </w:rPr>
              <w:t>仍應加入縣市之都治計畫。陽性個案須接</w:t>
            </w:r>
            <w:r>
              <w:rPr>
                <w:rFonts w:ascii="微軟正黑體" w:eastAsia="微軟正黑體" w:hint="eastAsia"/>
                <w:color w:val="221F1F"/>
                <w:spacing w:val="3"/>
                <w:sz w:val="22"/>
              </w:rPr>
              <w:t>受都治達  </w:t>
            </w:r>
            <w:r>
              <w:rPr>
                <w:rFonts w:ascii="微軟正黑體" w:eastAsia="微軟正黑體" w:hint="eastAsia"/>
                <w:color w:val="221F1F"/>
                <w:sz w:val="22"/>
              </w:rPr>
              <w:t>14</w:t>
            </w:r>
            <w:r>
              <w:rPr>
                <w:rFonts w:ascii="微軟正黑體" w:eastAsia="微軟正黑體" w:hint="eastAsia"/>
                <w:color w:val="221F1F"/>
                <w:spacing w:val="-1"/>
                <w:sz w:val="22"/>
              </w:rPr>
              <w:t>  天或依其他證據證實已無傳</w:t>
            </w:r>
          </w:p>
          <w:p>
            <w:pPr>
              <w:pStyle w:val="TableParagraph"/>
              <w:spacing w:line="237" w:lineRule="auto"/>
              <w:ind w:left="106" w:right="91"/>
              <w:jc w:val="both"/>
              <w:rPr>
                <w:rFonts w:ascii="微軟正黑體" w:eastAsia="微軟正黑體" w:hint="eastAsia"/>
                <w:sz w:val="22"/>
              </w:rPr>
            </w:pPr>
            <w:r>
              <w:rPr>
                <w:rFonts w:ascii="微軟正黑體" w:eastAsia="微軟正黑體" w:hint="eastAsia"/>
                <w:color w:val="221F1F"/>
                <w:spacing w:val="-1"/>
                <w:sz w:val="22"/>
              </w:rPr>
              <w:t>染之虞，才可搭乘單次飛航行程逾 </w:t>
            </w:r>
            <w:r>
              <w:rPr>
                <w:rFonts w:ascii="微軟正黑體" w:eastAsia="微軟正黑體" w:hint="eastAsia"/>
                <w:color w:val="221F1F"/>
                <w:sz w:val="22"/>
              </w:rPr>
              <w:t>8</w:t>
            </w:r>
            <w:r>
              <w:rPr>
                <w:rFonts w:ascii="微軟正黑體" w:eastAsia="微軟正黑體" w:hint="eastAsia"/>
                <w:color w:val="221F1F"/>
                <w:spacing w:val="5"/>
                <w:sz w:val="22"/>
              </w:rPr>
              <w:t> 小時</w:t>
            </w:r>
            <w:r>
              <w:rPr>
                <w:rFonts w:ascii="微軟正黑體" w:eastAsia="微軟正黑體" w:hint="eastAsia"/>
                <w:color w:val="221F1F"/>
                <w:sz w:val="22"/>
              </w:rPr>
              <w:t>之大眾航空器出境；多重抗藥性結核病人經痰培養為陰性者，始得搭乘大眾航空器</w:t>
            </w:r>
            <w:r>
              <w:rPr>
                <w:rFonts w:ascii="微軟正黑體" w:eastAsia="微軟正黑體" w:hint="eastAsia"/>
                <w:color w:val="221F1F"/>
                <w:spacing w:val="-14"/>
                <w:sz w:val="22"/>
              </w:rPr>
              <w:t>出境；其餘大眾交通工具，須佩戴醫療等級</w:t>
            </w:r>
          </w:p>
          <w:p>
            <w:pPr>
              <w:pStyle w:val="TableParagraph"/>
              <w:spacing w:line="354" w:lineRule="exact"/>
              <w:ind w:left="106"/>
              <w:rPr>
                <w:rFonts w:ascii="微軟正黑體" w:eastAsia="微軟正黑體" w:hint="eastAsia"/>
                <w:sz w:val="22"/>
              </w:rPr>
            </w:pPr>
            <w:r>
              <w:rPr>
                <w:rFonts w:ascii="微軟正黑體" w:eastAsia="微軟正黑體" w:hint="eastAsia"/>
                <w:color w:val="221F1F"/>
                <w:sz w:val="22"/>
              </w:rPr>
              <w:t>以上口罩搭乘。</w:t>
            </w:r>
          </w:p>
        </w:tc>
      </w:tr>
      <w:tr>
        <w:trPr>
          <w:trHeight w:val="2800" w:hRule="atLeast"/>
        </w:trPr>
        <w:tc>
          <w:tcPr>
            <w:tcW w:w="845" w:type="dxa"/>
          </w:tcPr>
          <w:p>
            <w:pPr>
              <w:pStyle w:val="TableParagraph"/>
              <w:rPr>
                <w:rFonts w:ascii="Arial"/>
                <w:sz w:val="28"/>
              </w:rPr>
            </w:pPr>
          </w:p>
          <w:p>
            <w:pPr>
              <w:pStyle w:val="TableParagraph"/>
              <w:spacing w:line="237" w:lineRule="auto" w:before="225"/>
              <w:ind w:left="201" w:right="190"/>
              <w:jc w:val="both"/>
              <w:rPr>
                <w:rFonts w:ascii="微軟正黑體" w:eastAsia="微軟正黑體" w:hint="eastAsia"/>
                <w:sz w:val="22"/>
              </w:rPr>
            </w:pPr>
            <w:r>
              <w:rPr>
                <w:rFonts w:ascii="微軟正黑體" w:eastAsia="微軟正黑體" w:hint="eastAsia"/>
                <w:color w:val="221F1F"/>
                <w:sz w:val="22"/>
              </w:rPr>
              <w:t>因症就診及確診作業</w:t>
            </w:r>
          </w:p>
        </w:tc>
        <w:tc>
          <w:tcPr>
            <w:tcW w:w="2269" w:type="dxa"/>
          </w:tcPr>
          <w:p>
            <w:pPr>
              <w:pStyle w:val="TableParagraph"/>
              <w:spacing w:line="237" w:lineRule="auto" w:before="23"/>
              <w:ind w:left="107" w:right="92"/>
              <w:jc w:val="both"/>
              <w:rPr>
                <w:rFonts w:ascii="微軟正黑體" w:eastAsia="微軟正黑體" w:hint="eastAsia"/>
                <w:sz w:val="22"/>
              </w:rPr>
            </w:pPr>
            <w:r>
              <w:rPr>
                <w:rFonts w:ascii="微軟正黑體" w:eastAsia="微軟正黑體" w:hint="eastAsia"/>
                <w:color w:val="221F1F"/>
                <w:sz w:val="22"/>
              </w:rPr>
              <w:t>因留臺期間不適，前往醫院就診，比照一般國人就醫及確診之程序</w:t>
            </w:r>
          </w:p>
        </w:tc>
        <w:tc>
          <w:tcPr>
            <w:tcW w:w="5665" w:type="dxa"/>
            <w:gridSpan w:val="3"/>
            <w:tcBorders>
              <w:right w:val="single" w:sz="6" w:space="0" w:color="000000"/>
            </w:tcBorders>
          </w:tcPr>
          <w:p>
            <w:pPr>
              <w:pStyle w:val="TableParagraph"/>
              <w:numPr>
                <w:ilvl w:val="0"/>
                <w:numId w:val="132"/>
              </w:numPr>
              <w:tabs>
                <w:tab w:pos="422" w:val="left" w:leader="none"/>
              </w:tabs>
              <w:spacing w:line="230" w:lineRule="auto" w:before="31" w:after="0"/>
              <w:ind w:left="421" w:right="72" w:hanging="315"/>
              <w:jc w:val="both"/>
              <w:rPr>
                <w:rFonts w:ascii="微軟正黑體" w:eastAsia="微軟正黑體" w:hint="eastAsia"/>
                <w:sz w:val="22"/>
              </w:rPr>
            </w:pPr>
            <w:r>
              <w:rPr>
                <w:rFonts w:ascii="微軟正黑體" w:eastAsia="微軟正黑體" w:hint="eastAsia"/>
                <w:color w:val="221F1F"/>
                <w:spacing w:val="-11"/>
                <w:sz w:val="22"/>
              </w:rPr>
              <w:t>移工於受聘僱期間因症就診，經通報確診為肺結核</w:t>
            </w:r>
            <w:r>
              <w:rPr>
                <w:rFonts w:ascii="微軟正黑體" w:eastAsia="微軟正黑體" w:hint="eastAsia"/>
                <w:color w:val="221F1F"/>
                <w:sz w:val="22"/>
              </w:rPr>
              <w:t>（或</w:t>
            </w:r>
            <w:r>
              <w:rPr>
                <w:rFonts w:ascii="微軟正黑體" w:eastAsia="微軟正黑體" w:hint="eastAsia"/>
                <w:color w:val="221F1F"/>
                <w:spacing w:val="-1"/>
                <w:sz w:val="22"/>
              </w:rPr>
              <w:t>結核性肋膜炎</w:t>
            </w:r>
            <w:r>
              <w:rPr>
                <w:rFonts w:ascii="微軟正黑體" w:eastAsia="微軟正黑體" w:hint="eastAsia"/>
                <w:color w:val="221F1F"/>
                <w:spacing w:val="-44"/>
                <w:sz w:val="22"/>
              </w:rPr>
              <w:t>）</w:t>
            </w:r>
            <w:r>
              <w:rPr>
                <w:rFonts w:ascii="微軟正黑體" w:eastAsia="微軟正黑體" w:hint="eastAsia"/>
                <w:color w:val="221F1F"/>
                <w:spacing w:val="-11"/>
                <w:sz w:val="22"/>
              </w:rPr>
              <w:t>者，衛生單位人員應於訪視時，主動提</w:t>
            </w:r>
            <w:r>
              <w:rPr>
                <w:rFonts w:ascii="微軟正黑體" w:eastAsia="微軟正黑體" w:hint="eastAsia"/>
                <w:color w:val="221F1F"/>
                <w:spacing w:val="-6"/>
                <w:sz w:val="22"/>
              </w:rPr>
              <w:t>供結核病衛教資訊與申請留臺治療之文件予雇主</w:t>
            </w:r>
            <w:r>
              <w:rPr>
                <w:rFonts w:ascii="微軟正黑體" w:eastAsia="微軟正黑體" w:hint="eastAsia"/>
                <w:color w:val="221F1F"/>
                <w:spacing w:val="-4"/>
                <w:sz w:val="22"/>
              </w:rPr>
              <w:t>/</w:t>
            </w:r>
            <w:r>
              <w:rPr>
                <w:rFonts w:ascii="微軟正黑體" w:eastAsia="微軟正黑體" w:hint="eastAsia"/>
                <w:color w:val="221F1F"/>
                <w:spacing w:val="-7"/>
                <w:sz w:val="22"/>
              </w:rPr>
              <w:t>仲介</w:t>
            </w:r>
            <w:r>
              <w:rPr>
                <w:rFonts w:ascii="微軟正黑體" w:eastAsia="微軟正黑體" w:hint="eastAsia"/>
                <w:color w:val="221F1F"/>
                <w:sz w:val="22"/>
              </w:rPr>
              <w:t>及移工</w:t>
            </w:r>
          </w:p>
          <w:p>
            <w:pPr>
              <w:pStyle w:val="TableParagraph"/>
              <w:numPr>
                <w:ilvl w:val="0"/>
                <w:numId w:val="132"/>
              </w:numPr>
              <w:tabs>
                <w:tab w:pos="422" w:val="left" w:leader="none"/>
              </w:tabs>
              <w:spacing w:line="220" w:lineRule="auto" w:before="28" w:after="0"/>
              <w:ind w:left="421" w:right="76" w:hanging="315"/>
              <w:jc w:val="both"/>
              <w:rPr>
                <w:rFonts w:ascii="微軟正黑體" w:eastAsia="微軟正黑體" w:hint="eastAsia"/>
                <w:sz w:val="22"/>
              </w:rPr>
            </w:pPr>
            <w:r>
              <w:rPr>
                <w:rFonts w:ascii="微軟正黑體" w:eastAsia="微軟正黑體" w:hint="eastAsia"/>
                <w:color w:val="221F1F"/>
                <w:sz w:val="22"/>
              </w:rPr>
              <w:t>移工申請留臺治療作業同上述健檢方式，倘遭遇不平</w:t>
            </w:r>
            <w:r>
              <w:rPr>
                <w:rFonts w:ascii="微軟正黑體" w:eastAsia="微軟正黑體" w:hint="eastAsia"/>
                <w:color w:val="221F1F"/>
                <w:spacing w:val="-3"/>
                <w:sz w:val="22"/>
              </w:rPr>
              <w:t>等之待遇，請洽縣市勞工主管機關協助處理</w:t>
            </w:r>
          </w:p>
          <w:p>
            <w:pPr>
              <w:pStyle w:val="TableParagraph"/>
              <w:numPr>
                <w:ilvl w:val="0"/>
                <w:numId w:val="132"/>
              </w:numPr>
              <w:tabs>
                <w:tab w:pos="422" w:val="left" w:leader="none"/>
              </w:tabs>
              <w:spacing w:line="360" w:lineRule="exact" w:before="4" w:after="0"/>
              <w:ind w:left="421" w:right="0" w:hanging="315"/>
              <w:jc w:val="both"/>
              <w:rPr>
                <w:rFonts w:ascii="微軟正黑體" w:eastAsia="微軟正黑體" w:hint="eastAsia"/>
                <w:sz w:val="22"/>
              </w:rPr>
            </w:pPr>
            <w:r>
              <w:rPr>
                <w:rFonts w:ascii="微軟正黑體" w:eastAsia="微軟正黑體" w:hint="eastAsia"/>
                <w:color w:val="221F1F"/>
                <w:sz w:val="22"/>
              </w:rPr>
              <w:t>如有未能確診之爭議個案，得提報結核病診療諮詢小</w:t>
            </w:r>
          </w:p>
        </w:tc>
      </w:tr>
    </w:tbl>
    <w:p>
      <w:pPr>
        <w:pStyle w:val="BodyText"/>
        <w:rPr>
          <w:rFonts w:ascii="Arial"/>
          <w:sz w:val="20"/>
        </w:rPr>
      </w:pPr>
    </w:p>
    <w:p>
      <w:pPr>
        <w:pStyle w:val="BodyText"/>
        <w:rPr>
          <w:rFonts w:ascii="Arial"/>
          <w:sz w:val="20"/>
        </w:rPr>
      </w:pPr>
    </w:p>
    <w:p>
      <w:pPr>
        <w:pStyle w:val="BodyText"/>
        <w:spacing w:before="4"/>
        <w:rPr>
          <w:rFonts w:ascii="Arial"/>
        </w:rPr>
      </w:pPr>
    </w:p>
    <w:p>
      <w:pPr>
        <w:spacing w:before="95"/>
        <w:ind w:left="0" w:right="391" w:firstLine="0"/>
        <w:jc w:val="right"/>
        <w:rPr>
          <w:rFonts w:ascii="Arial"/>
          <w:sz w:val="16"/>
        </w:rPr>
      </w:pPr>
      <w:r>
        <w:rPr>
          <w:rFonts w:ascii="Arial"/>
          <w:color w:val="221F1F"/>
          <w:w w:val="100"/>
          <w:sz w:val="16"/>
        </w:rPr>
        <w:t>8</w:t>
      </w:r>
    </w:p>
    <w:p>
      <w:pPr>
        <w:spacing w:after="0"/>
        <w:jc w:val="right"/>
        <w:rPr>
          <w:rFonts w:ascii="Arial"/>
          <w:sz w:val="16"/>
        </w:rPr>
        <w:sectPr>
          <w:pgSz w:w="11910" w:h="16840"/>
          <w:pgMar w:top="1120" w:bottom="280" w:left="980" w:right="2"/>
        </w:sectPr>
      </w:pPr>
    </w:p>
    <w:tbl>
      <w:tblPr>
        <w:tblW w:w="0" w:type="auto"/>
        <w:jc w:val="left"/>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2269"/>
        <w:gridCol w:w="1419"/>
        <w:gridCol w:w="708"/>
        <w:gridCol w:w="3538"/>
      </w:tblGrid>
      <w:tr>
        <w:trPr>
          <w:trHeight w:val="400" w:hRule="atLeast"/>
        </w:trPr>
        <w:tc>
          <w:tcPr>
            <w:tcW w:w="845" w:type="dxa"/>
            <w:vMerge w:val="restart"/>
            <w:shd w:val="clear" w:color="auto" w:fill="E8E8E8"/>
          </w:tcPr>
          <w:p>
            <w:pPr>
              <w:pStyle w:val="TableParagraph"/>
              <w:spacing w:line="398" w:lineRule="exact" w:before="47"/>
              <w:ind w:left="201" w:right="190"/>
              <w:rPr>
                <w:rFonts w:ascii="微軟正黑體" w:eastAsia="微軟正黑體" w:hint="eastAsia"/>
                <w:b/>
                <w:sz w:val="22"/>
              </w:rPr>
            </w:pPr>
            <w:r>
              <w:rPr>
                <w:rFonts w:ascii="微軟正黑體" w:eastAsia="微軟正黑體" w:hint="eastAsia"/>
                <w:b/>
                <w:color w:val="221F1F"/>
                <w:sz w:val="22"/>
              </w:rPr>
              <w:t>工作重點</w:t>
            </w:r>
          </w:p>
        </w:tc>
        <w:tc>
          <w:tcPr>
            <w:tcW w:w="2269" w:type="dxa"/>
            <w:vMerge w:val="restart"/>
            <w:shd w:val="clear" w:color="auto" w:fill="E8E8E8"/>
          </w:tcPr>
          <w:p>
            <w:pPr>
              <w:pStyle w:val="TableParagraph"/>
              <w:spacing w:before="8"/>
              <w:rPr>
                <w:rFonts w:ascii="Arial"/>
                <w:sz w:val="23"/>
              </w:rPr>
            </w:pPr>
          </w:p>
          <w:p>
            <w:pPr>
              <w:pStyle w:val="TableParagraph"/>
              <w:ind w:left="693"/>
              <w:rPr>
                <w:rFonts w:ascii="微軟正黑體" w:eastAsia="微軟正黑體" w:hint="eastAsia"/>
                <w:b/>
                <w:sz w:val="22"/>
              </w:rPr>
            </w:pPr>
            <w:r>
              <w:rPr>
                <w:rFonts w:ascii="微軟正黑體" w:eastAsia="微軟正黑體" w:hint="eastAsia"/>
                <w:b/>
                <w:color w:val="221F1F"/>
                <w:sz w:val="22"/>
              </w:rPr>
              <w:t>外籍人士</w:t>
            </w:r>
          </w:p>
        </w:tc>
        <w:tc>
          <w:tcPr>
            <w:tcW w:w="5665" w:type="dxa"/>
            <w:gridSpan w:val="3"/>
            <w:tcBorders>
              <w:right w:val="single" w:sz="6" w:space="0" w:color="000000"/>
            </w:tcBorders>
            <w:shd w:val="clear" w:color="auto" w:fill="E8E8E8"/>
          </w:tcPr>
          <w:p>
            <w:pPr>
              <w:pStyle w:val="TableParagraph"/>
              <w:spacing w:line="338" w:lineRule="exact" w:before="42"/>
              <w:ind w:left="2591" w:right="2581"/>
              <w:jc w:val="center"/>
              <w:rPr>
                <w:rFonts w:ascii="微軟正黑體" w:eastAsia="微軟正黑體" w:hint="eastAsia"/>
                <w:b/>
                <w:sz w:val="22"/>
              </w:rPr>
            </w:pPr>
            <w:r>
              <w:rPr>
                <w:rFonts w:ascii="微軟正黑體" w:eastAsia="微軟正黑體" w:hint="eastAsia"/>
                <w:b/>
                <w:color w:val="221F1F"/>
                <w:sz w:val="22"/>
              </w:rPr>
              <w:t>移工</w:t>
            </w:r>
          </w:p>
        </w:tc>
      </w:tr>
      <w:tr>
        <w:trPr>
          <w:trHeight w:val="451" w:hRule="atLeast"/>
        </w:trPr>
        <w:tc>
          <w:tcPr>
            <w:tcW w:w="845" w:type="dxa"/>
            <w:vMerge/>
            <w:tcBorders>
              <w:top w:val="nil"/>
            </w:tcBorders>
            <w:shd w:val="clear" w:color="auto" w:fill="E8E8E8"/>
          </w:tcPr>
          <w:p>
            <w:pPr>
              <w:rPr>
                <w:sz w:val="2"/>
                <w:szCs w:val="2"/>
              </w:rPr>
            </w:pPr>
          </w:p>
        </w:tc>
        <w:tc>
          <w:tcPr>
            <w:tcW w:w="2269" w:type="dxa"/>
            <w:vMerge/>
            <w:tcBorders>
              <w:top w:val="nil"/>
            </w:tcBorders>
            <w:shd w:val="clear" w:color="auto" w:fill="E8E8E8"/>
          </w:tcPr>
          <w:p>
            <w:pPr>
              <w:rPr>
                <w:sz w:val="2"/>
                <w:szCs w:val="2"/>
              </w:rPr>
            </w:pPr>
          </w:p>
        </w:tc>
        <w:tc>
          <w:tcPr>
            <w:tcW w:w="1419" w:type="dxa"/>
            <w:shd w:val="clear" w:color="auto" w:fill="E8E8E8"/>
          </w:tcPr>
          <w:p>
            <w:pPr>
              <w:pStyle w:val="TableParagraph"/>
              <w:spacing w:line="362" w:lineRule="exact" w:before="69"/>
              <w:ind w:left="267"/>
              <w:rPr>
                <w:rFonts w:ascii="微軟正黑體" w:eastAsia="微軟正黑體" w:hint="eastAsia"/>
                <w:b/>
                <w:sz w:val="22"/>
              </w:rPr>
            </w:pPr>
            <w:r>
              <w:rPr>
                <w:rFonts w:ascii="微軟正黑體" w:eastAsia="微軟正黑體" w:hint="eastAsia"/>
                <w:b/>
                <w:color w:val="221F1F"/>
                <w:sz w:val="22"/>
              </w:rPr>
              <w:t>健檢時機</w:t>
            </w:r>
          </w:p>
        </w:tc>
        <w:tc>
          <w:tcPr>
            <w:tcW w:w="708" w:type="dxa"/>
            <w:shd w:val="clear" w:color="auto" w:fill="E8E8E8"/>
          </w:tcPr>
          <w:p>
            <w:pPr>
              <w:pStyle w:val="TableParagraph"/>
              <w:spacing w:line="362" w:lineRule="exact" w:before="69"/>
              <w:ind w:left="133"/>
              <w:rPr>
                <w:rFonts w:ascii="微軟正黑體" w:eastAsia="微軟正黑體" w:hint="eastAsia"/>
                <w:b/>
                <w:sz w:val="22"/>
              </w:rPr>
            </w:pPr>
            <w:r>
              <w:rPr>
                <w:rFonts w:ascii="微軟正黑體" w:eastAsia="微軟正黑體" w:hint="eastAsia"/>
                <w:b/>
                <w:color w:val="221F1F"/>
                <w:sz w:val="22"/>
              </w:rPr>
              <w:t>結果</w:t>
            </w:r>
          </w:p>
        </w:tc>
        <w:tc>
          <w:tcPr>
            <w:tcW w:w="3538" w:type="dxa"/>
            <w:tcBorders>
              <w:right w:val="single" w:sz="6" w:space="0" w:color="000000"/>
            </w:tcBorders>
            <w:shd w:val="clear" w:color="auto" w:fill="E8E8E8"/>
          </w:tcPr>
          <w:p>
            <w:pPr>
              <w:pStyle w:val="TableParagraph"/>
              <w:spacing w:line="388" w:lineRule="exact" w:before="42"/>
              <w:ind w:left="1528" w:right="1517"/>
              <w:jc w:val="center"/>
              <w:rPr>
                <w:rFonts w:ascii="微軟正黑體" w:eastAsia="微軟正黑體" w:hint="eastAsia"/>
                <w:b/>
                <w:sz w:val="22"/>
              </w:rPr>
            </w:pPr>
            <w:r>
              <w:rPr>
                <w:rFonts w:ascii="微軟正黑體" w:eastAsia="微軟正黑體" w:hint="eastAsia"/>
                <w:b/>
                <w:color w:val="221F1F"/>
                <w:sz w:val="22"/>
              </w:rPr>
              <w:t>處置</w:t>
            </w:r>
          </w:p>
        </w:tc>
      </w:tr>
      <w:tr>
        <w:trPr>
          <w:trHeight w:val="580" w:hRule="atLeast"/>
        </w:trPr>
        <w:tc>
          <w:tcPr>
            <w:tcW w:w="845" w:type="dxa"/>
          </w:tcPr>
          <w:p>
            <w:pPr>
              <w:pStyle w:val="TableParagraph"/>
              <w:rPr>
                <w:rFonts w:ascii="Times New Roman"/>
                <w:sz w:val="22"/>
              </w:rPr>
            </w:pPr>
          </w:p>
        </w:tc>
        <w:tc>
          <w:tcPr>
            <w:tcW w:w="2269" w:type="dxa"/>
          </w:tcPr>
          <w:p>
            <w:pPr>
              <w:pStyle w:val="TableParagraph"/>
              <w:rPr>
                <w:rFonts w:ascii="Times New Roman"/>
                <w:sz w:val="22"/>
              </w:rPr>
            </w:pPr>
          </w:p>
        </w:tc>
        <w:tc>
          <w:tcPr>
            <w:tcW w:w="5665" w:type="dxa"/>
            <w:gridSpan w:val="3"/>
            <w:tcBorders>
              <w:right w:val="single" w:sz="6" w:space="0" w:color="000000"/>
            </w:tcBorders>
          </w:tcPr>
          <w:p>
            <w:pPr>
              <w:pStyle w:val="TableParagraph"/>
              <w:spacing w:before="23"/>
              <w:ind w:left="421"/>
              <w:rPr>
                <w:rFonts w:ascii="微軟正黑體" w:eastAsia="微軟正黑體" w:hint="eastAsia"/>
                <w:sz w:val="22"/>
              </w:rPr>
            </w:pPr>
            <w:r>
              <w:rPr>
                <w:rFonts w:ascii="微軟正黑體" w:eastAsia="微軟正黑體" w:hint="eastAsia"/>
                <w:color w:val="221F1F"/>
                <w:sz w:val="22"/>
              </w:rPr>
              <w:t>組討論</w:t>
            </w:r>
          </w:p>
        </w:tc>
      </w:tr>
      <w:tr>
        <w:trPr>
          <w:trHeight w:val="7781" w:hRule="atLeast"/>
        </w:trPr>
        <w:tc>
          <w:tcPr>
            <w:tcW w:w="845" w:type="dxa"/>
          </w:tcPr>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spacing w:line="237" w:lineRule="auto" w:before="217"/>
              <w:ind w:left="201" w:right="190"/>
              <w:jc w:val="both"/>
              <w:rPr>
                <w:rFonts w:ascii="微軟正黑體" w:eastAsia="微軟正黑體" w:hint="eastAsia"/>
                <w:sz w:val="22"/>
              </w:rPr>
            </w:pPr>
            <w:r>
              <w:rPr>
                <w:rFonts w:ascii="微軟正黑體" w:eastAsia="微軟正黑體" w:hint="eastAsia"/>
                <w:color w:val="221F1F"/>
                <w:sz w:val="22"/>
              </w:rPr>
              <w:t>留臺治療規範</w:t>
            </w:r>
          </w:p>
        </w:tc>
        <w:tc>
          <w:tcPr>
            <w:tcW w:w="2269" w:type="dxa"/>
          </w:tcPr>
          <w:p>
            <w:pPr>
              <w:pStyle w:val="TableParagraph"/>
              <w:spacing w:line="237" w:lineRule="auto" w:before="26"/>
              <w:ind w:left="107" w:right="89"/>
              <w:jc w:val="both"/>
              <w:rPr>
                <w:rFonts w:ascii="微軟正黑體" w:eastAsia="微軟正黑體" w:hint="eastAsia"/>
                <w:sz w:val="22"/>
              </w:rPr>
            </w:pPr>
            <w:r>
              <w:rPr>
                <w:rFonts w:ascii="微軟正黑體" w:eastAsia="微軟正黑體" w:hint="eastAsia"/>
                <w:color w:val="221F1F"/>
                <w:sz w:val="22"/>
              </w:rPr>
              <w:t>不論有無健保身分， 皆提供留臺期間治療補助</w:t>
            </w:r>
          </w:p>
        </w:tc>
        <w:tc>
          <w:tcPr>
            <w:tcW w:w="5665" w:type="dxa"/>
            <w:gridSpan w:val="3"/>
            <w:tcBorders>
              <w:right w:val="single" w:sz="6" w:space="0" w:color="000000"/>
            </w:tcBorders>
          </w:tcPr>
          <w:p>
            <w:pPr>
              <w:pStyle w:val="TableParagraph"/>
              <w:numPr>
                <w:ilvl w:val="0"/>
                <w:numId w:val="133"/>
              </w:numPr>
              <w:tabs>
                <w:tab w:pos="422" w:val="left" w:leader="none"/>
              </w:tabs>
              <w:spacing w:line="237" w:lineRule="auto" w:before="26" w:after="0"/>
              <w:ind w:left="421" w:right="-44" w:hanging="315"/>
              <w:jc w:val="left"/>
              <w:rPr>
                <w:rFonts w:ascii="微軟正黑體" w:eastAsia="微軟正黑體" w:hint="eastAsia"/>
                <w:color w:val="221F1F"/>
                <w:sz w:val="22"/>
              </w:rPr>
            </w:pPr>
            <w:r>
              <w:rPr>
                <w:rFonts w:ascii="微軟正黑體" w:eastAsia="微軟正黑體" w:hint="eastAsia"/>
                <w:color w:val="221F1F"/>
                <w:spacing w:val="-5"/>
                <w:sz w:val="22"/>
              </w:rPr>
              <w:t>將「受聘僱外國人接受衛生單位安排都治服務同意書」</w:t>
            </w:r>
            <w:r>
              <w:rPr>
                <w:rFonts w:ascii="微軟正黑體" w:eastAsia="微軟正黑體" w:hint="eastAsia"/>
                <w:color w:val="221F1F"/>
                <w:spacing w:val="-4"/>
                <w:sz w:val="22"/>
              </w:rPr>
              <w:t>掃描檔案上傳至 </w:t>
            </w:r>
            <w:r>
              <w:rPr>
                <w:rFonts w:ascii="微軟正黑體" w:eastAsia="微軟正黑體" w:hint="eastAsia"/>
                <w:color w:val="221F1F"/>
                <w:sz w:val="22"/>
              </w:rPr>
              <w:t>TB</w:t>
            </w:r>
            <w:r>
              <w:rPr>
                <w:rFonts w:ascii="微軟正黑體" w:eastAsia="微軟正黑體" w:hint="eastAsia"/>
                <w:color w:val="221F1F"/>
                <w:spacing w:val="-12"/>
                <w:sz w:val="22"/>
              </w:rPr>
              <w:t> 系統，公衛管理人員於 </w:t>
            </w:r>
            <w:r>
              <w:rPr>
                <w:rFonts w:ascii="微軟正黑體" w:eastAsia="微軟正黑體" w:hint="eastAsia"/>
                <w:color w:val="221F1F"/>
                <w:sz w:val="22"/>
              </w:rPr>
              <w:t>TB</w:t>
            </w:r>
            <w:r>
              <w:rPr>
                <w:rFonts w:ascii="微軟正黑體" w:eastAsia="微軟正黑體" w:hint="eastAsia"/>
                <w:color w:val="221F1F"/>
                <w:spacing w:val="-22"/>
                <w:sz w:val="22"/>
              </w:rPr>
              <w:t> 系統「結</w:t>
            </w:r>
            <w:r>
              <w:rPr>
                <w:rFonts w:ascii="微軟正黑體" w:eastAsia="微軟正黑體" w:hint="eastAsia"/>
                <w:color w:val="221F1F"/>
                <w:spacing w:val="-16"/>
                <w:sz w:val="22"/>
              </w:rPr>
              <w:t>核病個案收案訪視調查表」之「是否申請留臺治療」註</w:t>
            </w:r>
            <w:r>
              <w:rPr>
                <w:rFonts w:ascii="微軟正黑體" w:eastAsia="微軟正黑體" w:hint="eastAsia"/>
                <w:color w:val="221F1F"/>
                <w:spacing w:val="-8"/>
                <w:sz w:val="22"/>
              </w:rPr>
              <w:t>記。另核發都治同意函予雇主</w:t>
            </w:r>
          </w:p>
          <w:p>
            <w:pPr>
              <w:pStyle w:val="TableParagraph"/>
              <w:numPr>
                <w:ilvl w:val="0"/>
                <w:numId w:val="133"/>
              </w:numPr>
              <w:tabs>
                <w:tab w:pos="422" w:val="left" w:leader="none"/>
              </w:tabs>
              <w:spacing w:line="237" w:lineRule="auto" w:before="0" w:after="0"/>
              <w:ind w:left="421" w:right="73" w:hanging="315"/>
              <w:jc w:val="both"/>
              <w:rPr>
                <w:rFonts w:ascii="微軟正黑體" w:eastAsia="微軟正黑體" w:hint="eastAsia"/>
                <w:color w:val="221F1F"/>
                <w:sz w:val="22"/>
              </w:rPr>
            </w:pPr>
            <w:r>
              <w:rPr>
                <w:rFonts w:ascii="微軟正黑體" w:eastAsia="微軟正黑體" w:hint="eastAsia"/>
                <w:color w:val="221F1F"/>
                <w:spacing w:val="-13"/>
                <w:sz w:val="22"/>
              </w:rPr>
              <w:t>不論有無健保身分，皆提供智慧關懷卡，協助其於留臺期間進行結核病之治療</w:t>
            </w:r>
            <w:r>
              <w:rPr>
                <w:rFonts w:ascii="微軟正黑體" w:eastAsia="微軟正黑體" w:hint="eastAsia"/>
                <w:color w:val="221F1F"/>
                <w:spacing w:val="-3"/>
                <w:sz w:val="22"/>
              </w:rPr>
              <w:t>（</w:t>
            </w:r>
            <w:r>
              <w:rPr>
                <w:rFonts w:ascii="微軟正黑體" w:eastAsia="微軟正黑體" w:hint="eastAsia"/>
                <w:color w:val="221F1F"/>
                <w:spacing w:val="-11"/>
                <w:sz w:val="22"/>
              </w:rPr>
              <w:t>請參閱「衛生福利部法定傳染</w:t>
            </w:r>
            <w:r>
              <w:rPr>
                <w:rFonts w:ascii="微軟正黑體" w:eastAsia="微軟正黑體" w:hint="eastAsia"/>
                <w:color w:val="221F1F"/>
                <w:spacing w:val="-3"/>
                <w:sz w:val="22"/>
              </w:rPr>
              <w:t>病醫療服務費用支付作業規範」</w:t>
            </w:r>
            <w:r>
              <w:rPr>
                <w:rFonts w:ascii="微軟正黑體" w:eastAsia="微軟正黑體" w:hint="eastAsia"/>
                <w:color w:val="221F1F"/>
                <w:sz w:val="22"/>
              </w:rPr>
              <w:t>）</w:t>
            </w:r>
          </w:p>
          <w:p>
            <w:pPr>
              <w:pStyle w:val="TableParagraph"/>
              <w:numPr>
                <w:ilvl w:val="0"/>
                <w:numId w:val="133"/>
              </w:numPr>
              <w:tabs>
                <w:tab w:pos="422" w:val="left" w:leader="none"/>
              </w:tabs>
              <w:spacing w:line="237" w:lineRule="auto" w:before="0" w:after="0"/>
              <w:ind w:left="421" w:right="76" w:hanging="315"/>
              <w:jc w:val="both"/>
              <w:rPr>
                <w:rFonts w:ascii="微軟正黑體" w:eastAsia="微軟正黑體" w:hint="eastAsia"/>
                <w:color w:val="221F1F"/>
                <w:sz w:val="22"/>
              </w:rPr>
            </w:pPr>
            <w:r>
              <w:rPr>
                <w:rFonts w:ascii="微軟正黑體" w:eastAsia="微軟正黑體" w:hint="eastAsia"/>
                <w:color w:val="221F1F"/>
                <w:spacing w:val="-12"/>
                <w:sz w:val="22"/>
              </w:rPr>
              <w:t>辦理確診移工之接觸者匡列、檢查及治療時，請加強雇</w:t>
            </w:r>
            <w:r>
              <w:rPr>
                <w:rFonts w:ascii="微軟正黑體" w:eastAsia="微軟正黑體" w:hint="eastAsia"/>
                <w:color w:val="221F1F"/>
                <w:sz w:val="22"/>
              </w:rPr>
              <w:t>主及移工同儕之溝通與衛教，並提供環境感染管制建</w:t>
            </w:r>
            <w:r>
              <w:rPr>
                <w:rFonts w:ascii="微軟正黑體" w:eastAsia="微軟正黑體" w:hint="eastAsia"/>
                <w:color w:val="221F1F"/>
                <w:spacing w:val="-3"/>
                <w:sz w:val="22"/>
              </w:rPr>
              <w:t>議，以避免同儕交互感染</w:t>
            </w:r>
          </w:p>
          <w:p>
            <w:pPr>
              <w:pStyle w:val="TableParagraph"/>
              <w:numPr>
                <w:ilvl w:val="0"/>
                <w:numId w:val="133"/>
              </w:numPr>
              <w:tabs>
                <w:tab w:pos="422" w:val="left" w:leader="none"/>
              </w:tabs>
              <w:spacing w:line="237" w:lineRule="auto" w:before="0" w:after="0"/>
              <w:ind w:left="421" w:right="72" w:hanging="315"/>
              <w:jc w:val="both"/>
              <w:rPr>
                <w:rFonts w:ascii="微軟正黑體" w:eastAsia="微軟正黑體" w:hint="eastAsia"/>
                <w:color w:val="221F1F"/>
                <w:sz w:val="22"/>
              </w:rPr>
            </w:pPr>
            <w:r>
              <w:rPr>
                <w:rFonts w:ascii="微軟正黑體" w:eastAsia="微軟正黑體" w:hint="eastAsia"/>
                <w:color w:val="221F1F"/>
                <w:spacing w:val="-8"/>
                <w:sz w:val="22"/>
              </w:rPr>
              <w:t>若為健檢檢出個案，惟依據 </w:t>
            </w:r>
            <w:r>
              <w:rPr>
                <w:rFonts w:ascii="微軟正黑體" w:eastAsia="微軟正黑體" w:hint="eastAsia"/>
                <w:color w:val="221F1F"/>
                <w:sz w:val="22"/>
              </w:rPr>
              <w:t>TB</w:t>
            </w:r>
            <w:r>
              <w:rPr>
                <w:rFonts w:ascii="微軟正黑體" w:eastAsia="微軟正黑體" w:hint="eastAsia"/>
                <w:color w:val="221F1F"/>
                <w:spacing w:val="-2"/>
                <w:sz w:val="22"/>
              </w:rPr>
              <w:t> 系統曾為完治或排除診</w:t>
            </w:r>
            <w:r>
              <w:rPr>
                <w:rFonts w:ascii="微軟正黑體" w:eastAsia="微軟正黑體" w:hint="eastAsia"/>
                <w:color w:val="221F1F"/>
                <w:spacing w:val="-3"/>
                <w:sz w:val="22"/>
              </w:rPr>
              <w:t>斷者，則函知雇主該移工健康檢查合格，准予備查</w:t>
            </w:r>
          </w:p>
          <w:p>
            <w:pPr>
              <w:pStyle w:val="TableParagraph"/>
              <w:numPr>
                <w:ilvl w:val="0"/>
                <w:numId w:val="133"/>
              </w:numPr>
              <w:tabs>
                <w:tab w:pos="422" w:val="left" w:leader="none"/>
              </w:tabs>
              <w:spacing w:line="237" w:lineRule="auto" w:before="0" w:after="0"/>
              <w:ind w:left="421" w:right="72" w:hanging="315"/>
              <w:jc w:val="both"/>
              <w:rPr>
                <w:rFonts w:ascii="微軟正黑體" w:eastAsia="微軟正黑體" w:hint="eastAsia"/>
                <w:sz w:val="22"/>
              </w:rPr>
            </w:pPr>
            <w:r>
              <w:rPr>
                <w:rFonts w:ascii="微軟正黑體" w:eastAsia="微軟正黑體" w:hint="eastAsia"/>
                <w:color w:val="221F1F"/>
                <w:spacing w:val="-3"/>
                <w:sz w:val="22"/>
              </w:rPr>
              <w:t>移工如未配合都治累計達 </w:t>
            </w:r>
            <w:r>
              <w:rPr>
                <w:rFonts w:ascii="微軟正黑體" w:eastAsia="微軟正黑體" w:hint="eastAsia"/>
                <w:color w:val="221F1F"/>
                <w:sz w:val="22"/>
              </w:rPr>
              <w:t>15</w:t>
            </w:r>
            <w:r>
              <w:rPr>
                <w:rFonts w:ascii="微軟正黑體" w:eastAsia="微軟正黑體" w:hint="eastAsia"/>
                <w:color w:val="221F1F"/>
                <w:spacing w:val="-14"/>
                <w:sz w:val="22"/>
              </w:rPr>
              <w:t> 日</w:t>
            </w:r>
            <w:r>
              <w:rPr>
                <w:rFonts w:ascii="微軟正黑體" w:eastAsia="微軟正黑體" w:hint="eastAsia"/>
                <w:color w:val="221F1F"/>
                <w:sz w:val="22"/>
              </w:rPr>
              <w:t>（</w:t>
            </w:r>
            <w:r>
              <w:rPr>
                <w:rFonts w:ascii="微軟正黑體" w:eastAsia="微軟正黑體" w:hint="eastAsia"/>
                <w:color w:val="221F1F"/>
                <w:spacing w:val="-3"/>
                <w:sz w:val="22"/>
              </w:rPr>
              <w:t>含</w:t>
            </w:r>
            <w:r>
              <w:rPr>
                <w:rFonts w:ascii="微軟正黑體" w:eastAsia="微軟正黑體" w:hint="eastAsia"/>
                <w:color w:val="221F1F"/>
                <w:spacing w:val="-34"/>
                <w:sz w:val="22"/>
              </w:rPr>
              <w:t>）</w:t>
            </w:r>
            <w:r>
              <w:rPr>
                <w:rFonts w:ascii="微軟正黑體" w:eastAsia="微軟正黑體" w:hint="eastAsia"/>
                <w:color w:val="221F1F"/>
                <w:spacing w:val="-1"/>
                <w:sz w:val="22"/>
              </w:rPr>
              <w:t>以上，或後續診</w:t>
            </w:r>
            <w:r>
              <w:rPr>
                <w:rFonts w:ascii="微軟正黑體" w:eastAsia="微軟正黑體" w:hint="eastAsia"/>
                <w:color w:val="221F1F"/>
                <w:spacing w:val="3"/>
                <w:sz w:val="22"/>
              </w:rPr>
              <w:t>斷為多重抗藥性結核病者</w:t>
            </w:r>
            <w:r>
              <w:rPr>
                <w:rFonts w:ascii="微軟正黑體" w:eastAsia="微軟正黑體" w:hint="eastAsia"/>
                <w:color w:val="221F1F"/>
                <w:sz w:val="22"/>
              </w:rPr>
              <w:t>（MDR-TB</w:t>
            </w:r>
            <w:r>
              <w:rPr>
                <w:rFonts w:ascii="微軟正黑體" w:eastAsia="微軟正黑體" w:hint="eastAsia"/>
                <w:color w:val="221F1F"/>
                <w:spacing w:val="3"/>
                <w:sz w:val="22"/>
              </w:rPr>
              <w:t>；包含單純肺外</w:t>
            </w:r>
            <w:r>
              <w:rPr>
                <w:rFonts w:ascii="微軟正黑體" w:eastAsia="微軟正黑體" w:hint="eastAsia"/>
                <w:color w:val="221F1F"/>
                <w:spacing w:val="1"/>
                <w:sz w:val="22"/>
              </w:rPr>
              <w:t>多重抗藥性結核病</w:t>
            </w:r>
            <w:r>
              <w:rPr>
                <w:rFonts w:ascii="微軟正黑體" w:eastAsia="微軟正黑體" w:hint="eastAsia"/>
                <w:color w:val="221F1F"/>
                <w:sz w:val="22"/>
              </w:rPr>
              <w:t>）</w:t>
            </w:r>
            <w:r>
              <w:rPr>
                <w:rFonts w:ascii="微軟正黑體" w:eastAsia="微軟正黑體" w:hint="eastAsia"/>
                <w:color w:val="221F1F"/>
                <w:spacing w:val="-1"/>
                <w:sz w:val="22"/>
              </w:rPr>
              <w:t>，視為健康檢查不合格，函送勞</w:t>
            </w:r>
            <w:r>
              <w:rPr>
                <w:rFonts w:ascii="微軟正黑體" w:eastAsia="微軟正黑體" w:hint="eastAsia"/>
                <w:color w:val="221F1F"/>
                <w:spacing w:val="-3"/>
                <w:sz w:val="22"/>
              </w:rPr>
              <w:t>動部廢止其聘僱許可，或不予備查</w:t>
            </w:r>
          </w:p>
          <w:p>
            <w:pPr>
              <w:pStyle w:val="TableParagraph"/>
              <w:numPr>
                <w:ilvl w:val="0"/>
                <w:numId w:val="133"/>
              </w:numPr>
              <w:tabs>
                <w:tab w:pos="422" w:val="left" w:leader="none"/>
              </w:tabs>
              <w:spacing w:line="237" w:lineRule="auto" w:before="0" w:after="0"/>
              <w:ind w:left="421" w:right="24" w:hanging="315"/>
              <w:jc w:val="both"/>
              <w:rPr>
                <w:rFonts w:ascii="微軟正黑體" w:eastAsia="微軟正黑體" w:hint="eastAsia"/>
                <w:sz w:val="22"/>
              </w:rPr>
            </w:pPr>
            <w:r>
              <w:rPr>
                <w:rFonts w:ascii="微軟正黑體" w:eastAsia="微軟正黑體" w:hint="eastAsia"/>
                <w:color w:val="221F1F"/>
                <w:spacing w:val="-9"/>
                <w:sz w:val="22"/>
              </w:rPr>
              <w:t>移工出境前，仍未完成治療，若符合跨國轉介條件者， </w:t>
            </w:r>
            <w:r>
              <w:rPr>
                <w:rFonts w:ascii="微軟正黑體" w:eastAsia="微軟正黑體" w:hint="eastAsia"/>
                <w:color w:val="221F1F"/>
                <w:sz w:val="22"/>
              </w:rPr>
              <w:t>則由衛生單位辦理跨國轉介，提供其返回母國後繼續</w:t>
            </w:r>
            <w:r>
              <w:rPr>
                <w:rFonts w:ascii="微軟正黑體" w:eastAsia="微軟正黑體" w:hint="eastAsia"/>
                <w:color w:val="221F1F"/>
                <w:spacing w:val="-1"/>
                <w:sz w:val="22"/>
              </w:rPr>
              <w:t>治療之參考依據</w:t>
            </w:r>
          </w:p>
        </w:tc>
      </w:tr>
      <w:tr>
        <w:trPr>
          <w:trHeight w:val="5201" w:hRule="atLeast"/>
        </w:trPr>
        <w:tc>
          <w:tcPr>
            <w:tcW w:w="845" w:type="dxa"/>
          </w:tcPr>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rPr>
                <w:rFonts w:ascii="Arial"/>
                <w:sz w:val="28"/>
              </w:rPr>
            </w:pPr>
          </w:p>
          <w:p>
            <w:pPr>
              <w:pStyle w:val="TableParagraph"/>
              <w:spacing w:before="3"/>
              <w:rPr>
                <w:rFonts w:ascii="Arial"/>
                <w:sz w:val="29"/>
              </w:rPr>
            </w:pPr>
          </w:p>
          <w:p>
            <w:pPr>
              <w:pStyle w:val="TableParagraph"/>
              <w:spacing w:line="237" w:lineRule="auto"/>
              <w:ind w:left="201" w:right="190"/>
              <w:jc w:val="both"/>
              <w:rPr>
                <w:rFonts w:ascii="微軟正黑體" w:eastAsia="微軟正黑體" w:hint="eastAsia"/>
                <w:sz w:val="22"/>
              </w:rPr>
            </w:pPr>
            <w:r>
              <w:rPr>
                <w:rFonts w:ascii="微軟正黑體" w:eastAsia="微軟正黑體" w:hint="eastAsia"/>
                <w:color w:val="221F1F"/>
                <w:sz w:val="22"/>
              </w:rPr>
              <w:t>落實個案管理工作</w:t>
            </w:r>
          </w:p>
        </w:tc>
        <w:tc>
          <w:tcPr>
            <w:tcW w:w="2269" w:type="dxa"/>
          </w:tcPr>
          <w:p>
            <w:pPr>
              <w:pStyle w:val="TableParagraph"/>
              <w:numPr>
                <w:ilvl w:val="0"/>
                <w:numId w:val="134"/>
              </w:numPr>
              <w:tabs>
                <w:tab w:pos="430" w:val="left" w:leader="none"/>
              </w:tabs>
              <w:spacing w:line="418" w:lineRule="exact" w:before="20" w:after="0"/>
              <w:ind w:left="429" w:right="0" w:hanging="323"/>
              <w:jc w:val="both"/>
              <w:rPr>
                <w:rFonts w:ascii="微軟正黑體" w:eastAsia="微軟正黑體" w:hint="eastAsia"/>
                <w:sz w:val="22"/>
              </w:rPr>
            </w:pPr>
            <w:r>
              <w:rPr>
                <w:rFonts w:ascii="微軟正黑體" w:eastAsia="微軟正黑體" w:hint="eastAsia"/>
                <w:color w:val="221F1F"/>
                <w:spacing w:val="27"/>
                <w:sz w:val="22"/>
              </w:rPr>
              <w:t>針對符合結核病</w:t>
            </w:r>
          </w:p>
          <w:p>
            <w:pPr>
              <w:pStyle w:val="TableParagraph"/>
              <w:spacing w:line="386" w:lineRule="exact"/>
              <w:ind w:left="429"/>
              <w:jc w:val="both"/>
              <w:rPr>
                <w:rFonts w:ascii="微軟正黑體" w:eastAsia="微軟正黑體" w:hint="eastAsia"/>
                <w:sz w:val="22"/>
              </w:rPr>
            </w:pPr>
            <w:r>
              <w:rPr>
                <w:rFonts w:ascii="微軟正黑體" w:eastAsia="微軟正黑體" w:hint="eastAsia"/>
                <w:color w:val="221F1F"/>
                <w:sz w:val="22"/>
              </w:rPr>
              <w:t>/ 多 重 抗 藥 性</w:t>
            </w:r>
          </w:p>
          <w:p>
            <w:pPr>
              <w:pStyle w:val="TableParagraph"/>
              <w:spacing w:line="237" w:lineRule="auto" w:before="2"/>
              <w:ind w:left="429" w:right="63"/>
              <w:jc w:val="both"/>
              <w:rPr>
                <w:rFonts w:ascii="微軟正黑體" w:eastAsia="微軟正黑體" w:hint="eastAsia"/>
                <w:sz w:val="22"/>
              </w:rPr>
            </w:pPr>
            <w:r>
              <w:rPr>
                <w:rFonts w:ascii="微軟正黑體" w:eastAsia="微軟正黑體" w:hint="eastAsia"/>
                <w:color w:val="221F1F"/>
                <w:sz w:val="22"/>
              </w:rPr>
              <w:t>結 核之 高 負 擔國 家 境外旅遊/ 居住史等快 速分 子 檢 測 送 驗對象者，應儘速完成送驗作業</w:t>
            </w:r>
          </w:p>
          <w:p>
            <w:pPr>
              <w:pStyle w:val="TableParagraph"/>
              <w:numPr>
                <w:ilvl w:val="0"/>
                <w:numId w:val="134"/>
              </w:numPr>
              <w:tabs>
                <w:tab w:pos="430" w:val="left" w:leader="none"/>
              </w:tabs>
              <w:spacing w:line="232" w:lineRule="auto" w:before="2" w:after="0"/>
              <w:ind w:left="429" w:right="102" w:hanging="322"/>
              <w:jc w:val="both"/>
              <w:rPr>
                <w:rFonts w:ascii="微軟正黑體" w:eastAsia="微軟正黑體" w:hint="eastAsia"/>
                <w:sz w:val="22"/>
              </w:rPr>
            </w:pPr>
            <w:r>
              <w:rPr>
                <w:rFonts w:ascii="微軟正黑體" w:eastAsia="微軟正黑體" w:hint="eastAsia"/>
                <w:color w:val="221F1F"/>
                <w:sz w:val="22"/>
              </w:rPr>
              <w:t>確  保  移   工 留</w:t>
            </w:r>
            <w:r>
              <w:rPr>
                <w:rFonts w:ascii="微軟正黑體" w:eastAsia="微軟正黑體" w:hint="eastAsia"/>
                <w:color w:val="221F1F"/>
                <w:spacing w:val="12"/>
                <w:sz w:val="22"/>
              </w:rPr>
              <w:t>臺 治療規則都治</w:t>
            </w:r>
            <w:r>
              <w:rPr>
                <w:rFonts w:ascii="微軟正黑體" w:eastAsia="微軟正黑體" w:hint="eastAsia"/>
                <w:color w:val="221F1F"/>
                <w:spacing w:val="6"/>
                <w:sz w:val="22"/>
              </w:rPr>
              <w:t>服藥， 並 與 國人 平 等 之權益</w:t>
            </w:r>
          </w:p>
        </w:tc>
        <w:tc>
          <w:tcPr>
            <w:tcW w:w="5665" w:type="dxa"/>
            <w:gridSpan w:val="3"/>
            <w:tcBorders>
              <w:right w:val="single" w:sz="6" w:space="0" w:color="000000"/>
            </w:tcBorders>
          </w:tcPr>
          <w:p>
            <w:pPr>
              <w:pStyle w:val="TableParagraph"/>
              <w:numPr>
                <w:ilvl w:val="0"/>
                <w:numId w:val="135"/>
              </w:numPr>
              <w:tabs>
                <w:tab w:pos="422" w:val="left" w:leader="none"/>
              </w:tabs>
              <w:spacing w:line="237" w:lineRule="auto" w:before="23" w:after="0"/>
              <w:ind w:left="421" w:right="122" w:hanging="284"/>
              <w:jc w:val="left"/>
              <w:rPr>
                <w:rFonts w:ascii="微軟正黑體" w:eastAsia="微軟正黑體" w:hint="eastAsia"/>
                <w:sz w:val="22"/>
              </w:rPr>
            </w:pPr>
            <w:r>
              <w:rPr>
                <w:rFonts w:ascii="微軟正黑體" w:eastAsia="微軟正黑體" w:hint="eastAsia"/>
                <w:color w:val="221F1F"/>
                <w:spacing w:val="-3"/>
                <w:sz w:val="22"/>
              </w:rPr>
              <w:t>應列管追蹤移工正確居留證號碼、護照號碼及確實身分等資訊，掌握個案狀況</w:t>
            </w:r>
          </w:p>
          <w:p>
            <w:pPr>
              <w:pStyle w:val="TableParagraph"/>
              <w:numPr>
                <w:ilvl w:val="0"/>
                <w:numId w:val="135"/>
              </w:numPr>
              <w:tabs>
                <w:tab w:pos="422" w:val="left" w:leader="none"/>
              </w:tabs>
              <w:spacing w:line="409" w:lineRule="exact" w:before="0" w:after="0"/>
              <w:ind w:left="421" w:right="0" w:hanging="284"/>
              <w:jc w:val="left"/>
              <w:rPr>
                <w:rFonts w:ascii="微軟正黑體" w:eastAsia="微軟正黑體" w:hint="eastAsia"/>
                <w:sz w:val="22"/>
              </w:rPr>
            </w:pPr>
            <w:r>
              <w:rPr>
                <w:rFonts w:ascii="微軟正黑體" w:eastAsia="微軟正黑體" w:hint="eastAsia"/>
                <w:color w:val="221F1F"/>
                <w:spacing w:val="-3"/>
                <w:sz w:val="22"/>
              </w:rPr>
              <w:t>未確診個案，積極追查確診結果</w:t>
            </w:r>
          </w:p>
          <w:p>
            <w:pPr>
              <w:pStyle w:val="TableParagraph"/>
              <w:numPr>
                <w:ilvl w:val="0"/>
                <w:numId w:val="135"/>
              </w:numPr>
              <w:tabs>
                <w:tab w:pos="422" w:val="left" w:leader="none"/>
              </w:tabs>
              <w:spacing w:line="390" w:lineRule="exact" w:before="0" w:after="0"/>
              <w:ind w:left="421" w:right="0" w:hanging="284"/>
              <w:jc w:val="left"/>
              <w:rPr>
                <w:rFonts w:ascii="微軟正黑體" w:eastAsia="微軟正黑體" w:hint="eastAsia"/>
                <w:color w:val="221F1F"/>
                <w:sz w:val="22"/>
              </w:rPr>
            </w:pPr>
            <w:r>
              <w:rPr>
                <w:rFonts w:ascii="微軟正黑體" w:eastAsia="微軟正黑體" w:hint="eastAsia"/>
                <w:color w:val="221F1F"/>
                <w:spacing w:val="7"/>
                <w:sz w:val="22"/>
              </w:rPr>
              <w:t>符合結核病</w:t>
            </w:r>
            <w:r>
              <w:rPr>
                <w:rFonts w:ascii="微軟正黑體" w:eastAsia="微軟正黑體" w:hint="eastAsia"/>
                <w:color w:val="221F1F"/>
                <w:spacing w:val="3"/>
                <w:sz w:val="22"/>
              </w:rPr>
              <w:t>/</w:t>
            </w:r>
            <w:r>
              <w:rPr>
                <w:rFonts w:ascii="微軟正黑體" w:eastAsia="微軟正黑體" w:hint="eastAsia"/>
                <w:color w:val="221F1F"/>
                <w:spacing w:val="7"/>
                <w:sz w:val="22"/>
              </w:rPr>
              <w:t>多重抗藥性結核之高負擔國家境外旅遊</w:t>
            </w:r>
          </w:p>
          <w:p>
            <w:pPr>
              <w:pStyle w:val="TableParagraph"/>
              <w:spacing w:line="237" w:lineRule="auto" w:before="1"/>
              <w:ind w:left="421" w:right="114"/>
              <w:rPr>
                <w:rFonts w:ascii="微軟正黑體" w:eastAsia="微軟正黑體" w:hint="eastAsia"/>
                <w:sz w:val="22"/>
              </w:rPr>
            </w:pPr>
            <w:r>
              <w:rPr>
                <w:rFonts w:ascii="微軟正黑體" w:eastAsia="微軟正黑體" w:hint="eastAsia"/>
                <w:color w:val="221F1F"/>
                <w:sz w:val="22"/>
              </w:rPr>
              <w:t>/居住史者，應儘速完成抗藥性快速分子檢測送驗作業</w:t>
            </w:r>
          </w:p>
          <w:p>
            <w:pPr>
              <w:pStyle w:val="TableParagraph"/>
              <w:numPr>
                <w:ilvl w:val="0"/>
                <w:numId w:val="135"/>
              </w:numPr>
              <w:tabs>
                <w:tab w:pos="422" w:val="left" w:leader="none"/>
              </w:tabs>
              <w:spacing w:line="237" w:lineRule="auto" w:before="0" w:after="0"/>
              <w:ind w:left="421" w:right="125" w:hanging="284"/>
              <w:jc w:val="both"/>
              <w:rPr>
                <w:rFonts w:ascii="微軟正黑體" w:eastAsia="微軟正黑體" w:hint="eastAsia"/>
                <w:color w:val="221F1F"/>
                <w:sz w:val="22"/>
              </w:rPr>
            </w:pPr>
            <w:r>
              <w:rPr>
                <w:rFonts w:ascii="微軟正黑體" w:eastAsia="微軟正黑體" w:hint="eastAsia"/>
                <w:color w:val="221F1F"/>
                <w:spacing w:val="-5"/>
                <w:sz w:val="22"/>
              </w:rPr>
              <w:t>移工若失聯，個案管理單位之衛生局應發函通知內政</w:t>
            </w:r>
            <w:r>
              <w:rPr>
                <w:rFonts w:ascii="微軟正黑體" w:eastAsia="微軟正黑體" w:hint="eastAsia"/>
                <w:color w:val="221F1F"/>
                <w:spacing w:val="-4"/>
                <w:sz w:val="22"/>
              </w:rPr>
              <w:t>部移民署各縣市專勤隊服務站，請該服務站於資訊系</w:t>
            </w:r>
            <w:r>
              <w:rPr>
                <w:rFonts w:ascii="微軟正黑體" w:eastAsia="微軟正黑體" w:hint="eastAsia"/>
                <w:color w:val="221F1F"/>
                <w:spacing w:val="-3"/>
                <w:sz w:val="22"/>
              </w:rPr>
              <w:t>統「外僑居留檔」註記該移工「曾為結核病個案，查</w:t>
            </w:r>
            <w:r>
              <w:rPr>
                <w:rFonts w:ascii="微軟正黑體" w:eastAsia="微軟正黑體" w:hint="eastAsia"/>
                <w:color w:val="221F1F"/>
                <w:sz w:val="22"/>
              </w:rPr>
              <w:t>獲時，請通知衛生局」</w:t>
            </w:r>
          </w:p>
          <w:p>
            <w:pPr>
              <w:pStyle w:val="TableParagraph"/>
              <w:numPr>
                <w:ilvl w:val="0"/>
                <w:numId w:val="135"/>
              </w:numPr>
              <w:tabs>
                <w:tab w:pos="422" w:val="left" w:leader="none"/>
              </w:tabs>
              <w:spacing w:line="237" w:lineRule="auto" w:before="0" w:after="0"/>
              <w:ind w:left="421" w:right="121" w:hanging="284"/>
              <w:jc w:val="both"/>
              <w:rPr>
                <w:rFonts w:ascii="微軟正黑體" w:eastAsia="微軟正黑體" w:hint="eastAsia"/>
                <w:color w:val="221F1F"/>
                <w:sz w:val="22"/>
              </w:rPr>
            </w:pPr>
            <w:r>
              <w:rPr>
                <w:rFonts w:ascii="微軟正黑體" w:eastAsia="微軟正黑體" w:hint="eastAsia"/>
                <w:color w:val="221F1F"/>
                <w:spacing w:val="-4"/>
                <w:sz w:val="22"/>
              </w:rPr>
              <w:t>移工個案管理事項請一併參見「移工肺結核個案留臺</w:t>
            </w:r>
            <w:r>
              <w:rPr>
                <w:rFonts w:ascii="微軟正黑體" w:eastAsia="微軟正黑體" w:hint="eastAsia"/>
                <w:color w:val="221F1F"/>
                <w:spacing w:val="1"/>
                <w:sz w:val="22"/>
              </w:rPr>
              <w:t>治療管理作業問答輯」</w:t>
            </w:r>
            <w:r>
              <w:rPr>
                <w:rFonts w:ascii="微軟正黑體" w:eastAsia="微軟正黑體" w:hint="eastAsia"/>
                <w:color w:val="221F1F"/>
                <w:spacing w:val="4"/>
                <w:sz w:val="22"/>
              </w:rPr>
              <w:t>（</w:t>
            </w:r>
            <w:r>
              <w:rPr>
                <w:rFonts w:ascii="微軟正黑體" w:eastAsia="微軟正黑體" w:hint="eastAsia"/>
                <w:color w:val="221F1F"/>
                <w:sz w:val="22"/>
              </w:rPr>
              <w:t>疾管署網站首頁&gt;傳染病介</w:t>
            </w:r>
          </w:p>
          <w:p>
            <w:pPr>
              <w:pStyle w:val="TableParagraph"/>
              <w:spacing w:line="355" w:lineRule="exact"/>
              <w:ind w:left="421"/>
              <w:rPr>
                <w:rFonts w:ascii="微軟正黑體" w:eastAsia="微軟正黑體" w:hint="eastAsia"/>
                <w:sz w:val="22"/>
              </w:rPr>
            </w:pPr>
            <w:r>
              <w:rPr>
                <w:rFonts w:ascii="微軟正黑體" w:eastAsia="微軟正黑體" w:hint="eastAsia"/>
                <w:color w:val="221F1F"/>
                <w:sz w:val="22"/>
              </w:rPr>
              <w:t>紹&gt;第三類法定傳染病&gt;結核病&gt;Q&amp;A）</w:t>
            </w:r>
          </w:p>
        </w:tc>
      </w:tr>
    </w:tbl>
    <w:p>
      <w:pPr>
        <w:pStyle w:val="BodyText"/>
        <w:rPr>
          <w:rFonts w:ascii="Arial"/>
          <w:sz w:val="20"/>
        </w:rPr>
      </w:pPr>
    </w:p>
    <w:p>
      <w:pPr>
        <w:pStyle w:val="BodyText"/>
        <w:spacing w:before="8"/>
        <w:rPr>
          <w:rFonts w:ascii="Arial"/>
          <w:sz w:val="28"/>
        </w:rPr>
      </w:pPr>
    </w:p>
    <w:p>
      <w:pPr>
        <w:spacing w:before="95"/>
        <w:ind w:left="0" w:right="391" w:firstLine="0"/>
        <w:jc w:val="right"/>
        <w:rPr>
          <w:rFonts w:ascii="Arial"/>
          <w:sz w:val="16"/>
        </w:rPr>
      </w:pPr>
      <w:r>
        <w:rPr>
          <w:rFonts w:ascii="Arial"/>
          <w:color w:val="221F1F"/>
          <w:w w:val="100"/>
          <w:sz w:val="16"/>
        </w:rPr>
        <w:t>9</w:t>
      </w:r>
    </w:p>
    <w:p>
      <w:pPr>
        <w:spacing w:after="0"/>
        <w:jc w:val="right"/>
        <w:rPr>
          <w:rFonts w:ascii="Arial"/>
          <w:sz w:val="16"/>
        </w:rPr>
        <w:sectPr>
          <w:pgSz w:w="11910" w:h="16840"/>
          <w:pgMar w:top="1120" w:bottom="280" w:left="980" w:right="2"/>
        </w:sectPr>
      </w:pPr>
    </w:p>
    <w:tbl>
      <w:tblPr>
        <w:tblW w:w="0" w:type="auto"/>
        <w:jc w:val="left"/>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2269"/>
        <w:gridCol w:w="1419"/>
        <w:gridCol w:w="708"/>
        <w:gridCol w:w="3538"/>
      </w:tblGrid>
      <w:tr>
        <w:trPr>
          <w:trHeight w:val="400" w:hRule="atLeast"/>
        </w:trPr>
        <w:tc>
          <w:tcPr>
            <w:tcW w:w="845" w:type="dxa"/>
            <w:vMerge w:val="restart"/>
            <w:shd w:val="clear" w:color="auto" w:fill="E8E8E8"/>
          </w:tcPr>
          <w:p>
            <w:pPr>
              <w:pStyle w:val="TableParagraph"/>
              <w:spacing w:line="398" w:lineRule="exact" w:before="47"/>
              <w:ind w:left="201" w:right="190"/>
              <w:rPr>
                <w:rFonts w:ascii="微軟正黑體" w:eastAsia="微軟正黑體" w:hint="eastAsia"/>
                <w:b/>
                <w:sz w:val="22"/>
              </w:rPr>
            </w:pPr>
            <w:r>
              <w:rPr>
                <w:rFonts w:ascii="微軟正黑體" w:eastAsia="微軟正黑體" w:hint="eastAsia"/>
                <w:b/>
                <w:color w:val="221F1F"/>
                <w:sz w:val="22"/>
              </w:rPr>
              <w:t>工作重點</w:t>
            </w:r>
          </w:p>
        </w:tc>
        <w:tc>
          <w:tcPr>
            <w:tcW w:w="2269" w:type="dxa"/>
            <w:vMerge w:val="restart"/>
            <w:shd w:val="clear" w:color="auto" w:fill="E8E8E8"/>
          </w:tcPr>
          <w:p>
            <w:pPr>
              <w:pStyle w:val="TableParagraph"/>
              <w:spacing w:before="8"/>
              <w:rPr>
                <w:rFonts w:ascii="Arial"/>
                <w:sz w:val="23"/>
              </w:rPr>
            </w:pPr>
          </w:p>
          <w:p>
            <w:pPr>
              <w:pStyle w:val="TableParagraph"/>
              <w:ind w:left="693"/>
              <w:rPr>
                <w:rFonts w:ascii="微軟正黑體" w:eastAsia="微軟正黑體" w:hint="eastAsia"/>
                <w:b/>
                <w:sz w:val="22"/>
              </w:rPr>
            </w:pPr>
            <w:r>
              <w:rPr>
                <w:rFonts w:ascii="微軟正黑體" w:eastAsia="微軟正黑體" w:hint="eastAsia"/>
                <w:b/>
                <w:color w:val="221F1F"/>
                <w:sz w:val="22"/>
              </w:rPr>
              <w:t>外籍人士</w:t>
            </w:r>
          </w:p>
        </w:tc>
        <w:tc>
          <w:tcPr>
            <w:tcW w:w="5665" w:type="dxa"/>
            <w:gridSpan w:val="3"/>
            <w:tcBorders>
              <w:right w:val="single" w:sz="6" w:space="0" w:color="000000"/>
            </w:tcBorders>
            <w:shd w:val="clear" w:color="auto" w:fill="E8E8E8"/>
          </w:tcPr>
          <w:p>
            <w:pPr>
              <w:pStyle w:val="TableParagraph"/>
              <w:spacing w:line="338" w:lineRule="exact" w:before="42"/>
              <w:ind w:left="2591" w:right="2581"/>
              <w:jc w:val="center"/>
              <w:rPr>
                <w:rFonts w:ascii="微軟正黑體" w:eastAsia="微軟正黑體" w:hint="eastAsia"/>
                <w:b/>
                <w:sz w:val="22"/>
              </w:rPr>
            </w:pPr>
            <w:r>
              <w:rPr>
                <w:rFonts w:ascii="微軟正黑體" w:eastAsia="微軟正黑體" w:hint="eastAsia"/>
                <w:b/>
                <w:color w:val="221F1F"/>
                <w:sz w:val="22"/>
              </w:rPr>
              <w:t>移工</w:t>
            </w:r>
          </w:p>
        </w:tc>
      </w:tr>
      <w:tr>
        <w:trPr>
          <w:trHeight w:val="451" w:hRule="atLeast"/>
        </w:trPr>
        <w:tc>
          <w:tcPr>
            <w:tcW w:w="845" w:type="dxa"/>
            <w:vMerge/>
            <w:tcBorders>
              <w:top w:val="nil"/>
            </w:tcBorders>
            <w:shd w:val="clear" w:color="auto" w:fill="E8E8E8"/>
          </w:tcPr>
          <w:p>
            <w:pPr>
              <w:rPr>
                <w:sz w:val="2"/>
                <w:szCs w:val="2"/>
              </w:rPr>
            </w:pPr>
          </w:p>
        </w:tc>
        <w:tc>
          <w:tcPr>
            <w:tcW w:w="2269" w:type="dxa"/>
            <w:vMerge/>
            <w:tcBorders>
              <w:top w:val="nil"/>
            </w:tcBorders>
            <w:shd w:val="clear" w:color="auto" w:fill="E8E8E8"/>
          </w:tcPr>
          <w:p>
            <w:pPr>
              <w:rPr>
                <w:sz w:val="2"/>
                <w:szCs w:val="2"/>
              </w:rPr>
            </w:pPr>
          </w:p>
        </w:tc>
        <w:tc>
          <w:tcPr>
            <w:tcW w:w="1419" w:type="dxa"/>
            <w:shd w:val="clear" w:color="auto" w:fill="E8E8E8"/>
          </w:tcPr>
          <w:p>
            <w:pPr>
              <w:pStyle w:val="TableParagraph"/>
              <w:spacing w:line="362" w:lineRule="exact" w:before="69"/>
              <w:ind w:left="267"/>
              <w:rPr>
                <w:rFonts w:ascii="微軟正黑體" w:eastAsia="微軟正黑體" w:hint="eastAsia"/>
                <w:b/>
                <w:sz w:val="22"/>
              </w:rPr>
            </w:pPr>
            <w:r>
              <w:rPr>
                <w:rFonts w:ascii="微軟正黑體" w:eastAsia="微軟正黑體" w:hint="eastAsia"/>
                <w:b/>
                <w:color w:val="221F1F"/>
                <w:sz w:val="22"/>
              </w:rPr>
              <w:t>健檢時機</w:t>
            </w:r>
          </w:p>
        </w:tc>
        <w:tc>
          <w:tcPr>
            <w:tcW w:w="708" w:type="dxa"/>
            <w:shd w:val="clear" w:color="auto" w:fill="E8E8E8"/>
          </w:tcPr>
          <w:p>
            <w:pPr>
              <w:pStyle w:val="TableParagraph"/>
              <w:spacing w:line="362" w:lineRule="exact" w:before="69"/>
              <w:ind w:left="133"/>
              <w:rPr>
                <w:rFonts w:ascii="微軟正黑體" w:eastAsia="微軟正黑體" w:hint="eastAsia"/>
                <w:b/>
                <w:sz w:val="22"/>
              </w:rPr>
            </w:pPr>
            <w:r>
              <w:rPr>
                <w:rFonts w:ascii="微軟正黑體" w:eastAsia="微軟正黑體" w:hint="eastAsia"/>
                <w:b/>
                <w:color w:val="221F1F"/>
                <w:sz w:val="22"/>
              </w:rPr>
              <w:t>結果</w:t>
            </w:r>
          </w:p>
        </w:tc>
        <w:tc>
          <w:tcPr>
            <w:tcW w:w="3538" w:type="dxa"/>
            <w:tcBorders>
              <w:right w:val="single" w:sz="6" w:space="0" w:color="000000"/>
            </w:tcBorders>
            <w:shd w:val="clear" w:color="auto" w:fill="E8E8E8"/>
          </w:tcPr>
          <w:p>
            <w:pPr>
              <w:pStyle w:val="TableParagraph"/>
              <w:spacing w:line="388" w:lineRule="exact" w:before="42"/>
              <w:ind w:left="1528" w:right="1517"/>
              <w:jc w:val="center"/>
              <w:rPr>
                <w:rFonts w:ascii="微軟正黑體" w:eastAsia="微軟正黑體" w:hint="eastAsia"/>
                <w:b/>
                <w:sz w:val="22"/>
              </w:rPr>
            </w:pPr>
            <w:r>
              <w:rPr>
                <w:rFonts w:ascii="微軟正黑體" w:eastAsia="微軟正黑體" w:hint="eastAsia"/>
                <w:b/>
                <w:color w:val="221F1F"/>
                <w:sz w:val="22"/>
              </w:rPr>
              <w:t>處置</w:t>
            </w:r>
          </w:p>
        </w:tc>
      </w:tr>
      <w:tr>
        <w:trPr>
          <w:trHeight w:val="981" w:hRule="atLeast"/>
        </w:trPr>
        <w:tc>
          <w:tcPr>
            <w:tcW w:w="845" w:type="dxa"/>
          </w:tcPr>
          <w:p>
            <w:pPr>
              <w:pStyle w:val="TableParagraph"/>
              <w:rPr>
                <w:rFonts w:ascii="Times New Roman"/>
                <w:sz w:val="22"/>
              </w:rPr>
            </w:pPr>
          </w:p>
        </w:tc>
        <w:tc>
          <w:tcPr>
            <w:tcW w:w="2269" w:type="dxa"/>
          </w:tcPr>
          <w:p>
            <w:pPr>
              <w:pStyle w:val="TableParagraph"/>
              <w:rPr>
                <w:rFonts w:ascii="Times New Roman"/>
                <w:sz w:val="22"/>
              </w:rPr>
            </w:pPr>
          </w:p>
        </w:tc>
        <w:tc>
          <w:tcPr>
            <w:tcW w:w="5665" w:type="dxa"/>
            <w:gridSpan w:val="3"/>
            <w:tcBorders>
              <w:right w:val="single" w:sz="6" w:space="0" w:color="000000"/>
            </w:tcBorders>
          </w:tcPr>
          <w:p>
            <w:pPr>
              <w:pStyle w:val="TableParagraph"/>
              <w:spacing w:line="220" w:lineRule="auto" w:before="44"/>
              <w:ind w:left="421" w:right="127" w:hanging="284"/>
              <w:rPr>
                <w:rFonts w:ascii="微軟正黑體" w:eastAsia="微軟正黑體" w:hint="eastAsia"/>
                <w:sz w:val="22"/>
              </w:rPr>
            </w:pPr>
            <w:r>
              <w:rPr>
                <w:rFonts w:ascii="微軟正黑體" w:eastAsia="微軟正黑體" w:hint="eastAsia"/>
                <w:color w:val="221F1F"/>
                <w:position w:val="-2"/>
                <w:sz w:val="22"/>
              </w:rPr>
              <w:t>6. </w:t>
            </w:r>
            <w:r>
              <w:rPr>
                <w:rFonts w:ascii="微軟正黑體" w:eastAsia="微軟正黑體" w:hint="eastAsia"/>
                <w:color w:val="221F1F"/>
                <w:sz w:val="22"/>
              </w:rPr>
              <w:t>移工都治期間倘發生勞資爭議問題而有安置需求，請衛生局洽轄內勞工局協處</w:t>
            </w:r>
          </w:p>
        </w:tc>
      </w:tr>
    </w:tbl>
    <w:p>
      <w:pPr>
        <w:pStyle w:val="BodyText"/>
        <w:spacing w:before="3"/>
        <w:rPr>
          <w:rFonts w:ascii="Arial"/>
          <w:sz w:val="16"/>
        </w:rPr>
      </w:pPr>
    </w:p>
    <w:p>
      <w:pPr>
        <w:spacing w:line="403" w:lineRule="exact" w:before="45"/>
        <w:ind w:left="1005" w:right="0" w:firstLine="0"/>
        <w:jc w:val="left"/>
        <w:rPr>
          <w:rFonts w:ascii="微軟正黑體" w:eastAsia="微軟正黑體" w:hint="eastAsia"/>
          <w:sz w:val="22"/>
        </w:rPr>
      </w:pPr>
      <w:r>
        <w:rPr>
          <w:rFonts w:ascii="微軟正黑體" w:eastAsia="微軟正黑體" w:hint="eastAsia"/>
          <w:color w:val="221F1F"/>
          <w:sz w:val="22"/>
        </w:rPr>
        <w:t>備註：</w:t>
      </w:r>
    </w:p>
    <w:p>
      <w:pPr>
        <w:pStyle w:val="ListParagraph"/>
        <w:numPr>
          <w:ilvl w:val="1"/>
          <w:numId w:val="128"/>
        </w:numPr>
        <w:tabs>
          <w:tab w:pos="1486" w:val="left" w:leader="none"/>
        </w:tabs>
        <w:spacing w:line="401" w:lineRule="exact" w:before="0" w:after="0"/>
        <w:ind w:left="1485" w:right="0" w:hanging="340"/>
        <w:jc w:val="left"/>
        <w:rPr>
          <w:rFonts w:ascii="微軟正黑體" w:eastAsia="微軟正黑體" w:hint="eastAsia"/>
          <w:sz w:val="22"/>
        </w:rPr>
      </w:pPr>
      <w:r>
        <w:rPr>
          <w:rFonts w:ascii="微軟正黑體" w:eastAsia="微軟正黑體" w:hint="eastAsia"/>
          <w:color w:val="221F1F"/>
          <w:spacing w:val="-1"/>
          <w:sz w:val="22"/>
        </w:rPr>
        <w:t>有關外籍人士</w:t>
      </w:r>
      <w:r>
        <w:rPr>
          <w:rFonts w:ascii="微軟正黑體" w:eastAsia="微軟正黑體" w:hint="eastAsia"/>
          <w:color w:val="221F1F"/>
          <w:sz w:val="22"/>
        </w:rPr>
        <w:t>/</w:t>
      </w:r>
      <w:r>
        <w:rPr>
          <w:rFonts w:ascii="微軟正黑體" w:eastAsia="微軟正黑體" w:hint="eastAsia"/>
          <w:color w:val="221F1F"/>
          <w:spacing w:val="-11"/>
          <w:sz w:val="22"/>
        </w:rPr>
        <w:t>移工入臺健檢等規範，可另參閱疾管署全球資訊網首頁&gt;國際旅遊與健康</w:t>
      </w:r>
    </w:p>
    <w:p>
      <w:pPr>
        <w:spacing w:line="400" w:lineRule="exact" w:before="0"/>
        <w:ind w:left="1485" w:right="0" w:firstLine="0"/>
        <w:jc w:val="left"/>
        <w:rPr>
          <w:rFonts w:ascii="微軟正黑體" w:eastAsia="微軟正黑體" w:hint="eastAsia"/>
          <w:sz w:val="22"/>
        </w:rPr>
      </w:pPr>
      <w:r>
        <w:rPr>
          <w:rFonts w:ascii="微軟正黑體" w:eastAsia="微軟正黑體" w:hint="eastAsia"/>
          <w:color w:val="221F1F"/>
          <w:sz w:val="22"/>
        </w:rPr>
        <w:t>&gt;外國人健康管理。</w:t>
      </w:r>
    </w:p>
    <w:p>
      <w:pPr>
        <w:pStyle w:val="ListParagraph"/>
        <w:numPr>
          <w:ilvl w:val="1"/>
          <w:numId w:val="128"/>
        </w:numPr>
        <w:tabs>
          <w:tab w:pos="1486" w:val="left" w:leader="none"/>
        </w:tabs>
        <w:spacing w:line="237" w:lineRule="auto" w:before="0" w:after="0"/>
        <w:ind w:left="1485" w:right="1131" w:hanging="339"/>
        <w:jc w:val="left"/>
        <w:rPr>
          <w:rFonts w:ascii="微軟正黑體" w:eastAsia="微軟正黑體" w:hint="eastAsia"/>
          <w:sz w:val="22"/>
        </w:rPr>
      </w:pPr>
      <w:r>
        <w:rPr>
          <w:rFonts w:ascii="微軟正黑體" w:eastAsia="微軟正黑體" w:hint="eastAsia"/>
          <w:color w:val="221F1F"/>
          <w:sz w:val="22"/>
        </w:rPr>
        <w:t>有關外籍人士/移工留臺治療等規範，可另參閱疾管署全球資訊網首頁&gt;傳染病介紹/</w:t>
      </w:r>
      <w:r>
        <w:rPr>
          <w:rFonts w:ascii="微軟正黑體" w:eastAsia="微軟正黑體" w:hint="eastAsia"/>
          <w:color w:val="221F1F"/>
          <w:spacing w:val="-14"/>
          <w:sz w:val="22"/>
        </w:rPr>
        <w:t>第</w:t>
      </w:r>
      <w:r>
        <w:rPr>
          <w:rFonts w:ascii="微軟正黑體" w:eastAsia="微軟正黑體" w:hint="eastAsia"/>
          <w:color w:val="221F1F"/>
          <w:spacing w:val="-1"/>
          <w:sz w:val="22"/>
        </w:rPr>
        <w:t>三類法定傳染病</w:t>
      </w:r>
      <w:r>
        <w:rPr>
          <w:rFonts w:ascii="微軟正黑體" w:eastAsia="微軟正黑體" w:hint="eastAsia"/>
          <w:color w:val="221F1F"/>
          <w:sz w:val="22"/>
        </w:rPr>
        <w:t>/</w:t>
      </w:r>
      <w:r>
        <w:rPr>
          <w:rFonts w:ascii="微軟正黑體" w:eastAsia="微軟正黑體" w:hint="eastAsia"/>
          <w:color w:val="221F1F"/>
          <w:spacing w:val="-2"/>
          <w:sz w:val="22"/>
        </w:rPr>
        <w:t>結核病</w:t>
      </w:r>
      <w:r>
        <w:rPr>
          <w:rFonts w:ascii="微軟正黑體" w:eastAsia="微軟正黑體" w:hint="eastAsia"/>
          <w:color w:val="221F1F"/>
          <w:sz w:val="22"/>
        </w:rPr>
        <w:t>/Q&amp;A。</w:t>
      </w:r>
    </w:p>
    <w:p>
      <w:pPr>
        <w:pStyle w:val="ListParagraph"/>
        <w:numPr>
          <w:ilvl w:val="1"/>
          <w:numId w:val="128"/>
        </w:numPr>
        <w:tabs>
          <w:tab w:pos="1486" w:val="left" w:leader="none"/>
        </w:tabs>
        <w:spacing w:line="235" w:lineRule="auto" w:before="4" w:after="0"/>
        <w:ind w:left="1485" w:right="1129" w:hanging="339"/>
        <w:jc w:val="left"/>
        <w:rPr>
          <w:rFonts w:ascii="微軟正黑體" w:eastAsia="微軟正黑體" w:hint="eastAsia"/>
          <w:sz w:val="22"/>
        </w:rPr>
      </w:pPr>
      <w:r>
        <w:rPr>
          <w:rFonts w:ascii="微軟正黑體" w:eastAsia="微軟正黑體" w:hint="eastAsia"/>
          <w:color w:val="221F1F"/>
          <w:sz w:val="22"/>
        </w:rPr>
        <w:t>疾管署各區管制中心不定期進行國內移工健檢指定醫院胸部 X</w:t>
      </w:r>
      <w:r>
        <w:rPr>
          <w:rFonts w:ascii="微軟正黑體" w:eastAsia="微軟正黑體" w:hint="eastAsia"/>
          <w:color w:val="221F1F"/>
          <w:spacing w:val="-2"/>
          <w:sz w:val="22"/>
        </w:rPr>
        <w:t> 光檢查及標準作業程序</w:t>
      </w:r>
      <w:r>
        <w:rPr>
          <w:rFonts w:ascii="微軟正黑體" w:eastAsia="微軟正黑體" w:hint="eastAsia"/>
          <w:color w:val="221F1F"/>
          <w:spacing w:val="-3"/>
          <w:sz w:val="22"/>
        </w:rPr>
        <w:t>查核，以確保外國人健康檢查品質。</w:t>
      </w:r>
    </w:p>
    <w:p>
      <w:pPr>
        <w:pStyle w:val="BodyText"/>
        <w:spacing w:before="15"/>
        <w:rPr>
          <w:rFonts w:ascii="微軟正黑體"/>
          <w:sz w:val="21"/>
        </w:rPr>
      </w:pPr>
    </w:p>
    <w:p>
      <w:pPr>
        <w:spacing w:before="0"/>
        <w:ind w:left="1005" w:right="0" w:firstLine="0"/>
        <w:jc w:val="left"/>
        <w:rPr>
          <w:rFonts w:ascii="微軟正黑體" w:eastAsia="微軟正黑體" w:hint="eastAsia"/>
          <w:b/>
          <w:sz w:val="22"/>
        </w:rPr>
      </w:pPr>
      <w:r>
        <w:rPr>
          <w:rFonts w:ascii="微軟正黑體" w:eastAsia="微軟正黑體" w:hint="eastAsia"/>
          <w:b/>
          <w:color w:val="221F1F"/>
          <w:sz w:val="22"/>
        </w:rPr>
        <w:t>指定醫院健康檢查項目不合格之認定及處理原則</w:t>
      </w:r>
    </w:p>
    <w:p>
      <w:pPr>
        <w:pStyle w:val="BodyText"/>
        <w:spacing w:before="5" w:after="1"/>
        <w:rPr>
          <w:rFonts w:ascii="微軟正黑體"/>
          <w:b/>
          <w:sz w:val="6"/>
        </w:rPr>
      </w:pPr>
    </w:p>
    <w:tbl>
      <w:tblPr>
        <w:tblW w:w="0" w:type="auto"/>
        <w:jc w:val="left"/>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5948"/>
      </w:tblGrid>
      <w:tr>
        <w:trPr>
          <w:trHeight w:val="566" w:hRule="atLeast"/>
        </w:trPr>
        <w:tc>
          <w:tcPr>
            <w:tcW w:w="2830" w:type="dxa"/>
            <w:shd w:val="clear" w:color="auto" w:fill="E8E8E8"/>
          </w:tcPr>
          <w:p>
            <w:pPr>
              <w:pStyle w:val="TableParagraph"/>
              <w:spacing w:before="129"/>
              <w:ind w:left="955" w:right="944"/>
              <w:jc w:val="center"/>
              <w:rPr>
                <w:rFonts w:ascii="微軟正黑體" w:eastAsia="微軟正黑體" w:hint="eastAsia"/>
                <w:b/>
                <w:sz w:val="22"/>
              </w:rPr>
            </w:pPr>
            <w:r>
              <w:rPr>
                <w:rFonts w:ascii="微軟正黑體" w:eastAsia="微軟正黑體" w:hint="eastAsia"/>
                <w:b/>
                <w:color w:val="221F1F"/>
                <w:sz w:val="22"/>
              </w:rPr>
              <w:t>檢查項目</w:t>
            </w:r>
          </w:p>
        </w:tc>
        <w:tc>
          <w:tcPr>
            <w:tcW w:w="5948" w:type="dxa"/>
            <w:tcBorders>
              <w:right w:val="single" w:sz="6" w:space="0" w:color="000000"/>
            </w:tcBorders>
            <w:shd w:val="clear" w:color="auto" w:fill="E8E8E8"/>
          </w:tcPr>
          <w:p>
            <w:pPr>
              <w:pStyle w:val="TableParagraph"/>
              <w:spacing w:before="105"/>
              <w:ind w:left="1764"/>
              <w:rPr>
                <w:rFonts w:ascii="微軟正黑體" w:eastAsia="微軟正黑體" w:hint="eastAsia"/>
                <w:b/>
                <w:sz w:val="22"/>
              </w:rPr>
            </w:pPr>
            <w:r>
              <w:rPr>
                <w:rFonts w:ascii="微軟正黑體" w:eastAsia="微軟正黑體" w:hint="eastAsia"/>
                <w:b/>
                <w:color w:val="221F1F"/>
                <w:sz w:val="22"/>
              </w:rPr>
              <w:t>不合格之認定及處理原則</w:t>
            </w:r>
          </w:p>
        </w:tc>
      </w:tr>
      <w:tr>
        <w:trPr>
          <w:trHeight w:val="5782" w:hRule="atLeast"/>
        </w:trPr>
        <w:tc>
          <w:tcPr>
            <w:tcW w:w="2830" w:type="dxa"/>
          </w:tcPr>
          <w:p>
            <w:pPr>
              <w:pStyle w:val="TableParagraph"/>
              <w:spacing w:before="208"/>
              <w:ind w:left="107"/>
              <w:rPr>
                <w:rFonts w:ascii="微軟正黑體" w:eastAsia="微軟正黑體" w:hint="eastAsia"/>
                <w:sz w:val="22"/>
              </w:rPr>
            </w:pPr>
            <w:r>
              <w:rPr>
                <w:rFonts w:ascii="微軟正黑體" w:eastAsia="微軟正黑體" w:hint="eastAsia"/>
                <w:color w:val="221F1F"/>
                <w:sz w:val="22"/>
              </w:rPr>
              <w:t>胸部 X 光肺結核檢查</w:t>
            </w:r>
          </w:p>
        </w:tc>
        <w:tc>
          <w:tcPr>
            <w:tcW w:w="5948" w:type="dxa"/>
            <w:tcBorders>
              <w:right w:val="single" w:sz="6" w:space="0" w:color="000000"/>
            </w:tcBorders>
          </w:tcPr>
          <w:p>
            <w:pPr>
              <w:pStyle w:val="TableParagraph"/>
              <w:spacing w:line="413" w:lineRule="exact" w:before="28"/>
              <w:ind w:left="107"/>
              <w:jc w:val="both"/>
              <w:rPr>
                <w:rFonts w:ascii="微軟正黑體" w:eastAsia="微軟正黑體" w:hint="eastAsia"/>
                <w:sz w:val="22"/>
              </w:rPr>
            </w:pPr>
            <w:r>
              <w:rPr>
                <w:rFonts w:ascii="微軟正黑體" w:eastAsia="微軟正黑體" w:hint="eastAsia"/>
                <w:position w:val="2"/>
                <w:sz w:val="22"/>
              </w:rPr>
              <w:t>一、 </w:t>
            </w:r>
            <w:r>
              <w:rPr>
                <w:rFonts w:ascii="微軟正黑體" w:eastAsia="微軟正黑體" w:hint="eastAsia"/>
                <w:color w:val="221F1F"/>
                <w:sz w:val="22"/>
              </w:rPr>
              <w:t>肺結核或結核性肋膜炎視為「不合格」。</w:t>
            </w:r>
          </w:p>
          <w:p>
            <w:pPr>
              <w:pStyle w:val="TableParagraph"/>
              <w:spacing w:line="237" w:lineRule="auto"/>
              <w:ind w:left="590" w:right="125" w:hanging="483"/>
              <w:jc w:val="both"/>
              <w:rPr>
                <w:rFonts w:ascii="微軟正黑體" w:eastAsia="微軟正黑體" w:hint="eastAsia"/>
                <w:sz w:val="22"/>
              </w:rPr>
            </w:pPr>
            <w:r>
              <w:rPr>
                <w:rFonts w:ascii="微軟正黑體" w:eastAsia="微軟正黑體" w:hint="eastAsia"/>
                <w:sz w:val="22"/>
              </w:rPr>
              <w:t>二、 </w:t>
            </w:r>
            <w:r>
              <w:rPr>
                <w:rFonts w:ascii="微軟正黑體" w:eastAsia="微軟正黑體" w:hint="eastAsia"/>
                <w:color w:val="221F1F"/>
                <w:sz w:val="22"/>
              </w:rPr>
              <w:t>如胸部 X 光顯示為纖維鈣化、或系列胸部 X 光病灶呈現穩定無變化且痰液未檢出結核菌， 診斷為纖維化（鈣化）病灶及肋膜增厚者，視為「合格」。</w:t>
            </w:r>
          </w:p>
          <w:p>
            <w:pPr>
              <w:pStyle w:val="TableParagraph"/>
              <w:spacing w:line="237" w:lineRule="auto"/>
              <w:ind w:left="590" w:right="50" w:hanging="483"/>
              <w:jc w:val="both"/>
              <w:rPr>
                <w:rFonts w:ascii="微軟正黑體" w:eastAsia="微軟正黑體" w:hint="eastAsia"/>
                <w:sz w:val="22"/>
              </w:rPr>
            </w:pPr>
            <w:r>
              <w:rPr>
                <w:rFonts w:ascii="微軟正黑體" w:eastAsia="微軟正黑體" w:hint="eastAsia"/>
                <w:color w:val="221F1F"/>
                <w:sz w:val="22"/>
              </w:rPr>
              <w:t>三、 如經診斷為「疑似肺結核」或「無法確認診斷」時， </w:t>
            </w:r>
            <w:r>
              <w:rPr>
                <w:rFonts w:ascii="微軟正黑體" w:eastAsia="微軟正黑體" w:hint="eastAsia"/>
                <w:color w:val="221F1F"/>
                <w:spacing w:val="3"/>
                <w:sz w:val="22"/>
              </w:rPr>
              <w:t>由指定醫院通知雇主，自收受健康檢查證明之次日起15</w:t>
            </w:r>
            <w:r>
              <w:rPr>
                <w:rFonts w:ascii="微軟正黑體" w:eastAsia="微軟正黑體" w:hint="eastAsia"/>
                <w:color w:val="221F1F"/>
                <w:spacing w:val="5"/>
                <w:sz w:val="22"/>
              </w:rPr>
              <w:t> 日內，偕同受聘僱外國人攜帶健康檢查證明及胸</w:t>
            </w:r>
            <w:r>
              <w:rPr>
                <w:rFonts w:ascii="微軟正黑體" w:eastAsia="微軟正黑體" w:hint="eastAsia"/>
                <w:color w:val="221F1F"/>
                <w:sz w:val="22"/>
              </w:rPr>
              <w:t>部 X</w:t>
            </w:r>
            <w:r>
              <w:rPr>
                <w:rFonts w:ascii="微軟正黑體" w:eastAsia="微軟正黑體" w:hint="eastAsia"/>
                <w:color w:val="221F1F"/>
                <w:spacing w:val="6"/>
                <w:sz w:val="22"/>
              </w:rPr>
              <w:t> 光片至指定機構再檢查。</w:t>
            </w:r>
          </w:p>
          <w:p>
            <w:pPr>
              <w:pStyle w:val="TableParagraph"/>
              <w:spacing w:line="237" w:lineRule="auto"/>
              <w:ind w:left="590" w:right="50" w:hanging="483"/>
              <w:jc w:val="both"/>
              <w:rPr>
                <w:rFonts w:ascii="微軟正黑體" w:eastAsia="微軟正黑體" w:hint="eastAsia"/>
                <w:sz w:val="22"/>
              </w:rPr>
            </w:pPr>
            <w:r>
              <w:rPr>
                <w:rFonts w:ascii="微軟正黑體" w:eastAsia="微軟正黑體" w:hint="eastAsia"/>
                <w:color w:val="221F1F"/>
                <w:sz w:val="22"/>
              </w:rPr>
              <w:t>四、 妊娠孕婦得至指定機構進行 3 套痰塗片檢查，取代胸部 X 光肺結核檢查。3 套痰塗片檢查結果任一為陽性者（但同套檢體核酸增幅檢驗（NAA）陰性者， 不在此限），視為「不合格」。</w:t>
            </w:r>
          </w:p>
          <w:p>
            <w:pPr>
              <w:pStyle w:val="TableParagraph"/>
              <w:spacing w:line="220" w:lineRule="auto" w:before="4"/>
              <w:ind w:left="590" w:right="115" w:hanging="483"/>
              <w:jc w:val="both"/>
              <w:rPr>
                <w:rFonts w:ascii="微軟正黑體" w:eastAsia="微軟正黑體" w:hint="eastAsia"/>
                <w:sz w:val="22"/>
              </w:rPr>
            </w:pPr>
            <w:r>
              <w:rPr>
                <w:rFonts w:ascii="微軟正黑體" w:eastAsia="微軟正黑體" w:hint="eastAsia"/>
                <w:color w:val="221F1F"/>
                <w:position w:val="-2"/>
                <w:sz w:val="22"/>
              </w:rPr>
              <w:t>五、 </w:t>
            </w:r>
            <w:r>
              <w:rPr>
                <w:rFonts w:ascii="微軟正黑體" w:eastAsia="微軟正黑體" w:hint="eastAsia"/>
                <w:color w:val="221F1F"/>
                <w:sz w:val="22"/>
              </w:rPr>
              <w:t>胸部 X 光肺結核檢查不合格個案（多重抗藥性個案除外），得依本辦法第九條規定辦理。</w:t>
            </w:r>
          </w:p>
        </w:tc>
      </w:tr>
    </w:tbl>
    <w:p>
      <w:pPr>
        <w:pStyle w:val="BodyText"/>
        <w:rPr>
          <w:rFonts w:ascii="微軟正黑體"/>
          <w:b/>
          <w:sz w:val="28"/>
        </w:rPr>
      </w:pPr>
    </w:p>
    <w:p>
      <w:pPr>
        <w:pStyle w:val="BodyText"/>
        <w:rPr>
          <w:rFonts w:ascii="微軟正黑體"/>
          <w:b/>
          <w:sz w:val="28"/>
        </w:rPr>
      </w:pPr>
    </w:p>
    <w:p>
      <w:pPr>
        <w:pStyle w:val="BodyText"/>
        <w:rPr>
          <w:rFonts w:ascii="微軟正黑體"/>
          <w:b/>
          <w:sz w:val="28"/>
        </w:rPr>
      </w:pPr>
    </w:p>
    <w:p>
      <w:pPr>
        <w:pStyle w:val="BodyText"/>
        <w:rPr>
          <w:rFonts w:ascii="微軟正黑體"/>
          <w:b/>
          <w:sz w:val="28"/>
        </w:rPr>
      </w:pPr>
    </w:p>
    <w:p>
      <w:pPr>
        <w:pStyle w:val="BodyText"/>
        <w:rPr>
          <w:rFonts w:ascii="微軟正黑體"/>
          <w:b/>
          <w:sz w:val="28"/>
        </w:rPr>
      </w:pPr>
    </w:p>
    <w:p>
      <w:pPr>
        <w:pStyle w:val="BodyText"/>
        <w:rPr>
          <w:rFonts w:ascii="微軟正黑體"/>
          <w:b/>
          <w:sz w:val="19"/>
        </w:rPr>
      </w:pPr>
    </w:p>
    <w:p>
      <w:pPr>
        <w:spacing w:before="1"/>
        <w:ind w:left="0" w:right="303" w:firstLine="0"/>
        <w:jc w:val="right"/>
        <w:rPr>
          <w:rFonts w:ascii="Arial"/>
          <w:sz w:val="16"/>
        </w:rPr>
      </w:pPr>
      <w:r>
        <w:rPr>
          <w:rFonts w:ascii="Arial"/>
          <w:color w:val="221F1F"/>
          <w:sz w:val="16"/>
        </w:rPr>
        <w:t>10</w:t>
      </w:r>
    </w:p>
    <w:p>
      <w:pPr>
        <w:spacing w:after="0"/>
        <w:jc w:val="right"/>
        <w:rPr>
          <w:rFonts w:ascii="Arial"/>
          <w:sz w:val="16"/>
        </w:rPr>
        <w:sectPr>
          <w:pgSz w:w="11910" w:h="16840"/>
          <w:pgMar w:top="1120" w:bottom="280" w:left="980" w:right="2"/>
        </w:sectPr>
      </w:pPr>
    </w:p>
    <w:p>
      <w:pPr>
        <w:pStyle w:val="Heading2"/>
        <w:spacing w:line="435" w:lineRule="exact" w:before="28"/>
      </w:pPr>
      <w:r>
        <w:rPr>
          <w:color w:val="221F1F"/>
        </w:rPr>
        <w:t>參、 特殊場域人員：</w:t>
      </w:r>
    </w:p>
    <w:p>
      <w:pPr>
        <w:spacing w:line="235" w:lineRule="auto" w:before="0"/>
        <w:ind w:left="916" w:right="1130" w:hanging="480"/>
        <w:jc w:val="left"/>
        <w:rPr>
          <w:rFonts w:ascii="微軟正黑體" w:eastAsia="微軟正黑體" w:hint="eastAsia"/>
          <w:sz w:val="22"/>
        </w:rPr>
      </w:pPr>
      <w:r>
        <w:rPr/>
        <w:pict>
          <v:shape style="position:absolute;margin-left:94.823997pt;margin-top:36.65826pt;width:444.15pt;height:659.5pt;mso-position-horizontal-relative:page;mso-position-vertical-relative:paragraph;z-index:251799552"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8"/>
                    <w:gridCol w:w="3754"/>
                    <w:gridCol w:w="3754"/>
                  </w:tblGrid>
                  <w:tr>
                    <w:trPr>
                      <w:trHeight w:val="568" w:hRule="atLeast"/>
                    </w:trPr>
                    <w:tc>
                      <w:tcPr>
                        <w:tcW w:w="1358" w:type="dxa"/>
                        <w:shd w:val="clear" w:color="auto" w:fill="E8E8E8"/>
                      </w:tcPr>
                      <w:p>
                        <w:pPr>
                          <w:pStyle w:val="TableParagraph"/>
                          <w:spacing w:before="132"/>
                          <w:ind w:left="110"/>
                          <w:rPr>
                            <w:rFonts w:ascii="微軟正黑體" w:eastAsia="微軟正黑體" w:hint="eastAsia"/>
                            <w:b/>
                            <w:sz w:val="22"/>
                          </w:rPr>
                        </w:pPr>
                        <w:r>
                          <w:rPr>
                            <w:rFonts w:ascii="微軟正黑體" w:eastAsia="微軟正黑體" w:hint="eastAsia"/>
                            <w:b/>
                            <w:color w:val="221F1F"/>
                            <w:sz w:val="22"/>
                          </w:rPr>
                          <w:t>時程</w:t>
                        </w:r>
                      </w:p>
                    </w:tc>
                    <w:tc>
                      <w:tcPr>
                        <w:tcW w:w="3754" w:type="dxa"/>
                        <w:shd w:val="clear" w:color="auto" w:fill="E8E8E8"/>
                      </w:tcPr>
                      <w:p>
                        <w:pPr>
                          <w:pStyle w:val="TableParagraph"/>
                          <w:spacing w:before="132"/>
                          <w:ind w:left="110"/>
                          <w:rPr>
                            <w:rFonts w:ascii="微軟正黑體" w:eastAsia="微軟正黑體" w:hint="eastAsia"/>
                            <w:b/>
                            <w:sz w:val="22"/>
                          </w:rPr>
                        </w:pPr>
                        <w:r>
                          <w:rPr>
                            <w:rFonts w:ascii="微軟正黑體" w:eastAsia="微軟正黑體" w:hint="eastAsia"/>
                            <w:b/>
                            <w:color w:val="221F1F"/>
                            <w:sz w:val="22"/>
                          </w:rPr>
                          <w:t>矯正/收容機關</w:t>
                        </w:r>
                      </w:p>
                    </w:tc>
                    <w:tc>
                      <w:tcPr>
                        <w:tcW w:w="3754" w:type="dxa"/>
                        <w:tcBorders>
                          <w:right w:val="single" w:sz="6" w:space="0" w:color="000000"/>
                        </w:tcBorders>
                        <w:shd w:val="clear" w:color="auto" w:fill="E8E8E8"/>
                      </w:tcPr>
                      <w:p>
                        <w:pPr>
                          <w:pStyle w:val="TableParagraph"/>
                          <w:spacing w:before="108"/>
                          <w:ind w:left="108"/>
                          <w:rPr>
                            <w:rFonts w:ascii="微軟正黑體" w:eastAsia="微軟正黑體" w:hint="eastAsia"/>
                            <w:b/>
                            <w:sz w:val="22"/>
                          </w:rPr>
                        </w:pPr>
                        <w:r>
                          <w:rPr>
                            <w:rFonts w:ascii="微軟正黑體" w:eastAsia="微軟正黑體" w:hint="eastAsia"/>
                            <w:b/>
                            <w:color w:val="221F1F"/>
                            <w:sz w:val="22"/>
                          </w:rPr>
                          <w:t>衛生單位</w:t>
                        </w:r>
                      </w:p>
                    </w:tc>
                  </w:tr>
                  <w:tr>
                    <w:trPr>
                      <w:trHeight w:val="8179" w:hRule="atLeast"/>
                    </w:trPr>
                    <w:tc>
                      <w:tcPr>
                        <w:tcW w:w="1358" w:type="dxa"/>
                      </w:tcPr>
                      <w:p>
                        <w:pPr>
                          <w:pStyle w:val="TableParagraph"/>
                          <w:spacing w:before="208"/>
                          <w:ind w:left="110"/>
                          <w:rPr>
                            <w:rFonts w:ascii="微軟正黑體" w:eastAsia="微軟正黑體" w:hint="eastAsia"/>
                            <w:sz w:val="22"/>
                          </w:rPr>
                        </w:pPr>
                        <w:r>
                          <w:rPr>
                            <w:rFonts w:ascii="微軟正黑體" w:eastAsia="微軟正黑體" w:hint="eastAsia"/>
                            <w:color w:val="221F1F"/>
                            <w:sz w:val="22"/>
                          </w:rPr>
                          <w:t>平時作為</w:t>
                        </w:r>
                      </w:p>
                    </w:tc>
                    <w:tc>
                      <w:tcPr>
                        <w:tcW w:w="3754" w:type="dxa"/>
                      </w:tcPr>
                      <w:p>
                        <w:pPr>
                          <w:pStyle w:val="TableParagraph"/>
                          <w:spacing w:line="401" w:lineRule="exact" w:before="60"/>
                          <w:ind w:left="110"/>
                          <w:jc w:val="both"/>
                          <w:rPr>
                            <w:rFonts w:ascii="微軟正黑體" w:eastAsia="微軟正黑體" w:hint="eastAsia"/>
                            <w:sz w:val="22"/>
                          </w:rPr>
                        </w:pPr>
                        <w:r>
                          <w:rPr>
                            <w:rFonts w:ascii="微軟正黑體" w:eastAsia="微軟正黑體" w:hint="eastAsia"/>
                            <w:color w:val="221F1F"/>
                            <w:sz w:val="22"/>
                          </w:rPr>
                          <w:t>1. 新入監/所人員建議處理作為：</w:t>
                        </w:r>
                      </w:p>
                      <w:p>
                        <w:pPr>
                          <w:pStyle w:val="TableParagraph"/>
                          <w:numPr>
                            <w:ilvl w:val="0"/>
                            <w:numId w:val="136"/>
                          </w:numPr>
                          <w:tabs>
                            <w:tab w:pos="395" w:val="left" w:leader="none"/>
                          </w:tabs>
                          <w:spacing w:line="237" w:lineRule="auto" w:before="0" w:after="0"/>
                          <w:ind w:left="427" w:right="94" w:hanging="318"/>
                          <w:jc w:val="both"/>
                          <w:rPr>
                            <w:rFonts w:ascii="微軟正黑體" w:eastAsia="微軟正黑體" w:hint="eastAsia"/>
                            <w:sz w:val="22"/>
                          </w:rPr>
                        </w:pPr>
                        <w:r>
                          <w:rPr>
                            <w:rFonts w:ascii="微軟正黑體" w:eastAsia="微軟正黑體" w:hint="eastAsia"/>
                            <w:color w:val="221F1F"/>
                            <w:spacing w:val="10"/>
                            <w:sz w:val="22"/>
                          </w:rPr>
                          <w:t>參照「結核病簡易篩檢問卷評估表」（</w:t>
                        </w:r>
                        <w:r>
                          <w:rPr>
                            <w:rFonts w:ascii="微軟正黑體" w:eastAsia="微軟正黑體" w:hint="eastAsia"/>
                            <w:color w:val="221F1F"/>
                            <w:spacing w:val="-1"/>
                            <w:sz w:val="22"/>
                          </w:rPr>
                          <w:t>附件 </w:t>
                        </w:r>
                        <w:r>
                          <w:rPr>
                            <w:rFonts w:ascii="微軟正黑體" w:eastAsia="微軟正黑體" w:hint="eastAsia"/>
                            <w:color w:val="221F1F"/>
                            <w:sz w:val="22"/>
                          </w:rPr>
                          <w:t>7-8）</w:t>
                        </w:r>
                        <w:r>
                          <w:rPr>
                            <w:rFonts w:ascii="微軟正黑體" w:eastAsia="微軟正黑體" w:hint="eastAsia"/>
                            <w:color w:val="221F1F"/>
                            <w:spacing w:val="-1"/>
                            <w:sz w:val="22"/>
                          </w:rPr>
                          <w:t>進行入監評估</w:t>
                        </w:r>
                      </w:p>
                      <w:p>
                        <w:pPr>
                          <w:pStyle w:val="TableParagraph"/>
                          <w:numPr>
                            <w:ilvl w:val="0"/>
                            <w:numId w:val="136"/>
                          </w:numPr>
                          <w:tabs>
                            <w:tab w:pos="383" w:val="left" w:leader="none"/>
                          </w:tabs>
                          <w:spacing w:line="237" w:lineRule="auto" w:before="0" w:after="0"/>
                          <w:ind w:left="427" w:right="93" w:hanging="318"/>
                          <w:jc w:val="both"/>
                          <w:rPr>
                            <w:rFonts w:ascii="微軟正黑體" w:eastAsia="微軟正黑體" w:hint="eastAsia"/>
                            <w:sz w:val="22"/>
                          </w:rPr>
                        </w:pPr>
                        <w:r>
                          <w:rPr>
                            <w:rFonts w:ascii="微軟正黑體" w:eastAsia="微軟正黑體" w:hint="eastAsia"/>
                            <w:color w:val="221F1F"/>
                            <w:spacing w:val="-8"/>
                            <w:sz w:val="22"/>
                          </w:rPr>
                          <w:t>視收容人流動性而定，每個月一次</w:t>
                        </w:r>
                        <w:r>
                          <w:rPr>
                            <w:rFonts w:ascii="微軟正黑體" w:eastAsia="微軟正黑體" w:hint="eastAsia"/>
                            <w:color w:val="221F1F"/>
                            <w:spacing w:val="-2"/>
                            <w:sz w:val="22"/>
                          </w:rPr>
                          <w:t>安排新進收容人胸部 </w:t>
                        </w:r>
                        <w:r>
                          <w:rPr>
                            <w:rFonts w:ascii="微軟正黑體" w:eastAsia="微軟正黑體" w:hint="eastAsia"/>
                            <w:color w:val="221F1F"/>
                            <w:sz w:val="22"/>
                          </w:rPr>
                          <w:t>X</w:t>
                        </w:r>
                        <w:r>
                          <w:rPr>
                            <w:rFonts w:ascii="微軟正黑體" w:eastAsia="微軟正黑體" w:hint="eastAsia"/>
                            <w:color w:val="221F1F"/>
                            <w:spacing w:val="-1"/>
                            <w:sz w:val="22"/>
                          </w:rPr>
                          <w:t> 光篩檢</w:t>
                        </w:r>
                        <w:r>
                          <w:rPr>
                            <w:rFonts w:ascii="微軟正黑體" w:eastAsia="微軟正黑體" w:hint="eastAsia"/>
                            <w:color w:val="221F1F"/>
                            <w:sz w:val="22"/>
                          </w:rPr>
                          <w:t>*</w:t>
                        </w:r>
                      </w:p>
                      <w:p>
                        <w:pPr>
                          <w:pStyle w:val="TableParagraph"/>
                          <w:numPr>
                            <w:ilvl w:val="0"/>
                            <w:numId w:val="137"/>
                          </w:numPr>
                          <w:tabs>
                            <w:tab w:pos="428" w:val="left" w:leader="none"/>
                          </w:tabs>
                          <w:spacing w:line="237" w:lineRule="auto" w:before="0" w:after="0"/>
                          <w:ind w:left="427" w:right="84" w:hanging="318"/>
                          <w:jc w:val="both"/>
                          <w:rPr>
                            <w:rFonts w:ascii="微軟正黑體" w:eastAsia="微軟正黑體" w:hint="eastAsia"/>
                            <w:sz w:val="22"/>
                          </w:rPr>
                        </w:pPr>
                        <w:r>
                          <w:rPr>
                            <w:rFonts w:ascii="微軟正黑體" w:eastAsia="微軟正黑體" w:hint="eastAsia"/>
                            <w:color w:val="221F1F"/>
                            <w:spacing w:val="9"/>
                            <w:sz w:val="22"/>
                          </w:rPr>
                          <w:t>每年一次全部收容人之例行性胸</w:t>
                        </w:r>
                        <w:r>
                          <w:rPr>
                            <w:rFonts w:ascii="微軟正黑體" w:eastAsia="微軟正黑體" w:hint="eastAsia"/>
                            <w:color w:val="221F1F"/>
                            <w:sz w:val="22"/>
                          </w:rPr>
                          <w:t>部 X</w:t>
                        </w:r>
                        <w:r>
                          <w:rPr>
                            <w:rFonts w:ascii="微軟正黑體" w:eastAsia="微軟正黑體" w:hint="eastAsia"/>
                            <w:color w:val="221F1F"/>
                            <w:spacing w:val="-1"/>
                            <w:sz w:val="22"/>
                          </w:rPr>
                          <w:t> 光篩檢</w:t>
                        </w:r>
                        <w:r>
                          <w:rPr>
                            <w:rFonts w:ascii="微軟正黑體" w:eastAsia="微軟正黑體" w:hint="eastAsia"/>
                            <w:color w:val="221F1F"/>
                            <w:sz w:val="22"/>
                          </w:rPr>
                          <w:t>*</w:t>
                        </w:r>
                      </w:p>
                      <w:p>
                        <w:pPr>
                          <w:pStyle w:val="TableParagraph"/>
                          <w:numPr>
                            <w:ilvl w:val="0"/>
                            <w:numId w:val="137"/>
                          </w:numPr>
                          <w:tabs>
                            <w:tab w:pos="428" w:val="left" w:leader="none"/>
                          </w:tabs>
                          <w:spacing w:line="237" w:lineRule="auto" w:before="0" w:after="0"/>
                          <w:ind w:left="427" w:right="35" w:hanging="318"/>
                          <w:jc w:val="both"/>
                          <w:rPr>
                            <w:rFonts w:ascii="微軟正黑體" w:eastAsia="微軟正黑體" w:hint="eastAsia"/>
                            <w:sz w:val="22"/>
                          </w:rPr>
                        </w:pPr>
                        <w:r>
                          <w:rPr>
                            <w:rFonts w:ascii="微軟正黑體" w:eastAsia="微軟正黑體" w:hint="eastAsia"/>
                            <w:color w:val="221F1F"/>
                            <w:spacing w:val="-2"/>
                            <w:sz w:val="22"/>
                          </w:rPr>
                          <w:t>將每月體檢之胸部 </w:t>
                        </w:r>
                        <w:r>
                          <w:rPr>
                            <w:rFonts w:ascii="微軟正黑體" w:eastAsia="微軟正黑體" w:hint="eastAsia"/>
                            <w:color w:val="221F1F"/>
                            <w:sz w:val="22"/>
                          </w:rPr>
                          <w:t>X</w:t>
                        </w:r>
                        <w:r>
                          <w:rPr>
                            <w:rFonts w:ascii="微軟正黑體" w:eastAsia="微軟正黑體" w:hint="eastAsia"/>
                            <w:color w:val="221F1F"/>
                            <w:spacing w:val="-11"/>
                            <w:sz w:val="22"/>
                          </w:rPr>
                          <w:t> 光檢查結果， </w:t>
                        </w:r>
                        <w:r>
                          <w:rPr>
                            <w:rFonts w:ascii="微軟正黑體" w:eastAsia="微軟正黑體" w:hint="eastAsia"/>
                            <w:color w:val="221F1F"/>
                            <w:spacing w:val="-2"/>
                            <w:sz w:val="22"/>
                          </w:rPr>
                          <w:t>主動提供地方衛生局</w:t>
                        </w:r>
                      </w:p>
                      <w:p>
                        <w:pPr>
                          <w:pStyle w:val="TableParagraph"/>
                          <w:numPr>
                            <w:ilvl w:val="0"/>
                            <w:numId w:val="137"/>
                          </w:numPr>
                          <w:tabs>
                            <w:tab w:pos="428" w:val="left" w:leader="none"/>
                          </w:tabs>
                          <w:spacing w:line="237" w:lineRule="auto" w:before="0" w:after="0"/>
                          <w:ind w:left="427" w:right="38" w:hanging="318"/>
                          <w:jc w:val="both"/>
                          <w:rPr>
                            <w:rFonts w:ascii="微軟正黑體" w:eastAsia="微軟正黑體" w:hint="eastAsia"/>
                            <w:sz w:val="22"/>
                          </w:rPr>
                        </w:pPr>
                        <w:r>
                          <w:rPr>
                            <w:rFonts w:ascii="微軟正黑體" w:eastAsia="微軟正黑體" w:hint="eastAsia"/>
                            <w:color w:val="221F1F"/>
                            <w:sz w:val="22"/>
                          </w:rPr>
                          <w:t>保持室內空氣流通*備註：因外國</w:t>
                        </w:r>
                        <w:r>
                          <w:rPr>
                            <w:rFonts w:ascii="微軟正黑體" w:eastAsia="微軟正黑體" w:hint="eastAsia"/>
                            <w:color w:val="221F1F"/>
                            <w:spacing w:val="-6"/>
                            <w:sz w:val="22"/>
                          </w:rPr>
                          <w:t>人收容中心收容人停留時間短暫， </w:t>
                        </w:r>
                        <w:r>
                          <w:rPr>
                            <w:rFonts w:ascii="微軟正黑體" w:eastAsia="微軟正黑體" w:hint="eastAsia"/>
                            <w:color w:val="221F1F"/>
                            <w:spacing w:val="-1"/>
                            <w:sz w:val="22"/>
                          </w:rPr>
                          <w:t>經評估過去胸部 </w:t>
                        </w:r>
                        <w:r>
                          <w:rPr>
                            <w:rFonts w:ascii="微軟正黑體" w:eastAsia="微軟正黑體" w:hint="eastAsia"/>
                            <w:color w:val="221F1F"/>
                            <w:sz w:val="22"/>
                          </w:rPr>
                          <w:t>X</w:t>
                        </w:r>
                        <w:r>
                          <w:rPr>
                            <w:rFonts w:ascii="微軟正黑體" w:eastAsia="微軟正黑體" w:hint="eastAsia"/>
                            <w:color w:val="221F1F"/>
                            <w:spacing w:val="-1"/>
                            <w:sz w:val="22"/>
                          </w:rPr>
                          <w:t> 光篩檢效益不</w:t>
                        </w:r>
                        <w:r>
                          <w:rPr>
                            <w:rFonts w:ascii="微軟正黑體" w:eastAsia="微軟正黑體" w:hint="eastAsia"/>
                            <w:color w:val="221F1F"/>
                            <w:spacing w:val="-10"/>
                            <w:sz w:val="22"/>
                          </w:rPr>
                          <w:t>彰，爰得不需就外國收容人進行例</w:t>
                        </w:r>
                        <w:r>
                          <w:rPr>
                            <w:rFonts w:ascii="微軟正黑體" w:eastAsia="微軟正黑體" w:hint="eastAsia"/>
                            <w:color w:val="221F1F"/>
                            <w:spacing w:val="-8"/>
                            <w:sz w:val="22"/>
                          </w:rPr>
                          <w:t>行性篩檢。</w:t>
                        </w:r>
                      </w:p>
                      <w:p>
                        <w:pPr>
                          <w:pStyle w:val="TableParagraph"/>
                          <w:numPr>
                            <w:ilvl w:val="0"/>
                            <w:numId w:val="137"/>
                          </w:numPr>
                          <w:tabs>
                            <w:tab w:pos="428" w:val="left" w:leader="none"/>
                          </w:tabs>
                          <w:spacing w:line="237" w:lineRule="auto" w:before="0" w:after="0"/>
                          <w:ind w:left="427" w:right="84" w:hanging="318"/>
                          <w:jc w:val="both"/>
                          <w:rPr>
                            <w:rFonts w:ascii="微軟正黑體" w:eastAsia="微軟正黑體" w:hint="eastAsia"/>
                            <w:sz w:val="22"/>
                          </w:rPr>
                        </w:pPr>
                        <w:r>
                          <w:rPr>
                            <w:rFonts w:ascii="微軟正黑體" w:eastAsia="微軟正黑體" w:hint="eastAsia"/>
                            <w:color w:val="221F1F"/>
                            <w:spacing w:val="9"/>
                            <w:sz w:val="22"/>
                          </w:rPr>
                          <w:t>配合衛生主管機關辦理矯正機關</w:t>
                        </w:r>
                        <w:r>
                          <w:rPr>
                            <w:rFonts w:ascii="微軟正黑體" w:eastAsia="微軟正黑體" w:hint="eastAsia"/>
                            <w:color w:val="221F1F"/>
                            <w:spacing w:val="-2"/>
                            <w:sz w:val="22"/>
                          </w:rPr>
                          <w:t>感染管制查核作業</w:t>
                        </w:r>
                      </w:p>
                      <w:p>
                        <w:pPr>
                          <w:pStyle w:val="TableParagraph"/>
                          <w:numPr>
                            <w:ilvl w:val="0"/>
                            <w:numId w:val="137"/>
                          </w:numPr>
                          <w:tabs>
                            <w:tab w:pos="428" w:val="left" w:leader="none"/>
                          </w:tabs>
                          <w:spacing w:line="398" w:lineRule="exact" w:before="0" w:after="0"/>
                          <w:ind w:left="427" w:right="0" w:hanging="318"/>
                          <w:jc w:val="both"/>
                          <w:rPr>
                            <w:rFonts w:ascii="微軟正黑體" w:eastAsia="微軟正黑體" w:hint="eastAsia"/>
                            <w:sz w:val="22"/>
                          </w:rPr>
                        </w:pPr>
                        <w:r>
                          <w:rPr>
                            <w:rFonts w:ascii="微軟正黑體" w:eastAsia="微軟正黑體" w:hint="eastAsia"/>
                            <w:color w:val="221F1F"/>
                            <w:spacing w:val="9"/>
                            <w:sz w:val="22"/>
                          </w:rPr>
                          <w:t>積極參與矯正機關潛伏結核感染</w:t>
                        </w:r>
                      </w:p>
                      <w:p>
                        <w:pPr>
                          <w:pStyle w:val="TableParagraph"/>
                          <w:spacing w:line="403" w:lineRule="exact"/>
                          <w:ind w:left="427"/>
                          <w:rPr>
                            <w:rFonts w:ascii="微軟正黑體" w:eastAsia="微軟正黑體" w:hint="eastAsia"/>
                            <w:sz w:val="22"/>
                          </w:rPr>
                        </w:pPr>
                        <w:r>
                          <w:rPr>
                            <w:rFonts w:ascii="微軟正黑體" w:eastAsia="微軟正黑體" w:hint="eastAsia"/>
                            <w:color w:val="221F1F"/>
                            <w:sz w:val="22"/>
                          </w:rPr>
                          <w:t>（LTBI）檢驗與治療計畫</w:t>
                        </w:r>
                      </w:p>
                    </w:tc>
                    <w:tc>
                      <w:tcPr>
                        <w:tcW w:w="3754" w:type="dxa"/>
                        <w:tcBorders>
                          <w:right w:val="single" w:sz="6" w:space="0" w:color="000000"/>
                        </w:tcBorders>
                      </w:tcPr>
                      <w:p>
                        <w:pPr>
                          <w:pStyle w:val="TableParagraph"/>
                          <w:numPr>
                            <w:ilvl w:val="0"/>
                            <w:numId w:val="138"/>
                          </w:numPr>
                          <w:tabs>
                            <w:tab w:pos="428" w:val="left" w:leader="none"/>
                          </w:tabs>
                          <w:spacing w:line="232" w:lineRule="auto" w:before="36" w:after="0"/>
                          <w:ind w:left="427" w:right="99" w:hanging="320"/>
                          <w:jc w:val="both"/>
                          <w:rPr>
                            <w:rFonts w:ascii="微軟正黑體" w:eastAsia="微軟正黑體" w:hint="eastAsia"/>
                            <w:sz w:val="22"/>
                          </w:rPr>
                        </w:pPr>
                        <w:r>
                          <w:rPr>
                            <w:rFonts w:ascii="微軟正黑體" w:eastAsia="微軟正黑體" w:hint="eastAsia"/>
                            <w:color w:val="221F1F"/>
                            <w:spacing w:val="18"/>
                            <w:sz w:val="22"/>
                          </w:rPr>
                          <w:t>原 則 上 每個月收受轄內矯 正</w:t>
                        </w:r>
                        <w:r>
                          <w:rPr>
                            <w:rFonts w:ascii="微軟正黑體" w:eastAsia="微軟正黑體" w:hint="eastAsia"/>
                            <w:color w:val="221F1F"/>
                            <w:spacing w:val="32"/>
                            <w:sz w:val="22"/>
                          </w:rPr>
                          <w:t>機關體檢之胸部 </w:t>
                        </w:r>
                        <w:r>
                          <w:rPr>
                            <w:rFonts w:ascii="微軟正黑體" w:eastAsia="微軟正黑體" w:hint="eastAsia"/>
                            <w:color w:val="221F1F"/>
                            <w:sz w:val="22"/>
                          </w:rPr>
                          <w:t>X</w:t>
                        </w:r>
                        <w:r>
                          <w:rPr>
                            <w:rFonts w:ascii="微軟正黑體" w:eastAsia="微軟正黑體" w:hint="eastAsia"/>
                            <w:color w:val="221F1F"/>
                            <w:spacing w:val="28"/>
                            <w:sz w:val="22"/>
                          </w:rPr>
                          <w:t> 光檢查結</w:t>
                        </w:r>
                        <w:r>
                          <w:rPr>
                            <w:rFonts w:ascii="微軟正黑體" w:eastAsia="微軟正黑體" w:hint="eastAsia"/>
                            <w:color w:val="221F1F"/>
                            <w:spacing w:val="13"/>
                            <w:sz w:val="22"/>
                          </w:rPr>
                          <w:t>果，並確認疑 似結核病個案之</w:t>
                        </w:r>
                        <w:r>
                          <w:rPr>
                            <w:rFonts w:ascii="微軟正黑體" w:eastAsia="微軟正黑體" w:hint="eastAsia"/>
                            <w:color w:val="221F1F"/>
                            <w:spacing w:val="5"/>
                            <w:sz w:val="22"/>
                          </w:rPr>
                          <w:t>通報及其他異常個案轉介就醫進度</w:t>
                        </w:r>
                      </w:p>
                      <w:p>
                        <w:pPr>
                          <w:pStyle w:val="TableParagraph"/>
                          <w:numPr>
                            <w:ilvl w:val="0"/>
                            <w:numId w:val="138"/>
                          </w:numPr>
                          <w:tabs>
                            <w:tab w:pos="428" w:val="left" w:leader="none"/>
                          </w:tabs>
                          <w:spacing w:line="235" w:lineRule="auto" w:before="5" w:after="0"/>
                          <w:ind w:left="427" w:right="102" w:hanging="320"/>
                          <w:jc w:val="both"/>
                          <w:rPr>
                            <w:rFonts w:ascii="微軟正黑體" w:eastAsia="微軟正黑體" w:hint="eastAsia"/>
                            <w:sz w:val="22"/>
                          </w:rPr>
                        </w:pPr>
                        <w:r>
                          <w:rPr>
                            <w:rFonts w:ascii="微軟正黑體" w:eastAsia="微軟正黑體" w:hint="eastAsia"/>
                            <w:color w:val="221F1F"/>
                            <w:spacing w:val="9"/>
                            <w:sz w:val="22"/>
                          </w:rPr>
                          <w:t>輔 導 轄 區 矯 正 機關， 倘 收</w:t>
                        </w:r>
                        <w:r>
                          <w:rPr>
                            <w:rFonts w:ascii="微軟正黑體" w:eastAsia="微軟正黑體" w:hint="eastAsia"/>
                            <w:color w:val="221F1F"/>
                            <w:sz w:val="22"/>
                          </w:rPr>
                          <w:t>容 人 檢 查 結 果 為 結 核 病 、</w:t>
                        </w:r>
                        <w:r>
                          <w:rPr>
                            <w:rFonts w:ascii="微軟正黑體" w:eastAsia="微軟正黑體" w:hint="eastAsia"/>
                            <w:color w:val="221F1F"/>
                            <w:spacing w:val="-2"/>
                            <w:sz w:val="22"/>
                          </w:rPr>
                          <w:t>疑 似 結 核 病 或 「 其 他 異 常</w:t>
                        </w:r>
                        <w:r>
                          <w:rPr>
                            <w:rFonts w:ascii="微軟正黑體" w:eastAsia="微軟正黑體" w:hint="eastAsia"/>
                            <w:color w:val="221F1F"/>
                            <w:spacing w:val="9"/>
                            <w:sz w:val="22"/>
                          </w:rPr>
                          <w:t>肺 浸 潤</w:t>
                        </w:r>
                        <w:r>
                          <w:rPr>
                            <w:rFonts w:ascii="微軟正黑體" w:eastAsia="微軟正黑體" w:hint="eastAsia"/>
                            <w:color w:val="221F1F"/>
                            <w:sz w:val="22"/>
                          </w:rPr>
                          <w:t>（infiltration）</w:t>
                        </w:r>
                        <w:r>
                          <w:rPr>
                            <w:rFonts w:ascii="微軟正黑體" w:eastAsia="微軟正黑體" w:hint="eastAsia"/>
                            <w:color w:val="221F1F"/>
                            <w:spacing w:val="-3"/>
                            <w:sz w:val="22"/>
                          </w:rPr>
                          <w:t>」者，應</w:t>
                        </w:r>
                        <w:r>
                          <w:rPr>
                            <w:rFonts w:ascii="微軟正黑體" w:eastAsia="微軟正黑體" w:hint="eastAsia"/>
                            <w:color w:val="221F1F"/>
                            <w:spacing w:val="14"/>
                            <w:sz w:val="22"/>
                          </w:rPr>
                          <w:t>儘速安排就醫， 要求收容人佩</w:t>
                        </w:r>
                        <w:r>
                          <w:rPr>
                            <w:rFonts w:ascii="微軟正黑體" w:eastAsia="微軟正黑體" w:hint="eastAsia"/>
                            <w:color w:val="221F1F"/>
                            <w:spacing w:val="12"/>
                            <w:sz w:val="22"/>
                          </w:rPr>
                          <w:t>戴 醫 療等 級 以 上口罩並儘可</w:t>
                        </w:r>
                        <w:r>
                          <w:rPr>
                            <w:rFonts w:ascii="微軟正黑體" w:eastAsia="微軟正黑體" w:hint="eastAsia"/>
                            <w:color w:val="221F1F"/>
                            <w:spacing w:val="21"/>
                            <w:sz w:val="22"/>
                          </w:rPr>
                          <w:t>能與其他收容人分開監禁，至</w:t>
                        </w:r>
                        <w:r>
                          <w:rPr>
                            <w:rFonts w:ascii="微軟正黑體" w:eastAsia="微軟正黑體" w:hint="eastAsia"/>
                            <w:color w:val="221F1F"/>
                            <w:spacing w:val="15"/>
                            <w:sz w:val="22"/>
                          </w:rPr>
                          <w:t>排除結核病為止</w:t>
                        </w:r>
                      </w:p>
                      <w:p>
                        <w:pPr>
                          <w:pStyle w:val="TableParagraph"/>
                          <w:numPr>
                            <w:ilvl w:val="0"/>
                            <w:numId w:val="138"/>
                          </w:numPr>
                          <w:tabs>
                            <w:tab w:pos="428" w:val="left" w:leader="none"/>
                          </w:tabs>
                          <w:spacing w:line="397" w:lineRule="exact" w:before="14" w:after="0"/>
                          <w:ind w:left="427" w:right="0" w:hanging="320"/>
                          <w:jc w:val="both"/>
                          <w:rPr>
                            <w:rFonts w:ascii="微軟正黑體" w:eastAsia="微軟正黑體" w:hint="eastAsia"/>
                            <w:sz w:val="22"/>
                          </w:rPr>
                        </w:pPr>
                        <w:r>
                          <w:rPr>
                            <w:rFonts w:ascii="微軟正黑體" w:eastAsia="微軟正黑體" w:hint="eastAsia"/>
                            <w:color w:val="221F1F"/>
                            <w:spacing w:val="-3"/>
                            <w:position w:val="1"/>
                            <w:sz w:val="22"/>
                          </w:rPr>
                          <w:t>監控是否發生疑似聚集事件</w:t>
                        </w:r>
                      </w:p>
                      <w:p>
                        <w:pPr>
                          <w:pStyle w:val="TableParagraph"/>
                          <w:numPr>
                            <w:ilvl w:val="0"/>
                            <w:numId w:val="138"/>
                          </w:numPr>
                          <w:tabs>
                            <w:tab w:pos="428" w:val="left" w:leader="none"/>
                          </w:tabs>
                          <w:spacing w:line="220" w:lineRule="auto" w:before="4" w:after="0"/>
                          <w:ind w:left="427" w:right="99" w:hanging="320"/>
                          <w:jc w:val="both"/>
                          <w:rPr>
                            <w:rFonts w:ascii="微軟正黑體" w:eastAsia="微軟正黑體" w:hint="eastAsia"/>
                            <w:sz w:val="22"/>
                          </w:rPr>
                        </w:pPr>
                        <w:r>
                          <w:rPr>
                            <w:rFonts w:ascii="微軟正黑體" w:eastAsia="微軟正黑體" w:hint="eastAsia"/>
                            <w:color w:val="221F1F"/>
                            <w:spacing w:val="23"/>
                            <w:sz w:val="22"/>
                          </w:rPr>
                          <w:t>配合疾管署公告時程，辦理矯</w:t>
                        </w:r>
                        <w:r>
                          <w:rPr>
                            <w:rFonts w:ascii="微軟正黑體" w:eastAsia="微軟正黑體" w:hint="eastAsia"/>
                            <w:color w:val="221F1F"/>
                            <w:spacing w:val="-3"/>
                            <w:sz w:val="22"/>
                          </w:rPr>
                          <w:t>正機關感染管制查核作業</w:t>
                        </w:r>
                      </w:p>
                      <w:p>
                        <w:pPr>
                          <w:pStyle w:val="TableParagraph"/>
                          <w:numPr>
                            <w:ilvl w:val="0"/>
                            <w:numId w:val="138"/>
                          </w:numPr>
                          <w:tabs>
                            <w:tab w:pos="428" w:val="left" w:leader="none"/>
                          </w:tabs>
                          <w:spacing w:line="230" w:lineRule="auto" w:before="14" w:after="0"/>
                          <w:ind w:left="427" w:right="88" w:hanging="320"/>
                          <w:jc w:val="both"/>
                          <w:rPr>
                            <w:rFonts w:ascii="微軟正黑體" w:eastAsia="微軟正黑體" w:hint="eastAsia"/>
                            <w:sz w:val="22"/>
                          </w:rPr>
                        </w:pPr>
                        <w:r>
                          <w:rPr>
                            <w:rFonts w:ascii="微軟正黑體" w:eastAsia="微軟正黑體" w:hint="eastAsia"/>
                            <w:color w:val="221F1F"/>
                            <w:spacing w:val="8"/>
                            <w:sz w:val="22"/>
                          </w:rPr>
                          <w:t>協助轄區矯正機關加入潛伏結核</w:t>
                        </w:r>
                        <w:r>
                          <w:rPr>
                            <w:rFonts w:ascii="微軟正黑體" w:eastAsia="微軟正黑體" w:hint="eastAsia"/>
                            <w:color w:val="221F1F"/>
                            <w:spacing w:val="-22"/>
                            <w:sz w:val="22"/>
                          </w:rPr>
                          <w:t>感染</w:t>
                        </w:r>
                        <w:r>
                          <w:rPr>
                            <w:rFonts w:ascii="微軟正黑體" w:eastAsia="微軟正黑體" w:hint="eastAsia"/>
                            <w:color w:val="221F1F"/>
                            <w:spacing w:val="-12"/>
                            <w:sz w:val="22"/>
                          </w:rPr>
                          <w:t>（LTBI）</w:t>
                        </w:r>
                        <w:r>
                          <w:rPr>
                            <w:rFonts w:ascii="微軟正黑體" w:eastAsia="微軟正黑體" w:hint="eastAsia"/>
                            <w:color w:val="221F1F"/>
                            <w:spacing w:val="-4"/>
                            <w:sz w:val="22"/>
                          </w:rPr>
                          <w:t>檢驗與治療計畫，計</w:t>
                        </w:r>
                        <w:r>
                          <w:rPr>
                            <w:rFonts w:ascii="微軟正黑體" w:eastAsia="微軟正黑體" w:hint="eastAsia"/>
                            <w:color w:val="221F1F"/>
                            <w:spacing w:val="17"/>
                            <w:sz w:val="22"/>
                          </w:rPr>
                          <w:t>畫 規 範 詳見工作手冊第三 章</w:t>
                        </w:r>
                      </w:p>
                      <w:p>
                        <w:pPr>
                          <w:pStyle w:val="TableParagraph"/>
                          <w:spacing w:line="401" w:lineRule="exact"/>
                          <w:ind w:left="427"/>
                          <w:rPr>
                            <w:rFonts w:ascii="微軟正黑體" w:eastAsia="微軟正黑體" w:hint="eastAsia"/>
                            <w:sz w:val="22"/>
                          </w:rPr>
                        </w:pPr>
                        <w:r>
                          <w:rPr>
                            <w:rFonts w:ascii="微軟正黑體" w:eastAsia="微軟正黑體" w:hint="eastAsia"/>
                            <w:color w:val="221F1F"/>
                            <w:sz w:val="22"/>
                          </w:rPr>
                          <w:t>「潛伏結核感染診斷及治療」</w:t>
                        </w:r>
                      </w:p>
                    </w:tc>
                  </w:tr>
                  <w:tr>
                    <w:trPr>
                      <w:trHeight w:val="4402" w:hRule="atLeast"/>
                    </w:trPr>
                    <w:tc>
                      <w:tcPr>
                        <w:tcW w:w="1358" w:type="dxa"/>
                      </w:tcPr>
                      <w:p>
                        <w:pPr>
                          <w:pStyle w:val="TableParagraph"/>
                          <w:spacing w:line="237" w:lineRule="auto" w:before="243"/>
                          <w:ind w:left="110" w:right="83"/>
                          <w:rPr>
                            <w:rFonts w:ascii="微軟正黑體" w:eastAsia="微軟正黑體" w:hint="eastAsia"/>
                            <w:sz w:val="22"/>
                          </w:rPr>
                        </w:pPr>
                        <w:r>
                          <w:rPr>
                            <w:rFonts w:ascii="微軟正黑體" w:eastAsia="微軟正黑體" w:hint="eastAsia"/>
                            <w:color w:val="221F1F"/>
                            <w:sz w:val="22"/>
                          </w:rPr>
                          <w:t>出現疑似結核病病人者</w:t>
                        </w:r>
                      </w:p>
                    </w:tc>
                    <w:tc>
                      <w:tcPr>
                        <w:tcW w:w="3754" w:type="dxa"/>
                      </w:tcPr>
                      <w:p>
                        <w:pPr>
                          <w:pStyle w:val="TableParagraph"/>
                          <w:numPr>
                            <w:ilvl w:val="0"/>
                            <w:numId w:val="139"/>
                          </w:numPr>
                          <w:tabs>
                            <w:tab w:pos="426" w:val="left" w:leader="none"/>
                          </w:tabs>
                          <w:spacing w:line="237" w:lineRule="auto" w:before="63" w:after="0"/>
                          <w:ind w:left="425" w:right="90" w:hanging="284"/>
                          <w:jc w:val="both"/>
                          <w:rPr>
                            <w:rFonts w:ascii="微軟正黑體" w:eastAsia="微軟正黑體" w:hint="eastAsia"/>
                            <w:sz w:val="22"/>
                          </w:rPr>
                        </w:pPr>
                        <w:r>
                          <w:rPr>
                            <w:rFonts w:ascii="微軟正黑體" w:eastAsia="微軟正黑體" w:hint="eastAsia"/>
                            <w:color w:val="221F1F"/>
                            <w:spacing w:val="-15"/>
                            <w:sz w:val="22"/>
                          </w:rPr>
                          <w:t>針對問卷、胸部 </w:t>
                        </w:r>
                        <w:r>
                          <w:rPr>
                            <w:rFonts w:ascii="微軟正黑體" w:eastAsia="微軟正黑體" w:hint="eastAsia"/>
                            <w:color w:val="221F1F"/>
                            <w:sz w:val="22"/>
                          </w:rPr>
                          <w:t>X</w:t>
                        </w:r>
                        <w:r>
                          <w:rPr>
                            <w:rFonts w:ascii="微軟正黑體" w:eastAsia="微軟正黑體" w:hint="eastAsia"/>
                            <w:color w:val="221F1F"/>
                            <w:spacing w:val="-3"/>
                            <w:sz w:val="22"/>
                          </w:rPr>
                          <w:t> 光篩檢或因症就</w:t>
                        </w:r>
                        <w:r>
                          <w:rPr>
                            <w:rFonts w:ascii="微軟正黑體" w:eastAsia="微軟正黑體" w:hint="eastAsia"/>
                            <w:color w:val="221F1F"/>
                            <w:spacing w:val="-12"/>
                            <w:sz w:val="22"/>
                          </w:rPr>
                          <w:t>診異常者，立即提供醫療級以上口</w:t>
                        </w:r>
                        <w:r>
                          <w:rPr>
                            <w:rFonts w:ascii="微軟正黑體" w:eastAsia="微軟正黑體" w:hint="eastAsia"/>
                            <w:color w:val="221F1F"/>
                            <w:spacing w:val="-11"/>
                            <w:sz w:val="22"/>
                          </w:rPr>
                          <w:t>罩，並與其他收容人分開監禁，至</w:t>
                        </w:r>
                        <w:r>
                          <w:rPr>
                            <w:rFonts w:ascii="微軟正黑體" w:eastAsia="微軟正黑體" w:hint="eastAsia"/>
                            <w:color w:val="221F1F"/>
                            <w:spacing w:val="-2"/>
                            <w:sz w:val="22"/>
                          </w:rPr>
                          <w:t>排除其為結核病為止</w:t>
                        </w:r>
                      </w:p>
                      <w:p>
                        <w:pPr>
                          <w:pStyle w:val="TableParagraph"/>
                          <w:numPr>
                            <w:ilvl w:val="0"/>
                            <w:numId w:val="139"/>
                          </w:numPr>
                          <w:tabs>
                            <w:tab w:pos="426" w:val="left" w:leader="none"/>
                          </w:tabs>
                          <w:spacing w:line="237" w:lineRule="auto" w:before="0" w:after="0"/>
                          <w:ind w:left="425" w:right="90" w:hanging="284"/>
                          <w:jc w:val="both"/>
                          <w:rPr>
                            <w:rFonts w:ascii="微軟正黑體" w:eastAsia="微軟正黑體" w:hint="eastAsia"/>
                            <w:sz w:val="22"/>
                          </w:rPr>
                        </w:pPr>
                        <w:r>
                          <w:rPr>
                            <w:rFonts w:ascii="微軟正黑體" w:eastAsia="微軟正黑體" w:hint="eastAsia"/>
                            <w:color w:val="221F1F"/>
                            <w:spacing w:val="-3"/>
                            <w:sz w:val="22"/>
                          </w:rPr>
                          <w:t>痰塗片陽性者，儘可能在 </w:t>
                        </w:r>
                        <w:r>
                          <w:rPr>
                            <w:rFonts w:ascii="微軟正黑體" w:eastAsia="微軟正黑體" w:hint="eastAsia"/>
                            <w:color w:val="221F1F"/>
                            <w:sz w:val="22"/>
                          </w:rPr>
                          <w:t>24</w:t>
                        </w:r>
                        <w:r>
                          <w:rPr>
                            <w:rFonts w:ascii="微軟正黑體" w:eastAsia="微軟正黑體" w:hint="eastAsia"/>
                            <w:color w:val="221F1F"/>
                            <w:spacing w:val="-3"/>
                            <w:sz w:val="22"/>
                          </w:rPr>
                          <w:t> 小時</w:t>
                        </w:r>
                        <w:r>
                          <w:rPr>
                            <w:rFonts w:ascii="微軟正黑體" w:eastAsia="微軟正黑體" w:hint="eastAsia"/>
                            <w:color w:val="221F1F"/>
                            <w:spacing w:val="8"/>
                            <w:sz w:val="22"/>
                          </w:rPr>
                          <w:t>內給予藥物及隔離治療，避免傳</w:t>
                        </w:r>
                        <w:r>
                          <w:rPr>
                            <w:rFonts w:ascii="微軟正黑體" w:eastAsia="微軟正黑體" w:hint="eastAsia"/>
                            <w:color w:val="221F1F"/>
                            <w:spacing w:val="-12"/>
                            <w:sz w:val="22"/>
                          </w:rPr>
                          <w:t>播；痰塗片陰性，經醫師判斷應開始治療者，暫不須隔離，惟於其痰培養陰轉前，須佩戴醫療級以上口</w:t>
                        </w:r>
                        <w:r>
                          <w:rPr>
                            <w:rFonts w:ascii="微軟正黑體" w:eastAsia="微軟正黑體" w:hint="eastAsia"/>
                            <w:color w:val="221F1F"/>
                            <w:sz w:val="22"/>
                          </w:rPr>
                          <w:t>罩</w:t>
                        </w:r>
                      </w:p>
                      <w:p>
                        <w:pPr>
                          <w:pStyle w:val="TableParagraph"/>
                          <w:numPr>
                            <w:ilvl w:val="0"/>
                            <w:numId w:val="139"/>
                          </w:numPr>
                          <w:tabs>
                            <w:tab w:pos="426" w:val="left" w:leader="none"/>
                          </w:tabs>
                          <w:spacing w:line="315" w:lineRule="exact" w:before="0" w:after="0"/>
                          <w:ind w:left="425" w:right="0" w:hanging="285"/>
                          <w:jc w:val="both"/>
                          <w:rPr>
                            <w:rFonts w:ascii="微軟正黑體" w:eastAsia="微軟正黑體" w:hint="eastAsia"/>
                            <w:sz w:val="22"/>
                          </w:rPr>
                        </w:pPr>
                        <w:r>
                          <w:rPr>
                            <w:rFonts w:ascii="微軟正黑體" w:eastAsia="微軟正黑體" w:hint="eastAsia"/>
                            <w:color w:val="221F1F"/>
                            <w:spacing w:val="4"/>
                            <w:sz w:val="22"/>
                          </w:rPr>
                          <w:t>完成收容人之胸部 </w:t>
                        </w:r>
                        <w:r>
                          <w:rPr>
                            <w:rFonts w:ascii="微軟正黑體" w:eastAsia="微軟正黑體" w:hint="eastAsia"/>
                            <w:color w:val="221F1F"/>
                            <w:sz w:val="22"/>
                          </w:rPr>
                          <w:t>X</w:t>
                        </w:r>
                        <w:r>
                          <w:rPr>
                            <w:rFonts w:ascii="微軟正黑體" w:eastAsia="微軟正黑體" w:hint="eastAsia"/>
                            <w:color w:val="221F1F"/>
                            <w:spacing w:val="16"/>
                            <w:sz w:val="22"/>
                          </w:rPr>
                          <w:t> 光篩檢及 </w:t>
                        </w:r>
                        <w:r>
                          <w:rPr>
                            <w:rFonts w:ascii="微軟正黑體" w:eastAsia="微軟正黑體" w:hint="eastAsia"/>
                            <w:color w:val="221F1F"/>
                            <w:sz w:val="22"/>
                          </w:rPr>
                          <w:t>3</w:t>
                        </w:r>
                      </w:p>
                    </w:tc>
                    <w:tc>
                      <w:tcPr>
                        <w:tcW w:w="3754" w:type="dxa"/>
                        <w:tcBorders>
                          <w:right w:val="single" w:sz="6" w:space="0" w:color="000000"/>
                        </w:tcBorders>
                      </w:tcPr>
                      <w:p>
                        <w:pPr>
                          <w:pStyle w:val="TableParagraph"/>
                          <w:numPr>
                            <w:ilvl w:val="0"/>
                            <w:numId w:val="140"/>
                          </w:numPr>
                          <w:tabs>
                            <w:tab w:pos="356" w:val="left" w:leader="none"/>
                          </w:tabs>
                          <w:spacing w:line="237" w:lineRule="auto" w:before="41" w:after="0"/>
                          <w:ind w:left="355" w:right="66" w:hanging="284"/>
                          <w:jc w:val="both"/>
                          <w:rPr>
                            <w:rFonts w:ascii="微軟正黑體" w:eastAsia="微軟正黑體" w:hint="eastAsia"/>
                            <w:sz w:val="22"/>
                          </w:rPr>
                        </w:pPr>
                        <w:r>
                          <w:rPr>
                            <w:rFonts w:ascii="微軟正黑體" w:eastAsia="微軟正黑體" w:hint="eastAsia"/>
                            <w:color w:val="221F1F"/>
                            <w:spacing w:val="-1"/>
                            <w:sz w:val="22"/>
                          </w:rPr>
                          <w:t>擁擠、通風不佳會大幅提升結核病</w:t>
                        </w:r>
                        <w:r>
                          <w:rPr>
                            <w:rFonts w:ascii="微軟正黑體" w:eastAsia="微軟正黑體" w:hint="eastAsia"/>
                            <w:color w:val="221F1F"/>
                            <w:spacing w:val="-16"/>
                            <w:sz w:val="22"/>
                          </w:rPr>
                          <w:t>傳播的風險，因此，此類單位之結核病個案管理、落實接觸者檢查及潛</w:t>
                        </w:r>
                        <w:r>
                          <w:rPr>
                            <w:rFonts w:ascii="微軟正黑體" w:eastAsia="微軟正黑體" w:hint="eastAsia"/>
                            <w:color w:val="221F1F"/>
                            <w:spacing w:val="-20"/>
                            <w:sz w:val="22"/>
                          </w:rPr>
                          <w:t>伏結核感染治療，尤其重要。</w:t>
                        </w:r>
                        <w:r>
                          <w:rPr>
                            <w:rFonts w:ascii="微軟正黑體" w:eastAsia="微軟正黑體" w:hint="eastAsia"/>
                            <w:color w:val="221F1F"/>
                            <w:spacing w:val="-3"/>
                            <w:sz w:val="22"/>
                          </w:rPr>
                          <w:t>（</w:t>
                        </w:r>
                        <w:r>
                          <w:rPr>
                            <w:rFonts w:ascii="微軟正黑體" w:eastAsia="微軟正黑體" w:hint="eastAsia"/>
                            <w:color w:val="221F1F"/>
                            <w:spacing w:val="-2"/>
                            <w:sz w:val="22"/>
                          </w:rPr>
                          <w:t>詳見</w:t>
                        </w:r>
                        <w:r>
                          <w:rPr>
                            <w:rFonts w:ascii="微軟正黑體" w:eastAsia="微軟正黑體" w:hint="eastAsia"/>
                            <w:color w:val="221F1F"/>
                            <w:spacing w:val="-3"/>
                            <w:sz w:val="22"/>
                          </w:rPr>
                          <w:t>工作手冊第三章「潛伏結核感染診</w:t>
                        </w:r>
                        <w:r>
                          <w:rPr>
                            <w:rFonts w:ascii="微軟正黑體" w:eastAsia="微軟正黑體" w:hint="eastAsia"/>
                            <w:color w:val="221F1F"/>
                            <w:spacing w:val="-16"/>
                            <w:sz w:val="22"/>
                          </w:rPr>
                          <w:t>斷及治療」、第六章「結核病個案管</w:t>
                        </w:r>
                        <w:r>
                          <w:rPr>
                            <w:rFonts w:ascii="微軟正黑體" w:eastAsia="微軟正黑體" w:hint="eastAsia"/>
                            <w:color w:val="221F1F"/>
                            <w:spacing w:val="-17"/>
                            <w:sz w:val="22"/>
                          </w:rPr>
                          <w:t>理」及第十一章「結核病接觸者追蹤</w:t>
                        </w:r>
                        <w:r>
                          <w:rPr>
                            <w:rFonts w:ascii="微軟正黑體" w:eastAsia="微軟正黑體" w:hint="eastAsia"/>
                            <w:color w:val="221F1F"/>
                            <w:spacing w:val="-3"/>
                            <w:sz w:val="22"/>
                          </w:rPr>
                          <w:t>管理」）</w:t>
                        </w:r>
                      </w:p>
                      <w:p>
                        <w:pPr>
                          <w:pStyle w:val="TableParagraph"/>
                          <w:numPr>
                            <w:ilvl w:val="0"/>
                            <w:numId w:val="140"/>
                          </w:numPr>
                          <w:tabs>
                            <w:tab w:pos="356" w:val="left" w:leader="none"/>
                          </w:tabs>
                          <w:spacing w:line="237" w:lineRule="auto" w:before="0" w:after="0"/>
                          <w:ind w:left="355" w:right="67" w:hanging="284"/>
                          <w:jc w:val="both"/>
                          <w:rPr>
                            <w:rFonts w:ascii="微軟正黑體" w:eastAsia="微軟正黑體" w:hint="eastAsia"/>
                            <w:sz w:val="22"/>
                          </w:rPr>
                        </w:pPr>
                        <w:r>
                          <w:rPr>
                            <w:rFonts w:ascii="微軟正黑體" w:eastAsia="微軟正黑體" w:hint="eastAsia"/>
                            <w:color w:val="221F1F"/>
                            <w:sz w:val="22"/>
                          </w:rPr>
                          <w:t>自 TB</w:t>
                        </w:r>
                        <w:r>
                          <w:rPr>
                            <w:rFonts w:ascii="微軟正黑體" w:eastAsia="微軟正黑體" w:hint="eastAsia"/>
                            <w:color w:val="221F1F"/>
                            <w:spacing w:val="-13"/>
                            <w:sz w:val="22"/>
                          </w:rPr>
                          <w:t> 系統之個案管理查閱「出入監</w:t>
                        </w:r>
                        <w:r>
                          <w:rPr>
                            <w:rFonts w:ascii="微軟正黑體" w:eastAsia="微軟正黑體" w:hint="eastAsia"/>
                            <w:color w:val="221F1F"/>
                            <w:spacing w:val="-3"/>
                            <w:sz w:val="22"/>
                          </w:rPr>
                          <w:t>結核病個案管理清冊</w:t>
                        </w:r>
                        <w:r>
                          <w:rPr>
                            <w:rFonts w:ascii="微軟正黑體" w:eastAsia="微軟正黑體" w:hint="eastAsia"/>
                            <w:color w:val="221F1F"/>
                            <w:spacing w:val="-30"/>
                            <w:sz w:val="22"/>
                          </w:rPr>
                          <w:t>」，針對即將入</w:t>
                        </w:r>
                      </w:p>
                      <w:p>
                        <w:pPr>
                          <w:pStyle w:val="TableParagraph"/>
                          <w:spacing w:line="338" w:lineRule="exact"/>
                          <w:ind w:left="355"/>
                          <w:rPr>
                            <w:rFonts w:ascii="微軟正黑體" w:eastAsia="微軟正黑體" w:hint="eastAsia"/>
                            <w:sz w:val="22"/>
                          </w:rPr>
                        </w:pPr>
                        <w:r>
                          <w:rPr>
                            <w:rFonts w:ascii="微軟正黑體" w:eastAsia="微軟正黑體" w:hint="eastAsia"/>
                            <w:color w:val="221F1F"/>
                            <w:sz w:val="22"/>
                          </w:rPr>
                          <w:t>監/出監/移監者，提供相關準備作</w:t>
                        </w:r>
                      </w:p>
                    </w:tc>
                  </w:tr>
                </w:tbl>
                <w:p>
                  <w:pPr>
                    <w:pStyle w:val="BodyText"/>
                  </w:pPr>
                </w:p>
              </w:txbxContent>
            </v:textbox>
            <w10:wrap type="none"/>
          </v:shape>
        </w:pict>
      </w:r>
      <w:r>
        <w:rPr>
          <w:rFonts w:ascii="微軟正黑體" w:eastAsia="微軟正黑體" w:hint="eastAsia"/>
          <w:color w:val="221F1F"/>
          <w:spacing w:val="-13"/>
          <w:sz w:val="22"/>
        </w:rPr>
        <w:t>一、 矯正及收容機關人員包含監獄、看守所、矯正學校、少年觀護所、技能訓練所、戒治所及外國</w:t>
      </w:r>
      <w:r>
        <w:rPr>
          <w:rFonts w:ascii="微軟正黑體" w:eastAsia="微軟正黑體" w:hint="eastAsia"/>
          <w:color w:val="221F1F"/>
          <w:spacing w:val="-7"/>
          <w:sz w:val="22"/>
        </w:rPr>
        <w:t>人收容中心所等。</w:t>
      </w: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spacing w:before="9"/>
        <w:rPr>
          <w:rFonts w:ascii="微軟正黑體"/>
          <w:sz w:val="26"/>
        </w:rPr>
      </w:pPr>
    </w:p>
    <w:p>
      <w:pPr>
        <w:spacing w:before="0"/>
        <w:ind w:left="0" w:right="303" w:firstLine="0"/>
        <w:jc w:val="right"/>
        <w:rPr>
          <w:rFonts w:ascii="Arial"/>
          <w:sz w:val="16"/>
        </w:rPr>
      </w:pPr>
      <w:r>
        <w:rPr>
          <w:rFonts w:ascii="Arial"/>
          <w:color w:val="221F1F"/>
          <w:sz w:val="16"/>
        </w:rPr>
        <w:t>11</w:t>
      </w:r>
    </w:p>
    <w:p>
      <w:pPr>
        <w:spacing w:after="0"/>
        <w:jc w:val="right"/>
        <w:rPr>
          <w:rFonts w:ascii="Arial"/>
          <w:sz w:val="16"/>
        </w:rPr>
        <w:sectPr>
          <w:pgSz w:w="11910" w:h="16840"/>
          <w:pgMar w:top="1120" w:bottom="280" w:left="980" w:right="2"/>
        </w:sectPr>
      </w:pPr>
    </w:p>
    <w:tbl>
      <w:tblPr>
        <w:tblW w:w="0" w:type="auto"/>
        <w:jc w:val="left"/>
        <w:tblInd w:w="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8"/>
        <w:gridCol w:w="3754"/>
        <w:gridCol w:w="3754"/>
      </w:tblGrid>
      <w:tr>
        <w:trPr>
          <w:trHeight w:val="568" w:hRule="atLeast"/>
        </w:trPr>
        <w:tc>
          <w:tcPr>
            <w:tcW w:w="1358" w:type="dxa"/>
            <w:shd w:val="clear" w:color="auto" w:fill="E8E8E8"/>
          </w:tcPr>
          <w:p>
            <w:pPr>
              <w:pStyle w:val="TableParagraph"/>
              <w:spacing w:before="126"/>
              <w:ind w:left="110"/>
              <w:rPr>
                <w:rFonts w:ascii="微軟正黑體" w:eastAsia="微軟正黑體" w:hint="eastAsia"/>
                <w:b/>
                <w:sz w:val="22"/>
              </w:rPr>
            </w:pPr>
            <w:r>
              <w:rPr>
                <w:rFonts w:ascii="微軟正黑體" w:eastAsia="微軟正黑體" w:hint="eastAsia"/>
                <w:b/>
                <w:color w:val="221F1F"/>
                <w:sz w:val="22"/>
              </w:rPr>
              <w:t>時程</w:t>
            </w:r>
          </w:p>
        </w:tc>
        <w:tc>
          <w:tcPr>
            <w:tcW w:w="3754" w:type="dxa"/>
            <w:shd w:val="clear" w:color="auto" w:fill="E8E8E8"/>
          </w:tcPr>
          <w:p>
            <w:pPr>
              <w:pStyle w:val="TableParagraph"/>
              <w:spacing w:before="126"/>
              <w:ind w:left="110"/>
              <w:rPr>
                <w:rFonts w:ascii="微軟正黑體" w:eastAsia="微軟正黑體" w:hint="eastAsia"/>
                <w:b/>
                <w:sz w:val="22"/>
              </w:rPr>
            </w:pPr>
            <w:r>
              <w:rPr>
                <w:rFonts w:ascii="微軟正黑體" w:eastAsia="微軟正黑體" w:hint="eastAsia"/>
                <w:b/>
                <w:color w:val="221F1F"/>
                <w:sz w:val="22"/>
              </w:rPr>
              <w:t>矯正/收容機關</w:t>
            </w:r>
          </w:p>
        </w:tc>
        <w:tc>
          <w:tcPr>
            <w:tcW w:w="3754" w:type="dxa"/>
            <w:tcBorders>
              <w:right w:val="single" w:sz="6" w:space="0" w:color="000000"/>
            </w:tcBorders>
            <w:shd w:val="clear" w:color="auto" w:fill="E8E8E8"/>
          </w:tcPr>
          <w:p>
            <w:pPr>
              <w:pStyle w:val="TableParagraph"/>
              <w:spacing w:before="102"/>
              <w:ind w:left="108"/>
              <w:rPr>
                <w:rFonts w:ascii="微軟正黑體" w:eastAsia="微軟正黑體" w:hint="eastAsia"/>
                <w:b/>
                <w:sz w:val="22"/>
              </w:rPr>
            </w:pPr>
            <w:r>
              <w:rPr>
                <w:rFonts w:ascii="微軟正黑體" w:eastAsia="微軟正黑體" w:hint="eastAsia"/>
                <w:b/>
                <w:color w:val="221F1F"/>
                <w:sz w:val="22"/>
              </w:rPr>
              <w:t>衛生單位</w:t>
            </w:r>
          </w:p>
        </w:tc>
      </w:tr>
      <w:tr>
        <w:trPr>
          <w:trHeight w:val="4980" w:hRule="atLeast"/>
        </w:trPr>
        <w:tc>
          <w:tcPr>
            <w:tcW w:w="1358" w:type="dxa"/>
          </w:tcPr>
          <w:p>
            <w:pPr>
              <w:pStyle w:val="TableParagraph"/>
              <w:rPr>
                <w:rFonts w:ascii="Times New Roman"/>
                <w:sz w:val="22"/>
              </w:rPr>
            </w:pPr>
          </w:p>
        </w:tc>
        <w:tc>
          <w:tcPr>
            <w:tcW w:w="3754" w:type="dxa"/>
          </w:tcPr>
          <w:p>
            <w:pPr>
              <w:pStyle w:val="TableParagraph"/>
              <w:spacing w:line="235" w:lineRule="auto" w:before="60"/>
              <w:ind w:left="425" w:right="90"/>
              <w:rPr>
                <w:rFonts w:ascii="微軟正黑體" w:eastAsia="微軟正黑體" w:hint="eastAsia"/>
                <w:sz w:val="22"/>
              </w:rPr>
            </w:pPr>
            <w:r>
              <w:rPr>
                <w:rFonts w:ascii="微軟正黑體" w:eastAsia="微軟正黑體" w:hint="eastAsia"/>
                <w:color w:val="221F1F"/>
                <w:spacing w:val="-12"/>
                <w:sz w:val="22"/>
              </w:rPr>
              <w:t>套痰檢體送驗，確定 </w:t>
            </w:r>
            <w:r>
              <w:rPr>
                <w:rFonts w:ascii="微軟正黑體" w:eastAsia="微軟正黑體" w:hint="eastAsia"/>
                <w:color w:val="221F1F"/>
                <w:sz w:val="22"/>
              </w:rPr>
              <w:t>2</w:t>
            </w:r>
            <w:r>
              <w:rPr>
                <w:rFonts w:ascii="微軟正黑體" w:eastAsia="微軟正黑體" w:hint="eastAsia"/>
                <w:color w:val="221F1F"/>
                <w:spacing w:val="-4"/>
                <w:sz w:val="22"/>
              </w:rPr>
              <w:t> 項結果皆為</w:t>
            </w:r>
            <w:r>
              <w:rPr>
                <w:rFonts w:ascii="微軟正黑體" w:eastAsia="微軟正黑體" w:hint="eastAsia"/>
                <w:color w:val="221F1F"/>
                <w:spacing w:val="-3"/>
                <w:sz w:val="22"/>
              </w:rPr>
              <w:t>陰性者，才不須佩戴口罩</w:t>
            </w:r>
          </w:p>
          <w:p>
            <w:pPr>
              <w:pStyle w:val="TableParagraph"/>
              <w:numPr>
                <w:ilvl w:val="0"/>
                <w:numId w:val="141"/>
              </w:numPr>
              <w:tabs>
                <w:tab w:pos="426" w:val="left" w:leader="none"/>
              </w:tabs>
              <w:spacing w:line="237" w:lineRule="auto" w:before="3" w:after="0"/>
              <w:ind w:left="425" w:right="95" w:hanging="284"/>
              <w:jc w:val="both"/>
              <w:rPr>
                <w:rFonts w:ascii="微軟正黑體" w:eastAsia="微軟正黑體" w:hint="eastAsia"/>
                <w:sz w:val="22"/>
              </w:rPr>
            </w:pPr>
            <w:r>
              <w:rPr>
                <w:rFonts w:ascii="微軟正黑體" w:eastAsia="微軟正黑體" w:hint="eastAsia"/>
                <w:color w:val="221F1F"/>
                <w:spacing w:val="7"/>
                <w:sz w:val="22"/>
              </w:rPr>
              <w:t>提供標準之持續治療及安排接受</w:t>
            </w:r>
            <w:r>
              <w:rPr>
                <w:rFonts w:ascii="微軟正黑體" w:eastAsia="微軟正黑體" w:hint="eastAsia"/>
                <w:color w:val="221F1F"/>
                <w:spacing w:val="-1"/>
                <w:sz w:val="22"/>
              </w:rPr>
              <w:t>直接觀察治療</w:t>
            </w:r>
            <w:r>
              <w:rPr>
                <w:rFonts w:ascii="微軟正黑體" w:eastAsia="微軟正黑體" w:hint="eastAsia"/>
                <w:color w:val="221F1F"/>
                <w:sz w:val="22"/>
              </w:rPr>
              <w:t>（DOTS）</w:t>
            </w:r>
          </w:p>
          <w:p>
            <w:pPr>
              <w:pStyle w:val="TableParagraph"/>
              <w:numPr>
                <w:ilvl w:val="0"/>
                <w:numId w:val="141"/>
              </w:numPr>
              <w:tabs>
                <w:tab w:pos="426" w:val="left" w:leader="none"/>
              </w:tabs>
              <w:spacing w:line="237" w:lineRule="auto" w:before="0" w:after="0"/>
              <w:ind w:left="425" w:right="90" w:hanging="284"/>
              <w:jc w:val="both"/>
              <w:rPr>
                <w:rFonts w:ascii="微軟正黑體" w:eastAsia="微軟正黑體" w:hint="eastAsia"/>
                <w:sz w:val="22"/>
              </w:rPr>
            </w:pPr>
            <w:r>
              <w:rPr>
                <w:rFonts w:ascii="微軟正黑體" w:eastAsia="微軟正黑體" w:hint="eastAsia"/>
                <w:color w:val="221F1F"/>
                <w:sz w:val="22"/>
              </w:rPr>
              <w:t>個案出監前，通知地方衛生局</w:t>
            </w:r>
            <w:r>
              <w:rPr>
                <w:rFonts w:ascii="微軟正黑體" w:eastAsia="微軟正黑體" w:hint="eastAsia"/>
                <w:color w:val="221F1F"/>
                <w:spacing w:val="3"/>
                <w:sz w:val="22"/>
              </w:rPr>
              <w:t>/</w:t>
            </w:r>
            <w:r>
              <w:rPr>
                <w:rFonts w:ascii="微軟正黑體" w:eastAsia="微軟正黑體" w:hint="eastAsia"/>
                <w:color w:val="221F1F"/>
                <w:spacing w:val="-12"/>
                <w:sz w:val="22"/>
              </w:rPr>
              <w:t>所</w:t>
            </w:r>
            <w:r>
              <w:rPr>
                <w:rFonts w:ascii="微軟正黑體" w:eastAsia="微軟正黑體" w:hint="eastAsia"/>
                <w:color w:val="221F1F"/>
                <w:spacing w:val="-11"/>
                <w:sz w:val="22"/>
              </w:rPr>
              <w:t>派員入監為收容人進行「出監準備</w:t>
            </w:r>
            <w:r>
              <w:rPr>
                <w:rFonts w:ascii="微軟正黑體" w:eastAsia="微軟正黑體" w:hint="eastAsia"/>
                <w:color w:val="221F1F"/>
                <w:sz w:val="22"/>
              </w:rPr>
              <w:t>服務」</w:t>
            </w:r>
          </w:p>
          <w:p>
            <w:pPr>
              <w:pStyle w:val="TableParagraph"/>
              <w:numPr>
                <w:ilvl w:val="0"/>
                <w:numId w:val="141"/>
              </w:numPr>
              <w:tabs>
                <w:tab w:pos="426" w:val="left" w:leader="none"/>
              </w:tabs>
              <w:spacing w:line="237" w:lineRule="auto" w:before="0" w:after="0"/>
              <w:ind w:left="425" w:right="92" w:hanging="284"/>
              <w:jc w:val="both"/>
              <w:rPr>
                <w:rFonts w:ascii="微軟正黑體" w:eastAsia="微軟正黑體" w:hint="eastAsia"/>
                <w:sz w:val="22"/>
              </w:rPr>
            </w:pPr>
            <w:r>
              <w:rPr>
                <w:rFonts w:ascii="微軟正黑體" w:eastAsia="微軟正黑體" w:hint="eastAsia"/>
                <w:color w:val="221F1F"/>
                <w:sz w:val="22"/>
              </w:rPr>
              <w:t>與地方衛生局/</w:t>
            </w:r>
            <w:r>
              <w:rPr>
                <w:rFonts w:ascii="微軟正黑體" w:eastAsia="微軟正黑體" w:hint="eastAsia"/>
                <w:color w:val="221F1F"/>
                <w:spacing w:val="-2"/>
                <w:sz w:val="22"/>
              </w:rPr>
              <w:t>所協調排定時間， </w:t>
            </w:r>
            <w:r>
              <w:rPr>
                <w:rFonts w:ascii="微軟正黑體" w:eastAsia="微軟正黑體" w:hint="eastAsia"/>
                <w:color w:val="221F1F"/>
                <w:spacing w:val="-3"/>
                <w:sz w:val="22"/>
              </w:rPr>
              <w:t>辦理接觸者衛教及檢查等事宜</w:t>
            </w:r>
          </w:p>
        </w:tc>
        <w:tc>
          <w:tcPr>
            <w:tcW w:w="3754" w:type="dxa"/>
            <w:tcBorders>
              <w:right w:val="single" w:sz="6" w:space="0" w:color="000000"/>
            </w:tcBorders>
          </w:tcPr>
          <w:p>
            <w:pPr>
              <w:pStyle w:val="TableParagraph"/>
              <w:spacing w:line="401" w:lineRule="exact" w:before="32"/>
              <w:ind w:left="355"/>
              <w:rPr>
                <w:rFonts w:ascii="微軟正黑體" w:eastAsia="微軟正黑體" w:hint="eastAsia"/>
                <w:sz w:val="22"/>
              </w:rPr>
            </w:pPr>
            <w:r>
              <w:rPr>
                <w:rFonts w:ascii="微軟正黑體" w:eastAsia="微軟正黑體" w:hint="eastAsia"/>
                <w:color w:val="221F1F"/>
                <w:spacing w:val="-3"/>
                <w:sz w:val="22"/>
              </w:rPr>
              <w:t>業：</w:t>
            </w:r>
          </w:p>
          <w:p>
            <w:pPr>
              <w:pStyle w:val="TableParagraph"/>
              <w:numPr>
                <w:ilvl w:val="0"/>
                <w:numId w:val="142"/>
              </w:numPr>
              <w:tabs>
                <w:tab w:pos="589" w:val="left" w:leader="none"/>
              </w:tabs>
              <w:spacing w:line="237" w:lineRule="auto" w:before="0" w:after="0"/>
              <w:ind w:left="588" w:right="69" w:hanging="480"/>
              <w:jc w:val="both"/>
              <w:rPr>
                <w:rFonts w:ascii="微軟正黑體" w:eastAsia="微軟正黑體" w:hint="eastAsia"/>
                <w:sz w:val="22"/>
              </w:rPr>
            </w:pPr>
            <w:r>
              <w:rPr>
                <w:rFonts w:ascii="微軟正黑體" w:eastAsia="微軟正黑體" w:hint="eastAsia"/>
                <w:color w:val="221F1F"/>
                <w:spacing w:val="-3"/>
                <w:sz w:val="22"/>
              </w:rPr>
              <w:t>針對新入監</w:t>
            </w:r>
            <w:r>
              <w:rPr>
                <w:rFonts w:ascii="微軟正黑體" w:eastAsia="微軟正黑體" w:hint="eastAsia"/>
                <w:color w:val="221F1F"/>
                <w:spacing w:val="-4"/>
                <w:sz w:val="22"/>
              </w:rPr>
              <w:t>/</w:t>
            </w:r>
            <w:r>
              <w:rPr>
                <w:rFonts w:ascii="微軟正黑體" w:eastAsia="微軟正黑體" w:hint="eastAsia"/>
                <w:color w:val="221F1F"/>
                <w:spacing w:val="-7"/>
                <w:sz w:val="22"/>
              </w:rPr>
              <w:t>移監者，儘可能於 </w:t>
            </w:r>
            <w:r>
              <w:rPr>
                <w:rFonts w:ascii="微軟正黑體" w:eastAsia="微軟正黑體" w:hint="eastAsia"/>
                <w:color w:val="221F1F"/>
                <w:sz w:val="22"/>
              </w:rPr>
              <w:t>1 </w:t>
            </w:r>
            <w:r>
              <w:rPr>
                <w:rFonts w:ascii="微軟正黑體" w:eastAsia="微軟正黑體" w:hint="eastAsia"/>
                <w:color w:val="221F1F"/>
                <w:spacing w:val="-4"/>
                <w:sz w:val="22"/>
              </w:rPr>
              <w:t>個工作日內聯絡矯正機關該個案</w:t>
            </w:r>
            <w:r>
              <w:rPr>
                <w:rFonts w:ascii="微軟正黑體" w:eastAsia="微軟正黑體" w:hint="eastAsia"/>
                <w:color w:val="221F1F"/>
                <w:spacing w:val="-5"/>
                <w:sz w:val="22"/>
              </w:rPr>
              <w:t>目前之疾病狀況與治療進度</w:t>
            </w:r>
          </w:p>
          <w:p>
            <w:pPr>
              <w:pStyle w:val="TableParagraph"/>
              <w:numPr>
                <w:ilvl w:val="0"/>
                <w:numId w:val="142"/>
              </w:numPr>
              <w:tabs>
                <w:tab w:pos="589" w:val="left" w:leader="none"/>
              </w:tabs>
              <w:spacing w:line="237" w:lineRule="auto" w:before="0" w:after="0"/>
              <w:ind w:left="588" w:right="58" w:hanging="480"/>
              <w:jc w:val="both"/>
              <w:rPr>
                <w:rFonts w:ascii="微軟正黑體" w:eastAsia="微軟正黑體" w:hint="eastAsia"/>
                <w:sz w:val="22"/>
              </w:rPr>
            </w:pPr>
            <w:r>
              <w:rPr>
                <w:rFonts w:ascii="微軟正黑體" w:eastAsia="微軟正黑體" w:hint="eastAsia"/>
                <w:color w:val="221F1F"/>
                <w:spacing w:val="-3"/>
                <w:sz w:val="22"/>
              </w:rPr>
              <w:t>針對出監之收容人應進行「出監</w:t>
            </w:r>
            <w:r>
              <w:rPr>
                <w:rFonts w:ascii="微軟正黑體" w:eastAsia="微軟正黑體" w:hint="eastAsia"/>
                <w:color w:val="221F1F"/>
                <w:spacing w:val="-20"/>
                <w:sz w:val="22"/>
              </w:rPr>
              <w:t>準備服務」</w:t>
            </w:r>
            <w:r>
              <w:rPr>
                <w:rFonts w:ascii="微軟正黑體" w:eastAsia="微軟正黑體" w:hint="eastAsia"/>
                <w:color w:val="221F1F"/>
                <w:spacing w:val="-3"/>
                <w:sz w:val="22"/>
              </w:rPr>
              <w:t>（</w:t>
            </w:r>
            <w:r>
              <w:rPr>
                <w:rFonts w:ascii="微軟正黑體" w:eastAsia="微軟正黑體" w:hint="eastAsia"/>
                <w:color w:val="221F1F"/>
                <w:spacing w:val="1"/>
                <w:sz w:val="22"/>
              </w:rPr>
              <w:t>附件 </w:t>
            </w:r>
            <w:r>
              <w:rPr>
                <w:rFonts w:ascii="微軟正黑體" w:eastAsia="微軟正黑體" w:hint="eastAsia"/>
                <w:color w:val="221F1F"/>
                <w:spacing w:val="-19"/>
                <w:sz w:val="22"/>
              </w:rPr>
              <w:t>7-9）</w:t>
            </w:r>
            <w:r>
              <w:rPr>
                <w:rFonts w:ascii="微軟正黑體" w:eastAsia="微軟正黑體" w:hint="eastAsia"/>
                <w:color w:val="221F1F"/>
                <w:spacing w:val="-7"/>
                <w:sz w:val="22"/>
              </w:rPr>
              <w:t>，確保收</w:t>
            </w:r>
            <w:r>
              <w:rPr>
                <w:rFonts w:ascii="微軟正黑體" w:eastAsia="微軟正黑體" w:hint="eastAsia"/>
                <w:color w:val="221F1F"/>
                <w:spacing w:val="7"/>
                <w:sz w:val="22"/>
              </w:rPr>
              <w:t>容人取得充分之醫療</w:t>
            </w:r>
            <w:r>
              <w:rPr>
                <w:rFonts w:ascii="微軟正黑體" w:eastAsia="微軟正黑體" w:hint="eastAsia"/>
                <w:color w:val="221F1F"/>
                <w:spacing w:val="8"/>
                <w:sz w:val="22"/>
              </w:rPr>
              <w:t>/</w:t>
            </w:r>
            <w:r>
              <w:rPr>
                <w:rFonts w:ascii="微軟正黑體" w:eastAsia="微軟正黑體" w:hint="eastAsia"/>
                <w:color w:val="221F1F"/>
                <w:spacing w:val="6"/>
                <w:sz w:val="22"/>
              </w:rPr>
              <w:t>公衛資源</w:t>
            </w:r>
            <w:r>
              <w:rPr>
                <w:rFonts w:ascii="微軟正黑體" w:eastAsia="微軟正黑體" w:hint="eastAsia"/>
                <w:color w:val="221F1F"/>
                <w:spacing w:val="-2"/>
                <w:sz w:val="22"/>
              </w:rPr>
              <w:t>資訊，俾於出監後可持續完成治療</w:t>
            </w:r>
          </w:p>
          <w:p>
            <w:pPr>
              <w:pStyle w:val="TableParagraph"/>
              <w:numPr>
                <w:ilvl w:val="0"/>
                <w:numId w:val="142"/>
              </w:numPr>
              <w:tabs>
                <w:tab w:pos="589" w:val="left" w:leader="none"/>
              </w:tabs>
              <w:spacing w:line="237" w:lineRule="auto" w:before="0" w:after="0"/>
              <w:ind w:left="588" w:right="69" w:hanging="480"/>
              <w:jc w:val="both"/>
              <w:rPr>
                <w:rFonts w:ascii="微軟正黑體" w:eastAsia="微軟正黑體" w:hint="eastAsia"/>
                <w:sz w:val="22"/>
              </w:rPr>
            </w:pPr>
            <w:r>
              <w:rPr>
                <w:rFonts w:ascii="微軟正黑體" w:eastAsia="微軟正黑體" w:hint="eastAsia"/>
                <w:color w:val="221F1F"/>
                <w:spacing w:val="-4"/>
                <w:sz w:val="22"/>
              </w:rPr>
              <w:t>若個案已出監，應設法詢問個案去向，並接續進行社區個案管理</w:t>
            </w:r>
            <w:r>
              <w:rPr>
                <w:rFonts w:ascii="微軟正黑體" w:eastAsia="微軟正黑體" w:hint="eastAsia"/>
                <w:color w:val="221F1F"/>
                <w:spacing w:val="-3"/>
                <w:sz w:val="22"/>
              </w:rPr>
              <w:t>工作</w:t>
            </w:r>
          </w:p>
        </w:tc>
      </w:tr>
    </w:tbl>
    <w:p>
      <w:pPr>
        <w:pStyle w:val="BodyText"/>
        <w:rPr>
          <w:rFonts w:ascii="Arial"/>
          <w:sz w:val="20"/>
        </w:rPr>
      </w:pPr>
    </w:p>
    <w:p>
      <w:pPr>
        <w:pStyle w:val="BodyText"/>
        <w:rPr>
          <w:rFonts w:ascii="Arial"/>
          <w:sz w:val="20"/>
        </w:rPr>
      </w:pPr>
    </w:p>
    <w:p>
      <w:pPr>
        <w:spacing w:line="401" w:lineRule="exact" w:before="175"/>
        <w:ind w:left="436" w:right="0" w:firstLine="0"/>
        <w:jc w:val="both"/>
        <w:rPr>
          <w:rFonts w:ascii="微軟正黑體" w:eastAsia="微軟正黑體" w:hint="eastAsia"/>
          <w:sz w:val="22"/>
        </w:rPr>
      </w:pPr>
      <w:r>
        <w:rPr>
          <w:rFonts w:ascii="微軟正黑體" w:eastAsia="微軟正黑體" w:hint="eastAsia"/>
          <w:color w:val="221F1F"/>
          <w:sz w:val="22"/>
        </w:rPr>
        <w:t>二、 人口密集機構</w:t>
      </w:r>
    </w:p>
    <w:p>
      <w:pPr>
        <w:spacing w:line="237" w:lineRule="auto" w:before="0"/>
        <w:ind w:left="916" w:right="1074" w:firstLine="0"/>
        <w:jc w:val="both"/>
        <w:rPr>
          <w:rFonts w:ascii="微軟正黑體" w:eastAsia="微軟正黑體" w:hint="eastAsia"/>
          <w:sz w:val="22"/>
        </w:rPr>
      </w:pPr>
      <w:r>
        <w:rPr/>
        <w:pict>
          <v:shape style="position:absolute;margin-left:94.823997pt;margin-top:56.984539pt;width:444.15pt;height:329.85pt;mso-position-horizontal-relative:page;mso-position-vertical-relative:paragraph;z-index:251800576"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8"/>
                    <w:gridCol w:w="3469"/>
                    <w:gridCol w:w="3472"/>
                  </w:tblGrid>
                  <w:tr>
                    <w:trPr>
                      <w:trHeight w:val="566" w:hRule="atLeast"/>
                    </w:trPr>
                    <w:tc>
                      <w:tcPr>
                        <w:tcW w:w="1928" w:type="dxa"/>
                        <w:shd w:val="clear" w:color="auto" w:fill="E8E8E8"/>
                      </w:tcPr>
                      <w:p>
                        <w:pPr>
                          <w:pStyle w:val="TableParagraph"/>
                          <w:spacing w:before="129"/>
                          <w:ind w:left="724" w:right="713"/>
                          <w:jc w:val="center"/>
                          <w:rPr>
                            <w:rFonts w:ascii="微軟正黑體" w:eastAsia="微軟正黑體" w:hint="eastAsia"/>
                            <w:b/>
                            <w:sz w:val="22"/>
                          </w:rPr>
                        </w:pPr>
                        <w:r>
                          <w:rPr>
                            <w:rFonts w:ascii="微軟正黑體" w:eastAsia="微軟正黑體" w:hint="eastAsia"/>
                            <w:b/>
                            <w:color w:val="221F1F"/>
                            <w:sz w:val="22"/>
                          </w:rPr>
                          <w:t>時程</w:t>
                        </w:r>
                      </w:p>
                    </w:tc>
                    <w:tc>
                      <w:tcPr>
                        <w:tcW w:w="3469" w:type="dxa"/>
                        <w:shd w:val="clear" w:color="auto" w:fill="E8E8E8"/>
                      </w:tcPr>
                      <w:p>
                        <w:pPr>
                          <w:pStyle w:val="TableParagraph"/>
                          <w:spacing w:before="129"/>
                          <w:ind w:left="1072"/>
                          <w:rPr>
                            <w:rFonts w:ascii="微軟正黑體" w:eastAsia="微軟正黑體" w:hint="eastAsia"/>
                            <w:b/>
                            <w:sz w:val="22"/>
                          </w:rPr>
                        </w:pPr>
                        <w:r>
                          <w:rPr>
                            <w:rFonts w:ascii="微軟正黑體" w:eastAsia="微軟正黑體" w:hint="eastAsia"/>
                            <w:b/>
                            <w:color w:val="221F1F"/>
                            <w:sz w:val="22"/>
                          </w:rPr>
                          <w:t>人口密集機構</w:t>
                        </w:r>
                      </w:p>
                    </w:tc>
                    <w:tc>
                      <w:tcPr>
                        <w:tcW w:w="3472" w:type="dxa"/>
                        <w:tcBorders>
                          <w:right w:val="single" w:sz="6" w:space="0" w:color="000000"/>
                        </w:tcBorders>
                        <w:shd w:val="clear" w:color="auto" w:fill="E8E8E8"/>
                      </w:tcPr>
                      <w:p>
                        <w:pPr>
                          <w:pStyle w:val="TableParagraph"/>
                          <w:spacing w:before="105"/>
                          <w:ind w:left="1274" w:right="1265"/>
                          <w:jc w:val="center"/>
                          <w:rPr>
                            <w:rFonts w:ascii="微軟正黑體" w:eastAsia="微軟正黑體" w:hint="eastAsia"/>
                            <w:b/>
                            <w:sz w:val="22"/>
                          </w:rPr>
                        </w:pPr>
                        <w:r>
                          <w:rPr>
                            <w:rFonts w:ascii="微軟正黑體" w:eastAsia="微軟正黑體" w:hint="eastAsia"/>
                            <w:b/>
                            <w:color w:val="221F1F"/>
                            <w:sz w:val="22"/>
                          </w:rPr>
                          <w:t>衛生單位</w:t>
                        </w:r>
                      </w:p>
                    </w:tc>
                  </w:tr>
                  <w:tr>
                    <w:trPr>
                      <w:trHeight w:val="6000" w:hRule="atLeast"/>
                    </w:trPr>
                    <w:tc>
                      <w:tcPr>
                        <w:tcW w:w="1928" w:type="dxa"/>
                      </w:tcPr>
                      <w:p>
                        <w:pPr>
                          <w:pStyle w:val="TableParagraph"/>
                          <w:spacing w:before="208"/>
                          <w:ind w:left="110"/>
                          <w:rPr>
                            <w:rFonts w:ascii="微軟正黑體" w:eastAsia="微軟正黑體" w:hint="eastAsia"/>
                            <w:sz w:val="22"/>
                          </w:rPr>
                        </w:pPr>
                        <w:r>
                          <w:rPr>
                            <w:rFonts w:ascii="微軟正黑體" w:eastAsia="微軟正黑體" w:hint="eastAsia"/>
                            <w:color w:val="221F1F"/>
                            <w:sz w:val="22"/>
                          </w:rPr>
                          <w:t>平時作為</w:t>
                        </w:r>
                      </w:p>
                    </w:tc>
                    <w:tc>
                      <w:tcPr>
                        <w:tcW w:w="3469" w:type="dxa"/>
                      </w:tcPr>
                      <w:p>
                        <w:pPr>
                          <w:pStyle w:val="TableParagraph"/>
                          <w:numPr>
                            <w:ilvl w:val="0"/>
                            <w:numId w:val="143"/>
                          </w:numPr>
                          <w:tabs>
                            <w:tab w:pos="389" w:val="left" w:leader="none"/>
                          </w:tabs>
                          <w:spacing w:line="237" w:lineRule="auto" w:before="31" w:after="0"/>
                          <w:ind w:left="388" w:right="9" w:hanging="284"/>
                          <w:jc w:val="both"/>
                          <w:rPr>
                            <w:rFonts w:ascii="微軟正黑體" w:eastAsia="微軟正黑體" w:hint="eastAsia"/>
                            <w:sz w:val="22"/>
                          </w:rPr>
                        </w:pPr>
                        <w:r>
                          <w:rPr>
                            <w:rFonts w:ascii="微軟正黑體" w:eastAsia="微軟正黑體" w:hint="eastAsia"/>
                            <w:color w:val="221F1F"/>
                            <w:spacing w:val="-5"/>
                            <w:sz w:val="22"/>
                          </w:rPr>
                          <w:t>機構安排住民至醫院進行檢查， </w:t>
                        </w:r>
                        <w:r>
                          <w:rPr>
                            <w:rFonts w:ascii="微軟正黑體" w:eastAsia="微軟正黑體" w:hint="eastAsia"/>
                            <w:color w:val="221F1F"/>
                            <w:spacing w:val="8"/>
                            <w:sz w:val="22"/>
                          </w:rPr>
                          <w:t>員工健康管理視同醫院感染管</w:t>
                        </w:r>
                        <w:r>
                          <w:rPr>
                            <w:rFonts w:ascii="微軟正黑體" w:eastAsia="微軟正黑體" w:hint="eastAsia"/>
                            <w:color w:val="221F1F"/>
                            <w:spacing w:val="-11"/>
                            <w:sz w:val="22"/>
                          </w:rPr>
                          <w:t>制，入住前及每年應安排至少一</w:t>
                        </w:r>
                        <w:r>
                          <w:rPr>
                            <w:rFonts w:ascii="微軟正黑體" w:eastAsia="微軟正黑體" w:hint="eastAsia"/>
                            <w:color w:val="221F1F"/>
                            <w:spacing w:val="4"/>
                            <w:sz w:val="22"/>
                          </w:rPr>
                          <w:t>次胸部 </w:t>
                        </w:r>
                        <w:r>
                          <w:rPr>
                            <w:rFonts w:ascii="微軟正黑體" w:eastAsia="微軟正黑體" w:hint="eastAsia"/>
                            <w:color w:val="221F1F"/>
                            <w:sz w:val="22"/>
                          </w:rPr>
                          <w:t>X  光檢查，並妥適保存檢查結果</w:t>
                        </w:r>
                      </w:p>
                      <w:p>
                        <w:pPr>
                          <w:pStyle w:val="TableParagraph"/>
                          <w:numPr>
                            <w:ilvl w:val="0"/>
                            <w:numId w:val="143"/>
                          </w:numPr>
                          <w:tabs>
                            <w:tab w:pos="389" w:val="left" w:leader="none"/>
                          </w:tabs>
                          <w:spacing w:line="237" w:lineRule="auto" w:before="0" w:after="0"/>
                          <w:ind w:left="388" w:right="64" w:hanging="284"/>
                          <w:jc w:val="both"/>
                          <w:rPr>
                            <w:rFonts w:ascii="微軟正黑體" w:eastAsia="微軟正黑體" w:hint="eastAsia"/>
                            <w:sz w:val="22"/>
                          </w:rPr>
                        </w:pPr>
                        <w:r>
                          <w:rPr>
                            <w:rFonts w:ascii="微軟正黑體" w:eastAsia="微軟正黑體" w:hint="eastAsia"/>
                            <w:color w:val="221F1F"/>
                            <w:sz w:val="22"/>
                          </w:rPr>
                          <w:t>如有咳嗽超過 2</w:t>
                        </w:r>
                        <w:r>
                          <w:rPr>
                            <w:rFonts w:ascii="微軟正黑體" w:eastAsia="微軟正黑體" w:hint="eastAsia"/>
                            <w:color w:val="221F1F"/>
                            <w:spacing w:val="-3"/>
                            <w:sz w:val="22"/>
                          </w:rPr>
                          <w:t> 週，應給予住</w:t>
                        </w:r>
                        <w:r>
                          <w:rPr>
                            <w:rFonts w:ascii="微軟正黑體" w:eastAsia="微軟正黑體" w:hint="eastAsia"/>
                            <w:color w:val="221F1F"/>
                            <w:spacing w:val="8"/>
                            <w:sz w:val="22"/>
                          </w:rPr>
                          <w:t>民佩戴醫療級以上口罩或安置</w:t>
                        </w:r>
                        <w:r>
                          <w:rPr>
                            <w:rFonts w:ascii="微軟正黑體" w:eastAsia="微軟正黑體" w:hint="eastAsia"/>
                            <w:color w:val="221F1F"/>
                            <w:spacing w:val="-10"/>
                            <w:sz w:val="22"/>
                          </w:rPr>
                          <w:t>於隔離病室，並儘速安排就醫檢</w:t>
                        </w:r>
                        <w:r>
                          <w:rPr>
                            <w:rFonts w:ascii="微軟正黑體" w:eastAsia="微軟正黑體" w:hint="eastAsia"/>
                            <w:color w:val="221F1F"/>
                            <w:sz w:val="22"/>
                          </w:rPr>
                          <w:t>查</w:t>
                        </w:r>
                      </w:p>
                      <w:p>
                        <w:pPr>
                          <w:pStyle w:val="TableParagraph"/>
                          <w:numPr>
                            <w:ilvl w:val="0"/>
                            <w:numId w:val="143"/>
                          </w:numPr>
                          <w:tabs>
                            <w:tab w:pos="389" w:val="left" w:leader="none"/>
                          </w:tabs>
                          <w:spacing w:line="237" w:lineRule="auto" w:before="0" w:after="0"/>
                          <w:ind w:left="388" w:right="64" w:hanging="284"/>
                          <w:jc w:val="both"/>
                          <w:rPr>
                            <w:rFonts w:ascii="微軟正黑體" w:eastAsia="微軟正黑體" w:hint="eastAsia"/>
                            <w:sz w:val="22"/>
                          </w:rPr>
                        </w:pPr>
                        <w:r>
                          <w:rPr>
                            <w:rFonts w:ascii="微軟正黑體" w:eastAsia="微軟正黑體" w:hint="eastAsia"/>
                            <w:color w:val="221F1F"/>
                            <w:spacing w:val="-11"/>
                            <w:sz w:val="22"/>
                          </w:rPr>
                          <w:t>保持室內空氣流通，並監測室內</w:t>
                        </w:r>
                        <w:r>
                          <w:rPr>
                            <w:rFonts w:ascii="微軟正黑體" w:eastAsia="微軟正黑體" w:hint="eastAsia"/>
                            <w:color w:val="221F1F"/>
                            <w:sz w:val="22"/>
                          </w:rPr>
                          <w:t>空氣品質</w:t>
                        </w:r>
                      </w:p>
                      <w:p>
                        <w:pPr>
                          <w:pStyle w:val="TableParagraph"/>
                          <w:numPr>
                            <w:ilvl w:val="0"/>
                            <w:numId w:val="143"/>
                          </w:numPr>
                          <w:tabs>
                            <w:tab w:pos="389" w:val="left" w:leader="none"/>
                          </w:tabs>
                          <w:spacing w:line="398" w:lineRule="exact" w:before="0" w:after="0"/>
                          <w:ind w:left="388" w:right="0" w:hanging="284"/>
                          <w:jc w:val="both"/>
                          <w:rPr>
                            <w:rFonts w:ascii="微軟正黑體" w:eastAsia="微軟正黑體" w:hint="eastAsia"/>
                            <w:sz w:val="22"/>
                          </w:rPr>
                        </w:pPr>
                        <w:r>
                          <w:rPr>
                            <w:rFonts w:ascii="微軟正黑體" w:eastAsia="微軟正黑體" w:hint="eastAsia"/>
                            <w:color w:val="221F1F"/>
                            <w:spacing w:val="-11"/>
                            <w:sz w:val="22"/>
                          </w:rPr>
                          <w:t>留存住民轉床、體檢等各項紀錄</w:t>
                        </w:r>
                      </w:p>
                      <w:p>
                        <w:pPr>
                          <w:pStyle w:val="TableParagraph"/>
                          <w:numPr>
                            <w:ilvl w:val="0"/>
                            <w:numId w:val="143"/>
                          </w:numPr>
                          <w:tabs>
                            <w:tab w:pos="389" w:val="left" w:leader="none"/>
                          </w:tabs>
                          <w:spacing w:line="237" w:lineRule="auto" w:before="0" w:after="0"/>
                          <w:ind w:left="388" w:right="67" w:hanging="284"/>
                          <w:jc w:val="both"/>
                          <w:rPr>
                            <w:rFonts w:ascii="微軟正黑體" w:eastAsia="微軟正黑體" w:hint="eastAsia"/>
                            <w:sz w:val="22"/>
                          </w:rPr>
                        </w:pPr>
                        <w:r>
                          <w:rPr>
                            <w:rFonts w:ascii="微軟正黑體" w:eastAsia="微軟正黑體" w:hint="eastAsia"/>
                            <w:color w:val="221F1F"/>
                            <w:spacing w:val="8"/>
                            <w:sz w:val="22"/>
                          </w:rPr>
                          <w:t>配合衛生主管機關辦理感染管制查核作業</w:t>
                        </w:r>
                      </w:p>
                      <w:p>
                        <w:pPr>
                          <w:pStyle w:val="TableParagraph"/>
                          <w:numPr>
                            <w:ilvl w:val="0"/>
                            <w:numId w:val="143"/>
                          </w:numPr>
                          <w:tabs>
                            <w:tab w:pos="389" w:val="left" w:leader="none"/>
                          </w:tabs>
                          <w:spacing w:line="347" w:lineRule="exact" w:before="0" w:after="0"/>
                          <w:ind w:left="388" w:right="0" w:hanging="284"/>
                          <w:jc w:val="both"/>
                          <w:rPr>
                            <w:rFonts w:ascii="微軟正黑體" w:eastAsia="微軟正黑體" w:hint="eastAsia"/>
                            <w:sz w:val="22"/>
                          </w:rPr>
                        </w:pPr>
                        <w:r>
                          <w:rPr>
                            <w:rFonts w:ascii="微軟正黑體" w:eastAsia="微軟正黑體" w:hint="eastAsia"/>
                            <w:color w:val="221F1F"/>
                            <w:spacing w:val="8"/>
                            <w:sz w:val="22"/>
                          </w:rPr>
                          <w:t>積極參與長照機構潛伏結核感</w:t>
                        </w:r>
                      </w:p>
                    </w:tc>
                    <w:tc>
                      <w:tcPr>
                        <w:tcW w:w="3472" w:type="dxa"/>
                        <w:tcBorders>
                          <w:right w:val="single" w:sz="6" w:space="0" w:color="000000"/>
                        </w:tcBorders>
                      </w:tcPr>
                      <w:p>
                        <w:pPr>
                          <w:pStyle w:val="TableParagraph"/>
                          <w:numPr>
                            <w:ilvl w:val="0"/>
                            <w:numId w:val="144"/>
                          </w:numPr>
                          <w:tabs>
                            <w:tab w:pos="407" w:val="left" w:leader="none"/>
                          </w:tabs>
                          <w:spacing w:line="397" w:lineRule="exact" w:before="50" w:after="0"/>
                          <w:ind w:left="406" w:right="0" w:hanging="301"/>
                          <w:jc w:val="both"/>
                          <w:rPr>
                            <w:rFonts w:ascii="微軟正黑體" w:eastAsia="微軟正黑體" w:hint="eastAsia"/>
                            <w:sz w:val="22"/>
                          </w:rPr>
                        </w:pPr>
                        <w:r>
                          <w:rPr>
                            <w:rFonts w:ascii="微軟正黑體" w:eastAsia="微軟正黑體" w:hint="eastAsia"/>
                            <w:color w:val="221F1F"/>
                            <w:spacing w:val="-3"/>
                            <w:position w:val="1"/>
                            <w:sz w:val="22"/>
                          </w:rPr>
                          <w:t>監控是否發生疑似聚集事件</w:t>
                        </w:r>
                      </w:p>
                      <w:p>
                        <w:pPr>
                          <w:pStyle w:val="TableParagraph"/>
                          <w:numPr>
                            <w:ilvl w:val="0"/>
                            <w:numId w:val="144"/>
                          </w:numPr>
                          <w:tabs>
                            <w:tab w:pos="407" w:val="left" w:leader="none"/>
                          </w:tabs>
                          <w:spacing w:line="230" w:lineRule="auto" w:before="0" w:after="0"/>
                          <w:ind w:left="406" w:right="73" w:hanging="300"/>
                          <w:jc w:val="both"/>
                          <w:rPr>
                            <w:rFonts w:ascii="微軟正黑體" w:eastAsia="微軟正黑體" w:hint="eastAsia"/>
                            <w:sz w:val="22"/>
                          </w:rPr>
                        </w:pPr>
                        <w:r>
                          <w:rPr>
                            <w:rFonts w:ascii="微軟正黑體" w:eastAsia="微軟正黑體" w:hint="eastAsia"/>
                            <w:color w:val="221F1F"/>
                            <w:spacing w:val="21"/>
                            <w:sz w:val="22"/>
                          </w:rPr>
                          <w:t>辦 理 長 照機構加入潛伏結</w:t>
                        </w:r>
                        <w:r>
                          <w:rPr>
                            <w:rFonts w:ascii="微軟正黑體" w:eastAsia="微軟正黑體" w:hint="eastAsia"/>
                            <w:color w:val="221F1F"/>
                            <w:spacing w:val="3"/>
                            <w:sz w:val="22"/>
                          </w:rPr>
                          <w:t>核感染檢驗與治療計畫，計畫</w:t>
                        </w:r>
                        <w:r>
                          <w:rPr>
                            <w:rFonts w:ascii="微軟正黑體" w:eastAsia="微軟正黑體" w:hint="eastAsia"/>
                            <w:color w:val="221F1F"/>
                            <w:spacing w:val="-12"/>
                            <w:sz w:val="22"/>
                          </w:rPr>
                          <w:t>規範詳見工作手冊第三章「潛伏</w:t>
                        </w:r>
                        <w:r>
                          <w:rPr>
                            <w:rFonts w:ascii="微軟正黑體" w:eastAsia="微軟正黑體" w:hint="eastAsia"/>
                            <w:color w:val="221F1F"/>
                            <w:spacing w:val="-2"/>
                            <w:sz w:val="22"/>
                          </w:rPr>
                          <w:t>結核感染診斷及治療」</w:t>
                        </w:r>
                      </w:p>
                    </w:tc>
                  </w:tr>
                </w:tbl>
                <w:p>
                  <w:pPr>
                    <w:pStyle w:val="BodyText"/>
                  </w:pPr>
                </w:p>
              </w:txbxContent>
            </v:textbox>
            <w10:wrap type="none"/>
          </v:shape>
        </w:pict>
      </w:r>
      <w:r>
        <w:rPr>
          <w:rFonts w:ascii="微軟正黑體" w:eastAsia="微軟正黑體" w:hint="eastAsia"/>
          <w:color w:val="221F1F"/>
          <w:spacing w:val="-14"/>
          <w:sz w:val="22"/>
        </w:rPr>
        <w:t>泛指安養機構、養護機構、長期照顧機構、精神照護機構、榮民之家等機構，結核病相關作為</w:t>
      </w:r>
      <w:r>
        <w:rPr>
          <w:rFonts w:ascii="微軟正黑體" w:eastAsia="微軟正黑體" w:hint="eastAsia"/>
          <w:color w:val="221F1F"/>
          <w:spacing w:val="-15"/>
          <w:sz w:val="22"/>
        </w:rPr>
        <w:t>請參考「人口密集機構辦理結核病防治事項自我檢核表」</w:t>
      </w:r>
      <w:r>
        <w:rPr>
          <w:rFonts w:ascii="微軟正黑體" w:eastAsia="微軟正黑體" w:hint="eastAsia"/>
          <w:color w:val="221F1F"/>
          <w:spacing w:val="-3"/>
          <w:sz w:val="22"/>
        </w:rPr>
        <w:t>（</w:t>
      </w:r>
      <w:r>
        <w:rPr>
          <w:rFonts w:ascii="微軟正黑體" w:eastAsia="微軟正黑體" w:hint="eastAsia"/>
          <w:color w:val="221F1F"/>
          <w:spacing w:val="5"/>
          <w:sz w:val="22"/>
        </w:rPr>
        <w:t>附件 </w:t>
      </w:r>
      <w:r>
        <w:rPr>
          <w:rFonts w:ascii="微軟正黑體" w:eastAsia="微軟正黑體" w:hint="eastAsia"/>
          <w:color w:val="221F1F"/>
          <w:spacing w:val="-12"/>
          <w:sz w:val="22"/>
        </w:rPr>
        <w:t>7-10）</w:t>
      </w:r>
      <w:r>
        <w:rPr>
          <w:rFonts w:ascii="微軟正黑體" w:eastAsia="微軟正黑體" w:hint="eastAsia"/>
          <w:color w:val="221F1F"/>
          <w:spacing w:val="-6"/>
          <w:sz w:val="22"/>
        </w:rPr>
        <w:t>及感染管制相關措施， 辦理請參閱疾管署全球資訊網</w:t>
      </w:r>
      <w:r>
        <w:rPr>
          <w:rFonts w:ascii="微軟正黑體" w:eastAsia="微軟正黑體" w:hint="eastAsia"/>
          <w:color w:val="221F1F"/>
          <w:sz w:val="22"/>
        </w:rPr>
        <w:t>（</w:t>
      </w:r>
      <w:r>
        <w:rPr>
          <w:rFonts w:ascii="微軟正黑體" w:eastAsia="微軟正黑體" w:hint="eastAsia"/>
          <w:color w:val="221F1F"/>
          <w:spacing w:val="-2"/>
          <w:sz w:val="22"/>
        </w:rPr>
        <w:t>路徑：首頁&gt;傳染病與防疫專題&gt;長期照護機構感染管制</w:t>
      </w:r>
      <w:r>
        <w:rPr>
          <w:rFonts w:ascii="微軟正黑體" w:eastAsia="微軟正黑體" w:hint="eastAsia"/>
          <w:color w:val="221F1F"/>
          <w:sz w:val="22"/>
        </w:rPr>
        <w:t>）</w:t>
      </w:r>
      <w:r>
        <w:rPr>
          <w:rFonts w:ascii="微軟正黑體" w:eastAsia="微軟正黑體" w:hint="eastAsia"/>
          <w:color w:val="221F1F"/>
          <w:spacing w:val="-14"/>
          <w:sz w:val="22"/>
        </w:rPr>
        <w:t>。</w:t>
      </w: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rPr>
          <w:rFonts w:ascii="微軟正黑體"/>
          <w:sz w:val="28"/>
        </w:rPr>
      </w:pPr>
    </w:p>
    <w:p>
      <w:pPr>
        <w:pStyle w:val="BodyText"/>
        <w:spacing w:before="13"/>
        <w:rPr>
          <w:rFonts w:ascii="微軟正黑體"/>
          <w:sz w:val="33"/>
        </w:rPr>
      </w:pPr>
    </w:p>
    <w:p>
      <w:pPr>
        <w:spacing w:before="0"/>
        <w:ind w:left="0" w:right="303" w:firstLine="0"/>
        <w:jc w:val="right"/>
        <w:rPr>
          <w:rFonts w:ascii="Arial"/>
          <w:sz w:val="16"/>
        </w:rPr>
      </w:pPr>
      <w:r>
        <w:rPr>
          <w:rFonts w:ascii="Arial"/>
          <w:color w:val="221F1F"/>
          <w:sz w:val="16"/>
        </w:rPr>
        <w:t>12</w:t>
      </w:r>
    </w:p>
    <w:p>
      <w:pPr>
        <w:spacing w:after="0"/>
        <w:jc w:val="right"/>
        <w:rPr>
          <w:rFonts w:ascii="Arial"/>
          <w:sz w:val="16"/>
        </w:rPr>
        <w:sectPr>
          <w:pgSz w:w="11910" w:h="16840"/>
          <w:pgMar w:top="1120" w:bottom="280" w:left="980" w:right="2"/>
        </w:sectPr>
      </w:pPr>
    </w:p>
    <w:tbl>
      <w:tblPr>
        <w:tblW w:w="0" w:type="auto"/>
        <w:jc w:val="left"/>
        <w:tblInd w:w="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8"/>
        <w:gridCol w:w="3469"/>
        <w:gridCol w:w="3472"/>
      </w:tblGrid>
      <w:tr>
        <w:trPr>
          <w:trHeight w:val="568" w:hRule="atLeast"/>
        </w:trPr>
        <w:tc>
          <w:tcPr>
            <w:tcW w:w="1928" w:type="dxa"/>
            <w:shd w:val="clear" w:color="auto" w:fill="E8E8E8"/>
          </w:tcPr>
          <w:p>
            <w:pPr>
              <w:pStyle w:val="TableParagraph"/>
              <w:spacing w:before="126"/>
              <w:ind w:left="724" w:right="713"/>
              <w:jc w:val="center"/>
              <w:rPr>
                <w:rFonts w:ascii="微軟正黑體" w:eastAsia="微軟正黑體" w:hint="eastAsia"/>
                <w:b/>
                <w:sz w:val="22"/>
              </w:rPr>
            </w:pPr>
            <w:r>
              <w:rPr>
                <w:rFonts w:ascii="微軟正黑體" w:eastAsia="微軟正黑體" w:hint="eastAsia"/>
                <w:b/>
                <w:color w:val="221F1F"/>
                <w:sz w:val="22"/>
              </w:rPr>
              <w:t>時程</w:t>
            </w:r>
          </w:p>
        </w:tc>
        <w:tc>
          <w:tcPr>
            <w:tcW w:w="3469" w:type="dxa"/>
            <w:shd w:val="clear" w:color="auto" w:fill="E8E8E8"/>
          </w:tcPr>
          <w:p>
            <w:pPr>
              <w:pStyle w:val="TableParagraph"/>
              <w:spacing w:before="126"/>
              <w:ind w:left="380" w:right="372"/>
              <w:jc w:val="center"/>
              <w:rPr>
                <w:rFonts w:ascii="微軟正黑體" w:eastAsia="微軟正黑體" w:hint="eastAsia"/>
                <w:b/>
                <w:sz w:val="22"/>
              </w:rPr>
            </w:pPr>
            <w:r>
              <w:rPr>
                <w:rFonts w:ascii="微軟正黑體" w:eastAsia="微軟正黑體" w:hint="eastAsia"/>
                <w:b/>
                <w:color w:val="221F1F"/>
                <w:sz w:val="22"/>
              </w:rPr>
              <w:t>人口密集機構</w:t>
            </w:r>
          </w:p>
        </w:tc>
        <w:tc>
          <w:tcPr>
            <w:tcW w:w="3472" w:type="dxa"/>
            <w:tcBorders>
              <w:right w:val="single" w:sz="6" w:space="0" w:color="000000"/>
            </w:tcBorders>
            <w:shd w:val="clear" w:color="auto" w:fill="E8E8E8"/>
          </w:tcPr>
          <w:p>
            <w:pPr>
              <w:pStyle w:val="TableParagraph"/>
              <w:spacing w:before="102"/>
              <w:ind w:left="1274" w:right="1265"/>
              <w:jc w:val="center"/>
              <w:rPr>
                <w:rFonts w:ascii="微軟正黑體" w:eastAsia="微軟正黑體" w:hint="eastAsia"/>
                <w:b/>
                <w:sz w:val="22"/>
              </w:rPr>
            </w:pPr>
            <w:r>
              <w:rPr>
                <w:rFonts w:ascii="微軟正黑體" w:eastAsia="微軟正黑體" w:hint="eastAsia"/>
                <w:b/>
                <w:color w:val="221F1F"/>
                <w:sz w:val="22"/>
              </w:rPr>
              <w:t>衛生單位</w:t>
            </w:r>
          </w:p>
        </w:tc>
      </w:tr>
      <w:tr>
        <w:trPr>
          <w:trHeight w:val="400" w:hRule="atLeast"/>
        </w:trPr>
        <w:tc>
          <w:tcPr>
            <w:tcW w:w="1928" w:type="dxa"/>
          </w:tcPr>
          <w:p>
            <w:pPr>
              <w:pStyle w:val="TableParagraph"/>
              <w:rPr>
                <w:rFonts w:ascii="Times New Roman"/>
                <w:sz w:val="22"/>
              </w:rPr>
            </w:pPr>
          </w:p>
        </w:tc>
        <w:tc>
          <w:tcPr>
            <w:tcW w:w="3469" w:type="dxa"/>
          </w:tcPr>
          <w:p>
            <w:pPr>
              <w:pStyle w:val="TableParagraph"/>
              <w:spacing w:line="357" w:lineRule="exact" w:before="23"/>
              <w:ind w:left="380" w:right="406"/>
              <w:jc w:val="center"/>
              <w:rPr>
                <w:rFonts w:ascii="微軟正黑體" w:eastAsia="微軟正黑體" w:hint="eastAsia"/>
                <w:sz w:val="22"/>
              </w:rPr>
            </w:pPr>
            <w:r>
              <w:rPr>
                <w:rFonts w:ascii="微軟正黑體" w:eastAsia="微軟正黑體" w:hint="eastAsia"/>
                <w:color w:val="221F1F"/>
                <w:sz w:val="22"/>
              </w:rPr>
              <w:t>染（LTBI）檢驗與治療計畫</w:t>
            </w:r>
          </w:p>
        </w:tc>
        <w:tc>
          <w:tcPr>
            <w:tcW w:w="3472" w:type="dxa"/>
            <w:tcBorders>
              <w:right w:val="single" w:sz="6" w:space="0" w:color="000000"/>
            </w:tcBorders>
          </w:tcPr>
          <w:p>
            <w:pPr>
              <w:pStyle w:val="TableParagraph"/>
              <w:rPr>
                <w:rFonts w:ascii="Times New Roman"/>
                <w:sz w:val="22"/>
              </w:rPr>
            </w:pPr>
          </w:p>
        </w:tc>
      </w:tr>
      <w:tr>
        <w:trPr>
          <w:trHeight w:val="7380" w:hRule="atLeast"/>
        </w:trPr>
        <w:tc>
          <w:tcPr>
            <w:tcW w:w="1928" w:type="dxa"/>
          </w:tcPr>
          <w:p>
            <w:pPr>
              <w:pStyle w:val="TableParagraph"/>
              <w:spacing w:line="235" w:lineRule="auto" w:before="209"/>
              <w:ind w:left="110" w:right="96"/>
              <w:rPr>
                <w:rFonts w:ascii="微軟正黑體" w:eastAsia="微軟正黑體" w:hint="eastAsia"/>
                <w:sz w:val="22"/>
              </w:rPr>
            </w:pPr>
            <w:r>
              <w:rPr>
                <w:rFonts w:ascii="微軟正黑體" w:eastAsia="微軟正黑體" w:hint="eastAsia"/>
                <w:color w:val="221F1F"/>
                <w:sz w:val="22"/>
              </w:rPr>
              <w:t>出現疑似結核病病人者</w:t>
            </w:r>
          </w:p>
        </w:tc>
        <w:tc>
          <w:tcPr>
            <w:tcW w:w="3469" w:type="dxa"/>
          </w:tcPr>
          <w:p>
            <w:pPr>
              <w:pStyle w:val="TableParagraph"/>
              <w:numPr>
                <w:ilvl w:val="0"/>
                <w:numId w:val="145"/>
              </w:numPr>
              <w:tabs>
                <w:tab w:pos="389" w:val="left" w:leader="none"/>
              </w:tabs>
              <w:spacing w:line="228" w:lineRule="auto" w:before="36" w:after="0"/>
              <w:ind w:left="388" w:right="109" w:hanging="281"/>
              <w:jc w:val="both"/>
              <w:rPr>
                <w:rFonts w:ascii="微軟正黑體" w:eastAsia="微軟正黑體" w:hint="eastAsia"/>
                <w:sz w:val="22"/>
              </w:rPr>
            </w:pPr>
            <w:r>
              <w:rPr>
                <w:rFonts w:ascii="微軟正黑體" w:eastAsia="微軟正黑體" w:hint="eastAsia"/>
                <w:color w:val="221F1F"/>
                <w:spacing w:val="7"/>
                <w:sz w:val="22"/>
              </w:rPr>
              <w:t>通報之結核病個案</w:t>
            </w:r>
            <w:r>
              <w:rPr>
                <w:rFonts w:ascii="微軟正黑體" w:eastAsia="微軟正黑體" w:hint="eastAsia"/>
                <w:color w:val="221F1F"/>
                <w:spacing w:val="4"/>
                <w:sz w:val="22"/>
              </w:rPr>
              <w:t>（</w:t>
            </w:r>
            <w:r>
              <w:rPr>
                <w:rFonts w:ascii="微軟正黑體" w:eastAsia="微軟正黑體" w:hint="eastAsia"/>
                <w:color w:val="221F1F"/>
                <w:spacing w:val="2"/>
                <w:sz w:val="22"/>
              </w:rPr>
              <w:t>特別是痰</w:t>
            </w:r>
            <w:r>
              <w:rPr>
                <w:rFonts w:ascii="微軟正黑體" w:eastAsia="微軟正黑體" w:hint="eastAsia"/>
                <w:color w:val="221F1F"/>
                <w:spacing w:val="-3"/>
                <w:sz w:val="22"/>
              </w:rPr>
              <w:t>塗片陽性)，應轉呼吸道隔離病房治療，或採適當隔離措施</w:t>
            </w:r>
          </w:p>
          <w:p>
            <w:pPr>
              <w:pStyle w:val="TableParagraph"/>
              <w:numPr>
                <w:ilvl w:val="0"/>
                <w:numId w:val="145"/>
              </w:numPr>
              <w:tabs>
                <w:tab w:pos="389" w:val="left" w:leader="none"/>
              </w:tabs>
              <w:spacing w:line="396" w:lineRule="exact" w:before="25" w:after="0"/>
              <w:ind w:left="388" w:right="0" w:hanging="282"/>
              <w:jc w:val="both"/>
              <w:rPr>
                <w:rFonts w:ascii="微軟正黑體" w:eastAsia="微軟正黑體" w:hint="eastAsia"/>
                <w:sz w:val="22"/>
              </w:rPr>
            </w:pPr>
            <w:r>
              <w:rPr>
                <w:rFonts w:ascii="微軟正黑體" w:eastAsia="微軟正黑體" w:hint="eastAsia"/>
                <w:color w:val="221F1F"/>
                <w:position w:val="1"/>
                <w:sz w:val="22"/>
              </w:rPr>
              <w:t>安  排 接  受 直  接 觀  察 治 療</w:t>
            </w:r>
          </w:p>
          <w:p>
            <w:pPr>
              <w:pStyle w:val="TableParagraph"/>
              <w:spacing w:line="384" w:lineRule="exact"/>
              <w:ind w:left="388"/>
              <w:rPr>
                <w:rFonts w:ascii="微軟正黑體" w:eastAsia="微軟正黑體" w:hint="eastAsia"/>
                <w:sz w:val="22"/>
              </w:rPr>
            </w:pPr>
            <w:r>
              <w:rPr>
                <w:rFonts w:ascii="微軟正黑體" w:eastAsia="微軟正黑體" w:hint="eastAsia"/>
                <w:color w:val="221F1F"/>
                <w:sz w:val="22"/>
              </w:rPr>
              <w:t>（DOTS）</w:t>
            </w:r>
          </w:p>
          <w:p>
            <w:pPr>
              <w:pStyle w:val="TableParagraph"/>
              <w:numPr>
                <w:ilvl w:val="0"/>
                <w:numId w:val="145"/>
              </w:numPr>
              <w:tabs>
                <w:tab w:pos="389" w:val="left" w:leader="none"/>
              </w:tabs>
              <w:spacing w:line="228" w:lineRule="auto" w:before="11" w:after="0"/>
              <w:ind w:left="388" w:right="116" w:hanging="281"/>
              <w:jc w:val="both"/>
              <w:rPr>
                <w:rFonts w:ascii="微軟正黑體" w:eastAsia="微軟正黑體" w:hint="eastAsia"/>
                <w:sz w:val="22"/>
              </w:rPr>
            </w:pPr>
            <w:r>
              <w:rPr>
                <w:rFonts w:ascii="微軟正黑體" w:eastAsia="微軟正黑體" w:hint="eastAsia"/>
                <w:color w:val="221F1F"/>
                <w:spacing w:val="42"/>
                <w:sz w:val="22"/>
              </w:rPr>
              <w:t>主動提供結核病確診個案</w:t>
            </w:r>
            <w:r>
              <w:rPr>
                <w:rFonts w:ascii="微軟正黑體" w:eastAsia="微軟正黑體" w:hint="eastAsia"/>
                <w:color w:val="221F1F"/>
                <w:spacing w:val="1"/>
                <w:sz w:val="22"/>
              </w:rPr>
              <w:t>之接觸者資料予轄區衛生單位</w:t>
            </w:r>
            <w:r>
              <w:rPr>
                <w:rFonts w:ascii="微軟正黑體" w:eastAsia="微軟正黑體" w:hint="eastAsia"/>
                <w:color w:val="221F1F"/>
                <w:spacing w:val="31"/>
                <w:sz w:val="22"/>
              </w:rPr>
              <w:t>機構</w:t>
            </w:r>
          </w:p>
          <w:p>
            <w:pPr>
              <w:pStyle w:val="TableParagraph"/>
              <w:numPr>
                <w:ilvl w:val="0"/>
                <w:numId w:val="145"/>
              </w:numPr>
              <w:tabs>
                <w:tab w:pos="389" w:val="left" w:leader="none"/>
              </w:tabs>
              <w:spacing w:line="235" w:lineRule="auto" w:before="10" w:after="0"/>
              <w:ind w:left="388" w:right="109" w:hanging="281"/>
              <w:jc w:val="both"/>
              <w:rPr>
                <w:rFonts w:ascii="微軟正黑體" w:eastAsia="微軟正黑體" w:hint="eastAsia"/>
                <w:sz w:val="22"/>
              </w:rPr>
            </w:pPr>
            <w:r>
              <w:rPr>
                <w:rFonts w:ascii="微軟正黑體" w:eastAsia="微軟正黑體" w:hint="eastAsia"/>
                <w:color w:val="221F1F"/>
                <w:spacing w:val="37"/>
                <w:sz w:val="22"/>
              </w:rPr>
              <w:t>需比照接觸者檢查及醫 院</w:t>
            </w:r>
            <w:r>
              <w:rPr>
                <w:rFonts w:ascii="微軟正黑體" w:eastAsia="微軟正黑體" w:hint="eastAsia"/>
                <w:color w:val="221F1F"/>
                <w:spacing w:val="4"/>
                <w:sz w:val="22"/>
              </w:rPr>
              <w:t>感染管制相關規定，安排符合</w:t>
            </w:r>
            <w:r>
              <w:rPr>
                <w:rFonts w:ascii="微軟正黑體" w:eastAsia="微軟正黑體" w:hint="eastAsia"/>
                <w:color w:val="221F1F"/>
                <w:spacing w:val="42"/>
                <w:sz w:val="22"/>
              </w:rPr>
              <w:t>接觸者檢查定義之住民及</w:t>
            </w:r>
            <w:r>
              <w:rPr>
                <w:rFonts w:ascii="微軟正黑體" w:eastAsia="微軟正黑體" w:hint="eastAsia"/>
                <w:color w:val="221F1F"/>
                <w:spacing w:val="10"/>
                <w:sz w:val="22"/>
              </w:rPr>
              <w:t>工作人 員， 進 行 檢查及 追</w:t>
            </w:r>
            <w:r>
              <w:rPr>
                <w:rFonts w:ascii="微軟正黑體" w:eastAsia="微軟正黑體" w:hint="eastAsia"/>
                <w:color w:val="221F1F"/>
                <w:spacing w:val="22"/>
                <w:sz w:val="22"/>
              </w:rPr>
              <w:t>蹤，並於安排檢查前先與地</w:t>
            </w:r>
            <w:r>
              <w:rPr>
                <w:rFonts w:ascii="微軟正黑體" w:eastAsia="微軟正黑體" w:hint="eastAsia"/>
                <w:color w:val="221F1F"/>
                <w:sz w:val="22"/>
              </w:rPr>
              <w:t>方衛生局協調排定時間，辦理</w:t>
            </w:r>
            <w:r>
              <w:rPr>
                <w:rFonts w:ascii="微軟正黑體" w:eastAsia="微軟正黑體" w:hint="eastAsia"/>
                <w:color w:val="221F1F"/>
                <w:spacing w:val="-2"/>
                <w:sz w:val="22"/>
              </w:rPr>
              <w:t>接觸者衛教等事宜</w:t>
            </w:r>
          </w:p>
        </w:tc>
        <w:tc>
          <w:tcPr>
            <w:tcW w:w="3472" w:type="dxa"/>
            <w:tcBorders>
              <w:right w:val="single" w:sz="6" w:space="0" w:color="000000"/>
            </w:tcBorders>
          </w:tcPr>
          <w:p>
            <w:pPr>
              <w:pStyle w:val="TableParagraph"/>
              <w:numPr>
                <w:ilvl w:val="0"/>
                <w:numId w:val="146"/>
              </w:numPr>
              <w:tabs>
                <w:tab w:pos="407" w:val="left" w:leader="none"/>
              </w:tabs>
              <w:spacing w:line="235" w:lineRule="auto" w:before="28" w:after="0"/>
              <w:ind w:left="406" w:right="100" w:hanging="300"/>
              <w:jc w:val="both"/>
              <w:rPr>
                <w:rFonts w:ascii="微軟正黑體" w:eastAsia="微軟正黑體" w:hint="eastAsia"/>
                <w:sz w:val="22"/>
              </w:rPr>
            </w:pPr>
            <w:r>
              <w:rPr>
                <w:rFonts w:ascii="微軟正黑體" w:eastAsia="微軟正黑體" w:hint="eastAsia"/>
                <w:color w:val="221F1F"/>
                <w:spacing w:val="13"/>
                <w:sz w:val="22"/>
              </w:rPr>
              <w:t>擁擠、通風不佳會 大幅提升</w:t>
            </w:r>
            <w:r>
              <w:rPr>
                <w:rFonts w:ascii="微軟正黑體" w:eastAsia="微軟正黑體" w:hint="eastAsia"/>
                <w:color w:val="221F1F"/>
                <w:spacing w:val="14"/>
                <w:sz w:val="22"/>
              </w:rPr>
              <w:t>結核病傳播的風險， 因此， </w:t>
            </w:r>
            <w:r>
              <w:rPr>
                <w:rFonts w:ascii="微軟正黑體" w:eastAsia="微軟正黑體" w:hint="eastAsia"/>
                <w:color w:val="221F1F"/>
                <w:spacing w:val="24"/>
                <w:sz w:val="22"/>
              </w:rPr>
              <w:t>此 類單位之結核病個 案 管</w:t>
            </w:r>
            <w:r>
              <w:rPr>
                <w:rFonts w:ascii="微軟正黑體" w:eastAsia="微軟正黑體" w:hint="eastAsia"/>
                <w:color w:val="221F1F"/>
                <w:spacing w:val="19"/>
                <w:sz w:val="22"/>
              </w:rPr>
              <w:t>理、接觸者檢查方式及潛伏</w:t>
            </w:r>
            <w:r>
              <w:rPr>
                <w:rFonts w:ascii="微軟正黑體" w:eastAsia="微軟正黑體" w:hint="eastAsia"/>
                <w:color w:val="221F1F"/>
                <w:spacing w:val="9"/>
                <w:sz w:val="22"/>
              </w:rPr>
              <w:t>結核感染 治療，尤其 重要。</w:t>
            </w:r>
            <w:r>
              <w:rPr>
                <w:rFonts w:ascii="微軟正黑體" w:eastAsia="微軟正黑體" w:hint="eastAsia"/>
                <w:color w:val="221F1F"/>
                <w:spacing w:val="20"/>
                <w:sz w:val="22"/>
              </w:rPr>
              <w:t>詳細規範請參考工作手冊相</w:t>
            </w:r>
            <w:r>
              <w:rPr>
                <w:rFonts w:ascii="微軟正黑體" w:eastAsia="微軟正黑體" w:hint="eastAsia"/>
                <w:color w:val="221F1F"/>
                <w:sz w:val="22"/>
              </w:rPr>
              <w:t>關章節</w:t>
            </w:r>
          </w:p>
          <w:p>
            <w:pPr>
              <w:pStyle w:val="TableParagraph"/>
              <w:numPr>
                <w:ilvl w:val="0"/>
                <w:numId w:val="146"/>
              </w:numPr>
              <w:tabs>
                <w:tab w:pos="407" w:val="left" w:leader="none"/>
              </w:tabs>
              <w:spacing w:line="235" w:lineRule="auto" w:before="0" w:after="0"/>
              <w:ind w:left="406" w:right="66" w:hanging="300"/>
              <w:jc w:val="both"/>
              <w:rPr>
                <w:rFonts w:ascii="微軟正黑體" w:eastAsia="微軟正黑體" w:hint="eastAsia"/>
                <w:sz w:val="22"/>
              </w:rPr>
            </w:pPr>
            <w:r>
              <w:rPr>
                <w:rFonts w:ascii="微軟正黑體" w:eastAsia="微軟正黑體" w:hint="eastAsia"/>
                <w:color w:val="221F1F"/>
                <w:spacing w:val="40"/>
                <w:sz w:val="22"/>
              </w:rPr>
              <w:t>疫調後應確認指標個案的</w:t>
            </w:r>
            <w:r>
              <w:rPr>
                <w:rFonts w:ascii="微軟正黑體" w:eastAsia="微軟正黑體" w:hint="eastAsia"/>
                <w:color w:val="221F1F"/>
                <w:spacing w:val="23"/>
                <w:sz w:val="22"/>
              </w:rPr>
              <w:t>可傳染期， 並取得該期間工</w:t>
            </w:r>
            <w:r>
              <w:rPr>
                <w:rFonts w:ascii="微軟正黑體" w:eastAsia="微軟正黑體" w:hint="eastAsia"/>
                <w:color w:val="221F1F"/>
                <w:spacing w:val="12"/>
                <w:sz w:val="22"/>
              </w:rPr>
              <w:t>作人員</w:t>
            </w:r>
            <w:r>
              <w:rPr>
                <w:rFonts w:ascii="微軟正黑體" w:eastAsia="微軟正黑體" w:hint="eastAsia"/>
                <w:color w:val="221F1F"/>
                <w:spacing w:val="38"/>
                <w:sz w:val="22"/>
              </w:rPr>
              <w:t>（</w:t>
            </w:r>
            <w:r>
              <w:rPr>
                <w:rFonts w:ascii="微軟正黑體" w:eastAsia="微軟正黑體" w:hint="eastAsia"/>
                <w:color w:val="221F1F"/>
                <w:spacing w:val="27"/>
                <w:sz w:val="22"/>
              </w:rPr>
              <w:t>含離職者</w:t>
            </w:r>
            <w:r>
              <w:rPr>
                <w:rFonts w:ascii="微軟正黑體" w:eastAsia="微軟正黑體" w:hint="eastAsia"/>
                <w:color w:val="221F1F"/>
                <w:sz w:val="22"/>
              </w:rPr>
              <w:t>）</w:t>
            </w:r>
            <w:r>
              <w:rPr>
                <w:rFonts w:ascii="微軟正黑體" w:eastAsia="微軟正黑體" w:hint="eastAsia"/>
                <w:color w:val="221F1F"/>
                <w:spacing w:val="24"/>
                <w:sz w:val="22"/>
              </w:rPr>
              <w:t>的班表</w:t>
            </w:r>
            <w:r>
              <w:rPr>
                <w:rFonts w:ascii="微軟正黑體" w:eastAsia="微軟正黑體" w:hint="eastAsia"/>
                <w:color w:val="221F1F"/>
                <w:spacing w:val="5"/>
                <w:sz w:val="22"/>
              </w:rPr>
              <w:t>及出入院之同病室院民清單、</w:t>
            </w:r>
            <w:r>
              <w:rPr>
                <w:rFonts w:ascii="微軟正黑體" w:eastAsia="微軟正黑體" w:hint="eastAsia"/>
                <w:color w:val="221F1F"/>
                <w:spacing w:val="19"/>
                <w:sz w:val="22"/>
              </w:rPr>
              <w:t>轉床紀錄，以釐清符合接觸</w:t>
            </w:r>
            <w:r>
              <w:rPr>
                <w:rFonts w:ascii="微軟正黑體" w:eastAsia="微軟正黑體" w:hint="eastAsia"/>
                <w:color w:val="221F1F"/>
                <w:spacing w:val="21"/>
                <w:sz w:val="22"/>
              </w:rPr>
              <w:t>者檢查定義之對象</w:t>
            </w:r>
          </w:p>
          <w:p>
            <w:pPr>
              <w:pStyle w:val="TableParagraph"/>
              <w:numPr>
                <w:ilvl w:val="0"/>
                <w:numId w:val="146"/>
              </w:numPr>
              <w:tabs>
                <w:tab w:pos="407" w:val="left" w:leader="none"/>
              </w:tabs>
              <w:spacing w:line="220" w:lineRule="auto" w:before="1" w:after="0"/>
              <w:ind w:left="406" w:right="137" w:hanging="300"/>
              <w:jc w:val="both"/>
              <w:rPr>
                <w:rFonts w:ascii="微軟正黑體" w:eastAsia="微軟正黑體" w:hint="eastAsia"/>
                <w:sz w:val="22"/>
              </w:rPr>
            </w:pPr>
            <w:r>
              <w:rPr>
                <w:rFonts w:ascii="微軟正黑體" w:eastAsia="微軟正黑體" w:hint="eastAsia"/>
                <w:color w:val="221F1F"/>
                <w:spacing w:val="39"/>
                <w:sz w:val="22"/>
              </w:rPr>
              <w:t>安排檢查前先辦理團體或</w:t>
            </w:r>
            <w:r>
              <w:rPr>
                <w:rFonts w:ascii="微軟正黑體" w:eastAsia="微軟正黑體" w:hint="eastAsia"/>
                <w:color w:val="221F1F"/>
                <w:sz w:val="22"/>
              </w:rPr>
              <w:t>個人衛教</w:t>
            </w:r>
          </w:p>
          <w:p>
            <w:pPr>
              <w:pStyle w:val="TableParagraph"/>
              <w:numPr>
                <w:ilvl w:val="0"/>
                <w:numId w:val="146"/>
              </w:numPr>
              <w:tabs>
                <w:tab w:pos="407" w:val="left" w:leader="none"/>
              </w:tabs>
              <w:spacing w:line="228" w:lineRule="auto" w:before="20" w:after="0"/>
              <w:ind w:left="406" w:right="100" w:hanging="300"/>
              <w:jc w:val="both"/>
              <w:rPr>
                <w:rFonts w:ascii="微軟正黑體" w:eastAsia="微軟正黑體" w:hint="eastAsia"/>
                <w:sz w:val="22"/>
              </w:rPr>
            </w:pPr>
            <w:r>
              <w:rPr>
                <w:rFonts w:ascii="微軟正黑體" w:eastAsia="微軟正黑體" w:hint="eastAsia"/>
                <w:color w:val="221F1F"/>
                <w:spacing w:val="40"/>
                <w:sz w:val="22"/>
              </w:rPr>
              <w:t>追溯調查機構有無其他通</w:t>
            </w:r>
            <w:r>
              <w:rPr>
                <w:rFonts w:ascii="微軟正黑體" w:eastAsia="微軟正黑體" w:hint="eastAsia"/>
                <w:color w:val="221F1F"/>
                <w:spacing w:val="3"/>
                <w:sz w:val="22"/>
              </w:rPr>
              <w:t>報確診個案，有無疑似聚集事</w:t>
            </w:r>
            <w:r>
              <w:rPr>
                <w:rFonts w:ascii="微軟正黑體" w:eastAsia="微軟正黑體" w:hint="eastAsia"/>
                <w:color w:val="221F1F"/>
                <w:sz w:val="22"/>
              </w:rPr>
              <w:t>件</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0"/>
        <w:rPr>
          <w:rFonts w:ascii="Arial"/>
          <w:sz w:val="17"/>
        </w:rPr>
      </w:pPr>
    </w:p>
    <w:p>
      <w:pPr>
        <w:spacing w:before="95"/>
        <w:ind w:left="0" w:right="303" w:firstLine="0"/>
        <w:jc w:val="right"/>
        <w:rPr>
          <w:rFonts w:ascii="Arial"/>
          <w:sz w:val="16"/>
        </w:rPr>
      </w:pPr>
      <w:r>
        <w:rPr>
          <w:rFonts w:ascii="Arial"/>
          <w:color w:val="221F1F"/>
          <w:sz w:val="16"/>
        </w:rPr>
        <w:t>13</w:t>
      </w:r>
    </w:p>
    <w:p>
      <w:pPr>
        <w:spacing w:after="0"/>
        <w:jc w:val="right"/>
        <w:rPr>
          <w:rFonts w:ascii="Arial"/>
          <w:sz w:val="16"/>
        </w:rPr>
        <w:sectPr>
          <w:pgSz w:w="11910" w:h="16840"/>
          <w:pgMar w:top="1120" w:bottom="280" w:left="980" w:right="2"/>
        </w:sectPr>
      </w:pPr>
    </w:p>
    <w:p>
      <w:pPr>
        <w:pStyle w:val="Heading2"/>
        <w:spacing w:line="435" w:lineRule="exact" w:before="28"/>
        <w:jc w:val="both"/>
      </w:pPr>
      <w:r>
        <w:rPr>
          <w:color w:val="221F1F"/>
        </w:rPr>
        <w:t>肆、 傳染病防治法（108 年 6 月 19 日修正）相關條文：</w:t>
      </w:r>
    </w:p>
    <w:p>
      <w:pPr>
        <w:spacing w:line="237" w:lineRule="auto" w:before="0"/>
        <w:ind w:left="1005" w:right="1126" w:hanging="569"/>
        <w:jc w:val="both"/>
        <w:rPr>
          <w:rFonts w:ascii="微軟正黑體" w:eastAsia="微軟正黑體" w:hint="eastAsia"/>
          <w:sz w:val="22"/>
        </w:rPr>
      </w:pPr>
      <w:r>
        <w:rPr>
          <w:rFonts w:ascii="微軟正黑體" w:eastAsia="微軟正黑體" w:hint="eastAsia"/>
          <w:color w:val="221F1F"/>
          <w:spacing w:val="7"/>
          <w:sz w:val="22"/>
        </w:rPr>
        <w:t>一、 第 </w:t>
      </w:r>
      <w:r>
        <w:rPr>
          <w:rFonts w:ascii="微軟正黑體" w:eastAsia="微軟正黑體" w:hint="eastAsia"/>
          <w:color w:val="221F1F"/>
          <w:sz w:val="22"/>
        </w:rPr>
        <w:t>33</w:t>
      </w:r>
      <w:r>
        <w:rPr>
          <w:rFonts w:ascii="微軟正黑體" w:eastAsia="微軟正黑體" w:hint="eastAsia"/>
          <w:color w:val="221F1F"/>
          <w:spacing w:val="-12"/>
          <w:sz w:val="22"/>
        </w:rPr>
        <w:t> 條：「安養機構、養護機構、長期照顧機構、安置</w:t>
      </w:r>
      <w:r>
        <w:rPr>
          <w:rFonts w:ascii="微軟正黑體" w:eastAsia="微軟正黑體" w:hint="eastAsia"/>
          <w:color w:val="221F1F"/>
          <w:sz w:val="22"/>
        </w:rPr>
        <w:t>（</w:t>
      </w:r>
      <w:r>
        <w:rPr>
          <w:rFonts w:ascii="微軟正黑體" w:eastAsia="微軟正黑體" w:hint="eastAsia"/>
          <w:color w:val="221F1F"/>
          <w:spacing w:val="-2"/>
          <w:sz w:val="22"/>
        </w:rPr>
        <w:t>教養</w:t>
      </w:r>
      <w:r>
        <w:rPr>
          <w:rFonts w:ascii="微軟正黑體" w:eastAsia="微軟正黑體" w:hint="eastAsia"/>
          <w:color w:val="221F1F"/>
          <w:spacing w:val="-20"/>
          <w:sz w:val="22"/>
        </w:rPr>
        <w:t>）</w:t>
      </w:r>
      <w:r>
        <w:rPr>
          <w:rFonts w:ascii="微軟正黑體" w:eastAsia="微軟正黑體" w:hint="eastAsia"/>
          <w:color w:val="221F1F"/>
          <w:spacing w:val="-6"/>
          <w:sz w:val="22"/>
        </w:rPr>
        <w:t>機構、矯正機關及其他類似</w:t>
      </w:r>
      <w:r>
        <w:rPr>
          <w:rFonts w:ascii="微軟正黑體" w:eastAsia="微軟正黑體" w:hint="eastAsia"/>
          <w:color w:val="221F1F"/>
          <w:spacing w:val="-4"/>
          <w:sz w:val="22"/>
        </w:rPr>
        <w:t>場所，對於接受安養、養護、收容或矯正之人，應善盡健康管理及照護之責任。」、「前項機關</w:t>
      </w:r>
      <w:r>
        <w:rPr>
          <w:rFonts w:ascii="微軟正黑體" w:eastAsia="微軟正黑體" w:hint="eastAsia"/>
          <w:color w:val="221F1F"/>
          <w:sz w:val="22"/>
        </w:rPr>
        <w:t>（構</w:t>
      </w:r>
      <w:r>
        <w:rPr>
          <w:rFonts w:ascii="微軟正黑體" w:eastAsia="微軟正黑體" w:hint="eastAsia"/>
          <w:color w:val="221F1F"/>
          <w:spacing w:val="-5"/>
          <w:sz w:val="22"/>
        </w:rPr>
        <w:t>）</w:t>
      </w:r>
      <w:r>
        <w:rPr>
          <w:rFonts w:ascii="微軟正黑體" w:eastAsia="微軟正黑體" w:hint="eastAsia"/>
          <w:color w:val="221F1F"/>
          <w:spacing w:val="-3"/>
          <w:sz w:val="22"/>
        </w:rPr>
        <w:t>及場所應依主管機關之規定，執行感染管制工作，防範機關</w:t>
      </w:r>
      <w:r>
        <w:rPr>
          <w:rFonts w:ascii="微軟正黑體" w:eastAsia="微軟正黑體" w:hint="eastAsia"/>
          <w:color w:val="221F1F"/>
          <w:sz w:val="22"/>
        </w:rPr>
        <w:t>（</w:t>
      </w:r>
      <w:r>
        <w:rPr>
          <w:rFonts w:ascii="微軟正黑體" w:eastAsia="微軟正黑體" w:hint="eastAsia"/>
          <w:color w:val="221F1F"/>
          <w:spacing w:val="-3"/>
          <w:sz w:val="22"/>
        </w:rPr>
        <w:t>構）</w:t>
      </w:r>
      <w:r>
        <w:rPr>
          <w:rFonts w:ascii="微軟正黑體" w:eastAsia="微軟正黑體" w:hint="eastAsia"/>
          <w:color w:val="221F1F"/>
          <w:spacing w:val="-2"/>
          <w:sz w:val="22"/>
        </w:rPr>
        <w:t>或場所內發生</w:t>
      </w:r>
      <w:r>
        <w:rPr>
          <w:rFonts w:ascii="微軟正黑體" w:eastAsia="微軟正黑體" w:hint="eastAsia"/>
          <w:color w:val="221F1F"/>
          <w:spacing w:val="-3"/>
          <w:sz w:val="22"/>
        </w:rPr>
        <w:t>感染；對於主管機關進行之輔導及查核，不得拒絕、規避或妨礙。」</w:t>
      </w:r>
    </w:p>
    <w:p>
      <w:pPr>
        <w:spacing w:line="237" w:lineRule="auto" w:before="0"/>
        <w:ind w:left="1005" w:right="1128" w:hanging="569"/>
        <w:jc w:val="both"/>
        <w:rPr>
          <w:rFonts w:ascii="微軟正黑體" w:eastAsia="微軟正黑體" w:hint="eastAsia"/>
          <w:sz w:val="22"/>
        </w:rPr>
      </w:pPr>
      <w:r>
        <w:rPr>
          <w:rFonts w:ascii="微軟正黑體" w:eastAsia="微軟正黑體" w:hint="eastAsia"/>
          <w:color w:val="221F1F"/>
          <w:spacing w:val="7"/>
          <w:sz w:val="22"/>
        </w:rPr>
        <w:t>二、 第 </w:t>
      </w:r>
      <w:r>
        <w:rPr>
          <w:rFonts w:ascii="微軟正黑體" w:eastAsia="微軟正黑體" w:hint="eastAsia"/>
          <w:color w:val="221F1F"/>
          <w:sz w:val="22"/>
        </w:rPr>
        <w:t>36</w:t>
      </w:r>
      <w:r>
        <w:rPr>
          <w:rFonts w:ascii="微軟正黑體" w:eastAsia="微軟正黑體" w:hint="eastAsia"/>
          <w:color w:val="221F1F"/>
          <w:spacing w:val="-15"/>
          <w:sz w:val="22"/>
        </w:rPr>
        <w:t> 條：「民眾於傳染病發生或有發生之虞時，應配合接受主管機關之檢查、治療、預防接</w:t>
      </w:r>
      <w:r>
        <w:rPr>
          <w:rFonts w:ascii="微軟正黑體" w:eastAsia="微軟正黑體" w:hint="eastAsia"/>
          <w:color w:val="221F1F"/>
          <w:spacing w:val="-8"/>
          <w:sz w:val="22"/>
        </w:rPr>
        <w:t>種或其他防疫、檢疫措施。」</w:t>
      </w:r>
    </w:p>
    <w:p>
      <w:pPr>
        <w:spacing w:line="237" w:lineRule="auto" w:before="0"/>
        <w:ind w:left="1005" w:right="1128" w:hanging="569"/>
        <w:jc w:val="both"/>
        <w:rPr>
          <w:rFonts w:ascii="微軟正黑體" w:eastAsia="微軟正黑體" w:hint="eastAsia"/>
          <w:sz w:val="22"/>
        </w:rPr>
      </w:pPr>
      <w:r>
        <w:rPr>
          <w:rFonts w:ascii="微軟正黑體" w:eastAsia="微軟正黑體" w:hint="eastAsia"/>
          <w:color w:val="221F1F"/>
          <w:spacing w:val="12"/>
          <w:sz w:val="22"/>
        </w:rPr>
        <w:t>三、 第 </w:t>
      </w:r>
      <w:r>
        <w:rPr>
          <w:rFonts w:ascii="微軟正黑體" w:eastAsia="微軟正黑體" w:hint="eastAsia"/>
          <w:color w:val="221F1F"/>
          <w:sz w:val="22"/>
        </w:rPr>
        <w:t>43</w:t>
      </w:r>
      <w:r>
        <w:rPr>
          <w:rFonts w:ascii="微軟正黑體" w:eastAsia="微軟正黑體" w:hint="eastAsia"/>
          <w:color w:val="221F1F"/>
          <w:spacing w:val="-3"/>
          <w:sz w:val="22"/>
        </w:rPr>
        <w:t> 條：「地方主管機關接獲傳染病或疑似傳染病之報告或通知時，應迅速檢驗診斷，調</w:t>
      </w:r>
      <w:r>
        <w:rPr>
          <w:rFonts w:ascii="微軟正黑體" w:eastAsia="微軟正黑體" w:hint="eastAsia"/>
          <w:color w:val="221F1F"/>
          <w:spacing w:val="-5"/>
          <w:sz w:val="22"/>
        </w:rPr>
        <w:t>查傳染病來源或採行其他必要之措施，並報告中央主管機關。」、「傳染病或疑似傳染病病</w:t>
      </w:r>
      <w:r>
        <w:rPr>
          <w:rFonts w:ascii="微軟正黑體" w:eastAsia="微軟正黑體" w:hint="eastAsia"/>
          <w:color w:val="221F1F"/>
          <w:spacing w:val="-4"/>
          <w:sz w:val="22"/>
        </w:rPr>
        <w:t>人及相關人員對於前項之檢驗診斷、調查及處置，不得拒絕、規避或妨礙。」</w:t>
      </w:r>
    </w:p>
    <w:p>
      <w:pPr>
        <w:spacing w:line="235" w:lineRule="auto" w:before="0"/>
        <w:ind w:left="1005" w:right="1018" w:hanging="569"/>
        <w:jc w:val="both"/>
        <w:rPr>
          <w:rFonts w:ascii="微軟正黑體" w:eastAsia="微軟正黑體" w:hint="eastAsia"/>
          <w:sz w:val="22"/>
        </w:rPr>
      </w:pPr>
      <w:r>
        <w:rPr>
          <w:rFonts w:ascii="微軟正黑體" w:eastAsia="微軟正黑體" w:hint="eastAsia"/>
          <w:color w:val="221F1F"/>
          <w:spacing w:val="5"/>
          <w:sz w:val="22"/>
        </w:rPr>
        <w:t>四、 第 </w:t>
      </w:r>
      <w:r>
        <w:rPr>
          <w:rFonts w:ascii="微軟正黑體" w:eastAsia="微軟正黑體" w:hint="eastAsia"/>
          <w:color w:val="221F1F"/>
          <w:sz w:val="22"/>
        </w:rPr>
        <w:t>48</w:t>
      </w:r>
      <w:r>
        <w:rPr>
          <w:rFonts w:ascii="微軟正黑體" w:eastAsia="微軟正黑體" w:hint="eastAsia"/>
          <w:color w:val="221F1F"/>
          <w:spacing w:val="-15"/>
          <w:sz w:val="22"/>
        </w:rPr>
        <w:t> 條：「主管機關對於曾與傳染病病人接觸或疑似被傳染者，得予以留驗；必要時，並得</w:t>
      </w:r>
      <w:r>
        <w:rPr>
          <w:rFonts w:ascii="微軟正黑體" w:eastAsia="微軟正黑體" w:hint="eastAsia"/>
          <w:color w:val="221F1F"/>
          <w:spacing w:val="-23"/>
          <w:sz w:val="22"/>
        </w:rPr>
        <w:t>令遷入指定之處所檢查、施行預防接種、投藥、指定特定區域實施管制或隔離等必要之處置。」</w:t>
      </w:r>
    </w:p>
    <w:p>
      <w:pPr>
        <w:spacing w:line="237" w:lineRule="auto" w:before="0"/>
        <w:ind w:left="1005" w:right="1078" w:hanging="569"/>
        <w:jc w:val="both"/>
        <w:rPr>
          <w:rFonts w:ascii="微軟正黑體" w:hAnsi="微軟正黑體" w:eastAsia="微軟正黑體" w:hint="eastAsia"/>
          <w:sz w:val="22"/>
        </w:rPr>
      </w:pPr>
      <w:r>
        <w:rPr>
          <w:rFonts w:ascii="微軟正黑體" w:hAnsi="微軟正黑體" w:eastAsia="微軟正黑體" w:hint="eastAsia"/>
          <w:color w:val="221F1F"/>
          <w:spacing w:val="6"/>
          <w:sz w:val="22"/>
        </w:rPr>
        <w:t>五、 第 </w:t>
      </w:r>
      <w:r>
        <w:rPr>
          <w:rFonts w:ascii="微軟正黑體" w:hAnsi="微軟正黑體" w:eastAsia="微軟正黑體" w:hint="eastAsia"/>
          <w:color w:val="221F1F"/>
          <w:sz w:val="22"/>
        </w:rPr>
        <w:t>67</w:t>
      </w:r>
      <w:r>
        <w:rPr>
          <w:rFonts w:ascii="微軟正黑體" w:hAnsi="微軟正黑體" w:eastAsia="微軟正黑體" w:hint="eastAsia"/>
          <w:color w:val="221F1F"/>
          <w:spacing w:val="-11"/>
          <w:sz w:val="22"/>
        </w:rPr>
        <w:t> 條：「有下列情事之一者，處新臺幣六萬元以上三十萬元以下罰鍰：…。三、違反第三</w:t>
      </w:r>
      <w:r>
        <w:rPr>
          <w:rFonts w:ascii="微軟正黑體" w:hAnsi="微軟正黑體" w:eastAsia="微軟正黑體" w:hint="eastAsia"/>
          <w:color w:val="221F1F"/>
          <w:spacing w:val="-8"/>
          <w:sz w:val="22"/>
        </w:rPr>
        <w:t>十八條第一項、第四十三條第二項、第五十條第四項規定或違反主管機關依第四十四條第一</w:t>
      </w:r>
      <w:r>
        <w:rPr>
          <w:rFonts w:ascii="微軟正黑體" w:hAnsi="微軟正黑體" w:eastAsia="微軟正黑體" w:hint="eastAsia"/>
          <w:color w:val="221F1F"/>
          <w:spacing w:val="-4"/>
          <w:sz w:val="22"/>
        </w:rPr>
        <w:t>項、第四十五條第一項規定所為之處置。四、違反主管機關依第四十八條第一項規定所為之</w:t>
      </w:r>
      <w:r>
        <w:rPr>
          <w:rFonts w:ascii="微軟正黑體" w:hAnsi="微軟正黑體" w:eastAsia="微軟正黑體" w:hint="eastAsia"/>
          <w:color w:val="221F1F"/>
          <w:spacing w:val="-3"/>
          <w:sz w:val="22"/>
        </w:rPr>
        <w:t>留驗、檢查、預防接種、投藥或其他必要處置之命令。」六、第 </w:t>
      </w:r>
      <w:r>
        <w:rPr>
          <w:rFonts w:ascii="微軟正黑體" w:hAnsi="微軟正黑體" w:eastAsia="微軟正黑體" w:hint="eastAsia"/>
          <w:color w:val="221F1F"/>
          <w:sz w:val="22"/>
        </w:rPr>
        <w:t>69 條：「有下列情事之一</w:t>
      </w:r>
      <w:r>
        <w:rPr>
          <w:rFonts w:ascii="微軟正黑體" w:hAnsi="微軟正黑體" w:eastAsia="微軟正黑體" w:hint="eastAsia"/>
          <w:color w:val="221F1F"/>
          <w:spacing w:val="-1"/>
          <w:sz w:val="22"/>
        </w:rPr>
        <w:t>者，處新臺幣一萬元以上十五萬元以下罰鍰；必要時，並得限期令其改善，屆期未改善者， </w:t>
      </w:r>
      <w:r>
        <w:rPr>
          <w:rFonts w:ascii="微軟正黑體" w:hAnsi="微軟正黑體" w:eastAsia="微軟正黑體" w:hint="eastAsia"/>
          <w:color w:val="221F1F"/>
          <w:spacing w:val="-4"/>
          <w:sz w:val="22"/>
        </w:rPr>
        <w:t>按次處罰之：二、拒絕、規避或妨礙主管機關依第三十三條第二項所為之輔導或查核。違反</w:t>
      </w:r>
      <w:r>
        <w:rPr>
          <w:rFonts w:ascii="微軟正黑體" w:hAnsi="微軟正黑體" w:eastAsia="微軟正黑體" w:hint="eastAsia"/>
          <w:color w:val="221F1F"/>
          <w:spacing w:val="-5"/>
          <w:sz w:val="22"/>
        </w:rPr>
        <w:t>第三十三條第二項規定，未依主管機關之規定執行，或違反中央主管機關依第三十三條第三</w:t>
      </w:r>
      <w:r>
        <w:rPr>
          <w:rFonts w:ascii="微軟正黑體" w:hAnsi="微軟正黑體" w:eastAsia="微軟正黑體" w:hint="eastAsia"/>
          <w:color w:val="221F1F"/>
          <w:spacing w:val="-14"/>
          <w:sz w:val="22"/>
        </w:rPr>
        <w:t>項所定辦法中有關執行感染管制措施之規定者，主管機關得令限期改善，並得視情節之輕重， </w:t>
      </w:r>
      <w:r>
        <w:rPr>
          <w:rFonts w:ascii="微軟正黑體" w:hAnsi="微軟正黑體" w:eastAsia="微軟正黑體" w:hint="eastAsia"/>
          <w:color w:val="221F1F"/>
          <w:spacing w:val="-8"/>
          <w:sz w:val="22"/>
        </w:rPr>
        <w:t>為下列處分：一、處新臺</w:t>
      </w:r>
    </w:p>
    <w:p>
      <w:pPr>
        <w:spacing w:line="396" w:lineRule="exact" w:before="0"/>
        <w:ind w:left="436" w:right="0" w:firstLine="0"/>
        <w:jc w:val="both"/>
        <w:rPr>
          <w:rFonts w:ascii="微軟正黑體" w:eastAsia="微軟正黑體" w:hint="eastAsia"/>
          <w:sz w:val="22"/>
        </w:rPr>
      </w:pPr>
      <w:r>
        <w:rPr>
          <w:rFonts w:ascii="微軟正黑體" w:eastAsia="微軟正黑體" w:hint="eastAsia"/>
          <w:color w:val="221F1F"/>
          <w:sz w:val="22"/>
        </w:rPr>
        <w:t>六、 幣一萬元以上十五萬元以下罰鍰。二、停止全部或部分業務至改善為止。」</w:t>
      </w:r>
    </w:p>
    <w:p>
      <w:pPr>
        <w:spacing w:line="237" w:lineRule="auto" w:before="0"/>
        <w:ind w:left="1005" w:right="1128" w:hanging="569"/>
        <w:jc w:val="both"/>
        <w:rPr>
          <w:rFonts w:ascii="微軟正黑體" w:eastAsia="微軟正黑體" w:hint="eastAsia"/>
          <w:sz w:val="22"/>
        </w:rPr>
      </w:pPr>
      <w:r>
        <w:rPr>
          <w:rFonts w:ascii="微軟正黑體" w:eastAsia="微軟正黑體" w:hint="eastAsia"/>
          <w:color w:val="221F1F"/>
          <w:spacing w:val="7"/>
          <w:sz w:val="22"/>
        </w:rPr>
        <w:t>七、 第 </w:t>
      </w:r>
      <w:r>
        <w:rPr>
          <w:rFonts w:ascii="微軟正黑體" w:eastAsia="微軟正黑體" w:hint="eastAsia"/>
          <w:color w:val="221F1F"/>
          <w:sz w:val="22"/>
        </w:rPr>
        <w:t>70</w:t>
      </w:r>
      <w:r>
        <w:rPr>
          <w:rFonts w:ascii="微軟正黑體" w:eastAsia="微軟正黑體" w:hint="eastAsia"/>
          <w:color w:val="221F1F"/>
          <w:spacing w:val="-15"/>
          <w:sz w:val="22"/>
        </w:rPr>
        <w:t> 條：「有下列情事之一者，處新臺幣三千元以上一萬五千元以下罰鍰；必要時，並得限</w:t>
      </w:r>
      <w:r>
        <w:rPr>
          <w:rFonts w:ascii="微軟正黑體" w:eastAsia="微軟正黑體" w:hint="eastAsia"/>
          <w:color w:val="221F1F"/>
          <w:spacing w:val="-8"/>
          <w:sz w:val="22"/>
        </w:rPr>
        <w:t>期令其改善，屆期未改善者，按次處罰之：二、拒絕、規避或妨礙主管機關依第三十六條規</w:t>
      </w:r>
      <w:r>
        <w:rPr>
          <w:rFonts w:ascii="微軟正黑體" w:eastAsia="微軟正黑體" w:hint="eastAsia"/>
          <w:color w:val="221F1F"/>
          <w:spacing w:val="-5"/>
          <w:sz w:val="22"/>
        </w:rPr>
        <w:t>定所定檢查、治療或其他防疫、檢疫措施。」</w:t>
      </w: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rPr>
          <w:rFonts w:ascii="微軟正黑體"/>
          <w:sz w:val="20"/>
        </w:rPr>
      </w:pPr>
    </w:p>
    <w:p>
      <w:pPr>
        <w:pStyle w:val="BodyText"/>
        <w:spacing w:before="7"/>
        <w:rPr>
          <w:rFonts w:ascii="微軟正黑體"/>
          <w:sz w:val="10"/>
        </w:rPr>
      </w:pPr>
    </w:p>
    <w:p>
      <w:pPr>
        <w:spacing w:before="96"/>
        <w:ind w:left="0" w:right="303" w:firstLine="0"/>
        <w:jc w:val="right"/>
        <w:rPr>
          <w:rFonts w:ascii="Arial"/>
          <w:sz w:val="16"/>
        </w:rPr>
      </w:pPr>
      <w:r>
        <w:rPr>
          <w:rFonts w:ascii="Arial"/>
          <w:color w:val="221F1F"/>
          <w:sz w:val="16"/>
        </w:rPr>
        <w:t>14</w:t>
      </w:r>
    </w:p>
    <w:p>
      <w:pPr>
        <w:spacing w:after="0"/>
        <w:jc w:val="right"/>
        <w:rPr>
          <w:rFonts w:ascii="Arial"/>
          <w:sz w:val="16"/>
        </w:rPr>
        <w:sectPr>
          <w:pgSz w:w="11910" w:h="16840"/>
          <w:pgMar w:top="1120" w:bottom="280" w:left="980" w:right="2"/>
        </w:sectPr>
      </w:pPr>
    </w:p>
    <w:p>
      <w:pPr>
        <w:pStyle w:val="Heading2"/>
        <w:spacing w:line="240" w:lineRule="auto" w:before="28"/>
      </w:pPr>
      <w:r>
        <w:rPr>
          <w:color w:val="221F1F"/>
        </w:rPr>
        <w:t>伍、 特定場域、身分個案防治重點工作檢核表：</w:t>
      </w:r>
    </w:p>
    <w:p>
      <w:pPr>
        <w:pStyle w:val="BodyText"/>
        <w:spacing w:before="14"/>
        <w:rPr>
          <w:rFonts w:ascii="微軟正黑體"/>
          <w:b/>
          <w:sz w:val="5"/>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1275"/>
        <w:gridCol w:w="7084"/>
      </w:tblGrid>
      <w:tr>
        <w:trPr>
          <w:trHeight w:val="400" w:hRule="atLeast"/>
        </w:trPr>
        <w:tc>
          <w:tcPr>
            <w:tcW w:w="2547" w:type="dxa"/>
            <w:gridSpan w:val="2"/>
            <w:shd w:val="clear" w:color="auto" w:fill="E8E8E8"/>
          </w:tcPr>
          <w:p>
            <w:pPr>
              <w:pStyle w:val="TableParagraph"/>
              <w:spacing w:line="332" w:lineRule="exact" w:before="48"/>
              <w:ind w:left="835"/>
              <w:rPr>
                <w:rFonts w:ascii="微軟正黑體" w:eastAsia="微軟正黑體" w:hint="eastAsia"/>
                <w:b/>
                <w:sz w:val="22"/>
              </w:rPr>
            </w:pPr>
            <w:r>
              <w:rPr>
                <w:rFonts w:ascii="微軟正黑體" w:eastAsia="微軟正黑體" w:hint="eastAsia"/>
                <w:b/>
                <w:color w:val="221F1F"/>
                <w:sz w:val="22"/>
              </w:rPr>
              <w:t>主責單位</w:t>
            </w:r>
          </w:p>
        </w:tc>
        <w:tc>
          <w:tcPr>
            <w:tcW w:w="7084" w:type="dxa"/>
            <w:vMerge w:val="restart"/>
            <w:tcBorders>
              <w:right w:val="single" w:sz="6" w:space="0" w:color="000000"/>
            </w:tcBorders>
            <w:shd w:val="clear" w:color="auto" w:fill="E8E8E8"/>
          </w:tcPr>
          <w:p>
            <w:pPr>
              <w:pStyle w:val="TableParagraph"/>
              <w:spacing w:before="232"/>
              <w:ind w:left="3082" w:right="3069"/>
              <w:jc w:val="center"/>
              <w:rPr>
                <w:rFonts w:ascii="微軟正黑體" w:eastAsia="微軟正黑體" w:hint="eastAsia"/>
                <w:b/>
                <w:sz w:val="22"/>
              </w:rPr>
            </w:pPr>
            <w:r>
              <w:rPr>
                <w:rFonts w:ascii="微軟正黑體" w:eastAsia="微軟正黑體" w:hint="eastAsia"/>
                <w:b/>
                <w:color w:val="221F1F"/>
                <w:sz w:val="22"/>
              </w:rPr>
              <w:t>工作事項</w:t>
            </w:r>
          </w:p>
        </w:tc>
      </w:tr>
      <w:tr>
        <w:trPr>
          <w:trHeight w:val="400" w:hRule="atLeast"/>
        </w:trPr>
        <w:tc>
          <w:tcPr>
            <w:tcW w:w="1272" w:type="dxa"/>
            <w:shd w:val="clear" w:color="auto" w:fill="E8E8E8"/>
          </w:tcPr>
          <w:p>
            <w:pPr>
              <w:pStyle w:val="TableParagraph"/>
              <w:spacing w:line="332" w:lineRule="exact" w:before="48"/>
              <w:ind w:left="178" w:right="164"/>
              <w:jc w:val="center"/>
              <w:rPr>
                <w:rFonts w:ascii="微軟正黑體" w:eastAsia="微軟正黑體" w:hint="eastAsia"/>
                <w:b/>
                <w:sz w:val="22"/>
              </w:rPr>
            </w:pPr>
            <w:r>
              <w:rPr>
                <w:rFonts w:ascii="微軟正黑體" w:eastAsia="微軟正黑體" w:hint="eastAsia"/>
                <w:b/>
                <w:color w:val="221F1F"/>
                <w:sz w:val="22"/>
              </w:rPr>
              <w:t>衛生單位</w:t>
            </w:r>
          </w:p>
        </w:tc>
        <w:tc>
          <w:tcPr>
            <w:tcW w:w="1275" w:type="dxa"/>
            <w:shd w:val="clear" w:color="auto" w:fill="E8E8E8"/>
          </w:tcPr>
          <w:p>
            <w:pPr>
              <w:pStyle w:val="TableParagraph"/>
              <w:spacing w:line="332" w:lineRule="exact" w:before="48"/>
              <w:ind w:left="129" w:right="118"/>
              <w:jc w:val="center"/>
              <w:rPr>
                <w:rFonts w:ascii="微軟正黑體" w:eastAsia="微軟正黑體" w:hint="eastAsia"/>
                <w:b/>
                <w:sz w:val="22"/>
              </w:rPr>
            </w:pPr>
            <w:r>
              <w:rPr>
                <w:rFonts w:ascii="微軟正黑體" w:eastAsia="微軟正黑體" w:hint="eastAsia"/>
                <w:b/>
                <w:color w:val="221F1F"/>
                <w:sz w:val="22"/>
              </w:rPr>
              <w:t>機構/雇主</w:t>
            </w:r>
          </w:p>
        </w:tc>
        <w:tc>
          <w:tcPr>
            <w:tcW w:w="7084" w:type="dxa"/>
            <w:vMerge/>
            <w:tcBorders>
              <w:top w:val="nil"/>
              <w:right w:val="single" w:sz="6" w:space="0" w:color="000000"/>
            </w:tcBorders>
            <w:shd w:val="clear" w:color="auto" w:fill="E8E8E8"/>
          </w:tcPr>
          <w:p>
            <w:pPr>
              <w:rPr>
                <w:sz w:val="2"/>
                <w:szCs w:val="2"/>
              </w:rPr>
            </w:pPr>
          </w:p>
        </w:tc>
      </w:tr>
      <w:tr>
        <w:trPr>
          <w:trHeight w:val="623" w:hRule="atLeast"/>
        </w:trPr>
        <w:tc>
          <w:tcPr>
            <w:tcW w:w="9631" w:type="dxa"/>
            <w:gridSpan w:val="3"/>
            <w:tcBorders>
              <w:right w:val="single" w:sz="6" w:space="0" w:color="000000"/>
            </w:tcBorders>
          </w:tcPr>
          <w:p>
            <w:pPr>
              <w:pStyle w:val="TableParagraph"/>
              <w:spacing w:before="139"/>
              <w:ind w:left="110"/>
              <w:rPr>
                <w:rFonts w:ascii="微軟正黑體" w:eastAsia="微軟正黑體" w:hint="eastAsia"/>
                <w:b/>
                <w:sz w:val="22"/>
              </w:rPr>
            </w:pPr>
            <w:r>
              <w:rPr>
                <w:rFonts w:ascii="微軟正黑體" w:eastAsia="微軟正黑體" w:hint="eastAsia"/>
                <w:b/>
                <w:sz w:val="22"/>
              </w:rPr>
              <w:t>畜牧業者/屠宰場/獸醫院（師）</w:t>
            </w:r>
          </w:p>
        </w:tc>
      </w:tr>
      <w:tr>
        <w:trPr>
          <w:trHeight w:val="1158" w:hRule="atLeast"/>
        </w:trPr>
        <w:tc>
          <w:tcPr>
            <w:tcW w:w="1272" w:type="dxa"/>
          </w:tcPr>
          <w:p>
            <w:pPr>
              <w:pStyle w:val="TableParagraph"/>
              <w:spacing w:before="2"/>
              <w:rPr>
                <w:rFonts w:ascii="微軟正黑體"/>
                <w:b/>
                <w:sz w:val="26"/>
              </w:rPr>
            </w:pPr>
          </w:p>
          <w:p>
            <w:pPr>
              <w:pStyle w:val="TableParagraph"/>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spacing w:line="403" w:lineRule="exact" w:before="208"/>
              <w:ind w:left="110"/>
              <w:rPr>
                <w:rFonts w:ascii="微軟正黑體" w:eastAsia="微軟正黑體" w:hint="eastAsia"/>
                <w:sz w:val="22"/>
              </w:rPr>
            </w:pPr>
            <w:r>
              <w:rPr>
                <w:rFonts w:ascii="微軟正黑體" w:eastAsia="微軟正黑體" w:hint="eastAsia"/>
                <w:sz w:val="22"/>
              </w:rPr>
              <w:t>1. </w:t>
            </w:r>
            <w:r>
              <w:rPr>
                <w:rFonts w:ascii="微軟正黑體" w:eastAsia="微軟正黑體" w:hint="eastAsia"/>
                <w:color w:val="221F1F"/>
                <w:sz w:val="22"/>
              </w:rPr>
              <w:t>各區管制中心接獲防檢署轉知確診牛結核之場域，3 個工作天內於</w:t>
            </w:r>
          </w:p>
          <w:p>
            <w:pPr>
              <w:pStyle w:val="TableParagraph"/>
              <w:spacing w:line="403" w:lineRule="exact"/>
              <w:ind w:left="429"/>
              <w:rPr>
                <w:rFonts w:ascii="微軟正黑體" w:eastAsia="微軟正黑體" w:hint="eastAsia"/>
                <w:sz w:val="22"/>
              </w:rPr>
            </w:pPr>
            <w:r>
              <w:rPr>
                <w:rFonts w:ascii="微軟正黑體" w:eastAsia="微軟正黑體" w:hint="eastAsia"/>
                <w:color w:val="221F1F"/>
                <w:sz w:val="22"/>
              </w:rPr>
              <w:t>TB 系統建立牛結核事件，並通知該場域所屬地方主管機關</w:t>
            </w:r>
          </w:p>
        </w:tc>
      </w:tr>
      <w:tr>
        <w:trPr>
          <w:trHeight w:val="1562" w:hRule="atLeast"/>
        </w:trPr>
        <w:tc>
          <w:tcPr>
            <w:tcW w:w="1272" w:type="dxa"/>
          </w:tcPr>
          <w:p>
            <w:pPr>
              <w:pStyle w:val="TableParagraph"/>
              <w:rPr>
                <w:rFonts w:ascii="微軟正黑體"/>
                <w:b/>
                <w:sz w:val="22"/>
              </w:rPr>
            </w:pPr>
          </w:p>
          <w:p>
            <w:pPr>
              <w:pStyle w:val="TableParagraph"/>
              <w:spacing w:before="2"/>
              <w:rPr>
                <w:rFonts w:ascii="微軟正黑體"/>
                <w:b/>
                <w:sz w:val="15"/>
              </w:rPr>
            </w:pPr>
          </w:p>
          <w:p>
            <w:pPr>
              <w:pStyle w:val="TableParagraph"/>
              <w:ind w:left="14"/>
              <w:jc w:val="center"/>
              <w:rPr>
                <w:rFonts w:ascii="細明體" w:hAnsi="細明體"/>
                <w:sz w:val="22"/>
              </w:rPr>
            </w:pPr>
            <w:r>
              <w:rPr>
                <w:rFonts w:ascii="細明體" w:hAnsi="細明體"/>
                <w:w w:val="100"/>
                <w:sz w:val="22"/>
              </w:rPr>
              <w:t>□</w:t>
            </w:r>
          </w:p>
        </w:tc>
        <w:tc>
          <w:tcPr>
            <w:tcW w:w="1275" w:type="dxa"/>
          </w:tcPr>
          <w:p>
            <w:pPr>
              <w:pStyle w:val="TableParagraph"/>
              <w:spacing w:before="5"/>
              <w:rPr>
                <w:rFonts w:ascii="微軟正黑體"/>
                <w:b/>
                <w:sz w:val="32"/>
              </w:rPr>
            </w:pPr>
          </w:p>
          <w:p>
            <w:pPr>
              <w:pStyle w:val="TableParagraph"/>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line="237" w:lineRule="auto" w:before="211"/>
              <w:ind w:left="429" w:right="112" w:hanging="320"/>
              <w:jc w:val="both"/>
              <w:rPr>
                <w:rFonts w:ascii="微軟正黑體" w:eastAsia="微軟正黑體" w:hint="eastAsia"/>
                <w:sz w:val="22"/>
              </w:rPr>
            </w:pPr>
            <w:r>
              <w:rPr>
                <w:rFonts w:ascii="微軟正黑體" w:eastAsia="微軟正黑體" w:hint="eastAsia"/>
                <w:color w:val="221F1F"/>
                <w:sz w:val="22"/>
              </w:rPr>
              <w:t>2. 衛生局 1 個月內就該場域進行人員衛教及勸導雇主施行員工之胸部 X 光檢查與自主健康管理；並進行該場域疫調後，提供確診場域工作人員名單予各區管制中心</w:t>
            </w:r>
          </w:p>
        </w:tc>
      </w:tr>
      <w:tr>
        <w:trPr>
          <w:trHeight w:val="758" w:hRule="atLeast"/>
        </w:trPr>
        <w:tc>
          <w:tcPr>
            <w:tcW w:w="1272" w:type="dxa"/>
          </w:tcPr>
          <w:p>
            <w:pPr>
              <w:pStyle w:val="TableParagraph"/>
              <w:spacing w:before="3"/>
              <w:rPr>
                <w:rFonts w:ascii="微軟正黑體"/>
                <w:b/>
                <w:sz w:val="15"/>
              </w:rPr>
            </w:pPr>
          </w:p>
          <w:p>
            <w:pPr>
              <w:pStyle w:val="TableParagraph"/>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spacing w:before="208"/>
              <w:ind w:left="110"/>
              <w:rPr>
                <w:rFonts w:ascii="微軟正黑體" w:eastAsia="微軟正黑體" w:hint="eastAsia"/>
                <w:sz w:val="22"/>
              </w:rPr>
            </w:pPr>
            <w:r>
              <w:rPr>
                <w:rFonts w:ascii="微軟正黑體" w:eastAsia="微軟正黑體" w:hint="eastAsia"/>
                <w:color w:val="221F1F"/>
                <w:sz w:val="22"/>
              </w:rPr>
              <w:t>3. 各區管制中心 7 個工作天內將疫調清冊上傳至 TB 系統</w:t>
            </w:r>
          </w:p>
        </w:tc>
      </w:tr>
      <w:tr>
        <w:trPr>
          <w:trHeight w:val="1562" w:hRule="atLeast"/>
        </w:trPr>
        <w:tc>
          <w:tcPr>
            <w:tcW w:w="1272" w:type="dxa"/>
          </w:tcPr>
          <w:p>
            <w:pPr>
              <w:pStyle w:val="TableParagraph"/>
              <w:rPr>
                <w:rFonts w:ascii="微軟正黑體"/>
                <w:b/>
                <w:sz w:val="22"/>
              </w:rPr>
            </w:pPr>
          </w:p>
          <w:p>
            <w:pPr>
              <w:pStyle w:val="TableParagraph"/>
              <w:spacing w:before="1"/>
              <w:rPr>
                <w:rFonts w:ascii="微軟正黑體"/>
                <w:b/>
                <w:sz w:val="15"/>
              </w:rPr>
            </w:pPr>
          </w:p>
          <w:p>
            <w:pPr>
              <w:pStyle w:val="TableParagraph"/>
              <w:spacing w:before="1"/>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spacing w:line="237" w:lineRule="auto" w:before="211"/>
              <w:ind w:left="429" w:right="52" w:hanging="320"/>
              <w:jc w:val="both"/>
              <w:rPr>
                <w:rFonts w:ascii="微軟正黑體" w:eastAsia="微軟正黑體" w:hint="eastAsia"/>
                <w:sz w:val="22"/>
              </w:rPr>
            </w:pPr>
            <w:r>
              <w:rPr>
                <w:rFonts w:ascii="微軟正黑體" w:eastAsia="微軟正黑體" w:hint="eastAsia"/>
                <w:color w:val="221F1F"/>
                <w:sz w:val="22"/>
              </w:rPr>
              <w:t>4. 衛生局輔導個案所屬醫療院所，將通報結核病之列管畜牧場人員、具牛結核病個案或動物接觸史者之新鮮痰液，循抗藥性結核快速分子抗藥性檢測送驗流程送疾管署指定實驗室進行抗藥性檢測</w:t>
            </w:r>
          </w:p>
        </w:tc>
      </w:tr>
      <w:tr>
        <w:trPr>
          <w:trHeight w:val="1958" w:hRule="atLeast"/>
        </w:trPr>
        <w:tc>
          <w:tcPr>
            <w:tcW w:w="1272" w:type="dxa"/>
          </w:tcPr>
          <w:p>
            <w:pPr>
              <w:pStyle w:val="TableParagraph"/>
              <w:rPr>
                <w:rFonts w:ascii="微軟正黑體"/>
                <w:b/>
                <w:sz w:val="22"/>
              </w:rPr>
            </w:pPr>
          </w:p>
          <w:p>
            <w:pPr>
              <w:pStyle w:val="TableParagraph"/>
              <w:spacing w:before="14"/>
              <w:rPr>
                <w:rFonts w:ascii="微軟正黑體"/>
                <w:b/>
                <w:sz w:val="25"/>
              </w:rPr>
            </w:pPr>
          </w:p>
          <w:p>
            <w:pPr>
              <w:pStyle w:val="TableParagraph"/>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spacing w:line="237" w:lineRule="auto" w:before="209"/>
              <w:ind w:left="429" w:right="107" w:hanging="320"/>
              <w:jc w:val="both"/>
              <w:rPr>
                <w:rFonts w:ascii="微軟正黑體" w:eastAsia="微軟正黑體" w:hint="eastAsia"/>
                <w:sz w:val="22"/>
              </w:rPr>
            </w:pPr>
            <w:r>
              <w:rPr>
                <w:rFonts w:ascii="微軟正黑體" w:eastAsia="微軟正黑體" w:hint="eastAsia"/>
                <w:color w:val="221F1F"/>
                <w:sz w:val="22"/>
              </w:rPr>
              <w:t>5. 若通報結核病之列管畜牧場人員、具牛結核病個案或動物接觸史者個案細菌學檢查結果為結核菌群時，衛生局輔導個案所屬醫療院所將其菌株，送疾管署分枝桿菌實驗室進行菌株鑑定，並將結果回饋診療醫師</w:t>
            </w:r>
          </w:p>
        </w:tc>
      </w:tr>
      <w:tr>
        <w:trPr>
          <w:trHeight w:val="1161" w:hRule="atLeast"/>
        </w:trPr>
        <w:tc>
          <w:tcPr>
            <w:tcW w:w="1272" w:type="dxa"/>
          </w:tcPr>
          <w:p>
            <w:pPr>
              <w:pStyle w:val="TableParagraph"/>
              <w:spacing w:before="4"/>
              <w:rPr>
                <w:rFonts w:ascii="微軟正黑體"/>
                <w:b/>
                <w:sz w:val="26"/>
              </w:rPr>
            </w:pPr>
          </w:p>
          <w:p>
            <w:pPr>
              <w:pStyle w:val="TableParagraph"/>
              <w:spacing w:before="1"/>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spacing w:line="237" w:lineRule="auto" w:before="211"/>
              <w:ind w:left="429" w:right="111" w:hanging="320"/>
              <w:rPr>
                <w:rFonts w:ascii="微軟正黑體" w:eastAsia="微軟正黑體" w:hint="eastAsia"/>
                <w:sz w:val="22"/>
              </w:rPr>
            </w:pPr>
            <w:r>
              <w:rPr>
                <w:rFonts w:ascii="微軟正黑體" w:eastAsia="微軟正黑體" w:hint="eastAsia"/>
                <w:color w:val="221F1F"/>
                <w:sz w:val="22"/>
              </w:rPr>
              <w:t>6. 衛生局持續管理感染 M.bovis 之個案，並留意用藥處方種類是否足夠</w:t>
            </w:r>
          </w:p>
        </w:tc>
      </w:tr>
      <w:tr>
        <w:trPr>
          <w:trHeight w:val="511" w:hRule="atLeast"/>
        </w:trPr>
        <w:tc>
          <w:tcPr>
            <w:tcW w:w="9631" w:type="dxa"/>
            <w:gridSpan w:val="3"/>
            <w:tcBorders>
              <w:right w:val="single" w:sz="6" w:space="0" w:color="000000"/>
            </w:tcBorders>
          </w:tcPr>
          <w:p>
            <w:pPr>
              <w:pStyle w:val="TableParagraph"/>
              <w:spacing w:line="390" w:lineRule="exact" w:before="101"/>
              <w:ind w:left="3916" w:right="3898"/>
              <w:jc w:val="center"/>
              <w:rPr>
                <w:rFonts w:ascii="微軟正黑體" w:eastAsia="微軟正黑體" w:hint="eastAsia"/>
                <w:b/>
                <w:sz w:val="22"/>
              </w:rPr>
            </w:pPr>
            <w:r>
              <w:rPr>
                <w:rFonts w:ascii="微軟正黑體" w:eastAsia="微軟正黑體" w:hint="eastAsia"/>
                <w:b/>
                <w:color w:val="221F1F"/>
                <w:sz w:val="22"/>
              </w:rPr>
              <w:t>醫院工作者</w:t>
            </w:r>
          </w:p>
        </w:tc>
      </w:tr>
      <w:tr>
        <w:trPr>
          <w:trHeight w:val="2150" w:hRule="atLeast"/>
        </w:trPr>
        <w:tc>
          <w:tcPr>
            <w:tcW w:w="1272" w:type="dxa"/>
          </w:tcPr>
          <w:p>
            <w:pPr>
              <w:pStyle w:val="TableParagraph"/>
              <w:rPr>
                <w:rFonts w:ascii="Times New Roman"/>
                <w:sz w:val="22"/>
              </w:rPr>
            </w:pPr>
          </w:p>
        </w:tc>
        <w:tc>
          <w:tcPr>
            <w:tcW w:w="1275" w:type="dxa"/>
          </w:tcPr>
          <w:p>
            <w:pPr>
              <w:pStyle w:val="TableParagraph"/>
              <w:rPr>
                <w:rFonts w:ascii="微軟正黑體"/>
                <w:b/>
                <w:sz w:val="22"/>
              </w:rPr>
            </w:pPr>
          </w:p>
          <w:p>
            <w:pPr>
              <w:pStyle w:val="TableParagraph"/>
              <w:rPr>
                <w:rFonts w:ascii="微軟正黑體"/>
                <w:b/>
                <w:sz w:val="31"/>
              </w:rPr>
            </w:pPr>
          </w:p>
          <w:p>
            <w:pPr>
              <w:pStyle w:val="TableParagraph"/>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before="76"/>
              <w:ind w:left="110"/>
              <w:rPr>
                <w:rFonts w:ascii="微軟正黑體" w:eastAsia="微軟正黑體" w:hint="eastAsia"/>
                <w:b/>
                <w:sz w:val="22"/>
              </w:rPr>
            </w:pPr>
            <w:r>
              <w:rPr>
                <w:rFonts w:ascii="微軟正黑體" w:eastAsia="微軟正黑體" w:hint="eastAsia"/>
                <w:b/>
                <w:color w:val="221F1F"/>
                <w:sz w:val="22"/>
              </w:rPr>
              <w:t>平時作為</w:t>
            </w:r>
          </w:p>
          <w:p>
            <w:pPr>
              <w:pStyle w:val="TableParagraph"/>
              <w:numPr>
                <w:ilvl w:val="0"/>
                <w:numId w:val="147"/>
              </w:numPr>
              <w:tabs>
                <w:tab w:pos="425" w:val="left" w:leader="none"/>
              </w:tabs>
              <w:spacing w:line="401" w:lineRule="exact" w:before="47" w:after="0"/>
              <w:ind w:left="424" w:right="0" w:hanging="315"/>
              <w:jc w:val="left"/>
              <w:rPr>
                <w:rFonts w:ascii="微軟正黑體" w:eastAsia="微軟正黑體" w:hint="eastAsia"/>
                <w:color w:val="221F1F"/>
                <w:sz w:val="22"/>
              </w:rPr>
            </w:pPr>
            <w:r>
              <w:rPr>
                <w:rFonts w:ascii="微軟正黑體" w:eastAsia="微軟正黑體" w:hint="eastAsia"/>
                <w:color w:val="221F1F"/>
                <w:spacing w:val="8"/>
                <w:sz w:val="22"/>
              </w:rPr>
              <w:t>制定院內感染管制規範</w:t>
            </w:r>
          </w:p>
          <w:p>
            <w:pPr>
              <w:pStyle w:val="TableParagraph"/>
              <w:numPr>
                <w:ilvl w:val="0"/>
                <w:numId w:val="147"/>
              </w:numPr>
              <w:tabs>
                <w:tab w:pos="425" w:val="left" w:leader="none"/>
              </w:tabs>
              <w:spacing w:line="400" w:lineRule="exact" w:before="0" w:after="0"/>
              <w:ind w:left="424" w:right="0" w:hanging="315"/>
              <w:jc w:val="left"/>
              <w:rPr>
                <w:rFonts w:ascii="微軟正黑體" w:eastAsia="微軟正黑體" w:hint="eastAsia"/>
                <w:color w:val="FF0000"/>
                <w:sz w:val="22"/>
              </w:rPr>
            </w:pPr>
            <w:r>
              <w:rPr>
                <w:rFonts w:ascii="微軟正黑體" w:eastAsia="微軟正黑體" w:hint="eastAsia"/>
                <w:color w:val="FF0000"/>
                <w:spacing w:val="7"/>
                <w:sz w:val="22"/>
              </w:rPr>
              <w:t>進行咳嗽監測作業</w:t>
            </w:r>
          </w:p>
          <w:p>
            <w:pPr>
              <w:pStyle w:val="TableParagraph"/>
              <w:numPr>
                <w:ilvl w:val="0"/>
                <w:numId w:val="147"/>
              </w:numPr>
              <w:tabs>
                <w:tab w:pos="425" w:val="left" w:leader="none"/>
              </w:tabs>
              <w:spacing w:line="401" w:lineRule="exact" w:before="0" w:after="0"/>
              <w:ind w:left="424" w:right="0" w:hanging="315"/>
              <w:jc w:val="left"/>
              <w:rPr>
                <w:rFonts w:ascii="微軟正黑體" w:eastAsia="微軟正黑體" w:hint="eastAsia"/>
                <w:color w:val="FF0000"/>
                <w:sz w:val="22"/>
              </w:rPr>
            </w:pPr>
            <w:r>
              <w:rPr>
                <w:rFonts w:ascii="微軟正黑體" w:eastAsia="微軟正黑體" w:hint="eastAsia"/>
                <w:color w:val="FF0000"/>
                <w:spacing w:val="8"/>
                <w:sz w:val="22"/>
              </w:rPr>
              <w:t>定期辦理員工健康檢查</w:t>
            </w:r>
          </w:p>
          <w:p>
            <w:pPr>
              <w:pStyle w:val="TableParagraph"/>
              <w:numPr>
                <w:ilvl w:val="0"/>
                <w:numId w:val="147"/>
              </w:numPr>
              <w:tabs>
                <w:tab w:pos="425" w:val="left" w:leader="none"/>
              </w:tabs>
              <w:spacing w:line="400" w:lineRule="exact" w:before="0" w:after="0"/>
              <w:ind w:left="424" w:right="0" w:hanging="315"/>
              <w:jc w:val="left"/>
              <w:rPr>
                <w:rFonts w:ascii="微軟正黑體" w:eastAsia="微軟正黑體" w:hint="eastAsia"/>
                <w:color w:val="221F1F"/>
                <w:sz w:val="22"/>
              </w:rPr>
            </w:pPr>
            <w:r>
              <w:rPr>
                <w:rFonts w:ascii="微軟正黑體" w:eastAsia="微軟正黑體" w:hint="eastAsia"/>
                <w:color w:val="221F1F"/>
                <w:spacing w:val="8"/>
                <w:sz w:val="22"/>
              </w:rPr>
              <w:t>定期監測室內空氣品質</w:t>
            </w:r>
          </w:p>
        </w:tc>
      </w:tr>
      <w:tr>
        <w:trPr>
          <w:trHeight w:val="899" w:hRule="atLeast"/>
        </w:trPr>
        <w:tc>
          <w:tcPr>
            <w:tcW w:w="1272" w:type="dxa"/>
          </w:tcPr>
          <w:p>
            <w:pPr>
              <w:pStyle w:val="TableParagraph"/>
              <w:spacing w:before="1"/>
              <w:rPr>
                <w:rFonts w:ascii="微軟正黑體"/>
                <w:b/>
                <w:sz w:val="19"/>
              </w:rPr>
            </w:pPr>
          </w:p>
          <w:p>
            <w:pPr>
              <w:pStyle w:val="TableParagraph"/>
              <w:ind w:left="14"/>
              <w:jc w:val="center"/>
              <w:rPr>
                <w:rFonts w:ascii="細明體" w:hAnsi="細明體"/>
                <w:sz w:val="22"/>
              </w:rPr>
            </w:pPr>
            <w:r>
              <w:rPr>
                <w:rFonts w:ascii="細明體" w:hAnsi="細明體"/>
                <w:w w:val="100"/>
                <w:sz w:val="22"/>
              </w:rPr>
              <w:t>□</w:t>
            </w:r>
          </w:p>
        </w:tc>
        <w:tc>
          <w:tcPr>
            <w:tcW w:w="1275" w:type="dxa"/>
          </w:tcPr>
          <w:p>
            <w:pPr>
              <w:pStyle w:val="TableParagraph"/>
              <w:spacing w:before="2"/>
              <w:rPr>
                <w:rFonts w:ascii="微軟正黑體"/>
                <w:b/>
                <w:sz w:val="14"/>
              </w:rPr>
            </w:pPr>
          </w:p>
          <w:p>
            <w:pPr>
              <w:pStyle w:val="TableParagraph"/>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numPr>
                <w:ilvl w:val="0"/>
                <w:numId w:val="148"/>
              </w:numPr>
              <w:tabs>
                <w:tab w:pos="425" w:val="left" w:leader="none"/>
              </w:tabs>
              <w:spacing w:line="403" w:lineRule="exact" w:before="76" w:after="0"/>
              <w:ind w:left="424" w:right="0" w:hanging="315"/>
              <w:jc w:val="left"/>
              <w:rPr>
                <w:rFonts w:ascii="微軟正黑體" w:eastAsia="微軟正黑體" w:hint="eastAsia"/>
                <w:sz w:val="22"/>
              </w:rPr>
            </w:pPr>
            <w:r>
              <w:rPr>
                <w:rFonts w:ascii="微軟正黑體" w:eastAsia="微軟正黑體" w:hint="eastAsia"/>
                <w:color w:val="221F1F"/>
                <w:spacing w:val="8"/>
                <w:sz w:val="22"/>
              </w:rPr>
              <w:t>辦理醫院感染管制查核作業</w:t>
            </w:r>
          </w:p>
          <w:p>
            <w:pPr>
              <w:pStyle w:val="TableParagraph"/>
              <w:numPr>
                <w:ilvl w:val="0"/>
                <w:numId w:val="148"/>
              </w:numPr>
              <w:tabs>
                <w:tab w:pos="425" w:val="left" w:leader="none"/>
              </w:tabs>
              <w:spacing w:line="400" w:lineRule="exact" w:before="0" w:after="0"/>
              <w:ind w:left="424" w:right="0" w:hanging="315"/>
              <w:jc w:val="left"/>
              <w:rPr>
                <w:rFonts w:ascii="微軟正黑體" w:eastAsia="微軟正黑體" w:hint="eastAsia"/>
                <w:sz w:val="22"/>
              </w:rPr>
            </w:pPr>
            <w:r>
              <w:rPr>
                <w:rFonts w:ascii="微軟正黑體" w:eastAsia="微軟正黑體" w:hint="eastAsia"/>
                <w:color w:val="221F1F"/>
                <w:spacing w:val="7"/>
                <w:sz w:val="22"/>
              </w:rPr>
              <w:t>監控聚集事件發生</w:t>
            </w:r>
          </w:p>
        </w:tc>
      </w:tr>
      <w:tr>
        <w:trPr>
          <w:trHeight w:val="498" w:hRule="atLeast"/>
        </w:trPr>
        <w:tc>
          <w:tcPr>
            <w:tcW w:w="1272" w:type="dxa"/>
          </w:tcPr>
          <w:p>
            <w:pPr>
              <w:pStyle w:val="TableParagraph"/>
              <w:spacing w:before="149"/>
              <w:ind w:left="14"/>
              <w:jc w:val="center"/>
              <w:rPr>
                <w:rFonts w:ascii="細明體" w:hAnsi="細明體"/>
                <w:sz w:val="22"/>
              </w:rPr>
            </w:pPr>
            <w:r>
              <w:rPr>
                <w:rFonts w:ascii="細明體" w:hAnsi="細明體"/>
                <w:w w:val="100"/>
                <w:sz w:val="22"/>
              </w:rPr>
              <w:t>□</w:t>
            </w:r>
          </w:p>
        </w:tc>
        <w:tc>
          <w:tcPr>
            <w:tcW w:w="1275" w:type="dxa"/>
          </w:tcPr>
          <w:p>
            <w:pPr>
              <w:pStyle w:val="TableParagraph"/>
              <w:spacing w:before="149"/>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line="383" w:lineRule="exact" w:before="96"/>
              <w:ind w:left="35"/>
              <w:rPr>
                <w:rFonts w:ascii="微軟正黑體" w:eastAsia="微軟正黑體" w:hint="eastAsia"/>
                <w:b/>
                <w:sz w:val="22"/>
              </w:rPr>
            </w:pPr>
            <w:r>
              <w:rPr>
                <w:rFonts w:ascii="微軟正黑體" w:eastAsia="微軟正黑體" w:hint="eastAsia"/>
                <w:b/>
                <w:color w:val="221F1F"/>
                <w:sz w:val="22"/>
              </w:rPr>
              <w:t>發現結核病個案</w:t>
            </w:r>
          </w:p>
        </w:tc>
      </w:tr>
    </w:tbl>
    <w:p>
      <w:pPr>
        <w:pStyle w:val="BodyText"/>
        <w:spacing w:before="15"/>
        <w:rPr>
          <w:rFonts w:ascii="微軟正黑體"/>
          <w:b/>
          <w:sz w:val="41"/>
        </w:rPr>
      </w:pPr>
    </w:p>
    <w:p>
      <w:pPr>
        <w:spacing w:before="0"/>
        <w:ind w:left="0" w:right="303" w:firstLine="0"/>
        <w:jc w:val="right"/>
        <w:rPr>
          <w:rFonts w:ascii="Arial"/>
          <w:sz w:val="16"/>
        </w:rPr>
      </w:pPr>
      <w:r>
        <w:rPr>
          <w:rFonts w:ascii="Arial"/>
          <w:color w:val="221F1F"/>
          <w:sz w:val="16"/>
        </w:rPr>
        <w:t>15</w:t>
      </w:r>
    </w:p>
    <w:p>
      <w:pPr>
        <w:spacing w:after="0"/>
        <w:jc w:val="right"/>
        <w:rPr>
          <w:rFonts w:ascii="Arial"/>
          <w:sz w:val="16"/>
        </w:rPr>
        <w:sectPr>
          <w:pgSz w:w="11910" w:h="16840"/>
          <w:pgMar w:top="1120" w:bottom="280" w:left="980" w:right="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1275"/>
        <w:gridCol w:w="7084"/>
      </w:tblGrid>
      <w:tr>
        <w:trPr>
          <w:trHeight w:val="400" w:hRule="atLeast"/>
        </w:trPr>
        <w:tc>
          <w:tcPr>
            <w:tcW w:w="2547" w:type="dxa"/>
            <w:gridSpan w:val="2"/>
            <w:shd w:val="clear" w:color="auto" w:fill="E8E8E8"/>
          </w:tcPr>
          <w:p>
            <w:pPr>
              <w:pStyle w:val="TableParagraph"/>
              <w:spacing w:line="338" w:lineRule="exact" w:before="42"/>
              <w:ind w:left="835"/>
              <w:rPr>
                <w:rFonts w:ascii="微軟正黑體" w:eastAsia="微軟正黑體" w:hint="eastAsia"/>
                <w:b/>
                <w:sz w:val="22"/>
              </w:rPr>
            </w:pPr>
            <w:r>
              <w:rPr>
                <w:rFonts w:ascii="微軟正黑體" w:eastAsia="微軟正黑體" w:hint="eastAsia"/>
                <w:b/>
                <w:color w:val="221F1F"/>
                <w:sz w:val="22"/>
              </w:rPr>
              <w:t>主責單位</w:t>
            </w:r>
          </w:p>
        </w:tc>
        <w:tc>
          <w:tcPr>
            <w:tcW w:w="7084" w:type="dxa"/>
            <w:vMerge w:val="restart"/>
            <w:tcBorders>
              <w:right w:val="single" w:sz="6" w:space="0" w:color="000000"/>
            </w:tcBorders>
            <w:shd w:val="clear" w:color="auto" w:fill="E8E8E8"/>
          </w:tcPr>
          <w:p>
            <w:pPr>
              <w:pStyle w:val="TableParagraph"/>
              <w:spacing w:before="230"/>
              <w:ind w:left="3082" w:right="3069"/>
              <w:jc w:val="center"/>
              <w:rPr>
                <w:rFonts w:ascii="微軟正黑體" w:eastAsia="微軟正黑體" w:hint="eastAsia"/>
                <w:b/>
                <w:sz w:val="22"/>
              </w:rPr>
            </w:pPr>
            <w:r>
              <w:rPr>
                <w:rFonts w:ascii="微軟正黑體" w:eastAsia="微軟正黑體" w:hint="eastAsia"/>
                <w:b/>
                <w:color w:val="221F1F"/>
                <w:sz w:val="22"/>
              </w:rPr>
              <w:t>工作事項</w:t>
            </w:r>
          </w:p>
        </w:tc>
      </w:tr>
      <w:tr>
        <w:trPr>
          <w:trHeight w:val="400" w:hRule="atLeast"/>
        </w:trPr>
        <w:tc>
          <w:tcPr>
            <w:tcW w:w="1272" w:type="dxa"/>
            <w:shd w:val="clear" w:color="auto" w:fill="E8E8E8"/>
          </w:tcPr>
          <w:p>
            <w:pPr>
              <w:pStyle w:val="TableParagraph"/>
              <w:spacing w:line="338" w:lineRule="exact" w:before="42"/>
              <w:ind w:left="178" w:right="164"/>
              <w:jc w:val="center"/>
              <w:rPr>
                <w:rFonts w:ascii="微軟正黑體" w:eastAsia="微軟正黑體" w:hint="eastAsia"/>
                <w:b/>
                <w:sz w:val="22"/>
              </w:rPr>
            </w:pPr>
            <w:r>
              <w:rPr>
                <w:rFonts w:ascii="微軟正黑體" w:eastAsia="微軟正黑體" w:hint="eastAsia"/>
                <w:b/>
                <w:color w:val="221F1F"/>
                <w:sz w:val="22"/>
              </w:rPr>
              <w:t>衛生單位</w:t>
            </w:r>
          </w:p>
        </w:tc>
        <w:tc>
          <w:tcPr>
            <w:tcW w:w="1275" w:type="dxa"/>
            <w:shd w:val="clear" w:color="auto" w:fill="E8E8E8"/>
          </w:tcPr>
          <w:p>
            <w:pPr>
              <w:pStyle w:val="TableParagraph"/>
              <w:spacing w:line="338" w:lineRule="exact" w:before="42"/>
              <w:ind w:left="129" w:right="118"/>
              <w:jc w:val="center"/>
              <w:rPr>
                <w:rFonts w:ascii="微軟正黑體" w:eastAsia="微軟正黑體" w:hint="eastAsia"/>
                <w:b/>
                <w:sz w:val="22"/>
              </w:rPr>
            </w:pPr>
            <w:r>
              <w:rPr>
                <w:rFonts w:ascii="微軟正黑體" w:eastAsia="微軟正黑體" w:hint="eastAsia"/>
                <w:b/>
                <w:color w:val="221F1F"/>
                <w:sz w:val="22"/>
              </w:rPr>
              <w:t>機構/雇主</w:t>
            </w:r>
          </w:p>
        </w:tc>
        <w:tc>
          <w:tcPr>
            <w:tcW w:w="7084" w:type="dxa"/>
            <w:vMerge/>
            <w:tcBorders>
              <w:top w:val="nil"/>
              <w:right w:val="single" w:sz="6" w:space="0" w:color="000000"/>
            </w:tcBorders>
            <w:shd w:val="clear" w:color="auto" w:fill="E8E8E8"/>
          </w:tcPr>
          <w:p>
            <w:pPr>
              <w:rPr>
                <w:sz w:val="2"/>
                <w:szCs w:val="2"/>
              </w:rPr>
            </w:pPr>
          </w:p>
        </w:tc>
      </w:tr>
      <w:tr>
        <w:trPr>
          <w:trHeight w:val="2200" w:hRule="atLeast"/>
        </w:trPr>
        <w:tc>
          <w:tcPr>
            <w:tcW w:w="1272" w:type="dxa"/>
          </w:tcPr>
          <w:p>
            <w:pPr>
              <w:pStyle w:val="TableParagraph"/>
              <w:rPr>
                <w:rFonts w:ascii="Times New Roman"/>
                <w:sz w:val="22"/>
              </w:rPr>
            </w:pP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numPr>
                <w:ilvl w:val="0"/>
                <w:numId w:val="149"/>
              </w:numPr>
              <w:tabs>
                <w:tab w:pos="318" w:val="left" w:leader="none"/>
              </w:tabs>
              <w:spacing w:line="237" w:lineRule="auto" w:before="26" w:after="0"/>
              <w:ind w:left="398" w:right="58" w:hanging="260"/>
              <w:jc w:val="left"/>
              <w:rPr>
                <w:rFonts w:ascii="微軟正黑體" w:eastAsia="微軟正黑體" w:hint="eastAsia"/>
                <w:sz w:val="22"/>
              </w:rPr>
            </w:pPr>
            <w:r>
              <w:rPr>
                <w:rFonts w:ascii="微軟正黑體" w:eastAsia="微軟正黑體" w:hint="eastAsia"/>
                <w:color w:val="221F1F"/>
                <w:spacing w:val="-21"/>
                <w:sz w:val="22"/>
              </w:rPr>
              <w:t>進行疫情調查，並填列「結核病列管族群個案</w:t>
            </w:r>
            <w:r>
              <w:rPr>
                <w:rFonts w:ascii="微軟正黑體" w:eastAsia="微軟正黑體" w:hint="eastAsia"/>
                <w:color w:val="221F1F"/>
                <w:sz w:val="22"/>
              </w:rPr>
              <w:t>（</w:t>
            </w:r>
            <w:r>
              <w:rPr>
                <w:rFonts w:ascii="微軟正黑體" w:eastAsia="微軟正黑體" w:hint="eastAsia"/>
                <w:color w:val="FF0000"/>
                <w:sz w:val="22"/>
              </w:rPr>
              <w:t>醫療院所</w:t>
            </w:r>
            <w:r>
              <w:rPr>
                <w:rFonts w:ascii="微軟正黑體" w:eastAsia="微軟正黑體" w:hint="eastAsia"/>
                <w:color w:val="221F1F"/>
                <w:spacing w:val="-2"/>
                <w:sz w:val="22"/>
              </w:rPr>
              <w:t>工作者</w:t>
            </w:r>
            <w:r>
              <w:rPr>
                <w:rFonts w:ascii="微軟正黑體" w:eastAsia="微軟正黑體" w:hint="eastAsia"/>
                <w:color w:val="221F1F"/>
                <w:spacing w:val="-48"/>
                <w:sz w:val="22"/>
              </w:rPr>
              <w:t>）</w:t>
            </w:r>
            <w:r>
              <w:rPr>
                <w:rFonts w:ascii="微軟正黑體" w:eastAsia="微軟正黑體" w:hint="eastAsia"/>
                <w:color w:val="221F1F"/>
                <w:spacing w:val="-4"/>
                <w:sz w:val="22"/>
              </w:rPr>
              <w:t>防疫措</w:t>
            </w:r>
            <w:r>
              <w:rPr>
                <w:rFonts w:ascii="微軟正黑體" w:eastAsia="微軟正黑體" w:hint="eastAsia"/>
                <w:color w:val="221F1F"/>
                <w:spacing w:val="-1"/>
                <w:sz w:val="22"/>
              </w:rPr>
              <w:t>施調查表」</w:t>
            </w:r>
          </w:p>
          <w:p>
            <w:pPr>
              <w:pStyle w:val="TableParagraph"/>
              <w:numPr>
                <w:ilvl w:val="0"/>
                <w:numId w:val="149"/>
              </w:numPr>
              <w:tabs>
                <w:tab w:pos="318" w:val="left" w:leader="none"/>
              </w:tabs>
              <w:spacing w:line="240" w:lineRule="auto" w:before="45" w:after="0"/>
              <w:ind w:left="318" w:right="0" w:hanging="180"/>
              <w:jc w:val="left"/>
              <w:rPr>
                <w:rFonts w:ascii="微軟正黑體" w:eastAsia="微軟正黑體" w:hint="eastAsia"/>
                <w:sz w:val="22"/>
              </w:rPr>
            </w:pPr>
            <w:r>
              <w:rPr>
                <w:rFonts w:ascii="微軟正黑體" w:eastAsia="微軟正黑體" w:hint="eastAsia"/>
                <w:color w:val="221F1F"/>
                <w:spacing w:val="-3"/>
                <w:sz w:val="22"/>
              </w:rPr>
              <w:t>發生聚集事件時，配合及落實衛生單位相關因應措施</w:t>
            </w:r>
          </w:p>
          <w:p>
            <w:pPr>
              <w:pStyle w:val="TableParagraph"/>
              <w:numPr>
                <w:ilvl w:val="0"/>
                <w:numId w:val="149"/>
              </w:numPr>
              <w:tabs>
                <w:tab w:pos="329" w:val="left" w:leader="none"/>
              </w:tabs>
              <w:spacing w:line="240" w:lineRule="auto" w:before="47" w:after="0"/>
              <w:ind w:left="328" w:right="0" w:hanging="191"/>
              <w:jc w:val="left"/>
              <w:rPr>
                <w:rFonts w:ascii="微軟正黑體" w:eastAsia="微軟正黑體" w:hint="eastAsia"/>
                <w:sz w:val="22"/>
              </w:rPr>
            </w:pPr>
            <w:r>
              <w:rPr>
                <w:rFonts w:ascii="微軟正黑體" w:eastAsia="微軟正黑體" w:hint="eastAsia"/>
                <w:color w:val="221F1F"/>
                <w:spacing w:val="8"/>
                <w:sz w:val="22"/>
              </w:rPr>
              <w:t>依感染管制查核規範辦理院內接觸者調查與檢查作業</w:t>
            </w:r>
          </w:p>
          <w:p>
            <w:pPr>
              <w:pStyle w:val="TableParagraph"/>
              <w:numPr>
                <w:ilvl w:val="0"/>
                <w:numId w:val="149"/>
              </w:numPr>
              <w:tabs>
                <w:tab w:pos="329" w:val="left" w:leader="none"/>
              </w:tabs>
              <w:spacing w:line="240" w:lineRule="auto" w:before="44" w:after="0"/>
              <w:ind w:left="328" w:right="0" w:hanging="191"/>
              <w:jc w:val="left"/>
              <w:rPr>
                <w:rFonts w:ascii="微軟正黑體" w:eastAsia="微軟正黑體" w:hint="eastAsia"/>
                <w:sz w:val="22"/>
              </w:rPr>
            </w:pPr>
            <w:r>
              <w:rPr>
                <w:rFonts w:ascii="微軟正黑體" w:eastAsia="微軟正黑體" w:hint="eastAsia"/>
                <w:color w:val="221F1F"/>
                <w:spacing w:val="10"/>
                <w:sz w:val="22"/>
              </w:rPr>
              <w:t>針對疑似聚集</w:t>
            </w:r>
            <w:r>
              <w:rPr>
                <w:rFonts w:ascii="微軟正黑體" w:eastAsia="微軟正黑體" w:hint="eastAsia"/>
                <w:color w:val="FF0000"/>
                <w:spacing w:val="10"/>
                <w:sz w:val="22"/>
              </w:rPr>
              <w:t>感染</w:t>
            </w:r>
            <w:r>
              <w:rPr>
                <w:rFonts w:ascii="微軟正黑體" w:eastAsia="微軟正黑體" w:hint="eastAsia"/>
                <w:color w:val="221F1F"/>
                <w:spacing w:val="8"/>
                <w:sz w:val="22"/>
              </w:rPr>
              <w:t>事件協助調閱菌株進行基因分型比對作業</w:t>
            </w:r>
          </w:p>
        </w:tc>
      </w:tr>
      <w:tr>
        <w:trPr>
          <w:trHeight w:val="566" w:hRule="atLeast"/>
        </w:trPr>
        <w:tc>
          <w:tcPr>
            <w:tcW w:w="9631" w:type="dxa"/>
            <w:gridSpan w:val="3"/>
            <w:tcBorders>
              <w:right w:val="single" w:sz="6" w:space="0" w:color="000000"/>
            </w:tcBorders>
          </w:tcPr>
          <w:p>
            <w:pPr>
              <w:pStyle w:val="TableParagraph"/>
              <w:spacing w:before="124"/>
              <w:ind w:left="3916" w:right="3901"/>
              <w:jc w:val="center"/>
              <w:rPr>
                <w:rFonts w:ascii="微軟正黑體" w:eastAsia="微軟正黑體" w:hint="eastAsia"/>
                <w:b/>
                <w:sz w:val="22"/>
              </w:rPr>
            </w:pPr>
            <w:r>
              <w:rPr>
                <w:rFonts w:ascii="微軟正黑體" w:eastAsia="微軟正黑體" w:hint="eastAsia"/>
                <w:b/>
                <w:color w:val="221F1F"/>
                <w:sz w:val="22"/>
              </w:rPr>
              <w:t>校園工作者及學生</w:t>
            </w:r>
          </w:p>
        </w:tc>
      </w:tr>
      <w:tr>
        <w:trPr>
          <w:trHeight w:val="2150" w:hRule="atLeast"/>
        </w:trPr>
        <w:tc>
          <w:tcPr>
            <w:tcW w:w="1272" w:type="dxa"/>
          </w:tcPr>
          <w:p>
            <w:pPr>
              <w:pStyle w:val="TableParagraph"/>
              <w:rPr>
                <w:rFonts w:ascii="Times New Roman"/>
                <w:sz w:val="22"/>
              </w:rPr>
            </w:pPr>
          </w:p>
        </w:tc>
        <w:tc>
          <w:tcPr>
            <w:tcW w:w="1275" w:type="dxa"/>
          </w:tcPr>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spacing w:before="6"/>
              <w:rPr>
                <w:rFonts w:ascii="Arial"/>
                <w:sz w:val="18"/>
              </w:rPr>
            </w:pPr>
          </w:p>
          <w:p>
            <w:pPr>
              <w:pStyle w:val="TableParagraph"/>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before="93"/>
              <w:ind w:left="35"/>
              <w:rPr>
                <w:rFonts w:ascii="微軟正黑體" w:eastAsia="微軟正黑體" w:hint="eastAsia"/>
                <w:b/>
                <w:sz w:val="22"/>
              </w:rPr>
            </w:pPr>
            <w:r>
              <w:rPr>
                <w:rFonts w:ascii="微軟正黑體" w:eastAsia="微軟正黑體" w:hint="eastAsia"/>
                <w:b/>
                <w:color w:val="221F1F"/>
                <w:sz w:val="22"/>
              </w:rPr>
              <w:t>平時作為</w:t>
            </w:r>
          </w:p>
          <w:p>
            <w:pPr>
              <w:pStyle w:val="TableParagraph"/>
              <w:numPr>
                <w:ilvl w:val="0"/>
                <w:numId w:val="150"/>
              </w:numPr>
              <w:tabs>
                <w:tab w:pos="425" w:val="left" w:leader="none"/>
              </w:tabs>
              <w:spacing w:line="401" w:lineRule="exact" w:before="28" w:after="0"/>
              <w:ind w:left="424" w:right="0" w:hanging="284"/>
              <w:jc w:val="left"/>
              <w:rPr>
                <w:rFonts w:ascii="微軟正黑體" w:eastAsia="微軟正黑體" w:hint="eastAsia"/>
                <w:sz w:val="22"/>
              </w:rPr>
            </w:pPr>
            <w:r>
              <w:rPr>
                <w:rFonts w:ascii="微軟正黑體" w:eastAsia="微軟正黑體" w:hint="eastAsia"/>
                <w:color w:val="221F1F"/>
                <w:spacing w:val="-3"/>
                <w:sz w:val="22"/>
              </w:rPr>
              <w:t>進行結核病防治衛生教育及健康管理</w:t>
            </w:r>
          </w:p>
          <w:p>
            <w:pPr>
              <w:pStyle w:val="TableParagraph"/>
              <w:numPr>
                <w:ilvl w:val="0"/>
                <w:numId w:val="150"/>
              </w:numPr>
              <w:tabs>
                <w:tab w:pos="425" w:val="left" w:leader="none"/>
              </w:tabs>
              <w:spacing w:line="400" w:lineRule="exact" w:before="0" w:after="0"/>
              <w:ind w:left="424" w:right="0" w:hanging="284"/>
              <w:jc w:val="left"/>
              <w:rPr>
                <w:rFonts w:ascii="微軟正黑體" w:eastAsia="微軟正黑體" w:hint="eastAsia"/>
                <w:sz w:val="22"/>
              </w:rPr>
            </w:pPr>
            <w:r>
              <w:rPr>
                <w:rFonts w:ascii="微軟正黑體" w:eastAsia="微軟正黑體" w:hint="eastAsia"/>
                <w:color w:val="221F1F"/>
                <w:spacing w:val="-3"/>
                <w:sz w:val="22"/>
              </w:rPr>
              <w:t>確保室內空氣流通及其品質</w:t>
            </w:r>
          </w:p>
          <w:p>
            <w:pPr>
              <w:pStyle w:val="TableParagraph"/>
              <w:numPr>
                <w:ilvl w:val="0"/>
                <w:numId w:val="150"/>
              </w:numPr>
              <w:tabs>
                <w:tab w:pos="425" w:val="left" w:leader="none"/>
              </w:tabs>
              <w:spacing w:line="401" w:lineRule="exact" w:before="0" w:after="0"/>
              <w:ind w:left="424" w:right="0" w:hanging="284"/>
              <w:jc w:val="left"/>
              <w:rPr>
                <w:rFonts w:ascii="微軟正黑體" w:eastAsia="微軟正黑體" w:hint="eastAsia"/>
                <w:sz w:val="22"/>
              </w:rPr>
            </w:pPr>
            <w:r>
              <w:rPr>
                <w:rFonts w:ascii="微軟正黑體" w:eastAsia="微軟正黑體" w:hint="eastAsia"/>
                <w:color w:val="221F1F"/>
                <w:spacing w:val="-2"/>
                <w:sz w:val="22"/>
              </w:rPr>
              <w:t>建立定期健康檢查機制</w:t>
            </w:r>
          </w:p>
          <w:p>
            <w:pPr>
              <w:pStyle w:val="TableParagraph"/>
              <w:numPr>
                <w:ilvl w:val="0"/>
                <w:numId w:val="150"/>
              </w:numPr>
              <w:tabs>
                <w:tab w:pos="425" w:val="left" w:leader="none"/>
              </w:tabs>
              <w:spacing w:line="403" w:lineRule="exact" w:before="0" w:after="0"/>
              <w:ind w:left="424" w:right="0" w:hanging="284"/>
              <w:jc w:val="left"/>
              <w:rPr>
                <w:rFonts w:ascii="微軟正黑體" w:eastAsia="微軟正黑體" w:hint="eastAsia"/>
                <w:color w:val="221F1F"/>
                <w:sz w:val="22"/>
              </w:rPr>
            </w:pPr>
            <w:r>
              <w:rPr>
                <w:rFonts w:ascii="微軟正黑體" w:eastAsia="微軟正黑體" w:hint="eastAsia"/>
                <w:color w:val="221F1F"/>
                <w:sz w:val="22"/>
              </w:rPr>
              <w:t>落實體檢 X</w:t>
            </w:r>
            <w:r>
              <w:rPr>
                <w:rFonts w:ascii="微軟正黑體" w:eastAsia="微軟正黑體" w:hint="eastAsia"/>
                <w:color w:val="221F1F"/>
                <w:spacing w:val="-3"/>
                <w:sz w:val="22"/>
              </w:rPr>
              <w:t> 光異常報告轉介及追蹤</w:t>
            </w:r>
          </w:p>
        </w:tc>
      </w:tr>
      <w:tr>
        <w:trPr>
          <w:trHeight w:val="580" w:hRule="atLeast"/>
        </w:trPr>
        <w:tc>
          <w:tcPr>
            <w:tcW w:w="1272" w:type="dxa"/>
          </w:tcPr>
          <w:p>
            <w:pPr>
              <w:pStyle w:val="TableParagraph"/>
              <w:spacing w:before="187"/>
              <w:ind w:left="14"/>
              <w:jc w:val="center"/>
              <w:rPr>
                <w:rFonts w:ascii="細明體" w:hAnsi="細明體"/>
                <w:sz w:val="22"/>
              </w:rPr>
            </w:pPr>
            <w:r>
              <w:rPr>
                <w:rFonts w:ascii="細明體" w:hAnsi="細明體"/>
                <w:w w:val="100"/>
                <w:sz w:val="22"/>
              </w:rPr>
              <w:t>□</w:t>
            </w:r>
          </w:p>
        </w:tc>
        <w:tc>
          <w:tcPr>
            <w:tcW w:w="1275" w:type="dxa"/>
          </w:tcPr>
          <w:p>
            <w:pPr>
              <w:pStyle w:val="TableParagraph"/>
              <w:spacing w:before="98"/>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before="73"/>
              <w:ind w:left="141"/>
              <w:rPr>
                <w:rFonts w:ascii="微軟正黑體" w:eastAsia="微軟正黑體" w:hint="eastAsia"/>
                <w:sz w:val="22"/>
              </w:rPr>
            </w:pPr>
            <w:r>
              <w:rPr>
                <w:rFonts w:ascii="微軟正黑體" w:eastAsia="微軟正黑體" w:hint="eastAsia"/>
                <w:color w:val="221F1F"/>
                <w:sz w:val="22"/>
              </w:rPr>
              <w:t>5. 監控校院疑似聚集事件發生</w:t>
            </w:r>
          </w:p>
        </w:tc>
      </w:tr>
      <w:tr>
        <w:trPr>
          <w:trHeight w:val="1752" w:hRule="atLeast"/>
        </w:trPr>
        <w:tc>
          <w:tcPr>
            <w:tcW w:w="1272" w:type="dxa"/>
          </w:tcPr>
          <w:p>
            <w:pPr>
              <w:pStyle w:val="TableParagraph"/>
              <w:rPr>
                <w:rFonts w:ascii="Times New Roman"/>
                <w:sz w:val="22"/>
              </w:rPr>
            </w:pPr>
          </w:p>
        </w:tc>
        <w:tc>
          <w:tcPr>
            <w:tcW w:w="1275" w:type="dxa"/>
          </w:tcPr>
          <w:p>
            <w:pPr>
              <w:pStyle w:val="TableParagraph"/>
              <w:rPr>
                <w:rFonts w:ascii="Arial"/>
                <w:sz w:val="22"/>
              </w:rPr>
            </w:pPr>
          </w:p>
          <w:p>
            <w:pPr>
              <w:pStyle w:val="TableParagraph"/>
              <w:rPr>
                <w:rFonts w:ascii="Arial"/>
                <w:sz w:val="22"/>
              </w:rPr>
            </w:pPr>
          </w:p>
          <w:p>
            <w:pPr>
              <w:pStyle w:val="TableParagraph"/>
              <w:rPr>
                <w:rFonts w:ascii="Arial"/>
                <w:sz w:val="23"/>
              </w:rPr>
            </w:pPr>
          </w:p>
          <w:p>
            <w:pPr>
              <w:pStyle w:val="TableParagraph"/>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before="90"/>
              <w:ind w:left="35"/>
              <w:rPr>
                <w:rFonts w:ascii="微軟正黑體" w:eastAsia="微軟正黑體" w:hint="eastAsia"/>
                <w:b/>
                <w:sz w:val="22"/>
              </w:rPr>
            </w:pPr>
            <w:r>
              <w:rPr>
                <w:rFonts w:ascii="微軟正黑體" w:eastAsia="微軟正黑體" w:hint="eastAsia"/>
                <w:b/>
                <w:color w:val="221F1F"/>
                <w:sz w:val="22"/>
              </w:rPr>
              <w:t>發現結核病個案</w:t>
            </w:r>
          </w:p>
          <w:p>
            <w:pPr>
              <w:pStyle w:val="TableParagraph"/>
              <w:numPr>
                <w:ilvl w:val="0"/>
                <w:numId w:val="151"/>
              </w:numPr>
              <w:tabs>
                <w:tab w:pos="425" w:val="left" w:leader="none"/>
              </w:tabs>
              <w:spacing w:line="403" w:lineRule="exact" w:before="28" w:after="0"/>
              <w:ind w:left="424" w:right="0" w:hanging="284"/>
              <w:jc w:val="left"/>
              <w:rPr>
                <w:rFonts w:ascii="微軟正黑體" w:eastAsia="微軟正黑體" w:hint="eastAsia"/>
                <w:sz w:val="22"/>
              </w:rPr>
            </w:pPr>
            <w:r>
              <w:rPr>
                <w:rFonts w:ascii="微軟正黑體" w:eastAsia="微軟正黑體" w:hint="eastAsia"/>
                <w:color w:val="221F1F"/>
                <w:spacing w:val="-2"/>
                <w:sz w:val="22"/>
              </w:rPr>
              <w:t>遵守傳染病防治法第 </w:t>
            </w:r>
            <w:r>
              <w:rPr>
                <w:rFonts w:ascii="微軟正黑體" w:eastAsia="微軟正黑體" w:hint="eastAsia"/>
                <w:color w:val="221F1F"/>
                <w:sz w:val="22"/>
              </w:rPr>
              <w:t>10</w:t>
            </w:r>
            <w:r>
              <w:rPr>
                <w:rFonts w:ascii="微軟正黑體" w:eastAsia="微軟正黑體" w:hint="eastAsia"/>
                <w:color w:val="221F1F"/>
                <w:spacing w:val="-1"/>
                <w:sz w:val="22"/>
              </w:rPr>
              <w:t> 及 </w:t>
            </w:r>
            <w:r>
              <w:rPr>
                <w:rFonts w:ascii="微軟正黑體" w:eastAsia="微軟正黑體" w:hint="eastAsia"/>
                <w:color w:val="221F1F"/>
                <w:sz w:val="22"/>
              </w:rPr>
              <w:t>12</w:t>
            </w:r>
            <w:r>
              <w:rPr>
                <w:rFonts w:ascii="微軟正黑體" w:eastAsia="微軟正黑體" w:hint="eastAsia"/>
                <w:color w:val="221F1F"/>
                <w:spacing w:val="-3"/>
                <w:sz w:val="22"/>
              </w:rPr>
              <w:t> 條規定，保障個案隱私及權益</w:t>
            </w:r>
          </w:p>
          <w:p>
            <w:pPr>
              <w:pStyle w:val="TableParagraph"/>
              <w:numPr>
                <w:ilvl w:val="0"/>
                <w:numId w:val="151"/>
              </w:numPr>
              <w:tabs>
                <w:tab w:pos="425" w:val="left" w:leader="none"/>
              </w:tabs>
              <w:spacing w:line="401" w:lineRule="exact" w:before="0" w:after="0"/>
              <w:ind w:left="424" w:right="0" w:hanging="284"/>
              <w:jc w:val="left"/>
              <w:rPr>
                <w:rFonts w:ascii="微軟正黑體" w:eastAsia="微軟正黑體" w:hint="eastAsia"/>
                <w:sz w:val="22"/>
              </w:rPr>
            </w:pPr>
            <w:r>
              <w:rPr>
                <w:rFonts w:ascii="微軟正黑體" w:eastAsia="微軟正黑體" w:hint="eastAsia"/>
                <w:color w:val="221F1F"/>
                <w:spacing w:val="-3"/>
                <w:sz w:val="22"/>
              </w:rPr>
              <w:t>配合協助衛生單位進行疫情調查與接觸檢查及後續轉介作業</w:t>
            </w:r>
          </w:p>
          <w:p>
            <w:pPr>
              <w:pStyle w:val="TableParagraph"/>
              <w:numPr>
                <w:ilvl w:val="0"/>
                <w:numId w:val="151"/>
              </w:numPr>
              <w:tabs>
                <w:tab w:pos="425" w:val="left" w:leader="none"/>
              </w:tabs>
              <w:spacing w:line="403" w:lineRule="exact" w:before="0" w:after="0"/>
              <w:ind w:left="424" w:right="0" w:hanging="284"/>
              <w:jc w:val="left"/>
              <w:rPr>
                <w:rFonts w:ascii="微軟正黑體" w:eastAsia="微軟正黑體" w:hint="eastAsia"/>
                <w:sz w:val="22"/>
              </w:rPr>
            </w:pPr>
            <w:r>
              <w:rPr>
                <w:rFonts w:ascii="微軟正黑體" w:eastAsia="微軟正黑體" w:hint="eastAsia"/>
                <w:color w:val="221F1F"/>
                <w:spacing w:val="-3"/>
                <w:sz w:val="22"/>
              </w:rPr>
              <w:t>發生聚集事件時，配合及落實衛生單位相關因應措施</w:t>
            </w:r>
          </w:p>
        </w:tc>
      </w:tr>
      <w:tr>
        <w:trPr>
          <w:trHeight w:val="1298" w:hRule="atLeast"/>
        </w:trPr>
        <w:tc>
          <w:tcPr>
            <w:tcW w:w="1272" w:type="dxa"/>
          </w:tcPr>
          <w:p>
            <w:pPr>
              <w:pStyle w:val="TableParagraph"/>
              <w:rPr>
                <w:rFonts w:ascii="Arial"/>
                <w:sz w:val="22"/>
              </w:rPr>
            </w:pPr>
          </w:p>
          <w:p>
            <w:pPr>
              <w:pStyle w:val="TableParagraph"/>
              <w:spacing w:before="4"/>
              <w:rPr>
                <w:rFonts w:ascii="Arial"/>
                <w:sz w:val="25"/>
              </w:rPr>
            </w:pPr>
          </w:p>
          <w:p>
            <w:pPr>
              <w:pStyle w:val="TableParagraph"/>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numPr>
                <w:ilvl w:val="0"/>
                <w:numId w:val="152"/>
              </w:numPr>
              <w:tabs>
                <w:tab w:pos="425" w:val="left" w:leader="none"/>
              </w:tabs>
              <w:spacing w:line="403" w:lineRule="exact" w:before="71" w:after="0"/>
              <w:ind w:left="424" w:right="0" w:hanging="284"/>
              <w:jc w:val="left"/>
              <w:rPr>
                <w:rFonts w:ascii="微軟正黑體" w:eastAsia="微軟正黑體" w:hint="eastAsia"/>
                <w:color w:val="221F1F"/>
                <w:sz w:val="22"/>
              </w:rPr>
            </w:pPr>
            <w:r>
              <w:rPr>
                <w:rFonts w:ascii="微軟正黑體" w:eastAsia="微軟正黑體" w:hint="eastAsia"/>
                <w:color w:val="221F1F"/>
                <w:spacing w:val="-3"/>
                <w:sz w:val="22"/>
              </w:rPr>
              <w:t>執行接觸者調查、衛教、檢查及其後續轉介作業</w:t>
            </w:r>
          </w:p>
          <w:p>
            <w:pPr>
              <w:pStyle w:val="TableParagraph"/>
              <w:numPr>
                <w:ilvl w:val="0"/>
                <w:numId w:val="152"/>
              </w:numPr>
              <w:tabs>
                <w:tab w:pos="425" w:val="left" w:leader="none"/>
              </w:tabs>
              <w:spacing w:line="401" w:lineRule="exact" w:before="0" w:after="0"/>
              <w:ind w:left="424" w:right="0" w:hanging="284"/>
              <w:jc w:val="left"/>
              <w:rPr>
                <w:rFonts w:ascii="微軟正黑體" w:eastAsia="微軟正黑體" w:hint="eastAsia"/>
                <w:color w:val="221F1F"/>
                <w:sz w:val="22"/>
              </w:rPr>
            </w:pPr>
            <w:r>
              <w:rPr>
                <w:rFonts w:ascii="微軟正黑體" w:eastAsia="微軟正黑體" w:hint="eastAsia"/>
                <w:color w:val="221F1F"/>
                <w:spacing w:val="-3"/>
                <w:sz w:val="22"/>
              </w:rPr>
              <w:t>提供結核病或潛伏結核感染治療個案都治送藥服務</w:t>
            </w:r>
          </w:p>
          <w:p>
            <w:pPr>
              <w:pStyle w:val="TableParagraph"/>
              <w:numPr>
                <w:ilvl w:val="0"/>
                <w:numId w:val="152"/>
              </w:numPr>
              <w:tabs>
                <w:tab w:pos="425" w:val="left" w:leader="none"/>
              </w:tabs>
              <w:spacing w:line="403" w:lineRule="exact" w:before="0" w:after="0"/>
              <w:ind w:left="424" w:right="0" w:hanging="284"/>
              <w:jc w:val="left"/>
              <w:rPr>
                <w:rFonts w:ascii="微軟正黑體" w:eastAsia="微軟正黑體" w:hint="eastAsia"/>
                <w:sz w:val="22"/>
              </w:rPr>
            </w:pPr>
            <w:r>
              <w:rPr>
                <w:rFonts w:ascii="微軟正黑體" w:eastAsia="微軟正黑體" w:hint="eastAsia"/>
                <w:color w:val="221F1F"/>
                <w:spacing w:val="-3"/>
                <w:sz w:val="22"/>
              </w:rPr>
              <w:t>開立結核病個案返校證明</w:t>
            </w:r>
          </w:p>
        </w:tc>
      </w:tr>
      <w:tr>
        <w:trPr>
          <w:trHeight w:val="568" w:hRule="atLeast"/>
        </w:trPr>
        <w:tc>
          <w:tcPr>
            <w:tcW w:w="9631" w:type="dxa"/>
            <w:gridSpan w:val="3"/>
            <w:tcBorders>
              <w:right w:val="single" w:sz="6" w:space="0" w:color="000000"/>
            </w:tcBorders>
          </w:tcPr>
          <w:p>
            <w:pPr>
              <w:pStyle w:val="TableParagraph"/>
              <w:spacing w:before="107"/>
              <w:ind w:left="3916" w:right="3900"/>
              <w:jc w:val="center"/>
              <w:rPr>
                <w:rFonts w:ascii="微軟正黑體" w:eastAsia="微軟正黑體" w:hint="eastAsia"/>
                <w:b/>
                <w:sz w:val="22"/>
              </w:rPr>
            </w:pPr>
            <w:r>
              <w:rPr>
                <w:rFonts w:ascii="微軟正黑體" w:eastAsia="微軟正黑體" w:hint="eastAsia"/>
                <w:b/>
                <w:sz w:val="22"/>
              </w:rPr>
              <w:t>外籍人士/移工</w:t>
            </w:r>
          </w:p>
        </w:tc>
      </w:tr>
      <w:tr>
        <w:trPr>
          <w:trHeight w:val="1749" w:hRule="atLeast"/>
        </w:trPr>
        <w:tc>
          <w:tcPr>
            <w:tcW w:w="1272" w:type="dxa"/>
          </w:tcPr>
          <w:p>
            <w:pPr>
              <w:pStyle w:val="TableParagraph"/>
              <w:rPr>
                <w:rFonts w:ascii="Times New Roman"/>
                <w:sz w:val="22"/>
              </w:rPr>
            </w:pPr>
          </w:p>
        </w:tc>
        <w:tc>
          <w:tcPr>
            <w:tcW w:w="1275" w:type="dxa"/>
          </w:tcPr>
          <w:p>
            <w:pPr>
              <w:pStyle w:val="TableParagraph"/>
              <w:rPr>
                <w:rFonts w:ascii="Arial"/>
                <w:sz w:val="22"/>
              </w:rPr>
            </w:pPr>
          </w:p>
          <w:p>
            <w:pPr>
              <w:pStyle w:val="TableParagraph"/>
              <w:rPr>
                <w:rFonts w:ascii="Arial"/>
                <w:sz w:val="22"/>
              </w:rPr>
            </w:pPr>
          </w:p>
          <w:p>
            <w:pPr>
              <w:pStyle w:val="TableParagraph"/>
              <w:rPr>
                <w:rFonts w:ascii="Arial"/>
                <w:sz w:val="23"/>
              </w:rPr>
            </w:pPr>
          </w:p>
          <w:p>
            <w:pPr>
              <w:pStyle w:val="TableParagraph"/>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before="91"/>
              <w:ind w:left="110"/>
              <w:rPr>
                <w:rFonts w:ascii="微軟正黑體" w:eastAsia="微軟正黑體" w:hint="eastAsia"/>
                <w:b/>
                <w:sz w:val="22"/>
              </w:rPr>
            </w:pPr>
            <w:r>
              <w:rPr>
                <w:rFonts w:ascii="微軟正黑體" w:eastAsia="微軟正黑體" w:hint="eastAsia"/>
                <w:b/>
                <w:color w:val="221F1F"/>
                <w:sz w:val="22"/>
              </w:rPr>
              <w:t>強化外籍個案主動發現</w:t>
            </w:r>
          </w:p>
          <w:p>
            <w:pPr>
              <w:pStyle w:val="TableParagraph"/>
              <w:numPr>
                <w:ilvl w:val="0"/>
                <w:numId w:val="153"/>
              </w:numPr>
              <w:tabs>
                <w:tab w:pos="425" w:val="left" w:leader="none"/>
              </w:tabs>
              <w:spacing w:line="403" w:lineRule="exact" w:before="27" w:after="0"/>
              <w:ind w:left="424" w:right="0" w:hanging="284"/>
              <w:jc w:val="left"/>
              <w:rPr>
                <w:rFonts w:ascii="微軟正黑體" w:eastAsia="微軟正黑體" w:hint="eastAsia"/>
                <w:color w:val="221F1F"/>
                <w:sz w:val="22"/>
              </w:rPr>
            </w:pPr>
            <w:r>
              <w:rPr>
                <w:rFonts w:ascii="微軟正黑體" w:eastAsia="微軟正黑體" w:hint="eastAsia"/>
                <w:color w:val="221F1F"/>
                <w:spacing w:val="-3"/>
                <w:sz w:val="22"/>
              </w:rPr>
              <w:t>移工依規定進行健檢作業</w:t>
            </w:r>
          </w:p>
          <w:p>
            <w:pPr>
              <w:pStyle w:val="TableParagraph"/>
              <w:numPr>
                <w:ilvl w:val="0"/>
                <w:numId w:val="153"/>
              </w:numPr>
              <w:tabs>
                <w:tab w:pos="425" w:val="left" w:leader="none"/>
              </w:tabs>
              <w:spacing w:line="237" w:lineRule="auto" w:before="1" w:after="0"/>
              <w:ind w:left="424" w:right="78" w:hanging="284"/>
              <w:jc w:val="left"/>
              <w:rPr>
                <w:rFonts w:ascii="微軟正黑體" w:eastAsia="微軟正黑體" w:hint="eastAsia"/>
                <w:sz w:val="22"/>
              </w:rPr>
            </w:pPr>
            <w:r>
              <w:rPr>
                <w:rFonts w:ascii="微軟正黑體" w:eastAsia="微軟正黑體" w:hint="eastAsia"/>
                <w:color w:val="221F1F"/>
                <w:sz w:val="22"/>
              </w:rPr>
              <w:t>雇主/仲介對於健檢不合格之移工，於期限內前往指定醫院進行複檢作業</w:t>
            </w:r>
          </w:p>
        </w:tc>
      </w:tr>
      <w:tr>
        <w:trPr>
          <w:trHeight w:val="2500" w:hRule="atLeast"/>
        </w:trPr>
        <w:tc>
          <w:tcPr>
            <w:tcW w:w="1272" w:type="dxa"/>
          </w:tcPr>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spacing w:before="135"/>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numPr>
                <w:ilvl w:val="0"/>
                <w:numId w:val="154"/>
              </w:numPr>
              <w:tabs>
                <w:tab w:pos="425" w:val="left" w:leader="none"/>
              </w:tabs>
              <w:spacing w:line="237" w:lineRule="auto" w:before="76" w:after="0"/>
              <w:ind w:left="424" w:right="73" w:hanging="284"/>
              <w:jc w:val="both"/>
              <w:rPr>
                <w:rFonts w:ascii="微軟正黑體" w:eastAsia="微軟正黑體" w:hint="eastAsia"/>
                <w:sz w:val="22"/>
              </w:rPr>
            </w:pPr>
            <w:r>
              <w:rPr>
                <w:rFonts w:ascii="微軟正黑體" w:eastAsia="微軟正黑體" w:hint="eastAsia"/>
                <w:color w:val="221F1F"/>
                <w:spacing w:val="-7"/>
                <w:sz w:val="22"/>
              </w:rPr>
              <w:t>針對未申請留臺治療之移工，通知勞工主管單位，告知勞工留臺治療</w:t>
            </w:r>
            <w:r>
              <w:rPr>
                <w:rFonts w:ascii="微軟正黑體" w:eastAsia="微軟正黑體" w:hint="eastAsia"/>
                <w:color w:val="221F1F"/>
                <w:spacing w:val="-5"/>
                <w:sz w:val="22"/>
              </w:rPr>
              <w:t>之權益，輔導及協助雇主申請移工留臺治療</w:t>
            </w:r>
          </w:p>
          <w:p>
            <w:pPr>
              <w:pStyle w:val="TableParagraph"/>
              <w:numPr>
                <w:ilvl w:val="0"/>
                <w:numId w:val="154"/>
              </w:numPr>
              <w:tabs>
                <w:tab w:pos="425" w:val="left" w:leader="none"/>
              </w:tabs>
              <w:spacing w:line="237" w:lineRule="auto" w:before="0" w:after="0"/>
              <w:ind w:left="424" w:right="72" w:hanging="284"/>
              <w:jc w:val="both"/>
              <w:rPr>
                <w:rFonts w:ascii="微軟正黑體" w:eastAsia="微軟正黑體" w:hint="eastAsia"/>
                <w:sz w:val="22"/>
              </w:rPr>
            </w:pPr>
            <w:r>
              <w:rPr>
                <w:rFonts w:ascii="微軟正黑體" w:eastAsia="微軟正黑體" w:hint="eastAsia"/>
                <w:color w:val="221F1F"/>
                <w:spacing w:val="-2"/>
                <w:sz w:val="22"/>
              </w:rPr>
              <w:t>對於移工拒絕留臺治療、未依規定配合都治服藥治療累計達 </w:t>
            </w:r>
            <w:r>
              <w:rPr>
                <w:rFonts w:ascii="微軟正黑體" w:eastAsia="微軟正黑體" w:hint="eastAsia"/>
                <w:color w:val="221F1F"/>
                <w:sz w:val="22"/>
              </w:rPr>
              <w:t>15</w:t>
            </w:r>
            <w:r>
              <w:rPr>
                <w:rFonts w:ascii="微軟正黑體" w:eastAsia="微軟正黑體" w:hint="eastAsia"/>
                <w:color w:val="221F1F"/>
                <w:spacing w:val="10"/>
                <w:sz w:val="22"/>
              </w:rPr>
              <w:t> 日以</w:t>
            </w:r>
            <w:r>
              <w:rPr>
                <w:rFonts w:ascii="微軟正黑體" w:eastAsia="微軟正黑體" w:hint="eastAsia"/>
                <w:color w:val="221F1F"/>
                <w:sz w:val="22"/>
              </w:rPr>
              <w:t>上或後續診斷為多重抗藥性結核病者，函知相關單位辦理廢止聘僱/ </w:t>
            </w:r>
            <w:r>
              <w:rPr>
                <w:rFonts w:ascii="微軟正黑體" w:eastAsia="微軟正黑體" w:hint="eastAsia"/>
                <w:color w:val="221F1F"/>
                <w:spacing w:val="-3"/>
                <w:sz w:val="22"/>
              </w:rPr>
              <w:t>不予備查作業，並由雇主負責移工遣返作業</w:t>
            </w:r>
          </w:p>
          <w:p>
            <w:pPr>
              <w:pStyle w:val="TableParagraph"/>
              <w:numPr>
                <w:ilvl w:val="0"/>
                <w:numId w:val="154"/>
              </w:numPr>
              <w:tabs>
                <w:tab w:pos="425" w:val="left" w:leader="none"/>
              </w:tabs>
              <w:spacing w:line="403" w:lineRule="exact" w:before="0" w:after="0"/>
              <w:ind w:left="424" w:right="0" w:hanging="284"/>
              <w:jc w:val="both"/>
              <w:rPr>
                <w:rFonts w:ascii="微軟正黑體" w:eastAsia="微軟正黑體" w:hint="eastAsia"/>
                <w:sz w:val="22"/>
              </w:rPr>
            </w:pPr>
            <w:r>
              <w:rPr>
                <w:rFonts w:ascii="微軟正黑體" w:eastAsia="微軟正黑體" w:hint="eastAsia"/>
                <w:color w:val="221F1F"/>
                <w:spacing w:val="-3"/>
                <w:sz w:val="22"/>
              </w:rPr>
              <w:t>針對診斷疑義者，得送結核病諮詢委員進行審查</w:t>
            </w:r>
          </w:p>
        </w:tc>
      </w:tr>
    </w:tbl>
    <w:p>
      <w:pPr>
        <w:pStyle w:val="BodyText"/>
        <w:rPr>
          <w:rFonts w:ascii="Arial"/>
          <w:sz w:val="20"/>
        </w:rPr>
      </w:pPr>
    </w:p>
    <w:p>
      <w:pPr>
        <w:pStyle w:val="BodyText"/>
        <w:rPr>
          <w:rFonts w:ascii="Arial"/>
          <w:sz w:val="20"/>
        </w:rPr>
      </w:pPr>
    </w:p>
    <w:p>
      <w:pPr>
        <w:pStyle w:val="BodyText"/>
        <w:spacing w:before="11"/>
        <w:rPr>
          <w:rFonts w:ascii="Arial"/>
        </w:rPr>
      </w:pPr>
    </w:p>
    <w:p>
      <w:pPr>
        <w:spacing w:before="95"/>
        <w:ind w:left="0" w:right="303" w:firstLine="0"/>
        <w:jc w:val="right"/>
        <w:rPr>
          <w:rFonts w:ascii="Arial"/>
          <w:sz w:val="16"/>
        </w:rPr>
      </w:pPr>
      <w:r>
        <w:rPr>
          <w:rFonts w:ascii="Arial"/>
          <w:color w:val="221F1F"/>
          <w:sz w:val="16"/>
        </w:rPr>
        <w:t>16</w:t>
      </w:r>
    </w:p>
    <w:p>
      <w:pPr>
        <w:spacing w:after="0"/>
        <w:jc w:val="right"/>
        <w:rPr>
          <w:rFonts w:ascii="Arial"/>
          <w:sz w:val="16"/>
        </w:rPr>
        <w:sectPr>
          <w:pgSz w:w="11910" w:h="16840"/>
          <w:pgMar w:top="1120" w:bottom="280" w:left="980" w:right="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1275"/>
        <w:gridCol w:w="7084"/>
      </w:tblGrid>
      <w:tr>
        <w:trPr>
          <w:trHeight w:val="400" w:hRule="atLeast"/>
        </w:trPr>
        <w:tc>
          <w:tcPr>
            <w:tcW w:w="2547" w:type="dxa"/>
            <w:gridSpan w:val="2"/>
            <w:shd w:val="clear" w:color="auto" w:fill="E8E8E8"/>
          </w:tcPr>
          <w:p>
            <w:pPr>
              <w:pStyle w:val="TableParagraph"/>
              <w:spacing w:line="338" w:lineRule="exact" w:before="42"/>
              <w:ind w:left="835"/>
              <w:rPr>
                <w:rFonts w:ascii="微軟正黑體" w:eastAsia="微軟正黑體" w:hint="eastAsia"/>
                <w:b/>
                <w:sz w:val="22"/>
              </w:rPr>
            </w:pPr>
            <w:r>
              <w:rPr>
                <w:rFonts w:ascii="微軟正黑體" w:eastAsia="微軟正黑體" w:hint="eastAsia"/>
                <w:b/>
                <w:color w:val="221F1F"/>
                <w:sz w:val="22"/>
              </w:rPr>
              <w:t>主責單位</w:t>
            </w:r>
          </w:p>
        </w:tc>
        <w:tc>
          <w:tcPr>
            <w:tcW w:w="7084" w:type="dxa"/>
            <w:vMerge w:val="restart"/>
            <w:tcBorders>
              <w:right w:val="single" w:sz="6" w:space="0" w:color="000000"/>
            </w:tcBorders>
            <w:shd w:val="clear" w:color="auto" w:fill="E8E8E8"/>
          </w:tcPr>
          <w:p>
            <w:pPr>
              <w:pStyle w:val="TableParagraph"/>
              <w:spacing w:before="230"/>
              <w:ind w:left="3082" w:right="3069"/>
              <w:jc w:val="center"/>
              <w:rPr>
                <w:rFonts w:ascii="微軟正黑體" w:eastAsia="微軟正黑體" w:hint="eastAsia"/>
                <w:b/>
                <w:sz w:val="22"/>
              </w:rPr>
            </w:pPr>
            <w:r>
              <w:rPr>
                <w:rFonts w:ascii="微軟正黑體" w:eastAsia="微軟正黑體" w:hint="eastAsia"/>
                <w:b/>
                <w:color w:val="221F1F"/>
                <w:sz w:val="22"/>
              </w:rPr>
              <w:t>工作事項</w:t>
            </w:r>
          </w:p>
        </w:tc>
      </w:tr>
      <w:tr>
        <w:trPr>
          <w:trHeight w:val="400" w:hRule="atLeast"/>
        </w:trPr>
        <w:tc>
          <w:tcPr>
            <w:tcW w:w="1272" w:type="dxa"/>
            <w:shd w:val="clear" w:color="auto" w:fill="E8E8E8"/>
          </w:tcPr>
          <w:p>
            <w:pPr>
              <w:pStyle w:val="TableParagraph"/>
              <w:spacing w:line="338" w:lineRule="exact" w:before="42"/>
              <w:ind w:left="178" w:right="164"/>
              <w:jc w:val="center"/>
              <w:rPr>
                <w:rFonts w:ascii="微軟正黑體" w:eastAsia="微軟正黑體" w:hint="eastAsia"/>
                <w:b/>
                <w:sz w:val="22"/>
              </w:rPr>
            </w:pPr>
            <w:r>
              <w:rPr>
                <w:rFonts w:ascii="微軟正黑體" w:eastAsia="微軟正黑體" w:hint="eastAsia"/>
                <w:b/>
                <w:color w:val="221F1F"/>
                <w:sz w:val="22"/>
              </w:rPr>
              <w:t>衛生單位</w:t>
            </w:r>
          </w:p>
        </w:tc>
        <w:tc>
          <w:tcPr>
            <w:tcW w:w="1275" w:type="dxa"/>
            <w:shd w:val="clear" w:color="auto" w:fill="E8E8E8"/>
          </w:tcPr>
          <w:p>
            <w:pPr>
              <w:pStyle w:val="TableParagraph"/>
              <w:spacing w:line="338" w:lineRule="exact" w:before="42"/>
              <w:ind w:left="129" w:right="118"/>
              <w:jc w:val="center"/>
              <w:rPr>
                <w:rFonts w:ascii="微軟正黑體" w:eastAsia="微軟正黑體" w:hint="eastAsia"/>
                <w:b/>
                <w:sz w:val="22"/>
              </w:rPr>
            </w:pPr>
            <w:r>
              <w:rPr>
                <w:rFonts w:ascii="微軟正黑體" w:eastAsia="微軟正黑體" w:hint="eastAsia"/>
                <w:b/>
                <w:color w:val="221F1F"/>
                <w:sz w:val="22"/>
              </w:rPr>
              <w:t>機構/雇主</w:t>
            </w:r>
          </w:p>
        </w:tc>
        <w:tc>
          <w:tcPr>
            <w:tcW w:w="7084" w:type="dxa"/>
            <w:vMerge/>
            <w:tcBorders>
              <w:top w:val="nil"/>
              <w:right w:val="single" w:sz="6" w:space="0" w:color="000000"/>
            </w:tcBorders>
            <w:shd w:val="clear" w:color="auto" w:fill="E8E8E8"/>
          </w:tcPr>
          <w:p>
            <w:pPr>
              <w:rPr>
                <w:sz w:val="2"/>
                <w:szCs w:val="2"/>
              </w:rPr>
            </w:pPr>
          </w:p>
        </w:tc>
      </w:tr>
      <w:tr>
        <w:trPr>
          <w:trHeight w:val="4550" w:hRule="atLeast"/>
        </w:trPr>
        <w:tc>
          <w:tcPr>
            <w:tcW w:w="1272" w:type="dxa"/>
          </w:tcPr>
          <w:p>
            <w:pPr>
              <w:pStyle w:val="TableParagraph"/>
              <w:rPr>
                <w:rFonts w:ascii="Times New Roman"/>
                <w:sz w:val="22"/>
              </w:rPr>
            </w:pPr>
          </w:p>
        </w:tc>
        <w:tc>
          <w:tcPr>
            <w:tcW w:w="1275" w:type="dxa"/>
          </w:tcPr>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spacing w:before="148"/>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before="71"/>
              <w:ind w:left="110"/>
              <w:rPr>
                <w:rFonts w:ascii="微軟正黑體" w:eastAsia="微軟正黑體" w:hint="eastAsia"/>
                <w:b/>
                <w:sz w:val="22"/>
              </w:rPr>
            </w:pPr>
            <w:r>
              <w:rPr>
                <w:rFonts w:ascii="微軟正黑體" w:eastAsia="微軟正黑體" w:hint="eastAsia"/>
                <w:b/>
                <w:color w:val="221F1F"/>
                <w:sz w:val="22"/>
              </w:rPr>
              <w:t>留臺治療規範</w:t>
            </w:r>
          </w:p>
          <w:p>
            <w:pPr>
              <w:pStyle w:val="TableParagraph"/>
              <w:numPr>
                <w:ilvl w:val="0"/>
                <w:numId w:val="155"/>
              </w:numPr>
              <w:tabs>
                <w:tab w:pos="425" w:val="left" w:leader="none"/>
              </w:tabs>
              <w:spacing w:line="237" w:lineRule="auto" w:before="49" w:after="0"/>
              <w:ind w:left="424" w:right="73" w:hanging="286"/>
              <w:jc w:val="left"/>
              <w:rPr>
                <w:rFonts w:ascii="微軟正黑體" w:eastAsia="微軟正黑體" w:hint="eastAsia"/>
                <w:sz w:val="22"/>
              </w:rPr>
            </w:pPr>
            <w:r>
              <w:rPr>
                <w:rFonts w:ascii="微軟正黑體" w:eastAsia="微軟正黑體" w:hint="eastAsia"/>
                <w:color w:val="221F1F"/>
                <w:spacing w:val="-6"/>
                <w:sz w:val="22"/>
              </w:rPr>
              <w:t>移工除拒絕留臺治療、罹患多重抗藥性結核病外，雇主應辦理移工留</w:t>
            </w:r>
            <w:r>
              <w:rPr>
                <w:rFonts w:ascii="微軟正黑體" w:eastAsia="微軟正黑體" w:hint="eastAsia"/>
                <w:color w:val="221F1F"/>
                <w:spacing w:val="-5"/>
                <w:sz w:val="22"/>
              </w:rPr>
              <w:t>臺治療都治服務申請作業</w:t>
            </w:r>
          </w:p>
          <w:p>
            <w:pPr>
              <w:pStyle w:val="TableParagraph"/>
              <w:numPr>
                <w:ilvl w:val="0"/>
                <w:numId w:val="155"/>
              </w:numPr>
              <w:tabs>
                <w:tab w:pos="425" w:val="left" w:leader="none"/>
              </w:tabs>
              <w:spacing w:line="399" w:lineRule="exact" w:before="0" w:after="0"/>
              <w:ind w:left="424" w:right="0" w:hanging="287"/>
              <w:jc w:val="left"/>
              <w:rPr>
                <w:rFonts w:ascii="微軟正黑體" w:eastAsia="微軟正黑體" w:hint="eastAsia"/>
                <w:sz w:val="22"/>
              </w:rPr>
            </w:pPr>
            <w:r>
              <w:rPr>
                <w:rFonts w:ascii="微軟正黑體" w:eastAsia="微軟正黑體" w:hint="eastAsia"/>
                <w:color w:val="221F1F"/>
                <w:spacing w:val="-2"/>
                <w:sz w:val="22"/>
              </w:rPr>
              <w:t>衛生局同意都治申請並函知雇主配合留臺治療規範；於 </w:t>
            </w:r>
            <w:r>
              <w:rPr>
                <w:rFonts w:ascii="微軟正黑體" w:eastAsia="微軟正黑體" w:hint="eastAsia"/>
                <w:color w:val="221F1F"/>
                <w:sz w:val="22"/>
              </w:rPr>
              <w:t>TB</w:t>
            </w:r>
            <w:r>
              <w:rPr>
                <w:rFonts w:ascii="微軟正黑體" w:eastAsia="微軟正黑體" w:hint="eastAsia"/>
                <w:color w:val="221F1F"/>
                <w:spacing w:val="4"/>
                <w:sz w:val="22"/>
              </w:rPr>
              <w:t> 系統維護</w:t>
            </w:r>
          </w:p>
          <w:p>
            <w:pPr>
              <w:pStyle w:val="TableParagraph"/>
              <w:spacing w:line="400" w:lineRule="exact"/>
              <w:ind w:left="424"/>
              <w:rPr>
                <w:rFonts w:ascii="微軟正黑體" w:eastAsia="微軟正黑體" w:hint="eastAsia"/>
                <w:sz w:val="22"/>
              </w:rPr>
            </w:pPr>
            <w:r>
              <w:rPr>
                <w:rFonts w:ascii="微軟正黑體" w:eastAsia="微軟正黑體" w:hint="eastAsia"/>
                <w:color w:val="221F1F"/>
                <w:sz w:val="22"/>
              </w:rPr>
              <w:t>「申請留臺治療」註記</w:t>
            </w:r>
          </w:p>
          <w:p>
            <w:pPr>
              <w:pStyle w:val="TableParagraph"/>
              <w:numPr>
                <w:ilvl w:val="0"/>
                <w:numId w:val="155"/>
              </w:numPr>
              <w:tabs>
                <w:tab w:pos="425" w:val="left" w:leader="none"/>
              </w:tabs>
              <w:spacing w:line="401" w:lineRule="exact" w:before="0" w:after="0"/>
              <w:ind w:left="424" w:right="0" w:hanging="287"/>
              <w:jc w:val="left"/>
              <w:rPr>
                <w:rFonts w:ascii="微軟正黑體" w:eastAsia="微軟正黑體" w:hint="eastAsia"/>
                <w:sz w:val="22"/>
              </w:rPr>
            </w:pPr>
            <w:r>
              <w:rPr>
                <w:rFonts w:ascii="微軟正黑體" w:eastAsia="微軟正黑體" w:hint="eastAsia"/>
                <w:color w:val="221F1F"/>
                <w:spacing w:val="-1"/>
                <w:sz w:val="22"/>
              </w:rPr>
              <w:t>提供智慧關懷</w:t>
            </w:r>
          </w:p>
          <w:p>
            <w:pPr>
              <w:pStyle w:val="TableParagraph"/>
              <w:numPr>
                <w:ilvl w:val="0"/>
                <w:numId w:val="155"/>
              </w:numPr>
              <w:tabs>
                <w:tab w:pos="425" w:val="left" w:leader="none"/>
              </w:tabs>
              <w:spacing w:line="400" w:lineRule="exact" w:before="0" w:after="0"/>
              <w:ind w:left="424" w:right="0" w:hanging="287"/>
              <w:jc w:val="left"/>
              <w:rPr>
                <w:rFonts w:ascii="微軟正黑體" w:eastAsia="微軟正黑體" w:hint="eastAsia"/>
                <w:sz w:val="22"/>
              </w:rPr>
            </w:pPr>
            <w:r>
              <w:rPr>
                <w:rFonts w:ascii="微軟正黑體" w:eastAsia="微軟正黑體" w:hint="eastAsia"/>
                <w:color w:val="221F1F"/>
                <w:spacing w:val="-2"/>
                <w:sz w:val="22"/>
              </w:rPr>
              <w:t>卡移工結核病完成治療</w:t>
            </w:r>
            <w:r>
              <w:rPr>
                <w:rFonts w:ascii="微軟正黑體" w:eastAsia="微軟正黑體" w:hint="eastAsia"/>
                <w:color w:val="221F1F"/>
                <w:spacing w:val="-4"/>
                <w:sz w:val="22"/>
              </w:rPr>
              <w:t>/</w:t>
            </w:r>
            <w:r>
              <w:rPr>
                <w:rFonts w:ascii="微軟正黑體" w:eastAsia="微軟正黑體" w:hint="eastAsia"/>
                <w:color w:val="221F1F"/>
                <w:spacing w:val="-3"/>
                <w:sz w:val="22"/>
              </w:rPr>
              <w:t>排除診斷者，視同體檢合格</w:t>
            </w:r>
          </w:p>
          <w:p>
            <w:pPr>
              <w:pStyle w:val="TableParagraph"/>
              <w:numPr>
                <w:ilvl w:val="0"/>
                <w:numId w:val="155"/>
              </w:numPr>
              <w:tabs>
                <w:tab w:pos="425" w:val="left" w:leader="none"/>
              </w:tabs>
              <w:spacing w:line="237" w:lineRule="auto" w:before="1" w:after="0"/>
              <w:ind w:left="424" w:right="73" w:hanging="286"/>
              <w:jc w:val="left"/>
              <w:rPr>
                <w:rFonts w:ascii="微軟正黑體" w:eastAsia="微軟正黑體" w:hint="eastAsia"/>
                <w:sz w:val="22"/>
              </w:rPr>
            </w:pPr>
            <w:r>
              <w:rPr>
                <w:rFonts w:ascii="微軟正黑體" w:eastAsia="微軟正黑體" w:hint="eastAsia"/>
                <w:color w:val="221F1F"/>
                <w:spacing w:val="-5"/>
                <w:sz w:val="22"/>
              </w:rPr>
              <w:t>移工都治期間衍生其他勞資爭議問題而有安置需求，衛生局得洽轄內</w:t>
            </w:r>
            <w:r>
              <w:rPr>
                <w:rFonts w:ascii="微軟正黑體" w:eastAsia="微軟正黑體" w:hint="eastAsia"/>
                <w:color w:val="221F1F"/>
                <w:spacing w:val="-4"/>
                <w:sz w:val="22"/>
              </w:rPr>
              <w:t>勞工局協處</w:t>
            </w:r>
          </w:p>
          <w:p>
            <w:pPr>
              <w:pStyle w:val="TableParagraph"/>
              <w:numPr>
                <w:ilvl w:val="0"/>
                <w:numId w:val="155"/>
              </w:numPr>
              <w:tabs>
                <w:tab w:pos="425" w:val="left" w:leader="none"/>
              </w:tabs>
              <w:spacing w:line="237" w:lineRule="auto" w:before="0" w:after="0"/>
              <w:ind w:left="424" w:right="74" w:hanging="286"/>
              <w:jc w:val="left"/>
              <w:rPr>
                <w:rFonts w:ascii="微軟正黑體" w:eastAsia="微軟正黑體" w:hint="eastAsia"/>
                <w:sz w:val="22"/>
              </w:rPr>
            </w:pPr>
            <w:r>
              <w:rPr>
                <w:rFonts w:ascii="微軟正黑體" w:eastAsia="微軟正黑體" w:hint="eastAsia"/>
                <w:color w:val="221F1F"/>
                <w:spacing w:val="-7"/>
                <w:sz w:val="22"/>
              </w:rPr>
              <w:t>移工出境前仍未完成治療返回母國者，依規定辦理跨國轉介作業，俾</w:t>
            </w:r>
            <w:r>
              <w:rPr>
                <w:rFonts w:ascii="微軟正黑體" w:eastAsia="微軟正黑體" w:hint="eastAsia"/>
                <w:color w:val="221F1F"/>
                <w:spacing w:val="-5"/>
                <w:sz w:val="22"/>
              </w:rPr>
              <w:t>利其返回母國後繼續治療</w:t>
            </w:r>
          </w:p>
        </w:tc>
      </w:tr>
      <w:tr>
        <w:trPr>
          <w:trHeight w:val="2551" w:hRule="atLeast"/>
        </w:trPr>
        <w:tc>
          <w:tcPr>
            <w:tcW w:w="1272" w:type="dxa"/>
          </w:tcPr>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spacing w:before="159"/>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spacing w:before="71"/>
              <w:ind w:left="110"/>
              <w:rPr>
                <w:rFonts w:ascii="微軟正黑體" w:eastAsia="微軟正黑體" w:hint="eastAsia"/>
                <w:b/>
                <w:sz w:val="22"/>
              </w:rPr>
            </w:pPr>
            <w:r>
              <w:rPr>
                <w:rFonts w:ascii="微軟正黑體" w:eastAsia="微軟正黑體" w:hint="eastAsia"/>
                <w:b/>
                <w:color w:val="221F1F"/>
                <w:sz w:val="22"/>
              </w:rPr>
              <w:t>落實個案管理工作</w:t>
            </w:r>
          </w:p>
          <w:p>
            <w:pPr>
              <w:pStyle w:val="TableParagraph"/>
              <w:numPr>
                <w:ilvl w:val="0"/>
                <w:numId w:val="156"/>
              </w:numPr>
              <w:tabs>
                <w:tab w:pos="425" w:val="left" w:leader="none"/>
              </w:tabs>
              <w:spacing w:line="403" w:lineRule="exact" w:before="47" w:after="0"/>
              <w:ind w:left="424" w:right="0" w:hanging="287"/>
              <w:jc w:val="left"/>
              <w:rPr>
                <w:rFonts w:ascii="微軟正黑體" w:eastAsia="微軟正黑體" w:hint="eastAsia"/>
                <w:sz w:val="22"/>
              </w:rPr>
            </w:pPr>
            <w:r>
              <w:rPr>
                <w:rFonts w:ascii="微軟正黑體" w:eastAsia="微軟正黑體" w:hint="eastAsia"/>
                <w:color w:val="221F1F"/>
                <w:spacing w:val="-3"/>
                <w:sz w:val="22"/>
              </w:rPr>
              <w:t>掌握移工各類證號及聯絡方式</w:t>
            </w:r>
          </w:p>
          <w:p>
            <w:pPr>
              <w:pStyle w:val="TableParagraph"/>
              <w:numPr>
                <w:ilvl w:val="0"/>
                <w:numId w:val="156"/>
              </w:numPr>
              <w:tabs>
                <w:tab w:pos="425" w:val="left" w:leader="none"/>
              </w:tabs>
              <w:spacing w:line="401" w:lineRule="exact" w:before="0" w:after="0"/>
              <w:ind w:left="424" w:right="0" w:hanging="287"/>
              <w:jc w:val="left"/>
              <w:rPr>
                <w:rFonts w:ascii="微軟正黑體" w:eastAsia="微軟正黑體" w:hint="eastAsia"/>
                <w:sz w:val="22"/>
              </w:rPr>
            </w:pPr>
            <w:r>
              <w:rPr>
                <w:rFonts w:ascii="微軟正黑體" w:eastAsia="微軟正黑體" w:hint="eastAsia"/>
                <w:color w:val="221F1F"/>
                <w:spacing w:val="-3"/>
                <w:sz w:val="22"/>
              </w:rPr>
              <w:t>針對高風險對象完成快速分子抗藥性檢測送驗</w:t>
            </w:r>
          </w:p>
          <w:p>
            <w:pPr>
              <w:pStyle w:val="TableParagraph"/>
              <w:numPr>
                <w:ilvl w:val="0"/>
                <w:numId w:val="156"/>
              </w:numPr>
              <w:tabs>
                <w:tab w:pos="425" w:val="left" w:leader="none"/>
              </w:tabs>
              <w:spacing w:line="237" w:lineRule="auto" w:before="1" w:after="0"/>
              <w:ind w:left="424" w:right="73" w:hanging="286"/>
              <w:jc w:val="left"/>
              <w:rPr>
                <w:rFonts w:ascii="微軟正黑體" w:eastAsia="微軟正黑體" w:hint="eastAsia"/>
                <w:sz w:val="22"/>
              </w:rPr>
            </w:pPr>
            <w:r>
              <w:rPr>
                <w:rFonts w:ascii="微軟正黑體" w:eastAsia="微軟正黑體" w:hint="eastAsia"/>
                <w:color w:val="221F1F"/>
                <w:spacing w:val="-5"/>
                <w:sz w:val="22"/>
              </w:rPr>
              <w:t>落實都治送藥服務及移工無法配合都治時，函知相關單位辦理廢止聘僱/</w:t>
            </w:r>
            <w:r>
              <w:rPr>
                <w:rFonts w:ascii="微軟正黑體" w:eastAsia="微軟正黑體" w:hint="eastAsia"/>
                <w:color w:val="221F1F"/>
                <w:spacing w:val="-4"/>
                <w:sz w:val="22"/>
              </w:rPr>
              <w:t>不予備查作業</w:t>
            </w:r>
          </w:p>
          <w:p>
            <w:pPr>
              <w:pStyle w:val="TableParagraph"/>
              <w:numPr>
                <w:ilvl w:val="0"/>
                <w:numId w:val="156"/>
              </w:numPr>
              <w:tabs>
                <w:tab w:pos="425" w:val="left" w:leader="none"/>
              </w:tabs>
              <w:spacing w:line="400" w:lineRule="exact" w:before="0" w:after="0"/>
              <w:ind w:left="424" w:right="0" w:hanging="287"/>
              <w:jc w:val="left"/>
              <w:rPr>
                <w:rFonts w:ascii="微軟正黑體" w:eastAsia="微軟正黑體" w:hint="eastAsia"/>
                <w:sz w:val="22"/>
              </w:rPr>
            </w:pPr>
            <w:r>
              <w:rPr>
                <w:rFonts w:ascii="微軟正黑體" w:eastAsia="微軟正黑體" w:hint="eastAsia"/>
                <w:color w:val="221F1F"/>
                <w:spacing w:val="-3"/>
                <w:sz w:val="22"/>
              </w:rPr>
              <w:t>逃逸移工應通報移民署專勤隊查找及註記</w:t>
            </w:r>
          </w:p>
        </w:tc>
      </w:tr>
      <w:tr>
        <w:trPr>
          <w:trHeight w:val="566" w:hRule="atLeast"/>
        </w:trPr>
        <w:tc>
          <w:tcPr>
            <w:tcW w:w="9631" w:type="dxa"/>
            <w:gridSpan w:val="3"/>
            <w:tcBorders>
              <w:right w:val="single" w:sz="6" w:space="0" w:color="000000"/>
            </w:tcBorders>
          </w:tcPr>
          <w:p>
            <w:pPr>
              <w:pStyle w:val="TableParagraph"/>
              <w:spacing w:before="124"/>
              <w:ind w:left="3916" w:right="3898"/>
              <w:jc w:val="center"/>
              <w:rPr>
                <w:rFonts w:ascii="微軟正黑體" w:eastAsia="微軟正黑體" w:hint="eastAsia"/>
                <w:b/>
                <w:sz w:val="22"/>
              </w:rPr>
            </w:pPr>
            <w:r>
              <w:rPr>
                <w:rFonts w:ascii="微軟正黑體" w:eastAsia="微軟正黑體" w:hint="eastAsia"/>
                <w:b/>
                <w:color w:val="221F1F"/>
                <w:sz w:val="22"/>
              </w:rPr>
              <w:t>矯正及收容機關</w:t>
            </w:r>
          </w:p>
        </w:tc>
      </w:tr>
      <w:tr>
        <w:trPr>
          <w:trHeight w:val="1600" w:hRule="atLeast"/>
        </w:trPr>
        <w:tc>
          <w:tcPr>
            <w:tcW w:w="1272" w:type="dxa"/>
          </w:tcPr>
          <w:p>
            <w:pPr>
              <w:pStyle w:val="TableParagraph"/>
              <w:rPr>
                <w:rFonts w:ascii="Times New Roman"/>
                <w:sz w:val="22"/>
              </w:rPr>
            </w:pPr>
          </w:p>
        </w:tc>
        <w:tc>
          <w:tcPr>
            <w:tcW w:w="1275" w:type="dxa"/>
          </w:tcPr>
          <w:p>
            <w:pPr>
              <w:pStyle w:val="TableParagraph"/>
              <w:rPr>
                <w:rFonts w:ascii="Arial"/>
                <w:sz w:val="22"/>
              </w:rPr>
            </w:pPr>
          </w:p>
          <w:p>
            <w:pPr>
              <w:pStyle w:val="TableParagraph"/>
              <w:rPr>
                <w:rFonts w:ascii="Arial"/>
                <w:sz w:val="22"/>
              </w:rPr>
            </w:pPr>
          </w:p>
          <w:p>
            <w:pPr>
              <w:pStyle w:val="TableParagraph"/>
              <w:spacing w:before="190"/>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line="403" w:lineRule="exact" w:before="23"/>
              <w:ind w:left="110"/>
              <w:rPr>
                <w:rFonts w:ascii="微軟正黑體" w:eastAsia="微軟正黑體" w:hint="eastAsia"/>
                <w:b/>
                <w:sz w:val="22"/>
              </w:rPr>
            </w:pPr>
            <w:r>
              <w:rPr>
                <w:rFonts w:ascii="微軟正黑體" w:eastAsia="微軟正黑體" w:hint="eastAsia"/>
                <w:b/>
                <w:sz w:val="22"/>
              </w:rPr>
              <w:t>平時作為</w:t>
            </w:r>
          </w:p>
          <w:p>
            <w:pPr>
              <w:pStyle w:val="TableParagraph"/>
              <w:numPr>
                <w:ilvl w:val="0"/>
                <w:numId w:val="157"/>
              </w:numPr>
              <w:tabs>
                <w:tab w:pos="290" w:val="left" w:leader="none"/>
              </w:tabs>
              <w:spacing w:line="400" w:lineRule="exact" w:before="0" w:after="0"/>
              <w:ind w:left="289" w:right="0" w:hanging="180"/>
              <w:jc w:val="left"/>
              <w:rPr>
                <w:rFonts w:ascii="微軟正黑體" w:eastAsia="微軟正黑體" w:hint="eastAsia"/>
                <w:sz w:val="22"/>
              </w:rPr>
            </w:pPr>
            <w:r>
              <w:rPr>
                <w:rFonts w:ascii="微軟正黑體" w:eastAsia="微軟正黑體" w:hint="eastAsia"/>
                <w:sz w:val="22"/>
              </w:rPr>
              <w:t>就新入監/</w:t>
            </w:r>
            <w:r>
              <w:rPr>
                <w:rFonts w:ascii="微軟正黑體" w:eastAsia="微軟正黑體" w:hint="eastAsia"/>
                <w:spacing w:val="-3"/>
                <w:sz w:val="22"/>
              </w:rPr>
              <w:t>所人員進行肺結核篩檢及每年定期檢查</w:t>
            </w:r>
          </w:p>
          <w:p>
            <w:pPr>
              <w:pStyle w:val="TableParagraph"/>
              <w:numPr>
                <w:ilvl w:val="0"/>
                <w:numId w:val="157"/>
              </w:numPr>
              <w:tabs>
                <w:tab w:pos="290" w:val="left" w:leader="none"/>
              </w:tabs>
              <w:spacing w:line="400"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主動將檢查結果提供衛生單位</w:t>
            </w:r>
          </w:p>
          <w:p>
            <w:pPr>
              <w:pStyle w:val="TableParagraph"/>
              <w:numPr>
                <w:ilvl w:val="0"/>
                <w:numId w:val="157"/>
              </w:numPr>
              <w:tabs>
                <w:tab w:pos="290" w:val="left" w:leader="none"/>
              </w:tabs>
              <w:spacing w:line="355" w:lineRule="exact" w:before="0" w:after="0"/>
              <w:ind w:left="289" w:right="0" w:hanging="180"/>
              <w:jc w:val="left"/>
              <w:rPr>
                <w:rFonts w:ascii="微軟正黑體" w:eastAsia="微軟正黑體" w:hint="eastAsia"/>
                <w:sz w:val="22"/>
              </w:rPr>
            </w:pPr>
            <w:r>
              <w:rPr>
                <w:rFonts w:ascii="微軟正黑體" w:eastAsia="微軟正黑體" w:hint="eastAsia"/>
                <w:spacing w:val="-1"/>
                <w:sz w:val="22"/>
              </w:rPr>
              <w:t>保持室內空氣流通</w:t>
            </w:r>
          </w:p>
        </w:tc>
      </w:tr>
      <w:tr>
        <w:trPr>
          <w:trHeight w:val="1600" w:hRule="atLeast"/>
        </w:trPr>
        <w:tc>
          <w:tcPr>
            <w:tcW w:w="1272" w:type="dxa"/>
          </w:tcPr>
          <w:p>
            <w:pPr>
              <w:pStyle w:val="TableParagraph"/>
              <w:rPr>
                <w:rFonts w:ascii="Arial"/>
                <w:sz w:val="22"/>
              </w:rPr>
            </w:pPr>
          </w:p>
          <w:p>
            <w:pPr>
              <w:pStyle w:val="TableParagraph"/>
              <w:rPr>
                <w:rFonts w:ascii="Arial"/>
                <w:sz w:val="22"/>
              </w:rPr>
            </w:pPr>
          </w:p>
          <w:p>
            <w:pPr>
              <w:pStyle w:val="TableParagraph"/>
              <w:spacing w:before="190"/>
              <w:ind w:left="14"/>
              <w:jc w:val="center"/>
              <w:rPr>
                <w:rFonts w:ascii="細明體" w:hAnsi="細明體"/>
                <w:sz w:val="22"/>
              </w:rPr>
            </w:pPr>
            <w:r>
              <w:rPr>
                <w:rFonts w:ascii="細明體" w:hAnsi="細明體"/>
                <w:w w:val="100"/>
                <w:sz w:val="22"/>
              </w:rPr>
              <w:t>□</w:t>
            </w:r>
          </w:p>
        </w:tc>
        <w:tc>
          <w:tcPr>
            <w:tcW w:w="1275" w:type="dxa"/>
          </w:tcPr>
          <w:p>
            <w:pPr>
              <w:pStyle w:val="TableParagraph"/>
              <w:rPr>
                <w:rFonts w:ascii="Arial"/>
                <w:sz w:val="22"/>
              </w:rPr>
            </w:pPr>
          </w:p>
          <w:p>
            <w:pPr>
              <w:pStyle w:val="TableParagraph"/>
              <w:rPr>
                <w:rFonts w:ascii="Arial"/>
                <w:sz w:val="22"/>
              </w:rPr>
            </w:pPr>
          </w:p>
          <w:p>
            <w:pPr>
              <w:pStyle w:val="TableParagraph"/>
              <w:spacing w:before="190"/>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numPr>
                <w:ilvl w:val="0"/>
                <w:numId w:val="158"/>
              </w:numPr>
              <w:tabs>
                <w:tab w:pos="292" w:val="left" w:leader="none"/>
              </w:tabs>
              <w:spacing w:line="237" w:lineRule="auto" w:before="26" w:after="0"/>
              <w:ind w:left="398" w:right="91" w:hanging="286"/>
              <w:jc w:val="left"/>
              <w:rPr>
                <w:rFonts w:ascii="微軟正黑體" w:eastAsia="微軟正黑體" w:hint="eastAsia"/>
                <w:sz w:val="22"/>
              </w:rPr>
            </w:pPr>
            <w:r>
              <w:rPr>
                <w:rFonts w:ascii="微軟正黑體" w:eastAsia="微軟正黑體" w:hint="eastAsia"/>
                <w:spacing w:val="-11"/>
                <w:sz w:val="22"/>
              </w:rPr>
              <w:t>針對疑似或異常肺浸潤者，應追蹤後續如：提供口罩及隔離措施，並儘</w:t>
            </w:r>
            <w:r>
              <w:rPr>
                <w:rFonts w:ascii="微軟正黑體" w:eastAsia="微軟正黑體" w:hint="eastAsia"/>
                <w:spacing w:val="-7"/>
                <w:sz w:val="22"/>
              </w:rPr>
              <w:t>速轉介就醫等作為執行情形</w:t>
            </w:r>
          </w:p>
          <w:p>
            <w:pPr>
              <w:pStyle w:val="TableParagraph"/>
              <w:numPr>
                <w:ilvl w:val="0"/>
                <w:numId w:val="158"/>
              </w:numPr>
              <w:tabs>
                <w:tab w:pos="290" w:val="left" w:leader="none"/>
              </w:tabs>
              <w:spacing w:line="398" w:lineRule="exact" w:before="0" w:after="0"/>
              <w:ind w:left="289" w:right="0" w:hanging="180"/>
              <w:jc w:val="left"/>
              <w:rPr>
                <w:rFonts w:ascii="微軟正黑體" w:eastAsia="微軟正黑體" w:hint="eastAsia"/>
                <w:sz w:val="22"/>
              </w:rPr>
            </w:pPr>
            <w:r>
              <w:rPr>
                <w:rFonts w:ascii="微軟正黑體" w:eastAsia="微軟正黑體" w:hint="eastAsia"/>
                <w:spacing w:val="-1"/>
                <w:sz w:val="22"/>
              </w:rPr>
              <w:t>監測聚集事件</w:t>
            </w:r>
          </w:p>
          <w:p>
            <w:pPr>
              <w:pStyle w:val="TableParagraph"/>
              <w:numPr>
                <w:ilvl w:val="0"/>
                <w:numId w:val="158"/>
              </w:numPr>
              <w:tabs>
                <w:tab w:pos="290" w:val="left" w:leader="none"/>
              </w:tabs>
              <w:spacing w:line="355"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執行矯正機關潛伏結核感染檢驗及治療專案計畫</w:t>
            </w:r>
          </w:p>
        </w:tc>
      </w:tr>
      <w:tr>
        <w:trPr>
          <w:trHeight w:val="1999" w:hRule="atLeast"/>
        </w:trPr>
        <w:tc>
          <w:tcPr>
            <w:tcW w:w="1272" w:type="dxa"/>
          </w:tcPr>
          <w:p>
            <w:pPr>
              <w:pStyle w:val="TableParagraph"/>
              <w:rPr>
                <w:rFonts w:ascii="Times New Roman"/>
                <w:sz w:val="22"/>
              </w:rPr>
            </w:pPr>
          </w:p>
        </w:tc>
        <w:tc>
          <w:tcPr>
            <w:tcW w:w="1275" w:type="dxa"/>
          </w:tcPr>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spacing w:before="136"/>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line="401" w:lineRule="exact" w:before="23"/>
              <w:ind w:left="110"/>
              <w:rPr>
                <w:rFonts w:ascii="微軟正黑體" w:eastAsia="微軟正黑體" w:hint="eastAsia"/>
                <w:b/>
                <w:sz w:val="22"/>
              </w:rPr>
            </w:pPr>
            <w:r>
              <w:rPr>
                <w:rFonts w:ascii="微軟正黑體" w:eastAsia="微軟正黑體" w:hint="eastAsia"/>
                <w:b/>
                <w:sz w:val="22"/>
              </w:rPr>
              <w:t>發現結核病個案</w:t>
            </w:r>
          </w:p>
          <w:p>
            <w:pPr>
              <w:pStyle w:val="TableParagraph"/>
              <w:numPr>
                <w:ilvl w:val="0"/>
                <w:numId w:val="159"/>
              </w:numPr>
              <w:tabs>
                <w:tab w:pos="290" w:val="left" w:leader="none"/>
              </w:tabs>
              <w:spacing w:line="400"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針對疑似個案提供口罩並隔離至不具傳染力</w:t>
            </w:r>
          </w:p>
          <w:p>
            <w:pPr>
              <w:pStyle w:val="TableParagraph"/>
              <w:numPr>
                <w:ilvl w:val="0"/>
                <w:numId w:val="159"/>
              </w:numPr>
              <w:tabs>
                <w:tab w:pos="290" w:val="left" w:leader="none"/>
              </w:tabs>
              <w:spacing w:line="401" w:lineRule="exact" w:before="0" w:after="0"/>
              <w:ind w:left="289" w:right="0" w:hanging="180"/>
              <w:jc w:val="left"/>
              <w:rPr>
                <w:rFonts w:ascii="微軟正黑體" w:eastAsia="微軟正黑體" w:hint="eastAsia"/>
                <w:sz w:val="22"/>
              </w:rPr>
            </w:pPr>
            <w:r>
              <w:rPr>
                <w:rFonts w:ascii="微軟正黑體" w:eastAsia="微軟正黑體" w:hint="eastAsia"/>
                <w:sz w:val="22"/>
              </w:rPr>
              <w:t>完成胸部 X</w:t>
            </w:r>
            <w:r>
              <w:rPr>
                <w:rFonts w:ascii="微軟正黑體" w:eastAsia="微軟正黑體" w:hint="eastAsia"/>
                <w:spacing w:val="-3"/>
                <w:sz w:val="22"/>
              </w:rPr>
              <w:t> 光檢查及 </w:t>
            </w:r>
            <w:r>
              <w:rPr>
                <w:rFonts w:ascii="微軟正黑體" w:eastAsia="微軟正黑體" w:hint="eastAsia"/>
                <w:sz w:val="22"/>
              </w:rPr>
              <w:t>3</w:t>
            </w:r>
            <w:r>
              <w:rPr>
                <w:rFonts w:ascii="微軟正黑體" w:eastAsia="微軟正黑體" w:hint="eastAsia"/>
                <w:spacing w:val="-2"/>
                <w:sz w:val="22"/>
              </w:rPr>
              <w:t> 套痰檢驗</w:t>
            </w:r>
          </w:p>
          <w:p>
            <w:pPr>
              <w:pStyle w:val="TableParagraph"/>
              <w:numPr>
                <w:ilvl w:val="0"/>
                <w:numId w:val="159"/>
              </w:numPr>
              <w:tabs>
                <w:tab w:pos="290" w:val="left" w:leader="none"/>
              </w:tabs>
              <w:spacing w:line="400"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針對痰塗片檢查陽性個案，儘速轉介就醫治療</w:t>
            </w:r>
          </w:p>
          <w:p>
            <w:pPr>
              <w:pStyle w:val="TableParagraph"/>
              <w:numPr>
                <w:ilvl w:val="0"/>
                <w:numId w:val="159"/>
              </w:numPr>
              <w:tabs>
                <w:tab w:pos="290" w:val="left" w:leader="none"/>
              </w:tabs>
              <w:spacing w:line="355"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發生聚集事件時，配合及落實衛生單位相關因應措施</w:t>
            </w:r>
          </w:p>
        </w:tc>
      </w:tr>
      <w:tr>
        <w:trPr>
          <w:trHeight w:val="400" w:hRule="atLeast"/>
        </w:trPr>
        <w:tc>
          <w:tcPr>
            <w:tcW w:w="1272" w:type="dxa"/>
          </w:tcPr>
          <w:p>
            <w:pPr>
              <w:pStyle w:val="TableParagraph"/>
              <w:spacing w:line="285" w:lineRule="exact" w:before="96"/>
              <w:ind w:left="14"/>
              <w:jc w:val="center"/>
              <w:rPr>
                <w:rFonts w:ascii="細明體" w:hAnsi="細明體"/>
                <w:sz w:val="22"/>
              </w:rPr>
            </w:pPr>
            <w:r>
              <w:rPr>
                <w:rFonts w:ascii="細明體" w:hAnsi="細明體"/>
                <w:w w:val="100"/>
                <w:sz w:val="22"/>
              </w:rPr>
              <w:t>□</w:t>
            </w: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spacing w:line="357" w:lineRule="exact" w:before="23"/>
              <w:ind w:left="110"/>
              <w:rPr>
                <w:rFonts w:ascii="微軟正黑體" w:eastAsia="微軟正黑體" w:hint="eastAsia"/>
                <w:sz w:val="22"/>
              </w:rPr>
            </w:pPr>
            <w:r>
              <w:rPr>
                <w:rFonts w:ascii="微軟正黑體" w:eastAsia="微軟正黑體" w:hint="eastAsia"/>
                <w:sz w:val="22"/>
              </w:rPr>
              <w:t>5.安排都治送藥服務等結核病個案管理服務</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
        <w:rPr>
          <w:rFonts w:ascii="Arial"/>
          <w:sz w:val="23"/>
        </w:rPr>
      </w:pPr>
    </w:p>
    <w:p>
      <w:pPr>
        <w:spacing w:before="1"/>
        <w:ind w:left="0" w:right="303" w:firstLine="0"/>
        <w:jc w:val="right"/>
        <w:rPr>
          <w:rFonts w:ascii="Arial"/>
          <w:sz w:val="16"/>
        </w:rPr>
      </w:pPr>
      <w:r>
        <w:rPr>
          <w:rFonts w:ascii="Arial"/>
          <w:color w:val="221F1F"/>
          <w:sz w:val="16"/>
        </w:rPr>
        <w:t>17</w:t>
      </w:r>
    </w:p>
    <w:p>
      <w:pPr>
        <w:spacing w:after="0"/>
        <w:jc w:val="right"/>
        <w:rPr>
          <w:rFonts w:ascii="Arial"/>
          <w:sz w:val="16"/>
        </w:rPr>
        <w:sectPr>
          <w:pgSz w:w="11910" w:h="16840"/>
          <w:pgMar w:top="1120" w:bottom="280" w:left="980" w:right="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1275"/>
        <w:gridCol w:w="7084"/>
      </w:tblGrid>
      <w:tr>
        <w:trPr>
          <w:trHeight w:val="400" w:hRule="atLeast"/>
        </w:trPr>
        <w:tc>
          <w:tcPr>
            <w:tcW w:w="2547" w:type="dxa"/>
            <w:gridSpan w:val="2"/>
            <w:shd w:val="clear" w:color="auto" w:fill="E8E8E8"/>
          </w:tcPr>
          <w:p>
            <w:pPr>
              <w:pStyle w:val="TableParagraph"/>
              <w:spacing w:line="338" w:lineRule="exact" w:before="42"/>
              <w:ind w:left="835"/>
              <w:rPr>
                <w:rFonts w:ascii="微軟正黑體" w:eastAsia="微軟正黑體" w:hint="eastAsia"/>
                <w:b/>
                <w:sz w:val="22"/>
              </w:rPr>
            </w:pPr>
            <w:r>
              <w:rPr>
                <w:rFonts w:ascii="微軟正黑體" w:eastAsia="微軟正黑體" w:hint="eastAsia"/>
                <w:b/>
                <w:color w:val="221F1F"/>
                <w:sz w:val="22"/>
              </w:rPr>
              <w:t>主責單位</w:t>
            </w:r>
          </w:p>
        </w:tc>
        <w:tc>
          <w:tcPr>
            <w:tcW w:w="7084" w:type="dxa"/>
            <w:vMerge w:val="restart"/>
            <w:tcBorders>
              <w:right w:val="single" w:sz="6" w:space="0" w:color="000000"/>
            </w:tcBorders>
            <w:shd w:val="clear" w:color="auto" w:fill="E8E8E8"/>
          </w:tcPr>
          <w:p>
            <w:pPr>
              <w:pStyle w:val="TableParagraph"/>
              <w:spacing w:before="230"/>
              <w:ind w:left="3082" w:right="3069"/>
              <w:jc w:val="center"/>
              <w:rPr>
                <w:rFonts w:ascii="微軟正黑體" w:eastAsia="微軟正黑體" w:hint="eastAsia"/>
                <w:b/>
                <w:sz w:val="22"/>
              </w:rPr>
            </w:pPr>
            <w:r>
              <w:rPr>
                <w:rFonts w:ascii="微軟正黑體" w:eastAsia="微軟正黑體" w:hint="eastAsia"/>
                <w:b/>
                <w:color w:val="221F1F"/>
                <w:sz w:val="22"/>
              </w:rPr>
              <w:t>工作事項</w:t>
            </w:r>
          </w:p>
        </w:tc>
      </w:tr>
      <w:tr>
        <w:trPr>
          <w:trHeight w:val="400" w:hRule="atLeast"/>
        </w:trPr>
        <w:tc>
          <w:tcPr>
            <w:tcW w:w="1272" w:type="dxa"/>
            <w:shd w:val="clear" w:color="auto" w:fill="E8E8E8"/>
          </w:tcPr>
          <w:p>
            <w:pPr>
              <w:pStyle w:val="TableParagraph"/>
              <w:spacing w:line="338" w:lineRule="exact" w:before="42"/>
              <w:ind w:left="178" w:right="164"/>
              <w:jc w:val="center"/>
              <w:rPr>
                <w:rFonts w:ascii="微軟正黑體" w:eastAsia="微軟正黑體" w:hint="eastAsia"/>
                <w:b/>
                <w:sz w:val="22"/>
              </w:rPr>
            </w:pPr>
            <w:r>
              <w:rPr>
                <w:rFonts w:ascii="微軟正黑體" w:eastAsia="微軟正黑體" w:hint="eastAsia"/>
                <w:b/>
                <w:color w:val="221F1F"/>
                <w:sz w:val="22"/>
              </w:rPr>
              <w:t>衛生單位</w:t>
            </w:r>
          </w:p>
        </w:tc>
        <w:tc>
          <w:tcPr>
            <w:tcW w:w="1275" w:type="dxa"/>
            <w:shd w:val="clear" w:color="auto" w:fill="E8E8E8"/>
          </w:tcPr>
          <w:p>
            <w:pPr>
              <w:pStyle w:val="TableParagraph"/>
              <w:spacing w:line="338" w:lineRule="exact" w:before="42"/>
              <w:ind w:left="129" w:right="118"/>
              <w:jc w:val="center"/>
              <w:rPr>
                <w:rFonts w:ascii="微軟正黑體" w:eastAsia="微軟正黑體" w:hint="eastAsia"/>
                <w:b/>
                <w:sz w:val="22"/>
              </w:rPr>
            </w:pPr>
            <w:r>
              <w:rPr>
                <w:rFonts w:ascii="微軟正黑體" w:eastAsia="微軟正黑體" w:hint="eastAsia"/>
                <w:b/>
                <w:color w:val="221F1F"/>
                <w:sz w:val="22"/>
              </w:rPr>
              <w:t>機構/雇主</w:t>
            </w:r>
          </w:p>
        </w:tc>
        <w:tc>
          <w:tcPr>
            <w:tcW w:w="7084" w:type="dxa"/>
            <w:vMerge/>
            <w:tcBorders>
              <w:top w:val="nil"/>
              <w:right w:val="single" w:sz="6" w:space="0" w:color="000000"/>
            </w:tcBorders>
            <w:shd w:val="clear" w:color="auto" w:fill="E8E8E8"/>
          </w:tcPr>
          <w:p>
            <w:pPr>
              <w:rPr>
                <w:sz w:val="2"/>
                <w:szCs w:val="2"/>
              </w:rPr>
            </w:pPr>
          </w:p>
        </w:tc>
      </w:tr>
      <w:tr>
        <w:trPr>
          <w:trHeight w:val="801" w:hRule="atLeast"/>
        </w:trPr>
        <w:tc>
          <w:tcPr>
            <w:tcW w:w="1272" w:type="dxa"/>
          </w:tcPr>
          <w:p>
            <w:pPr>
              <w:pStyle w:val="TableParagraph"/>
              <w:rPr>
                <w:rFonts w:ascii="Times New Roman"/>
                <w:sz w:val="22"/>
              </w:rPr>
            </w:pPr>
          </w:p>
        </w:tc>
        <w:tc>
          <w:tcPr>
            <w:tcW w:w="1275" w:type="dxa"/>
          </w:tcPr>
          <w:p>
            <w:pPr>
              <w:pStyle w:val="TableParagraph"/>
              <w:rPr>
                <w:rFonts w:ascii="Times New Roman"/>
                <w:sz w:val="22"/>
              </w:rPr>
            </w:pPr>
          </w:p>
        </w:tc>
        <w:tc>
          <w:tcPr>
            <w:tcW w:w="7084" w:type="dxa"/>
            <w:tcBorders>
              <w:right w:val="single" w:sz="6" w:space="0" w:color="000000"/>
            </w:tcBorders>
          </w:tcPr>
          <w:p>
            <w:pPr>
              <w:pStyle w:val="TableParagraph"/>
              <w:numPr>
                <w:ilvl w:val="0"/>
                <w:numId w:val="160"/>
              </w:numPr>
              <w:tabs>
                <w:tab w:pos="290" w:val="left" w:leader="none"/>
              </w:tabs>
              <w:spacing w:line="403" w:lineRule="exact" w:before="23" w:after="0"/>
              <w:ind w:left="289" w:right="0" w:hanging="180"/>
              <w:jc w:val="left"/>
              <w:rPr>
                <w:rFonts w:ascii="微軟正黑體" w:eastAsia="微軟正黑體" w:hint="eastAsia"/>
                <w:sz w:val="22"/>
              </w:rPr>
            </w:pPr>
            <w:r>
              <w:rPr>
                <w:rFonts w:ascii="微軟正黑體" w:eastAsia="微軟正黑體" w:hint="eastAsia"/>
                <w:sz w:val="22"/>
              </w:rPr>
              <w:t>監測個案出/入</w:t>
            </w:r>
            <w:r>
              <w:rPr>
                <w:rFonts w:ascii="微軟正黑體" w:eastAsia="微軟正黑體" w:hint="eastAsia"/>
                <w:spacing w:val="-4"/>
                <w:sz w:val="22"/>
              </w:rPr>
              <w:t>/</w:t>
            </w:r>
            <w:r>
              <w:rPr>
                <w:rFonts w:ascii="微軟正黑體" w:eastAsia="微軟正黑體" w:hint="eastAsia"/>
                <w:spacing w:val="-3"/>
                <w:sz w:val="22"/>
              </w:rPr>
              <w:t>移監動態並提供衛教及轉銜作業</w:t>
            </w:r>
          </w:p>
          <w:p>
            <w:pPr>
              <w:pStyle w:val="TableParagraph"/>
              <w:numPr>
                <w:ilvl w:val="0"/>
                <w:numId w:val="160"/>
              </w:numPr>
              <w:tabs>
                <w:tab w:pos="290" w:val="left" w:leader="none"/>
              </w:tabs>
              <w:spacing w:line="355" w:lineRule="exact" w:before="0" w:after="0"/>
              <w:ind w:left="289" w:right="0" w:hanging="180"/>
              <w:jc w:val="left"/>
              <w:rPr>
                <w:rFonts w:ascii="微軟正黑體" w:eastAsia="微軟正黑體" w:hint="eastAsia"/>
                <w:sz w:val="22"/>
              </w:rPr>
            </w:pPr>
            <w:r>
              <w:rPr>
                <w:rFonts w:ascii="微軟正黑體" w:eastAsia="微軟正黑體" w:hint="eastAsia"/>
                <w:spacing w:val="-1"/>
                <w:sz w:val="22"/>
              </w:rPr>
              <w:t>辦理接觸者調查</w:t>
            </w:r>
            <w:r>
              <w:rPr>
                <w:rFonts w:ascii="微軟正黑體" w:eastAsia="微軟正黑體" w:hint="eastAsia"/>
                <w:sz w:val="22"/>
              </w:rPr>
              <w:t>/</w:t>
            </w:r>
            <w:r>
              <w:rPr>
                <w:rFonts w:ascii="微軟正黑體" w:eastAsia="微軟正黑體" w:hint="eastAsia"/>
                <w:spacing w:val="-3"/>
                <w:sz w:val="22"/>
              </w:rPr>
              <w:t>檢查及潛伏結核感染治療作業</w:t>
            </w:r>
          </w:p>
        </w:tc>
      </w:tr>
      <w:tr>
        <w:trPr>
          <w:trHeight w:val="517" w:hRule="atLeast"/>
        </w:trPr>
        <w:tc>
          <w:tcPr>
            <w:tcW w:w="9631" w:type="dxa"/>
            <w:gridSpan w:val="3"/>
            <w:tcBorders>
              <w:right w:val="single" w:sz="6" w:space="0" w:color="000000"/>
            </w:tcBorders>
          </w:tcPr>
          <w:p>
            <w:pPr>
              <w:pStyle w:val="TableParagraph"/>
              <w:spacing w:line="398" w:lineRule="exact" w:before="100"/>
              <w:ind w:left="3916" w:right="3898"/>
              <w:jc w:val="center"/>
              <w:rPr>
                <w:rFonts w:ascii="微軟正黑體" w:eastAsia="微軟正黑體" w:hint="eastAsia"/>
                <w:b/>
                <w:sz w:val="22"/>
              </w:rPr>
            </w:pPr>
            <w:r>
              <w:rPr>
                <w:rFonts w:ascii="微軟正黑體" w:eastAsia="微軟正黑體" w:hint="eastAsia"/>
                <w:b/>
                <w:color w:val="221F1F"/>
                <w:sz w:val="22"/>
              </w:rPr>
              <w:t>人口密集機構</w:t>
            </w:r>
          </w:p>
        </w:tc>
      </w:tr>
      <w:tr>
        <w:trPr>
          <w:trHeight w:val="1600" w:hRule="atLeast"/>
        </w:trPr>
        <w:tc>
          <w:tcPr>
            <w:tcW w:w="1272" w:type="dxa"/>
          </w:tcPr>
          <w:p>
            <w:pPr>
              <w:pStyle w:val="TableParagraph"/>
              <w:rPr>
                <w:rFonts w:ascii="Times New Roman"/>
                <w:sz w:val="22"/>
              </w:rPr>
            </w:pPr>
          </w:p>
        </w:tc>
        <w:tc>
          <w:tcPr>
            <w:tcW w:w="1275" w:type="dxa"/>
          </w:tcPr>
          <w:p>
            <w:pPr>
              <w:pStyle w:val="TableParagraph"/>
              <w:rPr>
                <w:rFonts w:ascii="Arial"/>
                <w:sz w:val="22"/>
              </w:rPr>
            </w:pPr>
          </w:p>
          <w:p>
            <w:pPr>
              <w:pStyle w:val="TableParagraph"/>
              <w:rPr>
                <w:rFonts w:ascii="Arial"/>
                <w:sz w:val="22"/>
              </w:rPr>
            </w:pPr>
          </w:p>
          <w:p>
            <w:pPr>
              <w:pStyle w:val="TableParagraph"/>
              <w:spacing w:before="190"/>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line="403" w:lineRule="exact" w:before="23"/>
              <w:ind w:left="110"/>
              <w:rPr>
                <w:rFonts w:ascii="微軟正黑體" w:eastAsia="微軟正黑體" w:hint="eastAsia"/>
                <w:b/>
                <w:sz w:val="22"/>
              </w:rPr>
            </w:pPr>
            <w:r>
              <w:rPr>
                <w:rFonts w:ascii="微軟正黑體" w:eastAsia="微軟正黑體" w:hint="eastAsia"/>
                <w:b/>
                <w:sz w:val="22"/>
              </w:rPr>
              <w:t>平時作為</w:t>
            </w:r>
          </w:p>
          <w:p>
            <w:pPr>
              <w:pStyle w:val="TableParagraph"/>
              <w:numPr>
                <w:ilvl w:val="0"/>
                <w:numId w:val="161"/>
              </w:numPr>
              <w:tabs>
                <w:tab w:pos="290" w:val="left" w:leader="none"/>
              </w:tabs>
              <w:spacing w:line="400"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就新進住民及員工進行入住前及每年定期胸部 </w:t>
            </w:r>
            <w:r>
              <w:rPr>
                <w:rFonts w:ascii="微軟正黑體" w:eastAsia="微軟正黑體" w:hint="eastAsia"/>
                <w:sz w:val="22"/>
              </w:rPr>
              <w:t>X</w:t>
            </w:r>
            <w:r>
              <w:rPr>
                <w:rFonts w:ascii="微軟正黑體" w:eastAsia="微軟正黑體" w:hint="eastAsia"/>
                <w:spacing w:val="-1"/>
                <w:sz w:val="22"/>
              </w:rPr>
              <w:t> 光檢查</w:t>
            </w:r>
          </w:p>
          <w:p>
            <w:pPr>
              <w:pStyle w:val="TableParagraph"/>
              <w:numPr>
                <w:ilvl w:val="0"/>
                <w:numId w:val="161"/>
              </w:numPr>
              <w:tabs>
                <w:tab w:pos="290" w:val="left" w:leader="none"/>
              </w:tabs>
              <w:spacing w:line="400" w:lineRule="exact" w:before="0" w:after="0"/>
              <w:ind w:left="289" w:right="0" w:hanging="180"/>
              <w:jc w:val="left"/>
              <w:rPr>
                <w:rFonts w:ascii="微軟正黑體" w:eastAsia="微軟正黑體" w:hint="eastAsia"/>
                <w:sz w:val="22"/>
              </w:rPr>
            </w:pPr>
            <w:r>
              <w:rPr>
                <w:rFonts w:ascii="微軟正黑體" w:eastAsia="微軟正黑體" w:hint="eastAsia"/>
                <w:sz w:val="22"/>
              </w:rPr>
              <w:t>咳嗽超過 2</w:t>
            </w:r>
            <w:r>
              <w:rPr>
                <w:rFonts w:ascii="微軟正黑體" w:eastAsia="微軟正黑體" w:hint="eastAsia"/>
                <w:spacing w:val="-3"/>
                <w:sz w:val="22"/>
              </w:rPr>
              <w:t> 週者，佩戴口罩及施予隔離措施</w:t>
            </w:r>
          </w:p>
          <w:p>
            <w:pPr>
              <w:pStyle w:val="TableParagraph"/>
              <w:numPr>
                <w:ilvl w:val="0"/>
                <w:numId w:val="161"/>
              </w:numPr>
              <w:tabs>
                <w:tab w:pos="290" w:val="left" w:leader="none"/>
              </w:tabs>
              <w:spacing w:line="356"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確保室內空氣流通及良好空氣品質</w:t>
            </w:r>
          </w:p>
        </w:tc>
      </w:tr>
      <w:tr>
        <w:trPr>
          <w:trHeight w:val="798" w:hRule="atLeast"/>
        </w:trPr>
        <w:tc>
          <w:tcPr>
            <w:tcW w:w="1272" w:type="dxa"/>
          </w:tcPr>
          <w:p>
            <w:pPr>
              <w:pStyle w:val="TableParagraph"/>
              <w:spacing w:before="7"/>
              <w:rPr>
                <w:rFonts w:ascii="Arial"/>
                <w:sz w:val="25"/>
              </w:rPr>
            </w:pPr>
          </w:p>
          <w:p>
            <w:pPr>
              <w:pStyle w:val="TableParagraph"/>
              <w:ind w:left="14"/>
              <w:jc w:val="center"/>
              <w:rPr>
                <w:rFonts w:ascii="細明體" w:hAnsi="細明體"/>
                <w:sz w:val="22"/>
              </w:rPr>
            </w:pPr>
            <w:r>
              <w:rPr>
                <w:rFonts w:ascii="細明體" w:hAnsi="細明體"/>
                <w:w w:val="100"/>
                <w:sz w:val="22"/>
              </w:rPr>
              <w:t>□</w:t>
            </w:r>
          </w:p>
        </w:tc>
        <w:tc>
          <w:tcPr>
            <w:tcW w:w="1275" w:type="dxa"/>
          </w:tcPr>
          <w:p>
            <w:pPr>
              <w:pStyle w:val="TableParagraph"/>
              <w:spacing w:before="7"/>
              <w:rPr>
                <w:rFonts w:ascii="Arial"/>
                <w:sz w:val="25"/>
              </w:rPr>
            </w:pPr>
          </w:p>
          <w:p>
            <w:pPr>
              <w:pStyle w:val="TableParagraph"/>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numPr>
                <w:ilvl w:val="0"/>
                <w:numId w:val="162"/>
              </w:numPr>
              <w:tabs>
                <w:tab w:pos="290" w:val="left" w:leader="none"/>
              </w:tabs>
              <w:spacing w:line="401" w:lineRule="exact" w:before="23" w:after="0"/>
              <w:ind w:left="289" w:right="0" w:hanging="180"/>
              <w:jc w:val="left"/>
              <w:rPr>
                <w:rFonts w:ascii="微軟正黑體" w:eastAsia="微軟正黑體" w:hint="eastAsia"/>
                <w:sz w:val="22"/>
              </w:rPr>
            </w:pPr>
            <w:r>
              <w:rPr>
                <w:rFonts w:ascii="微軟正黑體" w:eastAsia="微軟正黑體" w:hint="eastAsia"/>
                <w:spacing w:val="-1"/>
                <w:sz w:val="22"/>
              </w:rPr>
              <w:t>進行聚集事件監測</w:t>
            </w:r>
          </w:p>
          <w:p>
            <w:pPr>
              <w:pStyle w:val="TableParagraph"/>
              <w:numPr>
                <w:ilvl w:val="0"/>
                <w:numId w:val="162"/>
              </w:numPr>
              <w:tabs>
                <w:tab w:pos="290" w:val="left" w:leader="none"/>
              </w:tabs>
              <w:spacing w:line="354"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執行長照機構潛伏結核感染檢驗及治療專案計畫</w:t>
            </w:r>
          </w:p>
        </w:tc>
      </w:tr>
      <w:tr>
        <w:trPr>
          <w:trHeight w:val="2001" w:hRule="atLeast"/>
        </w:trPr>
        <w:tc>
          <w:tcPr>
            <w:tcW w:w="1272" w:type="dxa"/>
          </w:tcPr>
          <w:p>
            <w:pPr>
              <w:pStyle w:val="TableParagraph"/>
              <w:rPr>
                <w:rFonts w:ascii="Times New Roman"/>
                <w:sz w:val="22"/>
              </w:rPr>
            </w:pPr>
          </w:p>
        </w:tc>
        <w:tc>
          <w:tcPr>
            <w:tcW w:w="1275" w:type="dxa"/>
          </w:tcPr>
          <w:p>
            <w:pPr>
              <w:pStyle w:val="TableParagraph"/>
              <w:rPr>
                <w:rFonts w:ascii="Arial"/>
                <w:sz w:val="22"/>
              </w:rPr>
            </w:pPr>
          </w:p>
          <w:p>
            <w:pPr>
              <w:pStyle w:val="TableParagraph"/>
              <w:rPr>
                <w:rFonts w:ascii="Arial"/>
                <w:sz w:val="22"/>
              </w:rPr>
            </w:pPr>
          </w:p>
          <w:p>
            <w:pPr>
              <w:pStyle w:val="TableParagraph"/>
              <w:rPr>
                <w:rFonts w:ascii="Arial"/>
                <w:sz w:val="22"/>
              </w:rPr>
            </w:pPr>
          </w:p>
          <w:p>
            <w:pPr>
              <w:pStyle w:val="TableParagraph"/>
              <w:spacing w:before="138"/>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spacing w:line="403" w:lineRule="exact" w:before="23"/>
              <w:ind w:left="110"/>
              <w:rPr>
                <w:rFonts w:ascii="微軟正黑體" w:eastAsia="微軟正黑體" w:hint="eastAsia"/>
                <w:b/>
                <w:sz w:val="22"/>
              </w:rPr>
            </w:pPr>
            <w:r>
              <w:rPr>
                <w:rFonts w:ascii="微軟正黑體" w:eastAsia="微軟正黑體" w:hint="eastAsia"/>
                <w:b/>
                <w:sz w:val="22"/>
              </w:rPr>
              <w:t>發現結核病個案</w:t>
            </w:r>
          </w:p>
          <w:p>
            <w:pPr>
              <w:pStyle w:val="TableParagraph"/>
              <w:numPr>
                <w:ilvl w:val="0"/>
                <w:numId w:val="163"/>
              </w:numPr>
              <w:tabs>
                <w:tab w:pos="290" w:val="left" w:leader="none"/>
              </w:tabs>
              <w:spacing w:line="401" w:lineRule="exact" w:before="0" w:after="0"/>
              <w:ind w:left="289" w:right="0" w:hanging="180"/>
              <w:jc w:val="left"/>
              <w:rPr>
                <w:rFonts w:ascii="微軟正黑體" w:eastAsia="微軟正黑體" w:hint="eastAsia"/>
                <w:sz w:val="22"/>
              </w:rPr>
            </w:pPr>
            <w:r>
              <w:rPr>
                <w:rFonts w:ascii="微軟正黑體" w:eastAsia="微軟正黑體" w:hint="eastAsia"/>
                <w:spacing w:val="-1"/>
                <w:sz w:val="22"/>
              </w:rPr>
              <w:t>通報結核病個案</w:t>
            </w:r>
            <w:r>
              <w:rPr>
                <w:rFonts w:ascii="微軟正黑體" w:eastAsia="微軟正黑體" w:hint="eastAsia"/>
                <w:spacing w:val="-3"/>
                <w:sz w:val="22"/>
              </w:rPr>
              <w:t>（特別是痰塗片陽性者</w:t>
            </w:r>
            <w:r>
              <w:rPr>
                <w:rFonts w:ascii="微軟正黑體" w:eastAsia="微軟正黑體" w:hint="eastAsia"/>
                <w:sz w:val="22"/>
              </w:rPr>
              <w:t>）</w:t>
            </w:r>
            <w:r>
              <w:rPr>
                <w:rFonts w:ascii="微軟正黑體" w:eastAsia="微軟正黑體" w:hint="eastAsia"/>
                <w:spacing w:val="-3"/>
                <w:sz w:val="22"/>
              </w:rPr>
              <w:t>應安置於呼吸道隔離病房</w:t>
            </w:r>
          </w:p>
          <w:p>
            <w:pPr>
              <w:pStyle w:val="TableParagraph"/>
              <w:numPr>
                <w:ilvl w:val="0"/>
                <w:numId w:val="163"/>
              </w:numPr>
              <w:tabs>
                <w:tab w:pos="290" w:val="left" w:leader="none"/>
              </w:tabs>
              <w:spacing w:line="400"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提供接觸者資料並協助安排衛教事宜</w:t>
            </w:r>
          </w:p>
          <w:p>
            <w:pPr>
              <w:pStyle w:val="TableParagraph"/>
              <w:numPr>
                <w:ilvl w:val="0"/>
                <w:numId w:val="163"/>
              </w:numPr>
              <w:tabs>
                <w:tab w:pos="290" w:val="left" w:leader="none"/>
              </w:tabs>
              <w:spacing w:line="400" w:lineRule="exact" w:before="0" w:after="0"/>
              <w:ind w:left="289" w:right="0" w:hanging="180"/>
              <w:jc w:val="left"/>
              <w:rPr>
                <w:rFonts w:ascii="微軟正黑體" w:eastAsia="微軟正黑體" w:hint="eastAsia"/>
                <w:sz w:val="22"/>
              </w:rPr>
            </w:pPr>
            <w:r>
              <w:rPr>
                <w:rFonts w:ascii="微軟正黑體" w:eastAsia="微軟正黑體" w:hint="eastAsia"/>
                <w:spacing w:val="-1"/>
                <w:sz w:val="22"/>
              </w:rPr>
              <w:t>安排接受都治服務</w:t>
            </w:r>
          </w:p>
          <w:p>
            <w:pPr>
              <w:pStyle w:val="TableParagraph"/>
              <w:numPr>
                <w:ilvl w:val="0"/>
                <w:numId w:val="163"/>
              </w:numPr>
              <w:tabs>
                <w:tab w:pos="290" w:val="left" w:leader="none"/>
              </w:tabs>
              <w:spacing w:line="355" w:lineRule="exact" w:before="0" w:after="0"/>
              <w:ind w:left="289" w:right="0" w:hanging="180"/>
              <w:jc w:val="left"/>
              <w:rPr>
                <w:rFonts w:ascii="微軟正黑體" w:eastAsia="微軟正黑體" w:hint="eastAsia"/>
                <w:sz w:val="22"/>
              </w:rPr>
            </w:pPr>
            <w:r>
              <w:rPr>
                <w:rFonts w:ascii="微軟正黑體" w:eastAsia="微軟正黑體" w:hint="eastAsia"/>
                <w:spacing w:val="-3"/>
                <w:sz w:val="22"/>
              </w:rPr>
              <w:t>發生聚集事件時，配合及落實衛生單位相關因應措施</w:t>
            </w:r>
          </w:p>
        </w:tc>
      </w:tr>
      <w:tr>
        <w:trPr>
          <w:trHeight w:val="950" w:hRule="atLeast"/>
        </w:trPr>
        <w:tc>
          <w:tcPr>
            <w:tcW w:w="1272" w:type="dxa"/>
          </w:tcPr>
          <w:p>
            <w:pPr>
              <w:pStyle w:val="TableParagraph"/>
              <w:spacing w:before="1"/>
              <w:rPr>
                <w:rFonts w:ascii="Arial"/>
                <w:sz w:val="32"/>
              </w:rPr>
            </w:pPr>
          </w:p>
          <w:p>
            <w:pPr>
              <w:pStyle w:val="TableParagraph"/>
              <w:spacing w:before="1"/>
              <w:ind w:left="14"/>
              <w:jc w:val="center"/>
              <w:rPr>
                <w:rFonts w:ascii="細明體" w:hAnsi="細明體"/>
                <w:sz w:val="22"/>
              </w:rPr>
            </w:pPr>
            <w:r>
              <w:rPr>
                <w:rFonts w:ascii="細明體" w:hAnsi="細明體"/>
                <w:w w:val="100"/>
                <w:sz w:val="22"/>
              </w:rPr>
              <w:t>□</w:t>
            </w:r>
          </w:p>
        </w:tc>
        <w:tc>
          <w:tcPr>
            <w:tcW w:w="1275" w:type="dxa"/>
          </w:tcPr>
          <w:p>
            <w:pPr>
              <w:pStyle w:val="TableParagraph"/>
              <w:spacing w:before="1"/>
              <w:rPr>
                <w:rFonts w:ascii="Arial"/>
                <w:sz w:val="32"/>
              </w:rPr>
            </w:pPr>
          </w:p>
          <w:p>
            <w:pPr>
              <w:pStyle w:val="TableParagraph"/>
              <w:spacing w:before="1"/>
              <w:ind w:left="11"/>
              <w:jc w:val="center"/>
              <w:rPr>
                <w:rFonts w:ascii="細明體" w:hAnsi="細明體"/>
                <w:sz w:val="22"/>
              </w:rPr>
            </w:pPr>
            <w:r>
              <w:rPr>
                <w:rFonts w:ascii="細明體" w:hAnsi="細明體"/>
                <w:w w:val="100"/>
                <w:sz w:val="22"/>
              </w:rPr>
              <w:t>□</w:t>
            </w:r>
          </w:p>
        </w:tc>
        <w:tc>
          <w:tcPr>
            <w:tcW w:w="7084" w:type="dxa"/>
            <w:tcBorders>
              <w:right w:val="single" w:sz="6" w:space="0" w:color="000000"/>
            </w:tcBorders>
          </w:tcPr>
          <w:p>
            <w:pPr>
              <w:pStyle w:val="TableParagraph"/>
              <w:numPr>
                <w:ilvl w:val="0"/>
                <w:numId w:val="164"/>
              </w:numPr>
              <w:tabs>
                <w:tab w:pos="395" w:val="left" w:leader="none"/>
              </w:tabs>
              <w:spacing w:line="240" w:lineRule="auto" w:before="90" w:after="0"/>
              <w:ind w:left="394" w:right="0" w:hanging="180"/>
              <w:jc w:val="left"/>
              <w:rPr>
                <w:rFonts w:ascii="微軟正黑體" w:eastAsia="微軟正黑體" w:hint="eastAsia"/>
                <w:sz w:val="22"/>
              </w:rPr>
            </w:pPr>
            <w:r>
              <w:rPr>
                <w:rFonts w:ascii="微軟正黑體" w:eastAsia="微軟正黑體" w:hint="eastAsia"/>
                <w:color w:val="221F1F"/>
                <w:spacing w:val="-1"/>
                <w:sz w:val="22"/>
              </w:rPr>
              <w:t>辦理接觸者調查</w:t>
            </w:r>
            <w:r>
              <w:rPr>
                <w:rFonts w:ascii="微軟正黑體" w:eastAsia="微軟正黑體" w:hint="eastAsia"/>
                <w:color w:val="221F1F"/>
                <w:sz w:val="22"/>
              </w:rPr>
              <w:t>/</w:t>
            </w:r>
            <w:r>
              <w:rPr>
                <w:rFonts w:ascii="微軟正黑體" w:eastAsia="微軟正黑體" w:hint="eastAsia"/>
                <w:color w:val="221F1F"/>
                <w:spacing w:val="-3"/>
                <w:sz w:val="22"/>
              </w:rPr>
              <w:t>檢查及潛伏結核感染治療作業</w:t>
            </w:r>
          </w:p>
          <w:p>
            <w:pPr>
              <w:pStyle w:val="TableParagraph"/>
              <w:numPr>
                <w:ilvl w:val="0"/>
                <w:numId w:val="164"/>
              </w:numPr>
              <w:tabs>
                <w:tab w:pos="395" w:val="left" w:leader="none"/>
              </w:tabs>
              <w:spacing w:line="240" w:lineRule="auto" w:before="28" w:after="0"/>
              <w:ind w:left="394" w:right="0" w:hanging="180"/>
              <w:jc w:val="left"/>
              <w:rPr>
                <w:rFonts w:ascii="微軟正黑體" w:eastAsia="微軟正黑體" w:hint="eastAsia"/>
                <w:sz w:val="22"/>
              </w:rPr>
            </w:pPr>
            <w:r>
              <w:rPr>
                <w:rFonts w:ascii="微軟正黑體" w:eastAsia="微軟正黑體" w:hint="eastAsia"/>
                <w:color w:val="221F1F"/>
                <w:spacing w:val="-3"/>
                <w:sz w:val="22"/>
              </w:rPr>
              <w:t>提供結核病個案管理服務</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0"/>
        <w:rPr>
          <w:rFonts w:ascii="Arial"/>
          <w:sz w:val="29"/>
        </w:rPr>
      </w:pPr>
    </w:p>
    <w:p>
      <w:pPr>
        <w:spacing w:before="95"/>
        <w:ind w:left="0" w:right="303" w:firstLine="0"/>
        <w:jc w:val="right"/>
        <w:rPr>
          <w:rFonts w:ascii="Arial"/>
          <w:sz w:val="16"/>
        </w:rPr>
      </w:pPr>
      <w:r>
        <w:rPr>
          <w:rFonts w:ascii="Arial"/>
          <w:color w:val="221F1F"/>
          <w:sz w:val="16"/>
        </w:rPr>
        <w:t>18</w:t>
      </w:r>
    </w:p>
    <w:p>
      <w:pPr>
        <w:spacing w:after="0"/>
        <w:jc w:val="right"/>
        <w:rPr>
          <w:rFonts w:ascii="Arial"/>
          <w:sz w:val="16"/>
        </w:rPr>
        <w:sectPr>
          <w:pgSz w:w="11910" w:h="16840"/>
          <w:pgMar w:top="1120" w:bottom="280" w:left="980" w:right="2"/>
        </w:sectPr>
      </w:pPr>
    </w:p>
    <w:p>
      <w:pPr>
        <w:pStyle w:val="Heading1"/>
        <w:ind w:left="0" w:right="981"/>
        <w:jc w:val="center"/>
      </w:pPr>
      <w:bookmarkStart w:name="_TOC_250001" w:id="4"/>
      <w:bookmarkStart w:name="《結核病防治工作手冊》(第四版) -本文-172頁(合併用2)" w:id="5"/>
      <w:r>
        <w:rPr>
          <w:b w:val="0"/>
        </w:rPr>
      </w:r>
      <w:bookmarkEnd w:id="4"/>
      <w:r>
        <w:rPr>
          <w:color w:val="231F20"/>
        </w:rPr>
        <w:t>第八章 都治策略</w:t>
      </w:r>
    </w:p>
    <w:p>
      <w:pPr>
        <w:pStyle w:val="BodyText"/>
        <w:spacing w:before="6"/>
        <w:rPr>
          <w:rFonts w:ascii="微軟正黑體"/>
          <w:b/>
          <w:sz w:val="13"/>
        </w:rPr>
      </w:pPr>
    </w:p>
    <w:p>
      <w:pPr>
        <w:pStyle w:val="Heading2"/>
        <w:spacing w:before="39"/>
      </w:pPr>
      <w:r>
        <w:rPr>
          <w:color w:val="231F20"/>
        </w:rPr>
        <w:t>壹、前言</w:t>
      </w:r>
    </w:p>
    <w:p>
      <w:pPr>
        <w:pStyle w:val="BodyText"/>
        <w:spacing w:line="413" w:lineRule="exact"/>
        <w:ind w:left="1116"/>
      </w:pPr>
      <w:r>
        <w:rPr>
          <w:color w:val="231F20"/>
        </w:rPr>
        <w:t>都治源自於不適當的治療比不治療更糟的觀念變革，建構於國際抗癆暨肺病聯盟</w:t>
      </w:r>
    </w:p>
    <w:p>
      <w:pPr>
        <w:pStyle w:val="BodyText"/>
        <w:spacing w:line="230" w:lineRule="auto"/>
        <w:ind w:left="635" w:right="1123"/>
        <w:jc w:val="both"/>
      </w:pPr>
      <w:r>
        <w:rPr/>
        <w:pict>
          <v:group style="position:absolute;margin-left:557.686523pt;margin-top:93.78112pt;width:37.35pt;height:609.550pt;mso-position-horizontal-relative:page;mso-position-vertical-relative:paragraph;z-index:251802624" coordorigin="11154,1876" coordsize="747,12191">
            <v:shape style="position:absolute;left:11283;top:2387;width:439;height:11680" type="#_x0000_t75" stroked="false">
              <v:imagedata r:id="rId86" o:title=""/>
            </v:shape>
            <v:shape style="position:absolute;left:11153;top:1875;width:747;height:812" coordorigin="11154,1876" coordsize="747,812" path="m11900,1876l11536,1876,11514,1878,11454,1912,11188,2194,11154,2281,11162,2328,11454,2651,11514,2685,11536,2687,11900,2687,11900,1876xe" filled="true" fillcolor="#49b7cf" stroked="false">
              <v:path arrowok="t"/>
              <v:fill type="solid"/>
            </v:shape>
            <v:shape style="position:absolute;left:11307;top:2142;width:390;height:278" type="#_x0000_t75" stroked="false">
              <v:imagedata r:id="rId87" o:title=""/>
            </v:shape>
            <v:shape style="position:absolute;left:11378;top:2825;width:252;height:1253" coordorigin="11378,2825" coordsize="252,1253" path="m11432,2979l11408,2979,11408,3070,11432,3070,11432,3055,11511,3055,11511,3033,11432,3033,11432,3013,11511,3013,11511,2992,11432,2992,11432,2979xm11511,3055l11487,3055,11487,3070,11511,3070,11511,3055xm11511,3013l11487,3013,11487,3033,11511,3033,11511,3013xm11511,2973l11487,2973,11487,2992,11511,2992,11511,2973xm11477,2927l11444,2927,11429,2938,11413,2949,11396,2959,11378,2967,11391,2988,11398,2984,11404,2982,11408,2979,11432,2979,11432,2973,11511,2973,11511,2951,11451,2951,11458,2945,11467,2937,11477,2927xm11527,2905l11382,2905,11382,2927,11527,2927,11527,2905xm11460,2875l11435,2875,11435,2905,11460,2905,11460,2875xm11491,2853l11394,2853,11394,2875,11490,2875,11482,2887,11474,2897,11467,2905,11496,2905,11504,2894,11512,2882,11518,2873,11491,2873,11491,2853xm11509,2844l11503,2855,11497,2864,11491,2873,11518,2873,11521,2869,11529,2854,11509,2844xm11460,2825l11435,2825,11435,2853,11460,2853,11460,2825xm11623,2832l11537,2832,11537,3070,11561,3070,11561,2857,11623,2857,11623,2832xm11567,3014l11573,3038,11580,3038,11585,3038,11600,3038,11609,3035,11623,3024,11626,3014,11583,3014,11574,3014,11567,3014xm11623,2857l11597,2857,11592,2876,11586,2895,11580,2912,11574,2929,11586,2946,11595,2963,11600,2980,11602,2997,11602,3004,11601,3009,11597,3013,11595,3014,11626,3014,11626,2997,11624,2980,11619,2963,11612,2945,11600,2927,11604,2915,11609,2899,11616,2880,11623,2857xm11396,3228l11380,3249,11395,3257,11408,3267,11421,3276,11432,3286,11448,3266,11436,3256,11424,3246,11410,3237,11396,3228xm11624,3264l11596,3264,11599,3269,11602,3276,11606,3284,11629,3274,11624,3264xm11519,3158l11505,3188,11489,3213,11471,3234,11451,3250,11456,3272,11493,3271,11528,3270,11563,3267,11596,3264,11624,3264,11619,3254,11615,3247,11490,3247,11504,3232,11518,3213,11531,3191,11544,3166,11519,3158xm11580,3193l11556,3204,11562,3211,11568,3219,11575,3229,11582,3241,11559,3243,11536,3245,11513,3246,11490,3247,11615,3247,11608,3234,11595,3214,11580,3193xm11404,3160l11387,3178,11401,3189,11414,3199,11425,3210,11435,3221,11453,3203,11442,3191,11430,3180,11417,3170,11404,3160xm11610,3290l11463,3290,11463,3407,11488,3407,11488,3394,11610,3394,11610,3369,11488,3369,11488,3314,11610,3314,11610,3290xm11610,3394l11584,3394,11584,3407,11610,3407,11610,3394xm11610,3314l11584,3314,11584,3369,11610,3369,11610,3314xm11428,3300l11419,3323,11408,3346,11396,3368,11384,3388,11403,3408,11416,3386,11428,3363,11440,3339,11450,3314,11428,3300xm11516,3676l11491,3676,11491,3742,11516,3742,11516,3676xm11516,3636l11491,3636,11491,3645,11467,3667,11440,3686,11411,3702,11379,3715,11392,3738,11421,3724,11447,3709,11470,3693,11491,3676,11516,3676,11516,3675,11552,3675,11540,3666,11516,3644,11516,3636xm11552,3675l11516,3675,11538,3693,11561,3710,11587,3724,11615,3737,11629,3715,11596,3701,11566,3685,11552,3675xm11603,3614l11405,3614,11405,3677,11430,3677,11430,3636,11603,3636,11603,3614xm11603,3636l11578,3636,11578,3653,11576,3655,11573,3655,11554,3656,11561,3677,11566,3677,11570,3677,11586,3677,11594,3675,11601,3667,11603,3662,11603,3636xm11516,3600l11491,3600,11491,3614,11516,3614,11516,3600xm11626,3578l11382,3578,11382,3600,11626,3600,11626,3578xm11516,3564l11491,3564,11491,3578,11516,3578,11516,3564xm11577,3540l11554,3547,11559,3554,11564,3562,11568,3572,11592,3565,11588,3555,11583,3547,11583,3547,11577,3540xm11461,3540l11438,3547,11444,3555,11448,3563,11452,3572,11475,3565,11473,3557,11468,3548,11461,3540xm11423,3495l11413,3513,11403,3529,11391,3542,11378,3554,11378,3554,11399,3569,11407,3562,11414,3554,11421,3545,11428,3536,11500,3536,11500,3514,11441,3514,11445,3508,11447,3504,11448,3502,11423,3495xm11534,3495l11526,3512,11517,3526,11508,3537,11498,3546,11519,3560,11526,3553,11533,3545,11539,3536,11625,3536,11625,3514,11552,3514,11554,3510,11556,3505,11557,3501,11534,3495xm11539,3896l11510,3896,11515,3904,11522,3913,11532,3923,11519,3931,11506,3937,11492,3943,11478,3948,11490,3970,11508,3963,11524,3955,11539,3947,11552,3939,11603,3939,11600,3938,11586,3932,11572,3924,11585,3912,11588,3909,11553,3909,11544,3902,11539,3896xm11603,3939l11552,3939,11565,3947,11580,3955,11597,3963,11617,3970,11629,3948,11614,3944,11603,3939xm11612,3876l11584,3876,11578,3885,11570,3893,11562,3901,11553,3909,11588,3909,11596,3900,11605,3888,11612,3876xm11532,3832l11523,3847,11511,3862,11496,3876,11478,3890,11493,3909,11499,3904,11505,3900,11510,3896,11539,3896,11536,3892,11528,3878,11530,3876,11612,3876,11612,3854,11547,3854,11549,3850,11552,3844,11555,3839,11532,3832xm11474,3845l11387,3845,11387,4063,11408,4063,11408,4043,11474,4043,11474,4020,11408,4020,11408,3954,11474,3954,11474,3930,11408,3930,11408,3869,11474,3869,11474,3845xm11474,4043l11453,4043,11453,4056,11474,4056,11474,4043xm11440,3954l11421,3954,11421,4020,11440,4020,11440,3954xm11474,3954l11453,3954,11453,4020,11474,4020,11474,3954xm11440,3869l11421,3869,11421,3930,11440,3930,11440,3869xm11474,3869l11453,3869,11453,3930,11474,3930,11474,3869xm11611,3974l11495,3974,11495,4078,11520,4078,11520,4069,11611,4069,11611,4045,11520,4045,11520,3998,11611,3998,11611,3974xm11611,4069l11586,4069,11586,4078,11611,4078,11611,4069xm11611,3998l11586,3998,11586,4045,11611,4045,11611,3998xe" filled="true" fillcolor="#58595b" stroked="false">
              <v:path arrowok="t"/>
              <v:fill type="solid"/>
            </v:shape>
            <v:shape style="position:absolute;left:11412;top:13504;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83</w:t>
                    </w:r>
                  </w:p>
                </w:txbxContent>
              </v:textbox>
              <w10:wrap type="none"/>
            </v:shape>
            <w10:wrap type="none"/>
          </v:group>
        </w:pict>
      </w:r>
      <w:r>
        <w:rPr>
          <w:color w:val="231F20"/>
          <w:w w:val="110"/>
        </w:rPr>
        <w:t>(International</w:t>
      </w:r>
      <w:r>
        <w:rPr>
          <w:color w:val="231F20"/>
          <w:spacing w:val="-18"/>
          <w:w w:val="110"/>
        </w:rPr>
        <w:t> </w:t>
      </w:r>
      <w:r>
        <w:rPr>
          <w:color w:val="231F20"/>
          <w:w w:val="110"/>
        </w:rPr>
        <w:t>Union</w:t>
      </w:r>
      <w:r>
        <w:rPr>
          <w:color w:val="231F20"/>
          <w:spacing w:val="-18"/>
          <w:w w:val="110"/>
        </w:rPr>
        <w:t> </w:t>
      </w:r>
      <w:r>
        <w:rPr>
          <w:color w:val="231F20"/>
          <w:w w:val="110"/>
        </w:rPr>
        <w:t>Against</w:t>
      </w:r>
      <w:r>
        <w:rPr>
          <w:color w:val="231F20"/>
          <w:spacing w:val="-18"/>
          <w:w w:val="110"/>
        </w:rPr>
        <w:t> </w:t>
      </w:r>
      <w:r>
        <w:rPr>
          <w:color w:val="231F20"/>
          <w:spacing w:val="-3"/>
          <w:w w:val="110"/>
        </w:rPr>
        <w:t>Tuberculosis</w:t>
      </w:r>
      <w:r>
        <w:rPr>
          <w:color w:val="231F20"/>
          <w:spacing w:val="-17"/>
          <w:w w:val="110"/>
        </w:rPr>
        <w:t> </w:t>
      </w:r>
      <w:r>
        <w:rPr>
          <w:color w:val="231F20"/>
          <w:w w:val="110"/>
        </w:rPr>
        <w:t>and</w:t>
      </w:r>
      <w:r>
        <w:rPr>
          <w:color w:val="231F20"/>
          <w:spacing w:val="-18"/>
          <w:w w:val="110"/>
        </w:rPr>
        <w:t> </w:t>
      </w:r>
      <w:r>
        <w:rPr>
          <w:color w:val="231F20"/>
          <w:w w:val="110"/>
        </w:rPr>
        <w:t>Lung</w:t>
      </w:r>
      <w:r>
        <w:rPr>
          <w:color w:val="231F20"/>
          <w:spacing w:val="-18"/>
          <w:w w:val="110"/>
        </w:rPr>
        <w:t> </w:t>
      </w:r>
      <w:r>
        <w:rPr>
          <w:color w:val="231F20"/>
          <w:w w:val="110"/>
        </w:rPr>
        <w:t>Disease</w:t>
      </w:r>
      <w:r>
        <w:rPr>
          <w:color w:val="231F20"/>
          <w:spacing w:val="-9"/>
          <w:w w:val="110"/>
        </w:rPr>
        <w:t>, </w:t>
      </w:r>
      <w:r>
        <w:rPr>
          <w:color w:val="231F20"/>
          <w:w w:val="110"/>
        </w:rPr>
        <w:t>IUATLD</w:t>
      </w:r>
      <w:r>
        <w:rPr>
          <w:color w:val="231F20"/>
          <w:spacing w:val="8"/>
          <w:w w:val="110"/>
        </w:rPr>
        <w:t>)國家結核</w:t>
      </w:r>
      <w:r>
        <w:rPr>
          <w:color w:val="231F20"/>
          <w:spacing w:val="-1"/>
          <w:w w:val="105"/>
        </w:rPr>
        <w:t>防治典範計畫</w:t>
      </w:r>
      <w:r>
        <w:rPr>
          <w:color w:val="231F20"/>
          <w:w w:val="105"/>
        </w:rPr>
        <w:t>(Model</w:t>
      </w:r>
      <w:r>
        <w:rPr>
          <w:color w:val="231F20"/>
          <w:spacing w:val="35"/>
          <w:w w:val="105"/>
        </w:rPr>
        <w:t> </w:t>
      </w:r>
      <w:r>
        <w:rPr>
          <w:color w:val="231F20"/>
          <w:w w:val="105"/>
        </w:rPr>
        <w:t>National</w:t>
      </w:r>
      <w:r>
        <w:rPr>
          <w:color w:val="231F20"/>
          <w:spacing w:val="35"/>
          <w:w w:val="105"/>
        </w:rPr>
        <w:t> </w:t>
      </w:r>
      <w:r>
        <w:rPr>
          <w:color w:val="231F20"/>
          <w:spacing w:val="-3"/>
          <w:w w:val="105"/>
        </w:rPr>
        <w:t>Tuberculosis</w:t>
      </w:r>
      <w:r>
        <w:rPr>
          <w:color w:val="231F20"/>
          <w:spacing w:val="35"/>
          <w:w w:val="105"/>
        </w:rPr>
        <w:t> </w:t>
      </w:r>
      <w:r>
        <w:rPr>
          <w:color w:val="231F20"/>
          <w:w w:val="105"/>
        </w:rPr>
        <w:t>Programme</w:t>
      </w:r>
      <w:r>
        <w:rPr>
          <w:color w:val="231F20"/>
          <w:spacing w:val="-1"/>
          <w:w w:val="105"/>
        </w:rPr>
        <w:t>)之經驗累積。這個策略是</w:t>
      </w:r>
      <w:r>
        <w:rPr>
          <w:color w:val="231F20"/>
          <w:spacing w:val="-1"/>
        </w:rPr>
        <w:t>希望在健唐照護人員或關懷員的嚴密監督下，確保病人服下每劑藥物，如期治癒，並避</w:t>
      </w:r>
      <w:r>
        <w:rPr>
          <w:color w:val="231F20"/>
          <w:spacing w:val="1"/>
        </w:rPr>
        <w:t>免抗藥性細蔥的產生，保護抗結核藥物的效力。世界衛生組織</w:t>
      </w:r>
      <w:r>
        <w:rPr>
          <w:color w:val="231F20"/>
          <w:w w:val="300"/>
        </w:rPr>
        <w:t>(</w:t>
      </w:r>
      <w:r>
        <w:rPr>
          <w:color w:val="231F20"/>
          <w:w w:val="106"/>
        </w:rPr>
        <w:t>W</w:t>
      </w:r>
      <w:r>
        <w:rPr>
          <w:color w:val="231F20"/>
          <w:w w:val="105"/>
        </w:rPr>
        <w:t>H</w:t>
      </w:r>
      <w:r>
        <w:rPr>
          <w:color w:val="231F20"/>
          <w:w w:val="104"/>
        </w:rPr>
        <w:t>O</w:t>
      </w:r>
      <w:r>
        <w:rPr>
          <w:color w:val="231F20"/>
          <w:spacing w:val="2"/>
          <w:w w:val="128"/>
        </w:rPr>
        <w:t>)認為</w:t>
      </w:r>
      <w:r>
        <w:rPr>
          <w:color w:val="231F20"/>
          <w:spacing w:val="4"/>
        </w:rPr>
        <w:t>，都治可</w:t>
      </w:r>
      <w:r>
        <w:rPr>
          <w:color w:val="231F20"/>
          <w:spacing w:val="2"/>
        </w:rPr>
        <w:t>以使結核病的治癒率達到 </w:t>
      </w:r>
      <w:r>
        <w:rPr>
          <w:color w:val="231F20"/>
        </w:rPr>
        <w:t>95%，是近年來極力推薦的防治策略，1993</w:t>
      </w:r>
      <w:r>
        <w:rPr>
          <w:color w:val="231F20"/>
          <w:spacing w:val="1"/>
        </w:rPr>
        <w:t> 年起在各國大力推廣結核病都治策略，經由嚴密的直接觀察，關懷個案服下每—劑藥物，確保個案能夠</w:t>
      </w:r>
      <w:r>
        <w:rPr>
          <w:color w:val="231F20"/>
          <w:spacing w:val="1"/>
          <w:w w:val="110"/>
        </w:rPr>
        <w:t>治癒，以有效切斷傳染源，並且預防多重抗藥性細蔥產生。</w:t>
      </w:r>
    </w:p>
    <w:p>
      <w:pPr>
        <w:pStyle w:val="BodyText"/>
        <w:spacing w:line="230" w:lineRule="auto"/>
        <w:ind w:left="635" w:right="1127" w:firstLine="481"/>
        <w:jc w:val="both"/>
      </w:pPr>
      <w:r>
        <w:rPr>
          <w:color w:val="231F20"/>
          <w:spacing w:val="6"/>
        </w:rPr>
        <w:t>我國自 </w:t>
      </w:r>
      <w:r>
        <w:rPr>
          <w:color w:val="231F20"/>
        </w:rPr>
        <w:t>2006 年起全面推動都治政策，結核病發生率與死亡率逐年降低，復發人數</w:t>
      </w:r>
      <w:r>
        <w:rPr>
          <w:color w:val="231F20"/>
          <w:spacing w:val="4"/>
          <w:w w:val="105"/>
        </w:rPr>
        <w:t>減少，年齡層</w:t>
      </w:r>
      <w:r>
        <w:rPr>
          <w:color w:val="231F20"/>
          <w:w w:val="105"/>
        </w:rPr>
        <w:t>(0-44</w:t>
      </w:r>
      <w:r>
        <w:rPr>
          <w:color w:val="231F20"/>
          <w:spacing w:val="9"/>
          <w:w w:val="105"/>
        </w:rPr>
        <w:t> 歲)治療成功率業超越</w:t>
      </w:r>
      <w:r>
        <w:rPr>
          <w:color w:val="231F20"/>
          <w:w w:val="105"/>
        </w:rPr>
        <w:t>WHO</w:t>
      </w:r>
      <w:r>
        <w:rPr>
          <w:color w:val="231F20"/>
          <w:spacing w:val="-1"/>
          <w:w w:val="105"/>
        </w:rPr>
        <w:t> 標準，至 </w:t>
      </w:r>
      <w:r>
        <w:rPr>
          <w:color w:val="231F20"/>
          <w:w w:val="105"/>
        </w:rPr>
        <w:t>2020</w:t>
      </w:r>
      <w:r>
        <w:rPr>
          <w:color w:val="231F20"/>
          <w:spacing w:val="3"/>
          <w:w w:val="105"/>
        </w:rPr>
        <w:t> 年，都治執行率已</w:t>
      </w:r>
      <w:r>
        <w:rPr>
          <w:color w:val="231F20"/>
        </w:rPr>
        <w:t>達 98%，都治執行品質監測，陽性確診個案全程親自關懷率達 A 級者為 81</w:t>
      </w:r>
      <w:r>
        <w:rPr>
          <w:color w:val="231F20"/>
          <w:spacing w:val="1"/>
        </w:rPr>
        <w:t>%，都治計</w:t>
      </w:r>
      <w:r>
        <w:rPr>
          <w:color w:val="231F20"/>
        </w:rPr>
        <w:t>畫已為結核病疫情防治常規執行策略並發揮正向影響。然我國結核病發生率、死亡率與先進國家相較，仍有努力的空間，而人口老化、外籍人土通報個案比例增加、社會生活型態改變及新興傳染病威脅等亦對都治執行帶來挑戰，故如何適時因應改變、加強關懷員之專業知能並落實都治査核及品質提升，以保障個案的權益，仍是都治策略的重要課</w:t>
      </w:r>
      <w:r>
        <w:rPr>
          <w:color w:val="231F20"/>
          <w:w w:val="105"/>
        </w:rPr>
        <w:t>題。</w:t>
      </w:r>
    </w:p>
    <w:p>
      <w:pPr>
        <w:pStyle w:val="BodyText"/>
        <w:spacing w:before="11"/>
        <w:rPr>
          <w:sz w:val="16"/>
        </w:rPr>
      </w:pPr>
    </w:p>
    <w:p>
      <w:pPr>
        <w:pStyle w:val="Heading2"/>
        <w:spacing w:before="39"/>
      </w:pPr>
      <w:r>
        <w:rPr>
          <w:color w:val="231F20"/>
        </w:rPr>
        <w:t>貳、目的</w:t>
      </w:r>
    </w:p>
    <w:p>
      <w:pPr>
        <w:pStyle w:val="BodyText"/>
        <w:spacing w:line="413" w:lineRule="exact"/>
        <w:ind w:left="1116"/>
      </w:pPr>
      <w:r>
        <w:rPr>
          <w:color w:val="231F20"/>
        </w:rPr>
        <w:t>透過直接觀察治療關懷病人服藥，避免不規則服藥，提高治療成功率，確實達到治</w:t>
      </w:r>
    </w:p>
    <w:p>
      <w:pPr>
        <w:pStyle w:val="BodyText"/>
        <w:spacing w:line="400" w:lineRule="exact"/>
        <w:ind w:left="635"/>
      </w:pPr>
      <w:r>
        <w:rPr>
          <w:color w:val="231F20"/>
        </w:rPr>
        <w:t>癒及預防結核病。</w:t>
      </w:r>
    </w:p>
    <w:p>
      <w:pPr>
        <w:pStyle w:val="BodyText"/>
        <w:spacing w:before="16"/>
        <w:rPr>
          <w:sz w:val="19"/>
        </w:rPr>
      </w:pPr>
    </w:p>
    <w:p>
      <w:pPr>
        <w:pStyle w:val="Heading2"/>
      </w:pPr>
      <w:r>
        <w:rPr>
          <w:color w:val="231F20"/>
        </w:rPr>
        <w:t>參、執行對象</w:t>
      </w:r>
    </w:p>
    <w:p>
      <w:pPr>
        <w:pStyle w:val="BodyText"/>
        <w:spacing w:line="404" w:lineRule="exact"/>
        <w:ind w:left="391"/>
      </w:pPr>
      <w:r>
        <w:rPr>
          <w:color w:val="231F20"/>
        </w:rPr>
        <w:t>—、服用抗結核藥物之疑似或確診結核病個案</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r>
      <w:r>
        <w:rPr>
          <w:color w:val="231F20"/>
          <w:spacing w:val="-1"/>
        </w:rPr>
        <w:t>培養陰性個案可以僅提供 </w:t>
      </w:r>
      <w:r>
        <w:rPr>
          <w:color w:val="231F20"/>
        </w:rPr>
        <w:t>2</w:t>
      </w:r>
      <w:r>
        <w:rPr>
          <w:color w:val="231F20"/>
          <w:spacing w:val="-3"/>
        </w:rPr>
        <w:t> 個月的都治服務</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若資源有限，以下對象為優先執行對象：</w:t>
      </w:r>
    </w:p>
    <w:p>
      <w:pPr>
        <w:pStyle w:val="ListParagraph"/>
        <w:numPr>
          <w:ilvl w:val="0"/>
          <w:numId w:val="165"/>
        </w:numPr>
        <w:tabs>
          <w:tab w:pos="1350" w:val="left" w:leader="none"/>
        </w:tabs>
        <w:spacing w:line="230" w:lineRule="auto" w:before="3" w:after="0"/>
        <w:ind w:left="1349" w:right="1133" w:hanging="255"/>
        <w:jc w:val="left"/>
        <w:rPr>
          <w:sz w:val="24"/>
        </w:rPr>
      </w:pPr>
      <w:r>
        <w:rPr>
          <w:color w:val="231F20"/>
          <w:sz w:val="24"/>
        </w:rPr>
        <w:t>診斷為具傳染力者或需特殊保護者(例如有精神疾患、嬰幼兒、老人、孕婦、缺乏社會支持者等)</w:t>
      </w:r>
    </w:p>
    <w:p>
      <w:pPr>
        <w:pStyle w:val="ListParagraph"/>
        <w:numPr>
          <w:ilvl w:val="0"/>
          <w:numId w:val="165"/>
        </w:numPr>
        <w:tabs>
          <w:tab w:pos="1349" w:val="left" w:leader="none"/>
        </w:tabs>
        <w:spacing w:line="395" w:lineRule="exact" w:before="0" w:after="0"/>
        <w:ind w:left="1348" w:right="0" w:hanging="255"/>
        <w:jc w:val="left"/>
        <w:rPr>
          <w:sz w:val="24"/>
        </w:rPr>
      </w:pPr>
      <w:r>
        <w:rPr>
          <w:color w:val="231F20"/>
          <w:sz w:val="24"/>
        </w:rPr>
        <w:t>失落、復發、治療失敗者</w:t>
      </w:r>
    </w:p>
    <w:p>
      <w:pPr>
        <w:pStyle w:val="ListParagraph"/>
        <w:numPr>
          <w:ilvl w:val="0"/>
          <w:numId w:val="165"/>
        </w:numPr>
        <w:tabs>
          <w:tab w:pos="1349" w:val="left" w:leader="none"/>
        </w:tabs>
        <w:spacing w:line="400" w:lineRule="exact" w:before="0" w:after="0"/>
        <w:ind w:left="1348" w:right="0" w:hanging="255"/>
        <w:jc w:val="left"/>
        <w:rPr>
          <w:sz w:val="24"/>
        </w:rPr>
      </w:pPr>
      <w:r>
        <w:rPr>
          <w:color w:val="231F20"/>
          <w:sz w:val="24"/>
        </w:rPr>
        <w:t>具結核藥物抗藥性者</w:t>
      </w:r>
    </w:p>
    <w:p>
      <w:pPr>
        <w:pStyle w:val="ListParagraph"/>
        <w:numPr>
          <w:ilvl w:val="0"/>
          <w:numId w:val="165"/>
        </w:numPr>
        <w:tabs>
          <w:tab w:pos="1351" w:val="left" w:leader="none"/>
        </w:tabs>
        <w:spacing w:line="230" w:lineRule="auto" w:before="2" w:after="0"/>
        <w:ind w:left="1349" w:right="1135" w:hanging="255"/>
        <w:jc w:val="left"/>
        <w:rPr>
          <w:sz w:val="24"/>
        </w:rPr>
      </w:pPr>
      <w:r>
        <w:rPr>
          <w:color w:val="231F20"/>
          <w:spacing w:val="-1"/>
          <w:sz w:val="24"/>
        </w:rPr>
        <w:t>其他經衛生機關評估有潛在無法按規服藥或發生副作用風險或合併其他慢性病使</w:t>
      </w:r>
      <w:r>
        <w:rPr>
          <w:color w:val="231F20"/>
          <w:sz w:val="24"/>
        </w:rPr>
        <w:t>用多種藥物，而有都治必要者</w:t>
      </w:r>
    </w:p>
    <w:p>
      <w:pPr>
        <w:pStyle w:val="BodyText"/>
        <w:spacing w:line="230" w:lineRule="auto"/>
        <w:ind w:left="391" w:right="7404"/>
      </w:pPr>
      <w:r>
        <w:rPr>
          <w:color w:val="231F20"/>
        </w:rPr>
        <w:t>二、接受潛伏結核感染治療者三、接受漢生病治療個案</w:t>
      </w:r>
    </w:p>
    <w:p>
      <w:pPr>
        <w:spacing w:after="0" w:line="230" w:lineRule="auto"/>
        <w:sectPr>
          <w:pgSz w:w="11910" w:h="16840"/>
          <w:pgMar w:top="1060" w:bottom="0" w:left="980" w:right="0"/>
        </w:sectPr>
      </w:pPr>
    </w:p>
    <w:p>
      <w:pPr>
        <w:pStyle w:val="Heading2"/>
        <w:spacing w:before="27"/>
      </w:pPr>
      <w:r>
        <w:rPr/>
        <w:pict>
          <v:group style="position:absolute;margin-left:.0pt;margin-top:232.158005pt;width:37.35pt;height:609.550pt;mso-position-horizontal-relative:page;mso-position-vertical-relative:page;z-index:251804672" coordorigin="0,4643" coordsize="747,12191">
            <v:shape style="position:absolute;left:178;top:5154;width:439;height:11680" type="#_x0000_t75" stroked="false">
              <v:imagedata r:id="rId88" o:title=""/>
            </v:shape>
            <v:shape style="position:absolute;left:0;top:4643;width:747;height:812" coordorigin="0,4643" coordsize="747,812" path="m365,4643l0,4643,0,5454,365,5454,387,5452,447,5418,713,5136,747,5049,738,5002,447,4679,387,4645,365,4643xe" filled="true" fillcolor="#49b7cf" stroked="false">
              <v:path arrowok="t"/>
              <v:fill type="solid"/>
            </v:shape>
            <v:shape style="position:absolute;left:202;top:4910;width:390;height:278" type="#_x0000_t75" stroked="false">
              <v:imagedata r:id="rId89" o:title=""/>
            </v:shape>
            <v:shape style="position:absolute;left:273;top:5592;width:252;height:1253" coordorigin="273,5593" coordsize="252,1253" path="m327,5747l303,5747,303,5838,327,5838,327,5822,406,5822,406,5800,327,5800,327,5781,406,5781,406,5760,327,5760,327,5747xm406,5822l382,5822,382,5838,406,5838,406,5822xm406,5781l382,5781,382,5800,406,5800,406,5781xm406,5741l382,5741,382,5760,406,5760,406,5741xm372,5694l339,5694,324,5706,308,5716,291,5726,273,5735,286,5755,293,5752,299,5749,303,5747,327,5747,327,5741,406,5741,406,5718,346,5718,353,5713,362,5705,372,5694xm422,5672l277,5672,277,5694,422,5694,422,5672xm355,5642l330,5642,330,5672,355,5672,355,5642xm386,5620l289,5620,289,5642,385,5642,377,5654,369,5664,362,5672,391,5672,399,5661,407,5649,413,5641,386,5641,386,5620xm404,5612l398,5622,392,5632,386,5641,413,5641,416,5636,424,5622,404,5612xm355,5593l330,5593,330,5620,355,5620,355,5593xm518,5600l432,5600,432,5838,456,5838,456,5624,518,5624,518,5600xm462,5781l468,5805,475,5805,480,5806,495,5806,504,5803,518,5792,521,5782,478,5782,469,5781,462,5781xm518,5624l492,5624,487,5644,481,5662,475,5680,469,5696,481,5714,490,5731,495,5748,497,5764,497,5771,496,5776,492,5781,490,5782,521,5782,521,5764,519,5748,515,5730,507,5712,495,5694,499,5682,505,5667,511,5647,518,5624xm291,5995l275,6016,290,6025,303,6034,316,6044,327,6054,343,6033,331,6023,319,6013,305,6004,291,5995xm519,6032l491,6032,494,6036,497,6043,501,6052,524,6042,519,6032xm414,5925l400,5955,384,5981,366,6002,346,6018,351,6040,388,6039,423,6037,458,6035,491,6032,519,6032,514,6022,510,6015,385,6015,399,5999,413,5981,426,5959,439,5934,414,5925xm475,5960l451,5971,457,5978,463,5987,470,5997,477,6008,454,6011,431,6012,408,6014,385,6015,510,6015,503,6002,490,5981,475,5960xm299,5927l282,5946,296,5956,309,5967,320,5978,330,5988,348,5970,337,5959,325,5948,312,5937,299,5927xm505,6058l358,6058,358,6174,383,6174,383,6161,505,6161,505,6137,383,6137,383,6082,505,6082,505,6058xm505,6161l479,6161,479,6174,505,6174,505,6161xm505,6082l479,6082,479,6137,505,6137,505,6082xm323,6067l314,6091,303,6114,291,6135,279,6155,298,6175,311,6153,323,6131,335,6107,345,6082,323,6067xm411,6443l386,6443,386,6509,411,6509,411,6443xm411,6403l386,6403,386,6412,362,6435,335,6454,306,6470,274,6483,287,6505,316,6492,342,6477,365,6461,386,6443,411,6443,411,6442,447,6442,435,6434,411,6412,411,6403xm447,6442l411,6442,433,6461,456,6477,482,6492,510,6504,524,6482,491,6469,461,6453,447,6442xm498,6381l300,6381,300,6445,325,6445,325,6403,498,6403,498,6381xm498,6403l473,6403,473,6421,471,6423,469,6423,449,6423,456,6444,461,6445,465,6445,481,6445,489,6443,496,6434,498,6429,498,6403xm411,6368l386,6368,386,6381,411,6381,411,6368xm521,6346l277,6346,277,6368,521,6368,521,6346xm411,6332l386,6332,386,6346,411,6346,411,6332xm472,6308l449,6315,454,6321,459,6330,463,6339,487,6333,483,6323,478,6315,478,6314,472,6308xm356,6308l333,6314,339,6322,343,6330,347,6339,370,6333,368,6324,363,6316,356,6308xm318,6262l308,6281,298,6296,286,6310,273,6321,273,6321,294,6336,302,6329,309,6321,316,6312,323,6303,395,6303,395,6282,336,6282,340,6275,342,6271,343,6269,318,6262xm429,6263l421,6279,412,6293,403,6305,393,6314,414,6328,421,6321,428,6312,434,6303,520,6303,520,6282,447,6282,449,6277,451,6273,453,6268,429,6263xm434,6663l405,6663,410,6671,417,6681,427,6691,414,6698,401,6705,387,6710,373,6716,385,6737,403,6730,419,6723,434,6715,447,6707,498,6707,495,6706,481,6699,467,6692,480,6680,483,6676,448,6676,439,6670,434,6663xm498,6707l447,6707,460,6715,475,6723,492,6730,512,6737,524,6716,509,6711,498,6707xm507,6644l479,6644,473,6652,465,6661,457,6669,448,6676,483,6676,491,6667,500,6655,507,6644xm427,6599l418,6615,406,6629,391,6644,373,6657,388,6676,394,6672,400,6668,405,6663,434,6663,431,6660,423,6646,425,6644,507,6644,507,6621,442,6621,444,6617,447,6612,450,6606,427,6599xm369,6613l282,6613,282,6831,303,6831,303,6810,369,6810,369,6788,303,6788,303,6721,369,6721,369,6698,303,6698,303,6636,369,6636,369,6613xm369,6810l348,6810,348,6824,369,6824,369,6810xm335,6721l316,6721,316,6788,335,6788,335,6721xm369,6721l348,6721,348,6788,369,6788,369,6721xm335,6636l316,6636,316,6698,335,6698,335,6636xm369,6636l348,6636,348,6698,369,6698,369,6636xm506,6742l390,6742,390,6846,415,6846,415,6836,506,6836,506,6812,415,6812,415,6765,506,6765,506,6742xm506,6836l481,6836,481,6845,506,6845,506,6836xm506,6765l481,6765,481,6812,506,6812,506,6765xe" filled="true" fillcolor="#58595b" stroked="false">
              <v:path arrowok="t"/>
              <v:fill type="solid"/>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84</w:t>
                    </w:r>
                  </w:p>
                </w:txbxContent>
              </v:textbox>
              <w10:wrap type="none"/>
            </v:shape>
            <w10:wrap type="none"/>
          </v:group>
        </w:pict>
      </w:r>
      <w:r>
        <w:rPr>
          <w:color w:val="231F20"/>
        </w:rPr>
        <w:t>肆、運作架構及分工</w:t>
      </w:r>
    </w:p>
    <w:p>
      <w:pPr>
        <w:pStyle w:val="BodyText"/>
        <w:spacing w:line="404" w:lineRule="exact"/>
        <w:ind w:left="391"/>
      </w:pPr>
      <w:r>
        <w:rPr>
          <w:color w:val="231F20"/>
        </w:rPr>
        <w:t>—、運作架構</w:t>
      </w:r>
    </w:p>
    <w:p>
      <w:pPr>
        <w:pStyle w:val="BodyText"/>
        <w:spacing w:line="230" w:lineRule="auto" w:before="3"/>
        <w:ind w:left="878" w:right="1133"/>
        <w:jc w:val="both"/>
      </w:pPr>
      <w:r>
        <w:rPr>
          <w:color w:val="231F20"/>
        </w:rPr>
        <w:t>各縣市都治工作依行政區成立都治站，都治站可連結病人就診醫療院所，成員包括負責人、結核病諮詢委員、臨床診治醫師、醫院個案管理專員、衛生局督導人員、衛生所督導人員(公衛管理人員、結核病業務主辦人員)、都治關懷員(後簡稱關懷員)       及社會工作人員等。</w:t>
      </w:r>
    </w:p>
    <w:p>
      <w:pPr>
        <w:pStyle w:val="BodyText"/>
        <w:spacing w:line="392" w:lineRule="exact"/>
        <w:ind w:left="629"/>
        <w:jc w:val="both"/>
      </w:pPr>
      <w:r>
        <w:rPr>
          <w:color w:val="231F20"/>
          <w:w w:val="65"/>
        </w:rPr>
        <w:t>（ </w:t>
      </w:r>
      <w:r>
        <w:rPr>
          <w:color w:val="231F20"/>
        </w:rPr>
        <w:t>— ) 縣市層級之都治團隊</w:t>
      </w:r>
    </w:p>
    <w:p>
      <w:pPr>
        <w:pStyle w:val="ListParagraph"/>
        <w:numPr>
          <w:ilvl w:val="0"/>
          <w:numId w:val="166"/>
        </w:numPr>
        <w:tabs>
          <w:tab w:pos="1349" w:val="left" w:leader="none"/>
        </w:tabs>
        <w:spacing w:line="400" w:lineRule="exact" w:before="0" w:after="0"/>
        <w:ind w:left="1348" w:right="0" w:hanging="255"/>
        <w:jc w:val="left"/>
        <w:rPr>
          <w:sz w:val="24"/>
        </w:rPr>
      </w:pPr>
      <w:r>
        <w:rPr>
          <w:color w:val="231F20"/>
          <w:sz w:val="24"/>
        </w:rPr>
        <w:t>衛生局成立，主管擔任負責人。</w:t>
      </w:r>
    </w:p>
    <w:p>
      <w:pPr>
        <w:pStyle w:val="ListParagraph"/>
        <w:numPr>
          <w:ilvl w:val="0"/>
          <w:numId w:val="166"/>
        </w:numPr>
        <w:tabs>
          <w:tab w:pos="1349" w:val="left" w:leader="none"/>
        </w:tabs>
        <w:spacing w:line="400" w:lineRule="exact" w:before="0" w:after="0"/>
        <w:ind w:left="1348" w:right="0" w:hanging="255"/>
        <w:jc w:val="left"/>
        <w:rPr>
          <w:sz w:val="24"/>
        </w:rPr>
      </w:pPr>
      <w:r>
        <w:rPr>
          <w:color w:val="231F20"/>
          <w:sz w:val="24"/>
        </w:rPr>
        <w:t>協調整合轄內之防治資源及社福資源。</w:t>
      </w:r>
    </w:p>
    <w:p>
      <w:pPr>
        <w:pStyle w:val="ListParagraph"/>
        <w:numPr>
          <w:ilvl w:val="0"/>
          <w:numId w:val="166"/>
        </w:numPr>
        <w:tabs>
          <w:tab w:pos="1349" w:val="left" w:leader="none"/>
        </w:tabs>
        <w:spacing w:line="400" w:lineRule="exact" w:before="0" w:after="0"/>
        <w:ind w:left="1348" w:right="0" w:hanging="255"/>
        <w:jc w:val="left"/>
        <w:rPr>
          <w:sz w:val="24"/>
        </w:rPr>
      </w:pPr>
      <w:r>
        <w:rPr>
          <w:color w:val="231F20"/>
          <w:sz w:val="24"/>
        </w:rPr>
        <w:t>協助解決問題。</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鄉鎮區層級都治站</w:t>
      </w:r>
    </w:p>
    <w:p>
      <w:pPr>
        <w:pStyle w:val="ListParagraph"/>
        <w:numPr>
          <w:ilvl w:val="0"/>
          <w:numId w:val="167"/>
        </w:numPr>
        <w:tabs>
          <w:tab w:pos="1349" w:val="left" w:leader="none"/>
        </w:tabs>
        <w:spacing w:line="400" w:lineRule="exact" w:before="0" w:after="0"/>
        <w:ind w:left="1348" w:right="0" w:hanging="255"/>
        <w:jc w:val="left"/>
        <w:rPr>
          <w:sz w:val="24"/>
        </w:rPr>
      </w:pPr>
      <w:r>
        <w:rPr>
          <w:color w:val="231F20"/>
          <w:sz w:val="24"/>
        </w:rPr>
        <w:t>以衛生所為優先。</w:t>
      </w:r>
    </w:p>
    <w:p>
      <w:pPr>
        <w:pStyle w:val="ListParagraph"/>
        <w:numPr>
          <w:ilvl w:val="0"/>
          <w:numId w:val="167"/>
        </w:numPr>
        <w:tabs>
          <w:tab w:pos="1349" w:val="left" w:leader="none"/>
        </w:tabs>
        <w:spacing w:line="230" w:lineRule="auto" w:before="2" w:after="0"/>
        <w:ind w:left="391" w:right="8133" w:firstLine="702"/>
        <w:jc w:val="left"/>
        <w:rPr>
          <w:sz w:val="24"/>
        </w:rPr>
      </w:pPr>
      <w:r>
        <w:rPr>
          <w:color w:val="231F20"/>
          <w:spacing w:val="-3"/>
          <w:sz w:val="24"/>
        </w:rPr>
        <w:t>醫療院所等。</w:t>
      </w:r>
      <w:r>
        <w:rPr>
          <w:color w:val="231F20"/>
          <w:spacing w:val="1"/>
          <w:sz w:val="24"/>
        </w:rPr>
        <w:t>二、分工</w:t>
      </w:r>
    </w:p>
    <w:p>
      <w:pPr>
        <w:pStyle w:val="BodyText"/>
        <w:tabs>
          <w:tab w:pos="1349" w:val="left" w:leader="none"/>
        </w:tabs>
        <w:spacing w:line="395" w:lineRule="exact"/>
        <w:ind w:left="629"/>
      </w:pPr>
      <w:r>
        <w:rPr>
          <w:color w:val="231F20"/>
          <w:w w:val="65"/>
        </w:rPr>
        <w:t>（</w:t>
      </w:r>
      <w:r>
        <w:rPr>
          <w:color w:val="231F20"/>
          <w:spacing w:val="1"/>
          <w:w w:val="65"/>
        </w:rPr>
        <w:t> </w:t>
      </w:r>
      <w:r>
        <w:rPr>
          <w:color w:val="231F20"/>
          <w:spacing w:val="-8"/>
        </w:rPr>
        <w:t>— )</w:t>
      </w:r>
      <w:r>
        <w:rPr>
          <w:color w:val="231F20"/>
        </w:rPr>
        <w:tab/>
        <w:t>衛生局</w:t>
      </w:r>
    </w:p>
    <w:p>
      <w:pPr>
        <w:pStyle w:val="ListParagraph"/>
        <w:numPr>
          <w:ilvl w:val="0"/>
          <w:numId w:val="168"/>
        </w:numPr>
        <w:tabs>
          <w:tab w:pos="1349" w:val="left" w:leader="none"/>
        </w:tabs>
        <w:spacing w:line="400" w:lineRule="exact" w:before="0" w:after="0"/>
        <w:ind w:left="1348" w:right="0" w:hanging="255"/>
        <w:jc w:val="left"/>
        <w:rPr>
          <w:sz w:val="24"/>
        </w:rPr>
      </w:pPr>
      <w:r>
        <w:rPr>
          <w:color w:val="231F20"/>
          <w:sz w:val="24"/>
        </w:rPr>
        <w:t>關懷員聘僱、管理、督導、教育訓練。</w:t>
      </w:r>
    </w:p>
    <w:p>
      <w:pPr>
        <w:pStyle w:val="ListParagraph"/>
        <w:numPr>
          <w:ilvl w:val="0"/>
          <w:numId w:val="168"/>
        </w:numPr>
        <w:tabs>
          <w:tab w:pos="1349" w:val="left" w:leader="none"/>
        </w:tabs>
        <w:spacing w:line="400" w:lineRule="exact" w:before="0" w:after="0"/>
        <w:ind w:left="1348" w:right="0" w:hanging="255"/>
        <w:jc w:val="left"/>
        <w:rPr>
          <w:sz w:val="24"/>
        </w:rPr>
      </w:pPr>
      <w:r>
        <w:rPr>
          <w:color w:val="231F20"/>
          <w:sz w:val="24"/>
        </w:rPr>
        <w:t>個案管理査核。</w:t>
      </w:r>
    </w:p>
    <w:p>
      <w:pPr>
        <w:pStyle w:val="ListParagraph"/>
        <w:numPr>
          <w:ilvl w:val="0"/>
          <w:numId w:val="168"/>
        </w:numPr>
        <w:tabs>
          <w:tab w:pos="1349" w:val="left" w:leader="none"/>
        </w:tabs>
        <w:spacing w:line="400" w:lineRule="exact" w:before="0" w:after="0"/>
        <w:ind w:left="1348" w:right="0" w:hanging="255"/>
        <w:jc w:val="left"/>
        <w:rPr>
          <w:sz w:val="24"/>
        </w:rPr>
      </w:pPr>
      <w:r>
        <w:rPr>
          <w:color w:val="231F20"/>
          <w:sz w:val="24"/>
        </w:rPr>
        <w:t>督導衛生所執行都治工作。</w:t>
      </w:r>
    </w:p>
    <w:p>
      <w:pPr>
        <w:pStyle w:val="ListParagraph"/>
        <w:numPr>
          <w:ilvl w:val="0"/>
          <w:numId w:val="168"/>
        </w:numPr>
        <w:tabs>
          <w:tab w:pos="1351" w:val="left" w:leader="none"/>
        </w:tabs>
        <w:spacing w:line="230" w:lineRule="auto" w:before="3" w:after="0"/>
        <w:ind w:left="1349" w:right="1136" w:hanging="255"/>
        <w:jc w:val="left"/>
        <w:rPr>
          <w:sz w:val="24"/>
        </w:rPr>
      </w:pPr>
      <w:r>
        <w:rPr>
          <w:color w:val="231F20"/>
          <w:spacing w:val="-1"/>
          <w:sz w:val="24"/>
        </w:rPr>
        <w:t>針對衛生所與診治醫師協調處方未達共識之情形，召開結核病診療諮詢會議或個</w:t>
      </w:r>
      <w:r>
        <w:rPr>
          <w:color w:val="231F20"/>
          <w:sz w:val="24"/>
        </w:rPr>
        <w:t>案口冊會議。</w:t>
      </w:r>
    </w:p>
    <w:p>
      <w:pPr>
        <w:pStyle w:val="ListParagraph"/>
        <w:numPr>
          <w:ilvl w:val="0"/>
          <w:numId w:val="168"/>
        </w:numPr>
        <w:tabs>
          <w:tab w:pos="1349" w:val="left" w:leader="none"/>
        </w:tabs>
        <w:spacing w:line="395" w:lineRule="exact" w:before="0" w:after="0"/>
        <w:ind w:left="1348" w:right="0" w:hanging="255"/>
        <w:jc w:val="left"/>
        <w:rPr>
          <w:sz w:val="24"/>
        </w:rPr>
      </w:pPr>
      <w:r>
        <w:rPr>
          <w:color w:val="231F20"/>
          <w:sz w:val="24"/>
        </w:rPr>
        <w:t>協助公共衛生管理單位與醫療單位之協調。</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衛生所</w:t>
      </w:r>
    </w:p>
    <w:p>
      <w:pPr>
        <w:pStyle w:val="ListParagraph"/>
        <w:numPr>
          <w:ilvl w:val="0"/>
          <w:numId w:val="169"/>
        </w:numPr>
        <w:tabs>
          <w:tab w:pos="1349" w:val="left" w:leader="none"/>
        </w:tabs>
        <w:spacing w:line="400" w:lineRule="exact" w:before="0" w:after="0"/>
        <w:ind w:left="1348" w:right="0" w:hanging="255"/>
        <w:jc w:val="left"/>
        <w:rPr>
          <w:sz w:val="24"/>
        </w:rPr>
      </w:pPr>
      <w:r>
        <w:rPr>
          <w:color w:val="231F20"/>
          <w:sz w:val="24"/>
        </w:rPr>
        <w:t>向個案說明都治執行方式及注意事項，鼓勵加入都治。</w:t>
      </w:r>
    </w:p>
    <w:p>
      <w:pPr>
        <w:pStyle w:val="ListParagraph"/>
        <w:numPr>
          <w:ilvl w:val="0"/>
          <w:numId w:val="169"/>
        </w:numPr>
        <w:tabs>
          <w:tab w:pos="1350" w:val="left" w:leader="none"/>
        </w:tabs>
        <w:spacing w:line="230" w:lineRule="auto" w:before="3" w:after="0"/>
        <w:ind w:left="1349" w:right="1075" w:hanging="255"/>
        <w:jc w:val="left"/>
        <w:rPr>
          <w:sz w:val="24"/>
        </w:rPr>
      </w:pPr>
      <w:r>
        <w:rPr>
          <w:color w:val="231F20"/>
          <w:sz w:val="24"/>
        </w:rPr>
        <w:t>核對個案服藥處方之正確性，並保管回收藥物，由藥師或公衛管理人員(無藥師 </w:t>
      </w:r>
      <w:r>
        <w:rPr>
          <w:color w:val="231F20"/>
          <w:spacing w:val="-14"/>
          <w:sz w:val="24"/>
        </w:rPr>
        <w:t>時)分裝；處方若有疑義時，應向醫師確認協調，若未達共識，提請衛生局協助。</w:t>
      </w:r>
    </w:p>
    <w:p>
      <w:pPr>
        <w:pStyle w:val="ListParagraph"/>
        <w:numPr>
          <w:ilvl w:val="0"/>
          <w:numId w:val="169"/>
        </w:numPr>
        <w:tabs>
          <w:tab w:pos="1349" w:val="left" w:leader="none"/>
        </w:tabs>
        <w:spacing w:line="395" w:lineRule="exact" w:before="0" w:after="0"/>
        <w:ind w:left="1348" w:right="0" w:hanging="255"/>
        <w:jc w:val="left"/>
        <w:rPr>
          <w:sz w:val="24"/>
        </w:rPr>
      </w:pPr>
      <w:r>
        <w:rPr>
          <w:color w:val="231F20"/>
          <w:sz w:val="24"/>
        </w:rPr>
        <w:t>指派、協助、督導關懷員執行都治送藥工作。</w:t>
      </w:r>
    </w:p>
    <w:p>
      <w:pPr>
        <w:pStyle w:val="ListParagraph"/>
        <w:numPr>
          <w:ilvl w:val="0"/>
          <w:numId w:val="169"/>
        </w:numPr>
        <w:tabs>
          <w:tab w:pos="1349" w:val="left" w:leader="none"/>
        </w:tabs>
        <w:spacing w:line="400" w:lineRule="exact" w:before="0" w:after="0"/>
        <w:ind w:left="1348" w:right="0" w:hanging="255"/>
        <w:jc w:val="left"/>
        <w:rPr>
          <w:sz w:val="24"/>
        </w:rPr>
      </w:pPr>
      <w:r>
        <w:rPr>
          <w:color w:val="231F20"/>
          <w:sz w:val="24"/>
        </w:rPr>
        <w:t>輔導、査核關懷員都治日誌之登打維護。</w:t>
      </w:r>
    </w:p>
    <w:p>
      <w:pPr>
        <w:pStyle w:val="ListParagraph"/>
        <w:numPr>
          <w:ilvl w:val="0"/>
          <w:numId w:val="169"/>
        </w:numPr>
        <w:tabs>
          <w:tab w:pos="1349" w:val="left" w:leader="none"/>
        </w:tabs>
        <w:spacing w:line="400" w:lineRule="exact" w:before="0" w:after="0"/>
        <w:ind w:left="1348" w:right="0" w:hanging="255"/>
        <w:jc w:val="left"/>
        <w:rPr>
          <w:sz w:val="24"/>
        </w:rPr>
      </w:pPr>
      <w:r>
        <w:rPr>
          <w:color w:val="231F20"/>
          <w:sz w:val="24"/>
        </w:rPr>
        <w:t>定期召開個案口冊會。</w:t>
      </w:r>
    </w:p>
    <w:p>
      <w:pPr>
        <w:pStyle w:val="ListParagraph"/>
        <w:numPr>
          <w:ilvl w:val="0"/>
          <w:numId w:val="169"/>
        </w:numPr>
        <w:tabs>
          <w:tab w:pos="1349" w:val="left" w:leader="none"/>
        </w:tabs>
        <w:spacing w:line="409" w:lineRule="exact" w:before="0" w:after="0"/>
        <w:ind w:left="1348" w:right="0" w:hanging="255"/>
        <w:jc w:val="left"/>
        <w:rPr>
          <w:sz w:val="24"/>
        </w:rPr>
      </w:pPr>
      <w:r>
        <w:rPr>
          <w:color w:val="231F20"/>
          <w:sz w:val="24"/>
        </w:rPr>
        <w:t>協調個案所需抗結核針劑施打或社會福利等相關資源安排。</w:t>
      </w:r>
    </w:p>
    <w:p>
      <w:pPr>
        <w:pStyle w:val="Heading2"/>
        <w:spacing w:before="177"/>
      </w:pPr>
      <w:r>
        <w:rPr>
          <w:color w:val="231F20"/>
        </w:rPr>
        <w:t>伍、執行種類及方式</w:t>
      </w:r>
    </w:p>
    <w:p>
      <w:pPr>
        <w:pStyle w:val="BodyText"/>
        <w:spacing w:line="404" w:lineRule="exact"/>
        <w:ind w:left="391"/>
      </w:pPr>
      <w:r>
        <w:rPr>
          <w:color w:val="231F20"/>
        </w:rPr>
        <w:t>—、住院都治</w:t>
      </w:r>
    </w:p>
    <w:p>
      <w:pPr>
        <w:pStyle w:val="BodyText"/>
        <w:spacing w:line="230" w:lineRule="auto" w:before="2"/>
        <w:ind w:left="878" w:right="1133" w:hanging="1"/>
      </w:pPr>
      <w:r>
        <w:rPr>
          <w:color w:val="231F20"/>
        </w:rPr>
        <w:t>住院期間由醫療院所醫護人員提供病人住院期間之都治工作，不提供包括「營養券」等額外資源。於個案出院前，衛生所可與醫院個案管理人員進行個案轉銜。</w:t>
      </w:r>
    </w:p>
    <w:p>
      <w:pPr>
        <w:pStyle w:val="BodyText"/>
        <w:spacing w:line="395" w:lineRule="exact"/>
        <w:ind w:left="391"/>
      </w:pPr>
      <w:r>
        <w:rPr>
          <w:color w:val="231F20"/>
        </w:rPr>
        <w:t>二、社區都治</w:t>
      </w:r>
    </w:p>
    <w:p>
      <w:pPr>
        <w:pStyle w:val="BodyText"/>
        <w:spacing w:line="230" w:lineRule="auto" w:before="3"/>
        <w:ind w:left="878" w:right="1133" w:hanging="1"/>
      </w:pPr>
      <w:r>
        <w:rPr>
          <w:color w:val="231F20"/>
        </w:rPr>
        <w:t>參加都治者於居家治療期間，由關懷員送藥到點或個案到點，由關懷員親眼目睹個案服藥。</w:t>
      </w:r>
    </w:p>
    <w:p>
      <w:pPr>
        <w:spacing w:after="0" w:line="230" w:lineRule="auto"/>
        <w:sectPr>
          <w:pgSz w:w="11910" w:h="16840"/>
          <w:pgMar w:top="1060" w:bottom="0" w:left="980" w:right="0"/>
        </w:sectPr>
      </w:pPr>
    </w:p>
    <w:p>
      <w:pPr>
        <w:pStyle w:val="BodyText"/>
        <w:spacing w:line="409" w:lineRule="exact" w:before="59"/>
        <w:ind w:left="391"/>
      </w:pPr>
      <w:r>
        <w:rPr>
          <w:color w:val="231F20"/>
        </w:rPr>
        <w:t>三、人口密集機構都治</w:t>
      </w:r>
    </w:p>
    <w:p>
      <w:pPr>
        <w:pStyle w:val="BodyText"/>
        <w:spacing w:line="230" w:lineRule="auto" w:before="2"/>
        <w:ind w:left="878" w:right="1134" w:hanging="1"/>
      </w:pPr>
      <w:r>
        <w:rPr>
          <w:color w:val="231F20"/>
        </w:rPr>
        <w:t>機構工作人員接受關懷員訓練後執行都治(如為領有合格護理人員、護理師證書者， 得於接受都治介紹課程後協助執行)，不提供包括「營養券」等額外資源。</w:t>
      </w:r>
    </w:p>
    <w:p>
      <w:pPr>
        <w:pStyle w:val="BodyText"/>
        <w:spacing w:line="395" w:lineRule="exact"/>
        <w:ind w:left="391"/>
      </w:pPr>
      <w:r>
        <w:rPr>
          <w:color w:val="231F20"/>
        </w:rPr>
        <w:t>匹、雲端都治</w:t>
      </w:r>
    </w:p>
    <w:p>
      <w:pPr>
        <w:pStyle w:val="BodyText"/>
        <w:spacing w:line="230" w:lineRule="auto" w:before="3"/>
        <w:ind w:left="878" w:right="1123" w:hanging="1"/>
        <w:jc w:val="both"/>
      </w:pPr>
      <w:r>
        <w:rPr>
          <w:color w:val="231F20"/>
          <w:spacing w:val="5"/>
          <w:w w:val="105"/>
        </w:rPr>
        <w:t>符合疾管署雲端都治政策規劃之服藥對象(附件 </w:t>
      </w:r>
      <w:r>
        <w:rPr>
          <w:color w:val="231F20"/>
          <w:w w:val="105"/>
        </w:rPr>
        <w:t>8-1</w:t>
      </w:r>
      <w:r>
        <w:rPr>
          <w:color w:val="231F20"/>
          <w:spacing w:val="5"/>
          <w:w w:val="105"/>
        </w:rPr>
        <w:t>)，由關懷員以行動裝置搭配</w:t>
      </w:r>
      <w:r>
        <w:rPr>
          <w:color w:val="231F20"/>
        </w:rPr>
        <w:t>APP</w:t>
      </w:r>
      <w:r>
        <w:rPr>
          <w:color w:val="231F20"/>
          <w:spacing w:val="-10"/>
        </w:rPr>
        <w:t> 軟體，視訊目睹服藥，關懷員及衛生局</w:t>
      </w:r>
      <w:r>
        <w:rPr>
          <w:color w:val="231F20"/>
          <w:spacing w:val="-1"/>
          <w:w w:val="80"/>
        </w:rPr>
        <w:t>／ </w:t>
      </w:r>
      <w:r>
        <w:rPr>
          <w:color w:val="231F20"/>
          <w:spacing w:val="-4"/>
        </w:rPr>
        <w:t>所仍應每月—次實際到點關懷及訪視(應</w:t>
      </w:r>
      <w:r>
        <w:rPr>
          <w:color w:val="231F20"/>
          <w:spacing w:val="-5"/>
          <w:w w:val="105"/>
        </w:rPr>
        <w:t>分別執行)。執行流程與注意事項，請參考附件 </w:t>
      </w:r>
      <w:r>
        <w:rPr>
          <w:color w:val="231F20"/>
          <w:w w:val="105"/>
        </w:rPr>
        <w:t>8-2。</w:t>
      </w:r>
    </w:p>
    <w:p>
      <w:pPr>
        <w:pStyle w:val="BodyText"/>
        <w:spacing w:before="2"/>
        <w:rPr>
          <w:sz w:val="20"/>
        </w:rPr>
      </w:pPr>
    </w:p>
    <w:p>
      <w:pPr>
        <w:pStyle w:val="Heading2"/>
      </w:pPr>
      <w:r>
        <w:rPr/>
        <w:pict>
          <v:group style="position:absolute;margin-left:557.686523pt;margin-top:18.000713pt;width:37.35pt;height:609.550pt;mso-position-horizontal-relative:page;mso-position-vertical-relative:paragraph;z-index:251806720" coordorigin="11154,360" coordsize="747,12191">
            <v:shape style="position:absolute;left:11283;top:871;width:439;height:11680" type="#_x0000_t75" stroked="false">
              <v:imagedata r:id="rId86" o:title=""/>
            </v:shape>
            <v:shape style="position:absolute;left:11153;top:360;width:747;height:812" coordorigin="11154,360" coordsize="747,812" path="m11900,360l11536,360,11514,362,11454,396,11188,678,11154,766,11162,812,11454,1135,11514,1169,11536,1171,11900,1171,11900,360xe" filled="true" fillcolor="#49b7cf" stroked="false">
              <v:path arrowok="t"/>
              <v:fill type="solid"/>
            </v:shape>
            <v:shape style="position:absolute;left:11307;top:627;width:390;height:278" type="#_x0000_t75" stroked="false">
              <v:imagedata r:id="rId90" o:title=""/>
            </v:shape>
            <v:shape style="position:absolute;left:11378;top:1309;width:252;height:1253" coordorigin="11378,1310" coordsize="252,1253" path="m11432,1463l11408,1463,11408,1554,11432,1554,11432,1539,11511,1539,11511,1517,11432,1517,11432,1498,11511,1498,11511,1477,11432,1477,11432,1463xm11511,1539l11487,1539,11487,1554,11511,1554,11511,1539xm11511,1498l11487,1498,11487,1517,11511,1517,11511,1498xm11511,1458l11487,1458,11487,1477,11511,1477,11511,1458xm11477,1411l11444,1411,11429,1423,11413,1433,11396,1443,11378,1451,11391,1472,11398,1469,11404,1466,11408,1463,11432,1463,11432,1458,11511,1458,11511,1435,11451,1435,11458,1429,11467,1421,11477,1411xm11527,1389l11382,1389,11382,1411,11527,1411,11527,1389xm11460,1359l11435,1359,11435,1389,11460,1389,11460,1359xm11491,1337l11394,1337,11394,1359,11490,1359,11482,1371,11474,1381,11467,1389,11496,1389,11504,1378,11512,1366,11518,1357,11491,1357,11491,1337xm11509,1329l11503,1339,11497,1349,11491,1357,11518,1357,11521,1353,11529,1339,11509,1329xm11460,1310l11435,1310,11435,1337,11460,1337,11460,1310xm11623,1317l11537,1317,11537,1554,11561,1554,11561,1341,11623,1341,11623,1317xm11567,1498l11573,1522,11580,1522,11585,1523,11600,1523,11609,1520,11623,1509,11626,1498,11583,1498,11574,1498,11567,1498xm11623,1341l11597,1341,11592,1361,11586,1379,11580,1397,11574,1413,11586,1431,11595,1448,11600,1465,11602,1481,11602,1488,11601,1493,11597,1497,11595,1498,11626,1498,11626,1481,11624,1465,11619,1447,11612,1429,11600,1411,11604,1399,11609,1384,11616,1364,11623,1341xm11396,1712l11380,1733,11395,1742,11408,1751,11421,1761,11432,1771,11448,1750,11436,1740,11424,1730,11410,1721,11396,1712xm11624,1749l11596,1749,11599,1753,11602,1760,11606,1769,11629,1758,11624,1749xm11519,1642l11505,1672,11489,1698,11471,1718,11451,1734,11456,1757,11493,1756,11528,1754,11563,1752,11596,1749,11624,1749,11619,1739,11615,1732,11490,1732,11504,1716,11518,1698,11531,1676,11544,1650,11519,1642xm11580,1677l11556,1688,11562,1695,11568,1704,11575,1714,11582,1725,11559,1727,11536,1729,11513,1731,11490,1732,11615,1732,11608,1719,11595,1698,11580,1677xm11404,1644l11387,1663,11401,1673,11414,1684,11425,1694,11435,1705,11453,1687,11442,1676,11430,1665,11417,1654,11404,1644xm11610,1774l11463,1774,11463,1891,11488,1891,11488,1878,11610,1878,11610,1854,11488,1854,11488,1799,11610,1799,11610,1774xm11610,1878l11584,1878,11584,1891,11610,1891,11610,1878xm11610,1799l11584,1799,11584,1854,11610,1854,11610,1799xm11428,1784l11419,1808,11408,1830,11396,1852,11384,1872,11403,1892,11416,1870,11428,1847,11440,1823,11450,1799,11428,1784xm11516,2160l11491,2160,11491,2226,11516,2226,11516,2160xm11516,2120l11491,2120,11491,2129,11467,2152,11440,2171,11411,2187,11379,2200,11392,2222,11421,2209,11447,2194,11470,2178,11491,2160,11516,2160,11516,2159,11552,2159,11540,2150,11516,2128,11516,2120xm11552,2159l11516,2159,11538,2178,11561,2194,11587,2209,11615,2221,11629,2199,11596,2186,11566,2170,11552,2159xm11603,2098l11405,2098,11405,2162,11430,2162,11430,2120,11603,2120,11603,2098xm11603,2120l11578,2120,11578,2138,11576,2140,11573,2140,11554,2140,11561,2161,11566,2162,11570,2162,11586,2162,11594,2160,11601,2151,11603,2146,11603,2120xm11516,2085l11491,2085,11491,2098,11516,2098,11516,2085xm11626,2062l11382,2062,11382,2085,11626,2085,11626,2062xm11516,2048l11491,2048,11491,2062,11516,2062,11516,2048xm11577,2025l11554,2032,11559,2038,11564,2046,11568,2056,11592,2050,11588,2040,11583,2032,11583,2031,11577,2025xm11461,2024l11438,2031,11444,2039,11448,2047,11452,2056,11475,2050,11473,2041,11468,2033,11461,2024xm11423,1979l11413,1997,11403,2013,11391,2027,11378,2038,11378,2038,11399,2053,11407,2046,11414,2038,11421,2029,11428,2020,11500,2020,11500,1999,11441,1999,11445,1992,11447,1988,11448,1986,11423,1979xm11534,1980l11526,1996,11517,2010,11508,2022,11498,2031,11519,2044,11526,2037,11533,2029,11539,2020,11625,2020,11625,1999,11552,1999,11554,1994,11556,1990,11557,1985,11534,1980xm11539,2380l11510,2380,11515,2388,11522,2397,11532,2408,11519,2415,11506,2422,11492,2427,11478,2432,11490,2454,11508,2447,11524,2440,11539,2432,11552,2424,11603,2424,11600,2423,11586,2416,11572,2409,11585,2396,11588,2393,11553,2393,11544,2387,11539,2380xm11603,2424l11552,2424,11565,2432,11580,2440,11597,2447,11617,2454,11629,2432,11614,2428,11603,2424xm11612,2360l11584,2360,11578,2369,11570,2377,11562,2385,11553,2393,11588,2393,11596,2384,11605,2372,11612,2360xm11532,2316l11523,2331,11511,2346,11496,2361,11478,2374,11493,2393,11499,2389,11505,2385,11510,2380,11539,2380,11536,2376,11528,2363,11530,2360,11612,2360,11612,2338,11547,2338,11549,2334,11552,2329,11555,2323,11532,2316xm11474,2330l11387,2330,11387,2547,11408,2547,11408,2527,11474,2527,11474,2504,11408,2504,11408,2438,11474,2438,11474,2415,11408,2415,11408,2353,11474,2353,11474,2330xm11474,2527l11453,2527,11453,2541,11474,2541,11474,2527xm11440,2438l11421,2438,11421,2504,11440,2504,11440,2438xm11474,2438l11453,2438,11453,2504,11474,2504,11474,2438xm11440,2353l11421,2353,11421,2415,11440,2415,11440,2353xm11474,2353l11453,2353,11453,2415,11474,2415,11474,2353xm11611,2459l11495,2459,11495,2563,11520,2563,11520,2553,11611,2553,11611,2529,11520,2529,11520,2482,11611,2482,11611,2459xm11611,2553l11586,2553,11586,2562,11611,2562,11611,2553xm11611,2482l11586,2482,11586,2529,11611,2529,11611,2482xe" filled="true" fillcolor="#58595b" stroked="false">
              <v:path arrowok="t"/>
              <v:fill type="solid"/>
            </v:shape>
            <v:shape style="position:absolute;left:11412;top:11988;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85</w:t>
                    </w:r>
                  </w:p>
                </w:txbxContent>
              </v:textbox>
              <w10:wrap type="none"/>
            </v:shape>
            <w10:wrap type="none"/>
          </v:group>
        </w:pict>
      </w:r>
      <w:r>
        <w:rPr>
          <w:color w:val="231F20"/>
          <w:w w:val="115"/>
        </w:rPr>
        <w:t>陞、都治執行t呈（附件 8-3)</w:t>
      </w:r>
    </w:p>
    <w:p>
      <w:pPr>
        <w:pStyle w:val="BodyText"/>
        <w:spacing w:line="404" w:lineRule="exact"/>
        <w:ind w:left="391"/>
      </w:pPr>
      <w:r>
        <w:rPr>
          <w:color w:val="231F20"/>
        </w:rPr>
        <w:t>—、執行前</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公衛管理人員</w:t>
      </w:r>
    </w:p>
    <w:p>
      <w:pPr>
        <w:pStyle w:val="ListParagraph"/>
        <w:numPr>
          <w:ilvl w:val="0"/>
          <w:numId w:val="170"/>
        </w:numPr>
        <w:tabs>
          <w:tab w:pos="1351" w:val="left" w:leader="none"/>
        </w:tabs>
        <w:spacing w:line="230" w:lineRule="auto" w:before="2" w:after="0"/>
        <w:ind w:left="1349" w:right="1138" w:hanging="255"/>
        <w:jc w:val="left"/>
        <w:rPr>
          <w:sz w:val="24"/>
        </w:rPr>
      </w:pPr>
      <w:r>
        <w:rPr>
          <w:color w:val="231F20"/>
          <w:spacing w:val="-1"/>
          <w:sz w:val="24"/>
        </w:rPr>
        <w:t>結核病人通報收案後，應確認醫師是否已開立抗結核藥物治療，並核對處方正確</w:t>
      </w:r>
      <w:r>
        <w:rPr>
          <w:color w:val="231F20"/>
          <w:sz w:val="24"/>
        </w:rPr>
        <w:t>性，若異常，即刻與診療醫師或醫院個管師聯繫確認；必要時反應給衛生局。</w:t>
      </w:r>
    </w:p>
    <w:p>
      <w:pPr>
        <w:pStyle w:val="ListParagraph"/>
        <w:numPr>
          <w:ilvl w:val="0"/>
          <w:numId w:val="170"/>
        </w:numPr>
        <w:tabs>
          <w:tab w:pos="1351" w:val="left" w:leader="none"/>
        </w:tabs>
        <w:spacing w:line="395" w:lineRule="exact" w:before="0" w:after="0"/>
        <w:ind w:left="1350" w:right="0" w:hanging="257"/>
        <w:jc w:val="left"/>
        <w:rPr>
          <w:sz w:val="24"/>
        </w:rPr>
      </w:pPr>
      <w:r>
        <w:rPr>
          <w:color w:val="231F20"/>
          <w:sz w:val="24"/>
        </w:rPr>
        <w:t>確認個案加入都治之意願並指派適合之關懷員，公衛管理人員須與關懷員進行第</w:t>
      </w:r>
    </w:p>
    <w:p>
      <w:pPr>
        <w:pStyle w:val="BodyText"/>
        <w:spacing w:line="230" w:lineRule="auto" w:before="3"/>
        <w:ind w:left="1349" w:right="1134"/>
        <w:jc w:val="both"/>
      </w:pPr>
      <w:r>
        <w:rPr>
          <w:color w:val="231F20"/>
        </w:rPr>
        <w:t>—次家訪，簽署都治同意書(範例參考附件 8-4 DOTS、DOPT)後回收藥物， 於第—次送藥前須與個案約定送藥時間地點，以配合個案之時間地點為優先，俾提高服藥順從性及完治率。</w:t>
      </w:r>
    </w:p>
    <w:p>
      <w:pPr>
        <w:pStyle w:val="ListParagraph"/>
        <w:numPr>
          <w:ilvl w:val="0"/>
          <w:numId w:val="170"/>
        </w:numPr>
        <w:tabs>
          <w:tab w:pos="1351" w:val="left" w:leader="none"/>
        </w:tabs>
        <w:spacing w:line="230" w:lineRule="auto" w:before="0" w:after="0"/>
        <w:ind w:left="1349" w:right="1134" w:hanging="255"/>
        <w:jc w:val="both"/>
        <w:rPr>
          <w:sz w:val="24"/>
        </w:rPr>
      </w:pPr>
      <w:r>
        <w:rPr>
          <w:color w:val="231F20"/>
          <w:spacing w:val="-1"/>
          <w:sz w:val="24"/>
        </w:rPr>
        <w:t>登錄結核病追蹤管理系統完成關懷員指派，關懷員方可登錄服藥紀錄 </w:t>
      </w:r>
      <w:r>
        <w:rPr>
          <w:color w:val="231F20"/>
          <w:spacing w:val="-9"/>
          <w:w w:val="80"/>
          <w:sz w:val="24"/>
        </w:rPr>
        <w:t>／ </w:t>
      </w:r>
      <w:r>
        <w:rPr>
          <w:color w:val="231F20"/>
          <w:sz w:val="24"/>
        </w:rPr>
        <w:t>都治日誌</w:t>
      </w:r>
      <w:r>
        <w:rPr>
          <w:color w:val="231F20"/>
          <w:spacing w:val="-5"/>
          <w:w w:val="120"/>
          <w:sz w:val="24"/>
        </w:rPr>
        <w:t>(附件 </w:t>
      </w:r>
      <w:r>
        <w:rPr>
          <w:color w:val="231F20"/>
          <w:w w:val="120"/>
          <w:sz w:val="24"/>
        </w:rPr>
        <w:t>8-5)。</w:t>
      </w:r>
    </w:p>
    <w:p>
      <w:pPr>
        <w:pStyle w:val="BodyText"/>
        <w:spacing w:line="395" w:lineRule="exact"/>
        <w:ind w:left="629"/>
        <w:jc w:val="both"/>
      </w:pPr>
      <w:r>
        <w:rPr>
          <w:color w:val="231F20"/>
          <w:w w:val="65"/>
        </w:rPr>
        <w:t>（ </w:t>
      </w:r>
      <w:r>
        <w:rPr>
          <w:color w:val="231F20"/>
        </w:rPr>
        <w:t>二 ) 關 懷 員</w:t>
      </w:r>
    </w:p>
    <w:p>
      <w:pPr>
        <w:pStyle w:val="ListParagraph"/>
        <w:numPr>
          <w:ilvl w:val="0"/>
          <w:numId w:val="171"/>
        </w:numPr>
        <w:tabs>
          <w:tab w:pos="1349" w:val="left" w:leader="none"/>
        </w:tabs>
        <w:spacing w:line="400" w:lineRule="exact" w:before="0" w:after="0"/>
        <w:ind w:left="1348" w:right="0" w:hanging="255"/>
        <w:jc w:val="both"/>
        <w:rPr>
          <w:sz w:val="24"/>
        </w:rPr>
      </w:pPr>
      <w:r>
        <w:rPr>
          <w:color w:val="231F20"/>
          <w:sz w:val="24"/>
        </w:rPr>
        <w:t>了解個案基本資料及服藥種類、劑量等。</w:t>
      </w:r>
    </w:p>
    <w:p>
      <w:pPr>
        <w:pStyle w:val="ListParagraph"/>
        <w:numPr>
          <w:ilvl w:val="0"/>
          <w:numId w:val="171"/>
        </w:numPr>
        <w:tabs>
          <w:tab w:pos="1350" w:val="left" w:leader="none"/>
        </w:tabs>
        <w:spacing w:line="230" w:lineRule="auto" w:before="0" w:after="0"/>
        <w:ind w:left="1349" w:right="1133" w:hanging="255"/>
        <w:jc w:val="both"/>
        <w:rPr>
          <w:sz w:val="24"/>
        </w:rPr>
      </w:pPr>
      <w:r>
        <w:rPr>
          <w:color w:val="231F20"/>
          <w:spacing w:val="1"/>
          <w:w w:val="105"/>
          <w:sz w:val="24"/>
        </w:rPr>
        <w:t>填寫關懷路線單 </w:t>
      </w:r>
      <w:r>
        <w:rPr>
          <w:color w:val="231F20"/>
          <w:w w:val="105"/>
          <w:sz w:val="24"/>
        </w:rPr>
        <w:t>2</w:t>
      </w:r>
      <w:r>
        <w:rPr>
          <w:color w:val="231F20"/>
          <w:spacing w:val="-1"/>
          <w:w w:val="105"/>
          <w:sz w:val="24"/>
        </w:rPr>
        <w:t> 份(個案姓名、預估時間、地點地址等)，</w:t>
      </w:r>
      <w:r>
        <w:rPr>
          <w:color w:val="231F20"/>
          <w:w w:val="105"/>
          <w:sz w:val="24"/>
        </w:rPr>
        <w:t>1</w:t>
      </w:r>
      <w:r>
        <w:rPr>
          <w:color w:val="231F20"/>
          <w:spacing w:val="-1"/>
          <w:w w:val="105"/>
          <w:sz w:val="24"/>
        </w:rPr>
        <w:t> 份留都治站，</w:t>
      </w:r>
      <w:r>
        <w:rPr>
          <w:color w:val="231F20"/>
          <w:w w:val="105"/>
          <w:sz w:val="24"/>
        </w:rPr>
        <w:t>1 份關懷員隨身攜帶。</w:t>
      </w:r>
    </w:p>
    <w:p>
      <w:pPr>
        <w:pStyle w:val="BodyText"/>
        <w:spacing w:line="395" w:lineRule="exact"/>
        <w:ind w:left="391"/>
      </w:pPr>
      <w:r>
        <w:rPr>
          <w:color w:val="231F20"/>
        </w:rPr>
        <w:t>二、執行中</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公衛管理人員</w:t>
      </w:r>
    </w:p>
    <w:p>
      <w:pPr>
        <w:pStyle w:val="ListParagraph"/>
        <w:numPr>
          <w:ilvl w:val="0"/>
          <w:numId w:val="172"/>
        </w:numPr>
        <w:tabs>
          <w:tab w:pos="1350" w:val="left" w:leader="none"/>
        </w:tabs>
        <w:spacing w:line="230" w:lineRule="auto" w:before="1" w:after="0"/>
        <w:ind w:left="1349" w:right="1132" w:hanging="255"/>
        <w:jc w:val="left"/>
        <w:rPr>
          <w:sz w:val="24"/>
        </w:rPr>
      </w:pPr>
      <w:r>
        <w:rPr>
          <w:color w:val="231F20"/>
          <w:sz w:val="24"/>
        </w:rPr>
        <w:t>保管病人抗結核藥物；針對不同意加入都治者，瞭解其原因並設法排除困難，倘仍拒絕都治，依個案狀況增加訪視頻次。</w:t>
      </w:r>
    </w:p>
    <w:p>
      <w:pPr>
        <w:pStyle w:val="ListParagraph"/>
        <w:numPr>
          <w:ilvl w:val="0"/>
          <w:numId w:val="172"/>
        </w:numPr>
        <w:tabs>
          <w:tab w:pos="1350" w:val="left" w:leader="none"/>
        </w:tabs>
        <w:spacing w:line="230" w:lineRule="auto" w:before="0" w:after="0"/>
        <w:ind w:left="1349" w:right="1132" w:hanging="255"/>
        <w:jc w:val="left"/>
        <w:rPr>
          <w:sz w:val="24"/>
        </w:rPr>
      </w:pPr>
      <w:r>
        <w:rPr>
          <w:color w:val="231F20"/>
          <w:sz w:val="24"/>
        </w:rPr>
        <w:t>藥物應正確標示個案姓名、處方、管理人(公衛管理人員)及領藥紀錄，存於都  </w:t>
      </w:r>
      <w:r>
        <w:rPr>
          <w:color w:val="231F20"/>
          <w:w w:val="105"/>
          <w:sz w:val="24"/>
        </w:rPr>
        <w:t>治站專用藥品保存防潮櫃。</w:t>
      </w:r>
    </w:p>
    <w:p>
      <w:pPr>
        <w:pStyle w:val="ListParagraph"/>
        <w:numPr>
          <w:ilvl w:val="0"/>
          <w:numId w:val="172"/>
        </w:numPr>
        <w:tabs>
          <w:tab w:pos="1350" w:val="left" w:leader="none"/>
        </w:tabs>
        <w:spacing w:line="230" w:lineRule="auto" w:before="0" w:after="0"/>
        <w:ind w:left="1349" w:right="1138" w:hanging="255"/>
        <w:jc w:val="left"/>
        <w:rPr>
          <w:sz w:val="24"/>
        </w:rPr>
      </w:pPr>
      <w:r>
        <w:rPr>
          <w:color w:val="231F20"/>
          <w:sz w:val="24"/>
        </w:rPr>
        <w:t>給藥前必須三讀五對。三讀：取藥時、給藥時、歸藥時必須核對；五對：藥名、病人名、給藥時間、給藥途徑、劑量。</w:t>
      </w:r>
    </w:p>
    <w:p>
      <w:pPr>
        <w:pStyle w:val="BodyText"/>
        <w:tabs>
          <w:tab w:pos="1349" w:val="left" w:leader="none"/>
        </w:tabs>
        <w:spacing w:line="395"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關懷員</w:t>
      </w:r>
    </w:p>
    <w:p>
      <w:pPr>
        <w:pStyle w:val="ListParagraph"/>
        <w:numPr>
          <w:ilvl w:val="0"/>
          <w:numId w:val="173"/>
        </w:numPr>
        <w:tabs>
          <w:tab w:pos="1349" w:val="left" w:leader="none"/>
        </w:tabs>
        <w:spacing w:line="400" w:lineRule="exact" w:before="0" w:after="0"/>
        <w:ind w:left="1348" w:right="0" w:hanging="255"/>
        <w:jc w:val="left"/>
        <w:rPr>
          <w:sz w:val="24"/>
        </w:rPr>
      </w:pPr>
      <w:r>
        <w:rPr>
          <w:color w:val="231F20"/>
          <w:w w:val="105"/>
          <w:sz w:val="24"/>
        </w:rPr>
        <w:t>回收每次就診後的藥物(關懷員或公衛管理人員)。</w:t>
      </w:r>
    </w:p>
    <w:p>
      <w:pPr>
        <w:pStyle w:val="ListParagraph"/>
        <w:numPr>
          <w:ilvl w:val="0"/>
          <w:numId w:val="173"/>
        </w:numPr>
        <w:tabs>
          <w:tab w:pos="1349" w:val="left" w:leader="none"/>
        </w:tabs>
        <w:spacing w:line="400" w:lineRule="exact" w:before="0" w:after="0"/>
        <w:ind w:left="1348" w:right="0" w:hanging="255"/>
        <w:jc w:val="left"/>
        <w:rPr>
          <w:sz w:val="24"/>
        </w:rPr>
      </w:pPr>
      <w:r>
        <w:rPr>
          <w:color w:val="231F20"/>
          <w:sz w:val="24"/>
        </w:rPr>
        <w:t>至都治站領藥並且填寫領藥紀錄。</w:t>
      </w:r>
    </w:p>
    <w:p>
      <w:pPr>
        <w:pStyle w:val="ListParagraph"/>
        <w:numPr>
          <w:ilvl w:val="0"/>
          <w:numId w:val="173"/>
        </w:numPr>
        <w:tabs>
          <w:tab w:pos="1349" w:val="left" w:leader="none"/>
        </w:tabs>
        <w:spacing w:line="400" w:lineRule="exact" w:before="0" w:after="0"/>
        <w:ind w:left="1348" w:right="0" w:hanging="255"/>
        <w:jc w:val="left"/>
        <w:rPr>
          <w:sz w:val="24"/>
        </w:rPr>
      </w:pPr>
      <w:r>
        <w:rPr>
          <w:color w:val="231F20"/>
          <w:sz w:val="24"/>
        </w:rPr>
        <w:t>再次核對藥物正確性。</w:t>
      </w:r>
    </w:p>
    <w:p>
      <w:pPr>
        <w:pStyle w:val="ListParagraph"/>
        <w:numPr>
          <w:ilvl w:val="0"/>
          <w:numId w:val="173"/>
        </w:numPr>
        <w:tabs>
          <w:tab w:pos="1349" w:val="left" w:leader="none"/>
        </w:tabs>
        <w:spacing w:line="409" w:lineRule="exact" w:before="0" w:after="0"/>
        <w:ind w:left="1348" w:right="0" w:hanging="255"/>
        <w:jc w:val="left"/>
        <w:rPr>
          <w:sz w:val="24"/>
        </w:rPr>
      </w:pPr>
      <w:r>
        <w:rPr>
          <w:color w:val="231F20"/>
          <w:sz w:val="24"/>
        </w:rPr>
        <w:t>依關懷時間、路線送藥。</w:t>
      </w:r>
    </w:p>
    <w:p>
      <w:pPr>
        <w:spacing w:after="0" w:line="409" w:lineRule="exact"/>
        <w:jc w:val="left"/>
        <w:rPr>
          <w:sz w:val="24"/>
        </w:rPr>
        <w:sectPr>
          <w:pgSz w:w="11910" w:h="16840"/>
          <w:pgMar w:top="1060" w:bottom="0" w:left="980" w:right="0"/>
        </w:sectPr>
      </w:pPr>
    </w:p>
    <w:p>
      <w:pPr>
        <w:pStyle w:val="ListParagraph"/>
        <w:numPr>
          <w:ilvl w:val="0"/>
          <w:numId w:val="173"/>
        </w:numPr>
        <w:tabs>
          <w:tab w:pos="1349" w:val="left" w:leader="none"/>
        </w:tabs>
        <w:spacing w:line="409" w:lineRule="exact" w:before="59" w:after="0"/>
        <w:ind w:left="1348" w:right="0" w:hanging="255"/>
        <w:jc w:val="left"/>
        <w:rPr>
          <w:sz w:val="24"/>
        </w:rPr>
      </w:pPr>
      <w:r>
        <w:rPr/>
        <w:pict>
          <v:group style="position:absolute;margin-left:.0pt;margin-top:232.158005pt;width:37.35pt;height:609.550pt;mso-position-horizontal-relative:page;mso-position-vertical-relative:page;z-index:251808768" coordorigin="0,4643" coordsize="747,12191">
            <v:shape style="position:absolute;left:178;top:5154;width:439;height:11680" type="#_x0000_t75" stroked="false">
              <v:imagedata r:id="rId88" o:title=""/>
            </v:shape>
            <v:shape style="position:absolute;left:0;top:4643;width:747;height:812" coordorigin="0,4643" coordsize="747,812" path="m365,4643l0,4643,0,5454,365,5454,387,5452,447,5418,713,5136,747,5049,738,5002,447,4679,387,4645,365,4643xe" filled="true" fillcolor="#49b7cf" stroked="false">
              <v:path arrowok="t"/>
              <v:fill type="solid"/>
            </v:shape>
            <v:shape style="position:absolute;left:202;top:4910;width:390;height:278" type="#_x0000_t75" stroked="false">
              <v:imagedata r:id="rId91" o:title=""/>
            </v:shape>
            <v:shape style="position:absolute;left:273;top:5592;width:252;height:1253" coordorigin="273,5593" coordsize="252,1253" path="m327,5747l303,5747,303,5838,327,5838,327,5822,406,5822,406,5800,327,5800,327,5781,406,5781,406,5760,327,5760,327,5747xm406,5822l382,5822,382,5838,406,5838,406,5822xm406,5781l382,5781,382,5800,406,5800,406,5781xm406,5741l382,5741,382,5760,406,5760,406,5741xm372,5694l339,5694,324,5706,308,5716,291,5726,273,5735,286,5755,293,5752,299,5749,303,5747,327,5747,327,5741,406,5741,406,5718,346,5718,353,5713,362,5705,372,5694xm422,5672l277,5672,277,5694,422,5694,422,5672xm355,5642l330,5642,330,5672,355,5672,355,5642xm386,5620l289,5620,289,5642,385,5642,377,5654,369,5664,362,5672,391,5672,399,5661,407,5649,413,5641,386,5641,386,5620xm404,5612l398,5622,392,5632,386,5641,413,5641,416,5636,424,5622,404,5612xm355,5593l330,5593,330,5620,355,5620,355,5593xm518,5600l432,5600,432,5838,456,5838,456,5624,518,5624,518,5600xm462,5781l468,5805,475,5805,480,5806,495,5806,504,5803,518,5792,521,5782,478,5782,469,5781,462,5781xm518,5624l492,5624,487,5644,481,5662,475,5680,469,5696,481,5714,490,5731,495,5748,497,5764,497,5771,496,5776,492,5781,490,5782,521,5782,521,5764,519,5748,515,5730,507,5712,495,5694,499,5682,505,5667,511,5647,518,5624xm291,5995l275,6016,290,6025,303,6034,316,6044,327,6054,343,6033,331,6023,319,6013,305,6004,291,5995xm519,6032l491,6032,494,6036,497,6043,501,6052,524,6042,519,6032xm414,5925l400,5955,384,5981,366,6002,346,6018,351,6040,388,6039,423,6037,458,6035,491,6032,519,6032,514,6022,510,6015,385,6015,399,5999,413,5981,426,5959,439,5934,414,5925xm475,5960l451,5971,457,5978,463,5987,470,5997,477,6008,454,6011,431,6012,408,6014,385,6015,510,6015,503,6002,490,5981,475,5960xm299,5927l282,5946,296,5956,309,5967,320,5978,330,5988,348,5970,337,5959,325,5948,312,5937,299,5927xm505,6058l358,6058,358,6174,383,6174,383,6161,505,6161,505,6137,383,6137,383,6082,505,6082,505,6058xm505,6161l479,6161,479,6174,505,6174,505,6161xm505,6082l479,6082,479,6137,505,6137,505,6082xm323,6067l314,6091,303,6114,291,6135,279,6155,298,6175,311,6153,323,6131,335,6107,345,6082,323,6067xm411,6443l386,6443,386,6509,411,6509,411,6443xm411,6403l386,6403,386,6412,362,6435,335,6454,306,6470,274,6483,287,6505,316,6492,342,6477,365,6461,386,6443,411,6443,411,6442,447,6442,435,6434,411,6412,411,6403xm447,6442l411,6442,433,6461,456,6477,482,6492,510,6504,524,6482,491,6469,461,6453,447,6442xm498,6381l300,6381,300,6445,325,6445,325,6403,498,6403,498,6381xm498,6403l473,6403,473,6421,471,6423,469,6423,449,6423,456,6444,461,6445,465,6445,481,6445,489,6443,496,6434,498,6429,498,6403xm411,6368l386,6368,386,6381,411,6381,411,6368xm521,6346l277,6346,277,6368,521,6368,521,6346xm411,6332l386,6332,386,6346,411,6346,411,6332xm472,6308l449,6315,454,6321,459,6330,463,6339,487,6333,483,6323,478,6315,478,6314,472,6308xm356,6308l333,6314,339,6322,343,6330,347,6339,370,6333,368,6324,363,6316,356,6308xm318,6262l308,6281,298,6296,286,6310,273,6321,273,6321,294,6336,302,6329,309,6321,316,6312,323,6303,395,6303,395,6282,336,6282,340,6275,342,6271,343,6269,318,6262xm429,6263l421,6279,412,6293,403,6305,393,6314,414,6328,421,6321,428,6312,434,6303,520,6303,520,6282,447,6282,449,6277,451,6273,453,6268,429,6263xm434,6663l405,6663,410,6671,417,6681,427,6691,414,6698,401,6705,387,6710,373,6716,385,6737,403,6730,419,6723,434,6715,447,6707,498,6707,495,6706,481,6699,467,6692,480,6680,483,6676,448,6676,439,6670,434,6663xm498,6707l447,6707,460,6715,475,6723,492,6730,512,6737,524,6716,509,6711,498,6707xm507,6644l479,6644,473,6652,465,6661,457,6669,448,6676,483,6676,491,6667,500,6655,507,6644xm427,6599l418,6615,406,6629,391,6644,373,6657,388,6676,394,6672,400,6668,405,6663,434,6663,431,6660,423,6646,425,6644,507,6644,507,6621,442,6621,444,6617,447,6612,450,6606,427,6599xm369,6613l282,6613,282,6831,303,6831,303,6810,369,6810,369,6788,303,6788,303,6721,369,6721,369,6698,303,6698,303,6636,369,6636,369,6613xm369,6810l348,6810,348,6824,369,6824,369,6810xm335,6721l316,6721,316,6788,335,6788,335,6721xm369,6721l348,6721,348,6788,369,6788,369,6721xm335,6636l316,6636,316,6698,335,6698,335,6636xm369,6636l348,6636,348,6698,369,6698,369,6636xm506,6742l390,6742,390,6846,415,6846,415,6836,506,6836,506,6812,415,6812,415,6765,506,6765,506,6742xm506,6836l481,6836,481,6845,506,6845,506,6836xm506,6765l481,6765,481,6812,506,6812,506,6765xe" filled="true" fillcolor="#58595b" stroked="false">
              <v:path arrowok="t"/>
              <v:fill type="solid"/>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86</w:t>
                    </w:r>
                  </w:p>
                </w:txbxContent>
              </v:textbox>
              <w10:wrap type="none"/>
            </v:shape>
            <w10:wrap type="none"/>
          </v:group>
        </w:pict>
      </w:r>
      <w:r>
        <w:rPr>
          <w:color w:val="231F20"/>
          <w:sz w:val="24"/>
        </w:rPr>
        <w:t>目視病人服藥。</w:t>
      </w:r>
    </w:p>
    <w:p>
      <w:pPr>
        <w:pStyle w:val="ListParagraph"/>
        <w:numPr>
          <w:ilvl w:val="0"/>
          <w:numId w:val="173"/>
        </w:numPr>
        <w:tabs>
          <w:tab w:pos="1349" w:val="left" w:leader="none"/>
        </w:tabs>
        <w:spacing w:line="400" w:lineRule="exact" w:before="0" w:after="0"/>
        <w:ind w:left="1348" w:right="0" w:hanging="255"/>
        <w:jc w:val="left"/>
        <w:rPr>
          <w:sz w:val="24"/>
        </w:rPr>
      </w:pPr>
      <w:r>
        <w:rPr>
          <w:color w:val="231F20"/>
          <w:spacing w:val="-1"/>
          <w:sz w:val="24"/>
        </w:rPr>
        <w:t>關懷副作用及需求；若有服用 </w:t>
      </w:r>
      <w:r>
        <w:rPr>
          <w:color w:val="231F20"/>
          <w:sz w:val="24"/>
        </w:rPr>
        <w:t>EMB，每週至少—次檢測辨色力。</w:t>
      </w:r>
    </w:p>
    <w:p>
      <w:pPr>
        <w:pStyle w:val="ListParagraph"/>
        <w:numPr>
          <w:ilvl w:val="0"/>
          <w:numId w:val="173"/>
        </w:numPr>
        <w:tabs>
          <w:tab w:pos="1349" w:val="left" w:leader="none"/>
        </w:tabs>
        <w:spacing w:line="400" w:lineRule="exact" w:before="0" w:after="0"/>
        <w:ind w:left="1348" w:right="0" w:hanging="255"/>
        <w:jc w:val="left"/>
        <w:rPr>
          <w:sz w:val="24"/>
        </w:rPr>
      </w:pPr>
      <w:r>
        <w:rPr>
          <w:color w:val="231F20"/>
          <w:sz w:val="24"/>
        </w:rPr>
        <w:t>發放營養券，憑證簽名。</w:t>
      </w:r>
    </w:p>
    <w:p>
      <w:pPr>
        <w:pStyle w:val="ListParagraph"/>
        <w:numPr>
          <w:ilvl w:val="0"/>
          <w:numId w:val="173"/>
        </w:numPr>
        <w:tabs>
          <w:tab w:pos="1349" w:val="left" w:leader="none"/>
        </w:tabs>
        <w:spacing w:line="400" w:lineRule="exact" w:before="0" w:after="0"/>
        <w:ind w:left="1348" w:right="0" w:hanging="255"/>
        <w:jc w:val="left"/>
        <w:rPr>
          <w:sz w:val="24"/>
        </w:rPr>
      </w:pPr>
      <w:r>
        <w:rPr>
          <w:color w:val="231F20"/>
          <w:spacing w:val="-1"/>
          <w:sz w:val="24"/>
        </w:rPr>
        <w:t>每週至少執行 </w:t>
      </w:r>
      <w:r>
        <w:rPr>
          <w:color w:val="231F20"/>
          <w:sz w:val="24"/>
        </w:rPr>
        <w:t>5</w:t>
      </w:r>
      <w:r>
        <w:rPr>
          <w:color w:val="231F20"/>
          <w:spacing w:val="-3"/>
          <w:sz w:val="24"/>
        </w:rPr>
        <w:t> 日之關懷送藥。</w:t>
      </w:r>
    </w:p>
    <w:p>
      <w:pPr>
        <w:pStyle w:val="ListParagraph"/>
        <w:numPr>
          <w:ilvl w:val="0"/>
          <w:numId w:val="173"/>
        </w:numPr>
        <w:tabs>
          <w:tab w:pos="1349" w:val="left" w:leader="none"/>
        </w:tabs>
        <w:spacing w:line="230" w:lineRule="auto" w:before="2" w:after="0"/>
        <w:ind w:left="391" w:right="5974" w:firstLine="702"/>
        <w:jc w:val="left"/>
        <w:rPr>
          <w:sz w:val="24"/>
        </w:rPr>
      </w:pPr>
      <w:r>
        <w:rPr>
          <w:color w:val="231F20"/>
          <w:spacing w:val="-2"/>
          <w:sz w:val="24"/>
        </w:rPr>
        <w:t>提醒就醫時間，必要時陪同回診。</w:t>
      </w:r>
      <w:r>
        <w:rPr>
          <w:color w:val="231F20"/>
          <w:sz w:val="24"/>
        </w:rPr>
        <w:t>三、執行後</w:t>
      </w:r>
    </w:p>
    <w:p>
      <w:pPr>
        <w:pStyle w:val="BodyText"/>
        <w:tabs>
          <w:tab w:pos="1349" w:val="left" w:leader="none"/>
        </w:tabs>
        <w:spacing w:line="395" w:lineRule="exact"/>
        <w:ind w:left="629"/>
      </w:pPr>
      <w:r>
        <w:rPr>
          <w:color w:val="231F20"/>
          <w:w w:val="65"/>
        </w:rPr>
        <w:t>（</w:t>
      </w:r>
      <w:r>
        <w:rPr>
          <w:color w:val="231F20"/>
          <w:spacing w:val="1"/>
          <w:w w:val="65"/>
        </w:rPr>
        <w:t> </w:t>
      </w:r>
      <w:r>
        <w:rPr>
          <w:color w:val="231F20"/>
          <w:spacing w:val="-8"/>
        </w:rPr>
        <w:t>— )</w:t>
      </w:r>
      <w:r>
        <w:rPr>
          <w:color w:val="231F20"/>
        </w:rPr>
        <w:tab/>
        <w:t>公衛管理人員</w:t>
      </w:r>
    </w:p>
    <w:p>
      <w:pPr>
        <w:pStyle w:val="ListParagraph"/>
        <w:numPr>
          <w:ilvl w:val="0"/>
          <w:numId w:val="174"/>
        </w:numPr>
        <w:tabs>
          <w:tab w:pos="1349" w:val="left" w:leader="none"/>
        </w:tabs>
        <w:spacing w:line="400" w:lineRule="exact" w:before="0" w:after="0"/>
        <w:ind w:left="1348" w:right="0" w:hanging="255"/>
        <w:jc w:val="left"/>
        <w:rPr>
          <w:sz w:val="24"/>
        </w:rPr>
      </w:pPr>
      <w:r>
        <w:rPr>
          <w:color w:val="231F20"/>
          <w:sz w:val="24"/>
        </w:rPr>
        <w:t>輔導、査核關懷員都治日誌建置之即時性及正確性。</w:t>
      </w:r>
    </w:p>
    <w:p>
      <w:pPr>
        <w:pStyle w:val="ListParagraph"/>
        <w:numPr>
          <w:ilvl w:val="0"/>
          <w:numId w:val="174"/>
        </w:numPr>
        <w:tabs>
          <w:tab w:pos="1349" w:val="left" w:leader="none"/>
        </w:tabs>
        <w:spacing w:line="400" w:lineRule="exact" w:before="0" w:after="0"/>
        <w:ind w:left="1348" w:right="0" w:hanging="255"/>
        <w:jc w:val="left"/>
        <w:rPr>
          <w:sz w:val="24"/>
        </w:rPr>
      </w:pPr>
      <w:r>
        <w:rPr>
          <w:color w:val="231F20"/>
          <w:sz w:val="24"/>
        </w:rPr>
        <w:t>定期召開個案口冊會，隨時掌摳個案治療情形。</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關懷員</w:t>
      </w:r>
    </w:p>
    <w:p>
      <w:pPr>
        <w:pStyle w:val="ListParagraph"/>
        <w:numPr>
          <w:ilvl w:val="0"/>
          <w:numId w:val="175"/>
        </w:numPr>
        <w:tabs>
          <w:tab w:pos="1351" w:val="left" w:leader="none"/>
        </w:tabs>
        <w:spacing w:line="230" w:lineRule="auto" w:before="3" w:after="0"/>
        <w:ind w:left="1349" w:right="1138" w:hanging="255"/>
        <w:jc w:val="left"/>
        <w:rPr>
          <w:sz w:val="24"/>
        </w:rPr>
      </w:pPr>
      <w:r>
        <w:rPr>
          <w:color w:val="231F20"/>
          <w:spacing w:val="-1"/>
          <w:sz w:val="24"/>
        </w:rPr>
        <w:t>向公衛管理人員回報並口冊個案情形，若有發現異常，應立即向公衛管理人員回</w:t>
      </w:r>
      <w:r>
        <w:rPr>
          <w:color w:val="231F20"/>
          <w:sz w:val="24"/>
        </w:rPr>
        <w:t>報，並詳實記錄於都治日誌，以即時介入。</w:t>
      </w:r>
    </w:p>
    <w:p>
      <w:pPr>
        <w:pStyle w:val="ListParagraph"/>
        <w:numPr>
          <w:ilvl w:val="0"/>
          <w:numId w:val="175"/>
        </w:numPr>
        <w:tabs>
          <w:tab w:pos="1349" w:val="left" w:leader="none"/>
        </w:tabs>
        <w:spacing w:line="404" w:lineRule="exact" w:before="0" w:after="0"/>
        <w:ind w:left="1348" w:right="0" w:hanging="255"/>
        <w:jc w:val="left"/>
        <w:rPr>
          <w:sz w:val="24"/>
        </w:rPr>
      </w:pPr>
      <w:r>
        <w:rPr>
          <w:color w:val="231F20"/>
          <w:w w:val="105"/>
          <w:sz w:val="24"/>
        </w:rPr>
        <w:t>3</w:t>
      </w:r>
      <w:r>
        <w:rPr>
          <w:color w:val="231F20"/>
          <w:spacing w:val="-7"/>
          <w:w w:val="105"/>
          <w:sz w:val="24"/>
        </w:rPr>
        <w:t> 日內，依都治日誌輸入方式說明表(附件 </w:t>
      </w:r>
      <w:r>
        <w:rPr>
          <w:color w:val="231F20"/>
          <w:w w:val="105"/>
          <w:sz w:val="24"/>
        </w:rPr>
        <w:t>8-6)，</w:t>
      </w:r>
      <w:r>
        <w:rPr>
          <w:color w:val="231F20"/>
          <w:spacing w:val="60"/>
          <w:w w:val="105"/>
          <w:sz w:val="24"/>
        </w:rPr>
        <w:t>於</w:t>
      </w:r>
      <w:r>
        <w:rPr>
          <w:color w:val="231F20"/>
          <w:w w:val="105"/>
          <w:sz w:val="24"/>
        </w:rPr>
        <w:t>TB</w:t>
      </w:r>
      <w:r>
        <w:rPr>
          <w:color w:val="231F20"/>
          <w:spacing w:val="-5"/>
          <w:w w:val="105"/>
          <w:sz w:val="24"/>
        </w:rPr>
        <w:t> 系統鍵入都治日誌。</w:t>
      </w:r>
    </w:p>
    <w:p>
      <w:pPr>
        <w:pStyle w:val="BodyText"/>
        <w:spacing w:before="16"/>
        <w:rPr>
          <w:sz w:val="19"/>
        </w:rPr>
      </w:pPr>
    </w:p>
    <w:p>
      <w:pPr>
        <w:pStyle w:val="Heading2"/>
      </w:pPr>
      <w:r>
        <w:rPr>
          <w:color w:val="231F20"/>
        </w:rPr>
        <w:t>柒、都治查核</w:t>
      </w:r>
    </w:p>
    <w:p>
      <w:pPr>
        <w:pStyle w:val="BodyText"/>
        <w:spacing w:line="230" w:lineRule="auto" w:before="7"/>
        <w:ind w:left="878" w:right="1127" w:hanging="488"/>
        <w:jc w:val="both"/>
      </w:pPr>
      <w:r>
        <w:rPr>
          <w:color w:val="231F20"/>
          <w:spacing w:val="-3"/>
        </w:rPr>
        <w:t>—、査核頻度：衛生局 </w:t>
      </w:r>
      <w:r>
        <w:rPr>
          <w:color w:val="231F20"/>
          <w:spacing w:val="-9"/>
          <w:w w:val="80"/>
        </w:rPr>
        <w:t>／ </w:t>
      </w:r>
      <w:r>
        <w:rPr>
          <w:color w:val="231F20"/>
        </w:rPr>
        <w:t>所依縣市規劃進行査核；疾管署各區管制中心每月以査核縣市之TB</w:t>
      </w:r>
      <w:r>
        <w:rPr>
          <w:color w:val="231F20"/>
          <w:spacing w:val="19"/>
        </w:rPr>
        <w:t> 及</w:t>
      </w:r>
      <w:r>
        <w:rPr>
          <w:color w:val="231F20"/>
          <w:spacing w:val="-4"/>
        </w:rPr>
        <w:t>LTBI</w:t>
      </w:r>
      <w:r>
        <w:rPr>
          <w:color w:val="231F20"/>
          <w:spacing w:val="-8"/>
        </w:rPr>
        <w:t> 個案分計各 </w:t>
      </w:r>
      <w:r>
        <w:rPr>
          <w:color w:val="231F20"/>
        </w:rPr>
        <w:t>1%</w:t>
      </w:r>
      <w:r>
        <w:rPr>
          <w:color w:val="231F20"/>
          <w:spacing w:val="-1"/>
        </w:rPr>
        <w:t> 為最低比率，倘轄區鄉鎮可査核</w:t>
      </w:r>
      <w:r>
        <w:rPr>
          <w:color w:val="231F20"/>
          <w:spacing w:val="-4"/>
        </w:rPr>
        <w:t>LTBI</w:t>
      </w:r>
      <w:r>
        <w:rPr>
          <w:color w:val="231F20"/>
          <w:spacing w:val="-8"/>
        </w:rPr>
        <w:t> 個案數不足 </w:t>
      </w:r>
      <w:r>
        <w:rPr>
          <w:color w:val="231F20"/>
        </w:rPr>
        <w:t>1%</w:t>
      </w:r>
      <w:r>
        <w:rPr>
          <w:color w:val="231F20"/>
          <w:spacing w:val="-7"/>
        </w:rPr>
        <w:t> 時， </w:t>
      </w:r>
      <w:r>
        <w:rPr>
          <w:color w:val="231F20"/>
          <w:spacing w:val="-8"/>
        </w:rPr>
        <w:t>或經各區管制中心評估鄉鎮輔導之必要，則可將 </w:t>
      </w:r>
      <w:r>
        <w:rPr>
          <w:color w:val="231F20"/>
          <w:spacing w:val="-4"/>
        </w:rPr>
        <w:t>LTBI</w:t>
      </w:r>
      <w:r>
        <w:rPr>
          <w:color w:val="231F20"/>
          <w:spacing w:val="-8"/>
        </w:rPr>
        <w:t> 査核數改以 </w:t>
      </w:r>
      <w:r>
        <w:rPr>
          <w:color w:val="231F20"/>
        </w:rPr>
        <w:t>TB</w:t>
      </w:r>
      <w:r>
        <w:rPr>
          <w:color w:val="231F20"/>
          <w:spacing w:val="-5"/>
        </w:rPr>
        <w:t> 個案數取代之。</w:t>
      </w:r>
      <w:r>
        <w:rPr>
          <w:color w:val="231F20"/>
          <w:w w:val="105"/>
        </w:rPr>
        <w:t>另各區管制中心於每 2</w:t>
      </w:r>
      <w:r>
        <w:rPr>
          <w:color w:val="231F20"/>
          <w:spacing w:val="-3"/>
          <w:w w:val="105"/>
        </w:rPr>
        <w:t> 個月結束後的次月 </w:t>
      </w:r>
      <w:r>
        <w:rPr>
          <w:color w:val="231F20"/>
          <w:w w:val="105"/>
        </w:rPr>
        <w:t>15</w:t>
      </w:r>
      <w:r>
        <w:rPr>
          <w:color w:val="231F20"/>
          <w:spacing w:val="-1"/>
          <w:w w:val="105"/>
        </w:rPr>
        <w:t> 日前將査核結果</w:t>
      </w:r>
      <w:r>
        <w:rPr>
          <w:color w:val="231F20"/>
          <w:spacing w:val="-5"/>
          <w:w w:val="110"/>
        </w:rPr>
        <w:t>(附件 </w:t>
      </w:r>
      <w:r>
        <w:rPr>
          <w:color w:val="231F20"/>
          <w:w w:val="105"/>
        </w:rPr>
        <w:t>8-7</w:t>
      </w:r>
      <w:r>
        <w:rPr>
          <w:color w:val="231F20"/>
          <w:spacing w:val="2"/>
          <w:w w:val="105"/>
        </w:rPr>
        <w:t>)送交疾管</w:t>
      </w:r>
      <w:r>
        <w:rPr>
          <w:color w:val="231F20"/>
          <w:w w:val="105"/>
        </w:rPr>
        <w:t>署慢性組。</w:t>
      </w:r>
    </w:p>
    <w:p>
      <w:pPr>
        <w:pStyle w:val="BodyText"/>
        <w:spacing w:line="230" w:lineRule="auto"/>
        <w:ind w:left="878" w:right="1134" w:hanging="488"/>
        <w:jc w:val="both"/>
      </w:pPr>
      <w:r>
        <w:rPr>
          <w:color w:val="231F20"/>
        </w:rPr>
        <w:t>二、有關個案管理應査核項目參見工作手冊第六章「結核病個案管理 - 辦理結核病防治作</w:t>
      </w:r>
      <w:r>
        <w:rPr>
          <w:color w:val="231F20"/>
          <w:w w:val="110"/>
        </w:rPr>
        <w:t>業執行狀態檢核表」。</w:t>
      </w:r>
    </w:p>
    <w:p>
      <w:pPr>
        <w:pStyle w:val="BodyText"/>
        <w:spacing w:before="14"/>
        <w:rPr>
          <w:sz w:val="19"/>
        </w:rPr>
      </w:pPr>
    </w:p>
    <w:p>
      <w:pPr>
        <w:pStyle w:val="Heading2"/>
      </w:pPr>
      <w:r>
        <w:rPr>
          <w:color w:val="231F20"/>
        </w:rPr>
        <w:t>捌、關懐員聘任、管理與訓練</w:t>
      </w:r>
    </w:p>
    <w:p>
      <w:pPr>
        <w:pStyle w:val="BodyText"/>
        <w:spacing w:line="404" w:lineRule="exact"/>
        <w:ind w:left="391"/>
      </w:pPr>
      <w:r>
        <w:rPr>
          <w:color w:val="231F20"/>
        </w:rPr>
        <w:t>—、聘任：</w:t>
      </w:r>
    </w:p>
    <w:p>
      <w:pPr>
        <w:pStyle w:val="BodyText"/>
        <w:spacing w:line="230" w:lineRule="auto" w:before="3"/>
        <w:ind w:left="1349" w:right="1137" w:hanging="720"/>
        <w:jc w:val="both"/>
      </w:pPr>
      <w:r>
        <w:rPr>
          <w:color w:val="231F20"/>
          <w:w w:val="65"/>
        </w:rPr>
        <w:t>（ </w:t>
      </w:r>
      <w:r>
        <w:rPr>
          <w:color w:val="231F20"/>
        </w:rPr>
        <w:t>— ) 原則：應給予感染管制及個人防護之相關訓練，且若聘用免疫系統低下或糖尿病病人者，應衛教控制其潛在疾病如糖尿病血糖控制，以減少因意外暴露結核蔥之發病風險；每位關懷員於執行業務前應完成健唐檢査，並能配合中央嚴重特殊傳染性肺炎防疫政策完成疫苗接種。</w:t>
      </w:r>
    </w:p>
    <w:p>
      <w:pPr>
        <w:pStyle w:val="BodyText"/>
        <w:spacing w:line="392" w:lineRule="exact"/>
        <w:ind w:left="629"/>
        <w:jc w:val="both"/>
      </w:pPr>
      <w:r>
        <w:rPr>
          <w:color w:val="231F20"/>
          <w:w w:val="65"/>
        </w:rPr>
        <w:t>（ </w:t>
      </w:r>
      <w:r>
        <w:rPr>
          <w:color w:val="231F20"/>
        </w:rPr>
        <w:t>二 ) 人 數 ：</w:t>
      </w:r>
    </w:p>
    <w:p>
      <w:pPr>
        <w:pStyle w:val="ListParagraph"/>
        <w:numPr>
          <w:ilvl w:val="0"/>
          <w:numId w:val="176"/>
        </w:numPr>
        <w:tabs>
          <w:tab w:pos="1350" w:val="left" w:leader="none"/>
        </w:tabs>
        <w:spacing w:line="230" w:lineRule="auto" w:before="2" w:after="0"/>
        <w:ind w:left="1349" w:right="1133" w:hanging="255"/>
        <w:jc w:val="both"/>
        <w:rPr>
          <w:sz w:val="24"/>
        </w:rPr>
      </w:pPr>
      <w:r>
        <w:rPr>
          <w:color w:val="231F20"/>
          <w:sz w:val="24"/>
        </w:rPr>
        <w:t>特殊類病人包括山地原鄉、離島地區(澎湖、金門、連江)及偏鄉個案，原則上</w:t>
      </w:r>
      <w:r>
        <w:rPr>
          <w:color w:val="231F20"/>
          <w:w w:val="105"/>
          <w:sz w:val="24"/>
        </w:rPr>
        <w:t>5-10</w:t>
      </w:r>
      <w:r>
        <w:rPr>
          <w:color w:val="231F20"/>
          <w:spacing w:val="-4"/>
          <w:w w:val="105"/>
          <w:sz w:val="24"/>
        </w:rPr>
        <w:t> 位，配置—名關懷員，執行都治送藥服務。</w:t>
      </w:r>
    </w:p>
    <w:p>
      <w:pPr>
        <w:pStyle w:val="ListParagraph"/>
        <w:numPr>
          <w:ilvl w:val="0"/>
          <w:numId w:val="176"/>
        </w:numPr>
        <w:tabs>
          <w:tab w:pos="1349" w:val="left" w:leader="none"/>
        </w:tabs>
        <w:spacing w:line="395" w:lineRule="exact" w:before="0" w:after="0"/>
        <w:ind w:left="1348" w:right="0" w:hanging="255"/>
        <w:jc w:val="both"/>
        <w:rPr>
          <w:sz w:val="24"/>
        </w:rPr>
      </w:pPr>
      <w:r>
        <w:rPr>
          <w:color w:val="231F20"/>
          <w:spacing w:val="-2"/>
          <w:w w:val="105"/>
          <w:sz w:val="24"/>
        </w:rPr>
        <w:t>—般類病人原則上 </w:t>
      </w:r>
      <w:r>
        <w:rPr>
          <w:color w:val="231F20"/>
          <w:w w:val="105"/>
          <w:sz w:val="24"/>
        </w:rPr>
        <w:t>10-15</w:t>
      </w:r>
      <w:r>
        <w:rPr>
          <w:color w:val="231F20"/>
          <w:spacing w:val="-5"/>
          <w:w w:val="105"/>
          <w:sz w:val="24"/>
        </w:rPr>
        <w:t> 位，配置—名關懷員，執行都治送藥服務。</w:t>
      </w:r>
    </w:p>
    <w:p>
      <w:pPr>
        <w:pStyle w:val="ListParagraph"/>
        <w:numPr>
          <w:ilvl w:val="0"/>
          <w:numId w:val="176"/>
        </w:numPr>
        <w:tabs>
          <w:tab w:pos="1350" w:val="left" w:leader="none"/>
        </w:tabs>
        <w:spacing w:line="230" w:lineRule="auto" w:before="3" w:after="0"/>
        <w:ind w:left="1349" w:right="1125" w:hanging="256"/>
        <w:jc w:val="both"/>
        <w:rPr>
          <w:sz w:val="24"/>
        </w:rPr>
      </w:pPr>
      <w:r>
        <w:rPr>
          <w:color w:val="231F20"/>
          <w:spacing w:val="7"/>
          <w:sz w:val="24"/>
        </w:rPr>
        <w:t>縣市關懷員人數 </w:t>
      </w:r>
      <w:r>
        <w:rPr>
          <w:color w:val="231F20"/>
          <w:sz w:val="24"/>
        </w:rPr>
        <w:t>15-20</w:t>
      </w:r>
      <w:r>
        <w:rPr>
          <w:color w:val="231F20"/>
          <w:spacing w:val="5"/>
          <w:sz w:val="24"/>
        </w:rPr>
        <w:t> 人，配置—名行政關懷員，協助管理關懷員、協助專案</w:t>
      </w:r>
      <w:r>
        <w:rPr>
          <w:color w:val="231F20"/>
          <w:w w:val="105"/>
          <w:sz w:val="24"/>
        </w:rPr>
        <w:t>推動等事務。</w:t>
      </w:r>
    </w:p>
    <w:p>
      <w:pPr>
        <w:spacing w:after="0" w:line="230" w:lineRule="auto"/>
        <w:jc w:val="both"/>
        <w:rPr>
          <w:sz w:val="24"/>
        </w:rPr>
        <w:sectPr>
          <w:pgSz w:w="11910" w:h="16840"/>
          <w:pgMar w:top="1060" w:bottom="0" w:left="980" w:right="0"/>
        </w:sectPr>
      </w:pPr>
    </w:p>
    <w:p>
      <w:pPr>
        <w:pStyle w:val="BodyText"/>
        <w:spacing w:line="409" w:lineRule="exact" w:before="59"/>
        <w:ind w:left="391"/>
      </w:pPr>
      <w:r>
        <w:rPr>
          <w:color w:val="231F20"/>
        </w:rPr>
        <w:t>二、管理</w:t>
      </w:r>
    </w:p>
    <w:p>
      <w:pPr>
        <w:pStyle w:val="BodyText"/>
        <w:spacing w:line="230" w:lineRule="auto" w:before="2"/>
        <w:ind w:left="1349" w:right="1130" w:hanging="720"/>
        <w:jc w:val="both"/>
      </w:pPr>
      <w:r>
        <w:rPr>
          <w:color w:val="231F20"/>
          <w:w w:val="70"/>
        </w:rPr>
        <w:t>（ </w:t>
      </w:r>
      <w:r>
        <w:rPr>
          <w:color w:val="231F20"/>
        </w:rPr>
        <w:t>— ) 關懷員應依都治精神，並參考「結核病都治關懷員參考指引」原則執行工作</w:t>
      </w:r>
      <w:r>
        <w:rPr>
          <w:color w:val="231F20"/>
          <w:w w:val="135"/>
        </w:rPr>
        <w:t>(附</w:t>
      </w:r>
      <w:r>
        <w:rPr>
          <w:color w:val="231F20"/>
        </w:rPr>
        <w:t>件 </w:t>
      </w:r>
      <w:r>
        <w:rPr>
          <w:color w:val="231F20"/>
          <w:w w:val="104"/>
        </w:rPr>
        <w:t>8</w:t>
      </w:r>
      <w:r>
        <w:rPr>
          <w:color w:val="231F20"/>
          <w:w w:val="129"/>
        </w:rPr>
        <w:t>-</w:t>
      </w:r>
      <w:r>
        <w:rPr>
          <w:color w:val="231F20"/>
          <w:w w:val="104"/>
        </w:rPr>
        <w:t>8</w:t>
      </w:r>
      <w:r>
        <w:rPr>
          <w:color w:val="231F20"/>
          <w:w w:val="300"/>
        </w:rPr>
        <w:t>)</w:t>
      </w:r>
      <w:r>
        <w:rPr>
          <w:color w:val="231F20"/>
        </w:rPr>
        <w:t>，為確保執行品質，衛生局應建置獎勵及懲處機制：衛生局督導人員應定期或不定期考核關懷員工作執行情形。表現良好者，予以適當獎勵；如有不當情事，則依情節輕重，給予適當之懲處；對於不適任者，應予以開除之處分。</w:t>
      </w:r>
    </w:p>
    <w:p>
      <w:pPr>
        <w:pStyle w:val="BodyText"/>
        <w:spacing w:line="392" w:lineRule="exact"/>
        <w:ind w:left="629"/>
        <w:jc w:val="both"/>
      </w:pPr>
      <w:r>
        <w:rPr>
          <w:color w:val="231F20"/>
          <w:w w:val="65"/>
        </w:rPr>
        <w:t>（ </w:t>
      </w:r>
      <w:r>
        <w:rPr>
          <w:color w:val="231F20"/>
        </w:rPr>
        <w:t>二 ) 衛生所公衛管理人員應督導地段內之都治關懷員。</w:t>
      </w:r>
    </w:p>
    <w:p>
      <w:pPr>
        <w:pStyle w:val="BodyText"/>
        <w:spacing w:line="230" w:lineRule="auto" w:before="3"/>
        <w:ind w:left="1349" w:right="1130" w:hanging="720"/>
        <w:jc w:val="both"/>
      </w:pPr>
      <w:r>
        <w:rPr>
          <w:color w:val="231F20"/>
          <w:w w:val="70"/>
        </w:rPr>
        <w:t>（ </w:t>
      </w:r>
      <w:r>
        <w:rPr>
          <w:color w:val="231F20"/>
          <w:w w:val="105"/>
        </w:rPr>
        <w:t>三 ) 關懷員應依「都治關懷員健唐管理流程及健唐管理卡」(附件 8-9)之內容，進</w:t>
      </w:r>
      <w:r>
        <w:rPr>
          <w:color w:val="231F20"/>
          <w:w w:val="110"/>
        </w:rPr>
        <w:t>行檢査並將資料建檔於衛生局 </w:t>
      </w:r>
      <w:r>
        <w:rPr>
          <w:color w:val="231F20"/>
          <w:w w:val="70"/>
        </w:rPr>
        <w:t>／ </w:t>
      </w:r>
      <w:r>
        <w:rPr>
          <w:color w:val="231F20"/>
          <w:w w:val="110"/>
        </w:rPr>
        <w:t>所留存。</w:t>
      </w:r>
    </w:p>
    <w:p>
      <w:pPr>
        <w:pStyle w:val="BodyText"/>
        <w:spacing w:line="230" w:lineRule="auto"/>
        <w:ind w:left="1349" w:right="1130" w:hanging="720"/>
        <w:jc w:val="both"/>
      </w:pPr>
      <w:r>
        <w:rPr/>
        <w:pict>
          <v:group style="position:absolute;margin-left:557.686523pt;margin-top:15.691703pt;width:37.35pt;height:609.550pt;mso-position-horizontal-relative:page;mso-position-vertical-relative:paragraph;z-index:251810816" coordorigin="11154,314" coordsize="747,12191">
            <v:shape style="position:absolute;left:11283;top:825;width:439;height:11680" type="#_x0000_t75" stroked="false">
              <v:imagedata r:id="rId86" o:title=""/>
            </v:shape>
            <v:shape style="position:absolute;left:11153;top:313;width:747;height:812" coordorigin="11154,314" coordsize="747,812" path="m11900,314l11536,314,11514,316,11454,350,11188,632,11154,719,11162,766,11454,1089,11514,1123,11536,1125,11900,1125,11900,314xe" filled="true" fillcolor="#49b7cf" stroked="false">
              <v:path arrowok="t"/>
              <v:fill type="solid"/>
            </v:shape>
            <v:shape style="position:absolute;left:11307;top:580;width:390;height:278" type="#_x0000_t75" stroked="false">
              <v:imagedata r:id="rId92" o:title=""/>
            </v:shape>
            <v:shape style="position:absolute;left:11378;top:1263;width:252;height:1253" coordorigin="11378,1264" coordsize="252,1253" path="m11432,1417l11408,1417,11408,1508,11432,1508,11432,1493,11511,1493,11511,1471,11432,1471,11432,1451,11511,1451,11511,1430,11432,1430,11432,1417xm11511,1493l11487,1493,11487,1508,11511,1508,11511,1493xm11511,1451l11487,1451,11487,1471,11511,1471,11511,1451xm11511,1411l11487,1411,11487,1430,11511,1430,11511,1411xm11477,1365l11444,1365,11429,1377,11413,1387,11396,1397,11378,1405,11391,1426,11398,1423,11404,1420,11408,1417,11432,1417,11432,1411,11511,1411,11511,1389,11451,1389,11458,1383,11467,1375,11477,1365xm11527,1343l11382,1343,11382,1365,11527,1365,11527,1343xm11460,1313l11435,1313,11435,1343,11460,1343,11460,1313xm11491,1291l11394,1291,11394,1313,11490,1313,11482,1325,11474,1335,11467,1343,11496,1343,11504,1332,11512,1320,11518,1311,11491,1311,11491,1291xm11509,1282l11503,1293,11497,1303,11491,1311,11518,1311,11521,1307,11529,1293,11509,1282xm11460,1264l11435,1264,11435,1291,11460,1291,11460,1264xm11623,1271l11537,1271,11537,1508,11561,1508,11561,1295,11623,1295,11623,1271xm11567,1452l11573,1476,11580,1476,11585,1476,11600,1476,11609,1474,11623,1462,11626,1452,11583,1452,11574,1452,11567,1452xm11623,1295l11597,1295,11592,1314,11586,1333,11580,1351,11574,1367,11586,1385,11595,1402,11600,1418,11602,1435,11602,1442,11601,1447,11597,1451,11595,1452,11626,1452,11626,1435,11624,1419,11619,1401,11612,1383,11600,1365,11604,1353,11609,1337,11616,1318,11623,1295xm11396,1666l11380,1687,11395,1696,11408,1705,11421,1714,11432,1725,11448,1704,11436,1694,11424,1684,11410,1675,11396,1666xm11624,1702l11596,1702,11599,1707,11602,1714,11606,1722,11629,1712,11624,1702xm11519,1596l11505,1626,11489,1651,11471,1672,11451,1688,11456,1711,11493,1710,11528,1708,11563,1705,11596,1702,11624,1702,11619,1693,11615,1686,11490,1686,11504,1670,11518,1651,11531,1629,11544,1604,11519,1596xm11580,1631l11556,1642,11562,1649,11568,1658,11575,1668,11582,1679,11559,1681,11536,1683,11513,1685,11490,1686,11615,1686,11608,1673,11595,1652,11580,1631xm11404,1598l11387,1616,11401,1627,11414,1638,11425,1648,11435,1659,11453,1641,11442,1629,11430,1618,11417,1608,11404,1598xm11610,1728l11463,1728,11463,1845,11488,1845,11488,1832,11610,1832,11610,1808,11488,1808,11488,1753,11610,1753,11610,1728xm11610,1832l11584,1832,11584,1845,11610,1845,11610,1832xm11610,1753l11584,1753,11584,1808,11610,1808,11610,1753xm11428,1738l11419,1762,11408,1784,11396,1806,11384,1826,11403,1846,11416,1824,11428,1801,11440,1777,11450,1752,11428,1738xm11516,2114l11491,2114,11491,2180,11516,2180,11516,2114xm11516,2074l11491,2074,11491,2083,11467,2106,11440,2125,11411,2141,11379,2153,11392,2176,11421,2162,11447,2148,11470,2131,11491,2114,11516,2114,11516,2113,11552,2113,11540,2104,11516,2082,11516,2074xm11552,2113l11516,2113,11538,2131,11561,2148,11587,2162,11615,2175,11629,2153,11596,2140,11566,2123,11552,2113xm11603,2052l11405,2052,11405,2116,11430,2116,11430,2074,11603,2074,11603,2052xm11603,2074l11578,2074,11578,2092,11576,2094,11573,2094,11554,2094,11561,2115,11566,2115,11570,2116,11586,2116,11594,2113,11601,2105,11603,2100,11603,2074xm11516,2039l11491,2039,11491,2052,11516,2052,11516,2039xm11626,2016l11382,2016,11382,2039,11626,2039,11626,2016xm11516,2002l11491,2002,11491,2016,11516,2016,11516,2002xm11577,1978l11554,1985,11559,1992,11564,2000,11568,2010,11592,2004,11588,1994,11583,1985,11583,1985,11577,1978xm11461,1978l11438,1985,11444,1993,11448,2001,11452,2010,11475,2004,11473,1995,11468,1987,11461,1978xm11423,1933l11413,1951,11403,1967,11391,1981,11378,1992,11378,1992,11399,2007,11407,2000,11414,1992,11421,1983,11428,1974,11500,1974,11500,1952,11441,1952,11445,1946,11447,1942,11448,1940,11423,1933xm11534,1933l11526,1950,11517,1964,11508,1976,11498,1985,11519,1998,11526,1991,11533,1983,11539,1974,11625,1974,11625,1952,11552,1952,11554,1948,11556,1944,11557,1939,11534,1933xm11539,2334l11510,2334,11515,2342,11522,2351,11532,2362,11519,2369,11506,2375,11492,2381,11478,2386,11490,2408,11508,2401,11524,2393,11539,2386,11552,2378,11603,2378,11600,2376,11586,2370,11572,2362,11585,2350,11588,2347,11553,2347,11544,2340,11539,2334xm11603,2378l11552,2378,11565,2386,11580,2393,11597,2401,11617,2408,11629,2386,11614,2382,11603,2378xm11612,2314l11584,2314,11578,2323,11570,2331,11562,2339,11553,2347,11588,2347,11596,2338,11605,2326,11612,2314xm11532,2270l11523,2285,11511,2300,11496,2314,11478,2328,11493,2347,11499,2343,11505,2338,11510,2334,11539,2334,11536,2330,11528,2316,11530,2314,11612,2314,11612,2292,11547,2292,11549,2288,11552,2283,11555,2277,11532,2270xm11474,2284l11387,2284,11387,2501,11408,2501,11408,2481,11474,2481,11474,2458,11408,2458,11408,2392,11474,2392,11474,2369,11408,2369,11408,2307,11474,2307,11474,2284xm11474,2481l11453,2481,11453,2495,11474,2495,11474,2481xm11440,2392l11421,2392,11421,2458,11440,2458,11440,2392xm11474,2392l11453,2392,11453,2458,11474,2458,11474,2392xm11440,2307l11421,2307,11421,2369,11440,2369,11440,2307xm11474,2307l11453,2307,11453,2369,11474,2369,11474,2307xm11611,2413l11495,2413,11495,2516,11520,2516,11520,2507,11611,2507,11611,2483,11520,2483,11520,2436,11611,2436,11611,2413xm11611,2507l11586,2507,11586,2516,11611,2516,11611,2507xm11611,2436l11586,2436,11586,2483,11611,2483,11611,2436xe" filled="true" fillcolor="#58595b" stroked="false">
              <v:path arrowok="t"/>
              <v:fill type="solid"/>
            </v:shape>
            <v:shape style="position:absolute;left:11412;top:11942;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87</w:t>
                    </w:r>
                  </w:p>
                </w:txbxContent>
              </v:textbox>
              <w10:wrap type="none"/>
            </v:shape>
            <w10:wrap type="none"/>
          </v:group>
        </w:pict>
      </w:r>
      <w:r>
        <w:rPr>
          <w:color w:val="231F20"/>
          <w:w w:val="65"/>
        </w:rPr>
        <w:t>（ </w:t>
      </w:r>
      <w:r>
        <w:rPr>
          <w:color w:val="231F20"/>
        </w:rPr>
        <w:t>匹 ) 衛生局應將聘任關懷員資料建檔於 TB 系統「都治關懷員管理窗口」，並應確實維護個人資訊、到、離職日期與管理單位。</w:t>
      </w:r>
    </w:p>
    <w:p>
      <w:pPr>
        <w:pStyle w:val="BodyText"/>
        <w:spacing w:line="395" w:lineRule="exact"/>
        <w:ind w:left="391"/>
      </w:pPr>
      <w:r>
        <w:rPr>
          <w:color w:val="231F20"/>
        </w:rPr>
        <w:t>三、訓練</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關懷員訓練</w:t>
      </w:r>
    </w:p>
    <w:p>
      <w:pPr>
        <w:pStyle w:val="ListParagraph"/>
        <w:numPr>
          <w:ilvl w:val="0"/>
          <w:numId w:val="177"/>
        </w:numPr>
        <w:tabs>
          <w:tab w:pos="1349" w:val="left" w:leader="none"/>
        </w:tabs>
        <w:spacing w:line="400" w:lineRule="exact" w:before="0" w:after="0"/>
        <w:ind w:left="1348" w:right="0" w:hanging="255"/>
        <w:jc w:val="left"/>
        <w:rPr>
          <w:sz w:val="24"/>
        </w:rPr>
      </w:pPr>
      <w:r>
        <w:rPr>
          <w:color w:val="231F20"/>
          <w:spacing w:val="-1"/>
          <w:sz w:val="24"/>
        </w:rPr>
        <w:t>職前訓練：至少 </w:t>
      </w:r>
      <w:r>
        <w:rPr>
          <w:color w:val="231F20"/>
          <w:sz w:val="24"/>
        </w:rPr>
        <w:t>16</w:t>
      </w:r>
      <w:r>
        <w:rPr>
          <w:color w:val="231F20"/>
          <w:spacing w:val="-3"/>
          <w:sz w:val="24"/>
        </w:rPr>
        <w:t> 小時課程。</w:t>
      </w:r>
    </w:p>
    <w:p>
      <w:pPr>
        <w:pStyle w:val="ListParagraph"/>
        <w:numPr>
          <w:ilvl w:val="0"/>
          <w:numId w:val="177"/>
        </w:numPr>
        <w:tabs>
          <w:tab w:pos="1349" w:val="left" w:leader="none"/>
        </w:tabs>
        <w:spacing w:line="400" w:lineRule="exact" w:before="0" w:after="0"/>
        <w:ind w:left="1348" w:right="0" w:hanging="255"/>
        <w:jc w:val="left"/>
        <w:rPr>
          <w:sz w:val="24"/>
        </w:rPr>
      </w:pPr>
      <w:r>
        <w:rPr>
          <w:color w:val="231F20"/>
          <w:spacing w:val="-1"/>
          <w:sz w:val="24"/>
        </w:rPr>
        <w:t>在職訓練：—年至少參與 </w:t>
      </w:r>
      <w:r>
        <w:rPr>
          <w:color w:val="231F20"/>
          <w:sz w:val="24"/>
        </w:rPr>
        <w:t>2</w:t>
      </w:r>
      <w:r>
        <w:rPr>
          <w:color w:val="231F20"/>
          <w:spacing w:val="-4"/>
          <w:sz w:val="24"/>
        </w:rPr>
        <w:t> 場次，累計 </w:t>
      </w:r>
      <w:r>
        <w:rPr>
          <w:color w:val="231F20"/>
          <w:sz w:val="24"/>
        </w:rPr>
        <w:t>8</w:t>
      </w:r>
      <w:r>
        <w:rPr>
          <w:color w:val="231F20"/>
          <w:spacing w:val="-3"/>
          <w:sz w:val="24"/>
        </w:rPr>
        <w:t> 小時課程。</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醫護及藥事人員訓練</w:t>
      </w:r>
    </w:p>
    <w:p>
      <w:pPr>
        <w:pStyle w:val="BodyText"/>
        <w:spacing w:line="230" w:lineRule="auto"/>
        <w:ind w:left="1349" w:right="1135"/>
      </w:pPr>
      <w:r>
        <w:rPr>
          <w:color w:val="231F20"/>
        </w:rPr>
        <w:t>學校、工廠、軍營、矯正機關、人口密集機構等單位執業中之醫護及藥事人員， 得於接受都治介紹課程後協助執行都治工作。</w:t>
      </w:r>
    </w:p>
    <w:p>
      <w:pPr>
        <w:pStyle w:val="BodyText"/>
        <w:tabs>
          <w:tab w:pos="1349" w:val="left" w:leader="none"/>
        </w:tabs>
        <w:spacing w:line="395" w:lineRule="exact"/>
        <w:ind w:left="629"/>
      </w:pPr>
      <w:r>
        <w:rPr>
          <w:color w:val="231F20"/>
          <w:w w:val="65"/>
        </w:rPr>
        <w:t>（</w:t>
      </w:r>
      <w:r>
        <w:rPr>
          <w:color w:val="231F20"/>
          <w:spacing w:val="1"/>
          <w:w w:val="65"/>
        </w:rPr>
        <w:t> </w:t>
      </w:r>
      <w:r>
        <w:rPr>
          <w:color w:val="231F20"/>
        </w:rPr>
        <w:t>三</w:t>
      </w:r>
      <w:r>
        <w:rPr>
          <w:color w:val="231F20"/>
          <w:spacing w:val="-22"/>
        </w:rPr>
        <w:t> </w:t>
      </w:r>
      <w:r>
        <w:rPr>
          <w:color w:val="231F20"/>
        </w:rPr>
        <w:t>)</w:t>
        <w:tab/>
        <w:t>訓練課程建議：</w:t>
      </w:r>
    </w:p>
    <w:p>
      <w:pPr>
        <w:pStyle w:val="ListParagraph"/>
        <w:numPr>
          <w:ilvl w:val="0"/>
          <w:numId w:val="178"/>
        </w:numPr>
        <w:tabs>
          <w:tab w:pos="1350" w:val="left" w:leader="none"/>
        </w:tabs>
        <w:spacing w:line="230" w:lineRule="auto" w:before="3" w:after="0"/>
        <w:ind w:left="1349" w:right="1133" w:hanging="255"/>
        <w:jc w:val="both"/>
        <w:rPr>
          <w:sz w:val="24"/>
        </w:rPr>
      </w:pPr>
      <w:r>
        <w:rPr>
          <w:color w:val="231F20"/>
          <w:sz w:val="24"/>
        </w:rPr>
        <w:t>職前訓練應包含結核病及潛伏結核感染基本介紹、都治策略、與個案建立關係、安全守則及衝突管理、個人防護、TB</w:t>
      </w:r>
      <w:r>
        <w:rPr>
          <w:color w:val="231F20"/>
          <w:spacing w:val="-15"/>
          <w:sz w:val="24"/>
        </w:rPr>
        <w:t> 系統 </w:t>
      </w:r>
      <w:r>
        <w:rPr>
          <w:color w:val="231F20"/>
          <w:w w:val="70"/>
          <w:sz w:val="24"/>
        </w:rPr>
        <w:t>（</w:t>
      </w:r>
      <w:r>
        <w:rPr>
          <w:color w:val="231F20"/>
          <w:spacing w:val="-9"/>
          <w:w w:val="70"/>
          <w:sz w:val="24"/>
        </w:rPr>
        <w:t> </w:t>
      </w:r>
      <w:r>
        <w:rPr>
          <w:color w:val="231F20"/>
          <w:spacing w:val="-5"/>
          <w:sz w:val="24"/>
        </w:rPr>
        <w:t>含雲端都治 </w:t>
      </w:r>
      <w:r>
        <w:rPr>
          <w:color w:val="231F20"/>
          <w:sz w:val="24"/>
        </w:rPr>
        <w:t>APP</w:t>
      </w:r>
      <w:r>
        <w:rPr>
          <w:color w:val="231F20"/>
          <w:spacing w:val="-6"/>
          <w:sz w:val="24"/>
        </w:rPr>
        <w:t>) 介紹及實作及資訊安全概冊、情境模擬、環境認識、長照相關資源或社福補助認識等。</w:t>
      </w:r>
    </w:p>
    <w:p>
      <w:pPr>
        <w:pStyle w:val="ListParagraph"/>
        <w:numPr>
          <w:ilvl w:val="0"/>
          <w:numId w:val="178"/>
        </w:numPr>
        <w:tabs>
          <w:tab w:pos="1349" w:val="left" w:leader="none"/>
        </w:tabs>
        <w:spacing w:line="403" w:lineRule="exact" w:before="0" w:after="0"/>
        <w:ind w:left="1348" w:right="0" w:hanging="255"/>
        <w:jc w:val="both"/>
        <w:rPr>
          <w:sz w:val="24"/>
        </w:rPr>
      </w:pPr>
      <w:r>
        <w:rPr>
          <w:color w:val="231F20"/>
          <w:sz w:val="24"/>
        </w:rPr>
        <w:t>在職訓練以提升關懷員專業及經驗為原則，視轄區關懷員特性及業務需求安排。</w:t>
      </w:r>
    </w:p>
    <w:p>
      <w:pPr>
        <w:spacing w:after="0" w:line="403" w:lineRule="exact"/>
        <w:jc w:val="both"/>
        <w:rPr>
          <w:sz w:val="24"/>
        </w:rPr>
        <w:sectPr>
          <w:pgSz w:w="11910" w:h="16840"/>
          <w:pgMar w:top="1060" w:bottom="0" w:left="980" w:right="0"/>
        </w:sectPr>
      </w:pPr>
    </w:p>
    <w:p>
      <w:pPr>
        <w:pStyle w:val="Heading2"/>
        <w:spacing w:line="240" w:lineRule="auto" w:before="27"/>
      </w:pPr>
      <w:r>
        <w:rPr/>
        <w:pict>
          <v:group style="position:absolute;margin-left:.0pt;margin-top:232.158005pt;width:37.35pt;height:609.550pt;mso-position-horizontal-relative:page;mso-position-vertical-relative:page;z-index:251812864" coordorigin="0,4643" coordsize="747,12191">
            <v:shape style="position:absolute;left:178;top:5154;width:439;height:11680" type="#_x0000_t75" stroked="false">
              <v:imagedata r:id="rId88" o:title=""/>
            </v:shape>
            <v:shape style="position:absolute;left:0;top:4643;width:747;height:812" coordorigin="0,4643" coordsize="747,812" path="m365,4643l0,4643,0,5454,365,5454,387,5452,447,5418,713,5136,747,5049,738,5002,447,4679,387,4645,365,4643xe" filled="true" fillcolor="#49b7cf" stroked="false">
              <v:path arrowok="t"/>
              <v:fill type="solid"/>
            </v:shape>
            <v:shape style="position:absolute;left:202;top:4910;width:390;height:278" type="#_x0000_t75" stroked="false">
              <v:imagedata r:id="rId93" o:title=""/>
            </v:shape>
            <v:shape style="position:absolute;left:273;top:5592;width:252;height:1253" coordorigin="273,5593" coordsize="252,1253" path="m327,5747l303,5747,303,5838,327,5838,327,5822,406,5822,406,5800,327,5800,327,5781,406,5781,406,5760,327,5760,327,5747xm406,5822l382,5822,382,5838,406,5838,406,5822xm406,5781l382,5781,382,5800,406,5800,406,5781xm406,5741l382,5741,382,5760,406,5760,406,5741xm372,5694l339,5694,324,5706,308,5716,291,5726,273,5735,286,5755,293,5752,299,5749,303,5747,327,5747,327,5741,406,5741,406,5718,346,5718,353,5713,362,5705,372,5694xm422,5672l277,5672,277,5694,422,5694,422,5672xm355,5642l330,5642,330,5672,355,5672,355,5642xm386,5620l289,5620,289,5642,385,5642,377,5654,369,5664,362,5672,391,5672,399,5661,407,5649,413,5641,386,5641,386,5620xm404,5612l398,5622,392,5632,386,5641,413,5641,416,5636,424,5622,404,5612xm355,5593l330,5593,330,5620,355,5620,355,5593xm518,5600l432,5600,432,5838,456,5838,456,5624,518,5624,518,5600xm462,5781l468,5805,475,5805,480,5806,495,5806,504,5803,518,5792,521,5782,478,5782,469,5781,462,5781xm518,5624l492,5624,487,5644,481,5662,475,5680,469,5696,481,5714,490,5731,495,5748,497,5764,497,5771,496,5776,492,5781,490,5782,521,5782,521,5764,519,5748,515,5730,507,5712,495,5694,499,5682,505,5667,511,5647,518,5624xm291,5995l275,6016,290,6025,303,6034,316,6044,327,6054,343,6033,331,6023,319,6013,305,6004,291,5995xm519,6032l491,6032,494,6036,497,6043,501,6052,524,6042,519,6032xm414,5925l400,5955,384,5981,366,6002,346,6018,351,6040,388,6039,423,6037,458,6035,491,6032,519,6032,514,6022,510,6015,385,6015,399,5999,413,5981,426,5959,439,5934,414,5925xm475,5960l451,5971,457,5978,463,5987,470,5997,477,6008,454,6011,431,6012,408,6014,385,6015,510,6015,503,6002,490,5981,475,5960xm299,5927l282,5946,296,5956,309,5967,320,5978,330,5988,348,5970,337,5959,325,5948,312,5937,299,5927xm505,6058l358,6058,358,6174,383,6174,383,6161,505,6161,505,6137,383,6137,383,6082,505,6082,505,6058xm505,6161l479,6161,479,6174,505,6174,505,6161xm505,6082l479,6082,479,6137,505,6137,505,6082xm323,6067l314,6091,303,6114,291,6135,279,6155,298,6175,311,6153,323,6131,335,6107,345,6082,323,6067xm411,6443l386,6443,386,6509,411,6509,411,6443xm411,6403l386,6403,386,6412,362,6435,335,6454,306,6470,274,6483,287,6505,316,6492,342,6477,365,6461,386,6443,411,6443,411,6442,447,6442,435,6434,411,6412,411,6403xm447,6442l411,6442,433,6461,456,6477,482,6492,510,6504,524,6482,491,6469,461,6453,447,6442xm498,6381l300,6381,300,6445,325,6445,325,6403,498,6403,498,6381xm498,6403l473,6403,473,6421,471,6423,469,6423,449,6423,456,6444,461,6445,465,6445,481,6445,489,6443,496,6434,498,6429,498,6403xm411,6368l386,6368,386,6381,411,6381,411,6368xm521,6346l277,6346,277,6368,521,6368,521,6346xm411,6332l386,6332,386,6346,411,6346,411,6332xm472,6308l449,6315,454,6321,459,6330,463,6339,487,6333,483,6323,478,6315,478,6314,472,6308xm356,6308l333,6314,339,6322,343,6330,347,6339,370,6333,368,6324,363,6316,356,6308xm318,6262l308,6281,298,6296,286,6310,273,6321,273,6321,294,6336,302,6329,309,6321,316,6312,323,6303,395,6303,395,6282,336,6282,340,6275,342,6271,343,6269,318,6262xm429,6263l421,6279,412,6293,403,6305,393,6314,414,6328,421,6321,428,6312,434,6303,520,6303,520,6282,447,6282,449,6277,451,6273,453,6268,429,6263xm434,6663l405,6663,410,6671,417,6681,427,6691,414,6698,401,6705,387,6710,373,6716,385,6737,403,6730,419,6723,434,6715,447,6707,498,6707,495,6706,481,6699,467,6692,480,6680,483,6676,448,6676,439,6670,434,6663xm498,6707l447,6707,460,6715,475,6723,492,6730,512,6737,524,6716,509,6711,498,6707xm507,6644l479,6644,473,6652,465,6661,457,6669,448,6676,483,6676,491,6667,500,6655,507,6644xm427,6599l418,6615,406,6629,391,6644,373,6657,388,6676,394,6672,400,6668,405,6663,434,6663,431,6660,423,6646,425,6644,507,6644,507,6621,442,6621,444,6617,447,6612,450,6606,427,6599xm369,6613l282,6613,282,6831,303,6831,303,6810,369,6810,369,6788,303,6788,303,6721,369,6721,369,6698,303,6698,303,6636,369,6636,369,6613xm369,6810l348,6810,348,6824,369,6824,369,6810xm335,6721l316,6721,316,6788,335,6788,335,6721xm369,6721l348,6721,348,6788,369,6788,369,6721xm335,6636l316,6636,316,6698,335,6698,335,6636xm369,6636l348,6636,348,6698,369,6698,369,6636xm506,6742l390,6742,390,6846,415,6846,415,6836,506,6836,506,6812,415,6812,415,6765,506,6765,506,6742xm506,6836l481,6836,481,6845,506,6845,506,6836xm506,6765l481,6765,481,6812,506,6812,506,6765xe" filled="true" fillcolor="#58595b" stroked="false">
              <v:path arrowok="t"/>
              <v:fill type="solid"/>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88</w:t>
                    </w:r>
                  </w:p>
                </w:txbxContent>
              </v:textbox>
              <w10:wrap type="none"/>
            </v:shape>
            <w10:wrap type="none"/>
          </v:group>
        </w:pict>
      </w:r>
      <w:r>
        <w:rPr/>
        <w:pict>
          <v:shape style="position:absolute;margin-left:56.668499pt;margin-top:21.462345pt;width:482.05pt;height:672.35pt;mso-position-horizontal-relative:page;mso-position-vertical-relative:paragraph;z-index:25181388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11"/>
                    <w:gridCol w:w="991"/>
                    <w:gridCol w:w="997"/>
                    <w:gridCol w:w="6419"/>
                  </w:tblGrid>
                  <w:tr>
                    <w:trPr>
                      <w:trHeight w:val="451" w:hRule="atLeast"/>
                    </w:trPr>
                    <w:tc>
                      <w:tcPr>
                        <w:tcW w:w="3199" w:type="dxa"/>
                        <w:gridSpan w:val="3"/>
                        <w:shd w:val="clear" w:color="auto" w:fill="E6E7E8"/>
                      </w:tcPr>
                      <w:p>
                        <w:pPr>
                          <w:pStyle w:val="TableParagraph"/>
                          <w:spacing w:line="431" w:lineRule="exact"/>
                          <w:ind w:left="1099" w:right="1084"/>
                          <w:jc w:val="center"/>
                          <w:rPr>
                            <w:rFonts w:ascii="微軟正黑體" w:eastAsia="微軟正黑體" w:hint="eastAsia"/>
                            <w:b/>
                            <w:sz w:val="24"/>
                          </w:rPr>
                        </w:pPr>
                        <w:r>
                          <w:rPr>
                            <w:rFonts w:ascii="微軟正黑體" w:eastAsia="微軟正黑體" w:hint="eastAsia"/>
                            <w:b/>
                            <w:color w:val="231F20"/>
                            <w:sz w:val="24"/>
                          </w:rPr>
                          <w:t>主責單位</w:t>
                        </w:r>
                      </w:p>
                    </w:tc>
                    <w:tc>
                      <w:tcPr>
                        <w:tcW w:w="6419" w:type="dxa"/>
                        <w:vMerge w:val="restart"/>
                        <w:shd w:val="clear" w:color="auto" w:fill="E6E7E8"/>
                      </w:tcPr>
                      <w:p>
                        <w:pPr>
                          <w:pStyle w:val="TableParagraph"/>
                          <w:spacing w:before="233"/>
                          <w:ind w:left="2710" w:right="2693"/>
                          <w:jc w:val="center"/>
                          <w:rPr>
                            <w:rFonts w:ascii="微軟正黑體" w:eastAsia="微軟正黑體" w:hint="eastAsia"/>
                            <w:b/>
                            <w:sz w:val="24"/>
                          </w:rPr>
                        </w:pPr>
                        <w:r>
                          <w:rPr>
                            <w:rFonts w:ascii="微軟正黑體" w:eastAsia="微軟正黑體" w:hint="eastAsia"/>
                            <w:b/>
                            <w:color w:val="231F20"/>
                            <w:sz w:val="24"/>
                          </w:rPr>
                          <w:t>工作內容</w:t>
                        </w:r>
                      </w:p>
                    </w:tc>
                  </w:tr>
                  <w:tr>
                    <w:trPr>
                      <w:trHeight w:val="451" w:hRule="atLeast"/>
                    </w:trPr>
                    <w:tc>
                      <w:tcPr>
                        <w:tcW w:w="1211" w:type="dxa"/>
                        <w:shd w:val="clear" w:color="auto" w:fill="E6E7E8"/>
                      </w:tcPr>
                      <w:p>
                        <w:pPr>
                          <w:pStyle w:val="TableParagraph"/>
                          <w:spacing w:line="431" w:lineRule="exact"/>
                          <w:ind w:left="125"/>
                          <w:rPr>
                            <w:rFonts w:ascii="微軟正黑體" w:eastAsia="微軟正黑體" w:hint="eastAsia"/>
                            <w:b/>
                            <w:sz w:val="24"/>
                          </w:rPr>
                        </w:pPr>
                        <w:r>
                          <w:rPr>
                            <w:rFonts w:ascii="微軟正黑體" w:eastAsia="微軟正黑體" w:hint="eastAsia"/>
                            <w:b/>
                            <w:color w:val="231F20"/>
                            <w:sz w:val="24"/>
                          </w:rPr>
                          <w:t>區管中心</w:t>
                        </w:r>
                      </w:p>
                    </w:tc>
                    <w:tc>
                      <w:tcPr>
                        <w:tcW w:w="991" w:type="dxa"/>
                        <w:shd w:val="clear" w:color="auto" w:fill="E6E7E8"/>
                      </w:tcPr>
                      <w:p>
                        <w:pPr>
                          <w:pStyle w:val="TableParagraph"/>
                          <w:spacing w:line="431" w:lineRule="exact"/>
                          <w:ind w:left="115" w:right="100"/>
                          <w:jc w:val="center"/>
                          <w:rPr>
                            <w:rFonts w:ascii="微軟正黑體" w:eastAsia="微軟正黑體" w:hint="eastAsia"/>
                            <w:b/>
                            <w:sz w:val="24"/>
                          </w:rPr>
                        </w:pPr>
                        <w:r>
                          <w:rPr>
                            <w:rFonts w:ascii="微軟正黑體" w:eastAsia="微軟正黑體" w:hint="eastAsia"/>
                            <w:b/>
                            <w:color w:val="231F20"/>
                            <w:sz w:val="24"/>
                          </w:rPr>
                          <w:t>衛生局</w:t>
                        </w:r>
                      </w:p>
                    </w:tc>
                    <w:tc>
                      <w:tcPr>
                        <w:tcW w:w="997" w:type="dxa"/>
                        <w:shd w:val="clear" w:color="auto" w:fill="E6E7E8"/>
                      </w:tcPr>
                      <w:p>
                        <w:pPr>
                          <w:pStyle w:val="TableParagraph"/>
                          <w:spacing w:line="431" w:lineRule="exact"/>
                          <w:ind w:left="119" w:right="103"/>
                          <w:jc w:val="center"/>
                          <w:rPr>
                            <w:rFonts w:ascii="微軟正黑體" w:eastAsia="微軟正黑體" w:hint="eastAsia"/>
                            <w:b/>
                            <w:sz w:val="24"/>
                          </w:rPr>
                        </w:pPr>
                        <w:r>
                          <w:rPr>
                            <w:rFonts w:ascii="微軟正黑體" w:eastAsia="微軟正黑體" w:hint="eastAsia"/>
                            <w:b/>
                            <w:color w:val="231F20"/>
                            <w:sz w:val="24"/>
                          </w:rPr>
                          <w:t>衛生所</w:t>
                        </w:r>
                      </w:p>
                    </w:tc>
                    <w:tc>
                      <w:tcPr>
                        <w:tcW w:w="6419" w:type="dxa"/>
                        <w:vMerge/>
                        <w:tcBorders>
                          <w:top w:val="nil"/>
                        </w:tcBorders>
                        <w:shd w:val="clear" w:color="auto" w:fill="E6E7E8"/>
                      </w:tcPr>
                      <w:p>
                        <w:pPr>
                          <w:rPr>
                            <w:sz w:val="2"/>
                            <w:szCs w:val="2"/>
                          </w:rPr>
                        </w:pPr>
                      </w:p>
                    </w:tc>
                  </w:tr>
                  <w:tr>
                    <w:trPr>
                      <w:trHeight w:val="833" w:hRule="atLeast"/>
                    </w:trPr>
                    <w:tc>
                      <w:tcPr>
                        <w:tcW w:w="1211" w:type="dxa"/>
                        <w:vMerge w:val="restart"/>
                      </w:tcPr>
                      <w:p>
                        <w:pPr>
                          <w:pStyle w:val="TableParagraph"/>
                          <w:rPr>
                            <w:rFonts w:ascii="Times New Roman"/>
                            <w:sz w:val="22"/>
                          </w:rPr>
                        </w:pPr>
                      </w:p>
                    </w:tc>
                    <w:tc>
                      <w:tcPr>
                        <w:tcW w:w="991" w:type="dxa"/>
                        <w:tcBorders>
                          <w:bottom w:val="nil"/>
                        </w:tcBorders>
                      </w:tcPr>
                      <w:p>
                        <w:pPr>
                          <w:pStyle w:val="TableParagraph"/>
                          <w:spacing w:before="8"/>
                          <w:rPr>
                            <w:rFonts w:ascii="微軟正黑體"/>
                            <w:b/>
                            <w:sz w:val="25"/>
                          </w:rPr>
                        </w:pPr>
                      </w:p>
                      <w:p>
                        <w:pPr>
                          <w:pStyle w:val="TableParagraph"/>
                          <w:ind w:left="15"/>
                          <w:jc w:val="center"/>
                          <w:rPr>
                            <w:rFonts w:ascii="新細明體" w:eastAsia="新細明體" w:hint="eastAsia"/>
                            <w:sz w:val="24"/>
                          </w:rPr>
                        </w:pPr>
                        <w:r>
                          <w:rPr>
                            <w:rFonts w:ascii="新細明體" w:eastAsia="新細明體" w:hint="eastAsia"/>
                            <w:color w:val="231F20"/>
                            <w:sz w:val="24"/>
                          </w:rPr>
                          <w:t>口</w:t>
                        </w:r>
                      </w:p>
                    </w:tc>
                    <w:tc>
                      <w:tcPr>
                        <w:tcW w:w="997" w:type="dxa"/>
                        <w:tcBorders>
                          <w:bottom w:val="nil"/>
                        </w:tcBorders>
                      </w:tcPr>
                      <w:p>
                        <w:pPr>
                          <w:pStyle w:val="TableParagraph"/>
                          <w:rPr>
                            <w:rFonts w:ascii="Times New Roman"/>
                            <w:sz w:val="22"/>
                          </w:rPr>
                        </w:pPr>
                      </w:p>
                    </w:tc>
                    <w:tc>
                      <w:tcPr>
                        <w:tcW w:w="6419" w:type="dxa"/>
                        <w:vMerge w:val="restart"/>
                      </w:tcPr>
                      <w:p>
                        <w:pPr>
                          <w:pStyle w:val="TableParagraph"/>
                          <w:ind w:left="114"/>
                          <w:rPr>
                            <w:rFonts w:ascii="微軟正黑體" w:eastAsia="微軟正黑體" w:hint="eastAsia"/>
                            <w:b/>
                            <w:sz w:val="24"/>
                          </w:rPr>
                        </w:pPr>
                        <w:r>
                          <w:rPr>
                            <w:rFonts w:ascii="微軟正黑體" w:eastAsia="微軟正黑體" w:hint="eastAsia"/>
                            <w:b/>
                            <w:color w:val="231F20"/>
                            <w:sz w:val="24"/>
                          </w:rPr>
                          <w:t>都治關懐員管理與其他</w:t>
                        </w:r>
                      </w:p>
                      <w:p>
                        <w:pPr>
                          <w:pStyle w:val="TableParagraph"/>
                          <w:numPr>
                            <w:ilvl w:val="0"/>
                            <w:numId w:val="179"/>
                          </w:numPr>
                          <w:tabs>
                            <w:tab w:pos="359" w:val="left" w:leader="none"/>
                          </w:tabs>
                          <w:spacing w:line="414" w:lineRule="exact" w:before="0" w:after="0"/>
                          <w:ind w:left="358" w:right="0" w:hanging="245"/>
                          <w:jc w:val="left"/>
                          <w:rPr>
                            <w:sz w:val="24"/>
                          </w:rPr>
                        </w:pPr>
                        <w:r>
                          <w:rPr>
                            <w:color w:val="231F20"/>
                            <w:sz w:val="24"/>
                          </w:rPr>
                          <w:t>關懷員聘任、職前與在職訓練</w:t>
                        </w:r>
                      </w:p>
                      <w:p>
                        <w:pPr>
                          <w:pStyle w:val="TableParagraph"/>
                          <w:numPr>
                            <w:ilvl w:val="0"/>
                            <w:numId w:val="179"/>
                          </w:numPr>
                          <w:tabs>
                            <w:tab w:pos="359" w:val="left" w:leader="none"/>
                          </w:tabs>
                          <w:spacing w:line="410" w:lineRule="exact" w:before="0" w:after="0"/>
                          <w:ind w:left="358" w:right="0" w:hanging="245"/>
                          <w:jc w:val="left"/>
                          <w:rPr>
                            <w:sz w:val="24"/>
                          </w:rPr>
                        </w:pPr>
                        <w:r>
                          <w:rPr>
                            <w:color w:val="231F20"/>
                            <w:sz w:val="24"/>
                          </w:rPr>
                          <w:t>關懷員管理</w:t>
                        </w:r>
                      </w:p>
                      <w:p>
                        <w:pPr>
                          <w:pStyle w:val="TableParagraph"/>
                          <w:spacing w:line="414" w:lineRule="exact"/>
                          <w:ind w:left="267"/>
                          <w:rPr>
                            <w:sz w:val="24"/>
                          </w:rPr>
                        </w:pPr>
                        <w:r>
                          <w:rPr>
                            <w:rFonts w:ascii="Wingdings" w:hAnsi="Wingdings" w:eastAsia="Wingdings"/>
                            <w:color w:val="231F20"/>
                            <w:w w:val="155"/>
                            <w:sz w:val="24"/>
                          </w:rPr>
                          <w:t>申</w:t>
                        </w:r>
                        <w:r>
                          <w:rPr>
                            <w:rFonts w:ascii="Times New Roman" w:hAnsi="Times New Roman" w:eastAsia="Times New Roman"/>
                            <w:color w:val="231F20"/>
                            <w:spacing w:val="-44"/>
                            <w:w w:val="155"/>
                            <w:sz w:val="24"/>
                          </w:rPr>
                          <w:t> </w:t>
                        </w:r>
                        <w:r>
                          <w:rPr>
                            <w:color w:val="231F20"/>
                            <w:w w:val="105"/>
                            <w:sz w:val="24"/>
                          </w:rPr>
                          <w:t>督導地段內之都治關懷員</w:t>
                        </w:r>
                      </w:p>
                      <w:p>
                        <w:pPr>
                          <w:pStyle w:val="TableParagraph"/>
                          <w:spacing w:line="414" w:lineRule="exact" w:before="53"/>
                          <w:ind w:left="267"/>
                          <w:rPr>
                            <w:sz w:val="24"/>
                          </w:rPr>
                        </w:pPr>
                        <w:r>
                          <w:rPr>
                            <w:rFonts w:ascii="Wingdings" w:hAnsi="Wingdings" w:eastAsia="Wingdings"/>
                            <w:color w:val="231F20"/>
                            <w:w w:val="155"/>
                            <w:sz w:val="24"/>
                          </w:rPr>
                          <w:t>申</w:t>
                        </w:r>
                        <w:r>
                          <w:rPr>
                            <w:rFonts w:ascii="Times New Roman" w:hAnsi="Times New Roman" w:eastAsia="Times New Roman"/>
                            <w:color w:val="231F20"/>
                            <w:spacing w:val="-44"/>
                            <w:w w:val="155"/>
                            <w:sz w:val="24"/>
                          </w:rPr>
                          <w:t> </w:t>
                        </w:r>
                        <w:r>
                          <w:rPr>
                            <w:color w:val="231F20"/>
                            <w:w w:val="105"/>
                            <w:sz w:val="24"/>
                          </w:rPr>
                          <w:t>考核關懷員工作執行情形</w:t>
                        </w:r>
                      </w:p>
                      <w:p>
                        <w:pPr>
                          <w:pStyle w:val="TableParagraph"/>
                          <w:numPr>
                            <w:ilvl w:val="0"/>
                            <w:numId w:val="179"/>
                          </w:numPr>
                          <w:tabs>
                            <w:tab w:pos="359" w:val="left" w:leader="none"/>
                          </w:tabs>
                          <w:spacing w:line="414" w:lineRule="exact" w:before="0" w:after="0"/>
                          <w:ind w:left="358" w:right="0" w:hanging="245"/>
                          <w:jc w:val="left"/>
                          <w:rPr>
                            <w:sz w:val="24"/>
                          </w:rPr>
                        </w:pPr>
                        <w:r>
                          <w:rPr>
                            <w:color w:val="231F20"/>
                            <w:spacing w:val="-1"/>
                            <w:sz w:val="24"/>
                          </w:rPr>
                          <w:t>督導衛生所按日進行 </w:t>
                        </w:r>
                        <w:r>
                          <w:rPr>
                            <w:color w:val="231F20"/>
                            <w:sz w:val="24"/>
                          </w:rPr>
                          <w:t>TB</w:t>
                        </w:r>
                        <w:r>
                          <w:rPr>
                            <w:color w:val="231F20"/>
                            <w:spacing w:val="-3"/>
                            <w:sz w:val="24"/>
                          </w:rPr>
                          <w:t> 系統資料登錄</w:t>
                        </w:r>
                      </w:p>
                      <w:p>
                        <w:pPr>
                          <w:pStyle w:val="TableParagraph"/>
                          <w:numPr>
                            <w:ilvl w:val="0"/>
                            <w:numId w:val="179"/>
                          </w:numPr>
                          <w:tabs>
                            <w:tab w:pos="359" w:val="left" w:leader="none"/>
                          </w:tabs>
                          <w:spacing w:line="414" w:lineRule="exact" w:before="107" w:after="0"/>
                          <w:ind w:left="358" w:right="0" w:hanging="245"/>
                          <w:jc w:val="left"/>
                          <w:rPr>
                            <w:sz w:val="24"/>
                          </w:rPr>
                        </w:pPr>
                        <w:r>
                          <w:rPr>
                            <w:color w:val="231F20"/>
                            <w:sz w:val="24"/>
                          </w:rPr>
                          <w:t>召開諮詢會議或個案口冊會議</w:t>
                        </w:r>
                      </w:p>
                      <w:p>
                        <w:pPr>
                          <w:pStyle w:val="TableParagraph"/>
                          <w:numPr>
                            <w:ilvl w:val="0"/>
                            <w:numId w:val="179"/>
                          </w:numPr>
                          <w:tabs>
                            <w:tab w:pos="359" w:val="left" w:leader="none"/>
                          </w:tabs>
                          <w:spacing w:line="394" w:lineRule="exact" w:before="0" w:after="0"/>
                          <w:ind w:left="358" w:right="0" w:hanging="245"/>
                          <w:jc w:val="left"/>
                          <w:rPr>
                            <w:sz w:val="24"/>
                          </w:rPr>
                        </w:pPr>
                        <w:r>
                          <w:rPr>
                            <w:color w:val="231F20"/>
                            <w:sz w:val="24"/>
                          </w:rPr>
                          <w:t>公共衛生管理單位與醫療單位之協調</w:t>
                        </w:r>
                      </w:p>
                      <w:p>
                        <w:pPr>
                          <w:pStyle w:val="TableParagraph"/>
                          <w:spacing w:line="422" w:lineRule="exact"/>
                          <w:ind w:left="114"/>
                          <w:rPr>
                            <w:rFonts w:ascii="微軟正黑體" w:eastAsia="微軟正黑體" w:hint="eastAsia"/>
                            <w:b/>
                            <w:sz w:val="24"/>
                          </w:rPr>
                        </w:pPr>
                        <w:r>
                          <w:rPr>
                            <w:rFonts w:ascii="微軟正黑體" w:eastAsia="微軟正黑體" w:hint="eastAsia"/>
                            <w:b/>
                            <w:color w:val="231F20"/>
                            <w:w w:val="110"/>
                            <w:sz w:val="24"/>
                          </w:rPr>
                          <w:t>都治執行t呈</w:t>
                        </w:r>
                      </w:p>
                      <w:p>
                        <w:pPr>
                          <w:pStyle w:val="TableParagraph"/>
                          <w:numPr>
                            <w:ilvl w:val="0"/>
                            <w:numId w:val="179"/>
                          </w:numPr>
                          <w:tabs>
                            <w:tab w:pos="359" w:val="left" w:leader="none"/>
                          </w:tabs>
                          <w:spacing w:line="414" w:lineRule="exact" w:before="0" w:after="0"/>
                          <w:ind w:left="358" w:right="0" w:hanging="245"/>
                          <w:jc w:val="left"/>
                          <w:rPr>
                            <w:sz w:val="24"/>
                          </w:rPr>
                        </w:pPr>
                        <w:r>
                          <w:rPr>
                            <w:color w:val="231F20"/>
                            <w:sz w:val="24"/>
                          </w:rPr>
                          <w:t>收案</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病人通報 7 日內完成收案</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公衛管理人員確認是否用藥及治療處方正確</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10"/>
                            <w:sz w:val="24"/>
                          </w:rPr>
                          <w:t>指派關懷員</w:t>
                        </w:r>
                      </w:p>
                      <w:p>
                        <w:pPr>
                          <w:pStyle w:val="TableParagraph"/>
                          <w:numPr>
                            <w:ilvl w:val="0"/>
                            <w:numId w:val="179"/>
                          </w:numPr>
                          <w:tabs>
                            <w:tab w:pos="359" w:val="left" w:leader="none"/>
                          </w:tabs>
                          <w:spacing w:line="410" w:lineRule="exact" w:before="0" w:after="0"/>
                          <w:ind w:left="358" w:right="0" w:hanging="245"/>
                          <w:jc w:val="left"/>
                          <w:rPr>
                            <w:sz w:val="24"/>
                          </w:rPr>
                        </w:pPr>
                        <w:r>
                          <w:rPr>
                            <w:color w:val="231F20"/>
                            <w:sz w:val="24"/>
                          </w:rPr>
                          <w:t>加入都治</w:t>
                        </w:r>
                      </w:p>
                      <w:p>
                        <w:pPr>
                          <w:pStyle w:val="TableParagraph"/>
                          <w:spacing w:line="230" w:lineRule="auto" w:before="8"/>
                          <w:ind w:left="607" w:right="85" w:hanging="340"/>
                          <w:rPr>
                            <w:sz w:val="24"/>
                          </w:rPr>
                        </w:pPr>
                        <w:r>
                          <w:rPr>
                            <w:rFonts w:ascii="Wingdings" w:hAnsi="Wingdings" w:eastAsia="Wingdings"/>
                            <w:color w:val="231F20"/>
                            <w:sz w:val="24"/>
                          </w:rPr>
                          <w:t>申</w:t>
                        </w:r>
                        <w:r>
                          <w:rPr>
                            <w:rFonts w:ascii="Times New Roman" w:hAnsi="Times New Roman" w:eastAsia="Times New Roman"/>
                            <w:color w:val="231F20"/>
                            <w:sz w:val="24"/>
                          </w:rPr>
                          <w:t> </w:t>
                        </w:r>
                        <w:r>
                          <w:rPr>
                            <w:color w:val="231F20"/>
                            <w:spacing w:val="7"/>
                            <w:sz w:val="24"/>
                          </w:rPr>
                          <w:t>公衛管理人員介紹關懷員，向個案說明，鼓勵加入</w:t>
                        </w:r>
                        <w:r>
                          <w:rPr>
                            <w:color w:val="231F20"/>
                            <w:spacing w:val="-222"/>
                            <w:sz w:val="24"/>
                          </w:rPr>
                          <w:t>都</w:t>
                        </w:r>
                        <w:r>
                          <w:rPr>
                            <w:color w:val="231F20"/>
                            <w:w w:val="105"/>
                            <w:sz w:val="24"/>
                          </w:rPr>
                          <w:t>治</w:t>
                        </w:r>
                      </w:p>
                      <w:p>
                        <w:pPr>
                          <w:pStyle w:val="TableParagraph"/>
                          <w:spacing w:line="230" w:lineRule="auto" w:before="8"/>
                          <w:ind w:left="607" w:right="97" w:hanging="340"/>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spacing w:val="-1"/>
                            <w:sz w:val="24"/>
                          </w:rPr>
                          <w:t>個案簽署同意書，公衛管理人員登錄 </w:t>
                        </w:r>
                        <w:r>
                          <w:rPr>
                            <w:color w:val="231F20"/>
                            <w:sz w:val="24"/>
                          </w:rPr>
                          <w:t>TB</w:t>
                        </w:r>
                        <w:r>
                          <w:rPr>
                            <w:color w:val="231F20"/>
                            <w:spacing w:val="-1"/>
                            <w:sz w:val="24"/>
                          </w:rPr>
                          <w:t> 系統，關懷</w:t>
                        </w:r>
                        <w:r>
                          <w:rPr>
                            <w:color w:val="231F20"/>
                            <w:spacing w:val="-216"/>
                            <w:sz w:val="24"/>
                          </w:rPr>
                          <w:t>員</w:t>
                        </w:r>
                        <w:r>
                          <w:rPr>
                            <w:color w:val="231F20"/>
                            <w:sz w:val="24"/>
                          </w:rPr>
                          <w:t>取得並保管個案之抗結核藥物</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不同意加入都治者，公衛管理人員密切訪視追蹤</w:t>
                        </w:r>
                      </w:p>
                      <w:p>
                        <w:pPr>
                          <w:pStyle w:val="TableParagraph"/>
                          <w:numPr>
                            <w:ilvl w:val="0"/>
                            <w:numId w:val="179"/>
                          </w:numPr>
                          <w:tabs>
                            <w:tab w:pos="359" w:val="left" w:leader="none"/>
                          </w:tabs>
                          <w:spacing w:line="410" w:lineRule="exact" w:before="0" w:after="0"/>
                          <w:ind w:left="358" w:right="0" w:hanging="245"/>
                          <w:jc w:val="left"/>
                          <w:rPr>
                            <w:sz w:val="24"/>
                          </w:rPr>
                        </w:pPr>
                        <w:r>
                          <w:rPr>
                            <w:color w:val="231F20"/>
                            <w:sz w:val="24"/>
                          </w:rPr>
                          <w:t>藥物保存</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藥物分裝，標示個案姓名、藥品處方、管理人</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妥善保存於都治站之專用藥品保存防潮櫃</w:t>
                        </w:r>
                      </w:p>
                      <w:p>
                        <w:pPr>
                          <w:pStyle w:val="TableParagraph"/>
                          <w:numPr>
                            <w:ilvl w:val="0"/>
                            <w:numId w:val="179"/>
                          </w:numPr>
                          <w:tabs>
                            <w:tab w:pos="359" w:val="left" w:leader="none"/>
                          </w:tabs>
                          <w:spacing w:line="410" w:lineRule="exact" w:before="0" w:after="0"/>
                          <w:ind w:left="358" w:right="0" w:hanging="245"/>
                          <w:jc w:val="left"/>
                          <w:rPr>
                            <w:sz w:val="24"/>
                          </w:rPr>
                        </w:pPr>
                        <w:r>
                          <w:rPr>
                            <w:color w:val="231F20"/>
                            <w:sz w:val="24"/>
                          </w:rPr>
                          <w:t>都治送藥</w:t>
                        </w:r>
                      </w:p>
                      <w:p>
                        <w:pPr>
                          <w:pStyle w:val="TableParagraph"/>
                          <w:spacing w:line="230" w:lineRule="auto" w:before="7"/>
                          <w:ind w:left="607" w:right="85" w:hanging="340"/>
                          <w:rPr>
                            <w:sz w:val="24"/>
                          </w:rPr>
                        </w:pPr>
                        <w:r>
                          <w:rPr>
                            <w:rFonts w:ascii="Wingdings" w:hAnsi="Wingdings" w:eastAsia="Wingdings"/>
                            <w:color w:val="231F20"/>
                            <w:w w:val="160"/>
                            <w:sz w:val="24"/>
                          </w:rPr>
                          <w:t>申</w:t>
                        </w:r>
                        <w:r>
                          <w:rPr>
                            <w:rFonts w:ascii="Times New Roman" w:hAnsi="Times New Roman" w:eastAsia="Times New Roman"/>
                            <w:color w:val="231F20"/>
                            <w:spacing w:val="67"/>
                            <w:w w:val="160"/>
                            <w:sz w:val="24"/>
                          </w:rPr>
                          <w:t> </w:t>
                        </w:r>
                        <w:r>
                          <w:rPr>
                            <w:color w:val="231F20"/>
                            <w:spacing w:val="6"/>
                            <w:sz w:val="24"/>
                          </w:rPr>
                          <w:t>第—次送藥前，與個案約定時間地點，由公衛管理</w:t>
                        </w:r>
                        <w:r>
                          <w:rPr>
                            <w:color w:val="231F20"/>
                            <w:spacing w:val="-222"/>
                            <w:sz w:val="24"/>
                          </w:rPr>
                          <w:t>人</w:t>
                        </w:r>
                        <w:r>
                          <w:rPr>
                            <w:color w:val="231F20"/>
                            <w:sz w:val="24"/>
                          </w:rPr>
                          <w:t>員陪同關懷員關懷送藥</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都治站領藥，填寫領藥紀錄，確認藥物正確</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依路線單送藥，三讀五對，目視個案服藥且吞下</w:t>
                        </w:r>
                      </w:p>
                      <w:p>
                        <w:pPr>
                          <w:pStyle w:val="TableParagraph"/>
                          <w:spacing w:line="410" w:lineRule="exact"/>
                          <w:ind w:left="267"/>
                          <w:rPr>
                            <w:sz w:val="24"/>
                          </w:rPr>
                        </w:pPr>
                        <w:r>
                          <w:rPr>
                            <w:rFonts w:ascii="Wingdings" w:hAnsi="Wingdings" w:eastAsia="Wingdings"/>
                            <w:color w:val="231F20"/>
                            <w:w w:val="130"/>
                            <w:sz w:val="24"/>
                          </w:rPr>
                          <w:t>申</w:t>
                        </w:r>
                        <w:r>
                          <w:rPr>
                            <w:rFonts w:ascii="Times New Roman" w:hAnsi="Times New Roman" w:eastAsia="Times New Roman"/>
                            <w:color w:val="231F20"/>
                            <w:spacing w:val="-35"/>
                            <w:w w:val="130"/>
                            <w:sz w:val="24"/>
                          </w:rPr>
                          <w:t> </w:t>
                        </w:r>
                        <w:r>
                          <w:rPr>
                            <w:color w:val="231F20"/>
                            <w:spacing w:val="-4"/>
                            <w:w w:val="105"/>
                            <w:sz w:val="24"/>
                          </w:rPr>
                          <w:t>評估服藥副作用及需求，服用 </w:t>
                        </w:r>
                        <w:r>
                          <w:rPr>
                            <w:color w:val="231F20"/>
                            <w:w w:val="105"/>
                            <w:sz w:val="24"/>
                          </w:rPr>
                          <w:t>EMB</w:t>
                        </w:r>
                        <w:r>
                          <w:rPr>
                            <w:color w:val="231F20"/>
                            <w:spacing w:val="-19"/>
                            <w:w w:val="105"/>
                            <w:sz w:val="24"/>
                          </w:rPr>
                          <w:t> 者每週檢査辨色力</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提醒就診時間、追蹤檢査，必要時陪同個案回診</w:t>
                        </w:r>
                      </w:p>
                      <w:p>
                        <w:pPr>
                          <w:pStyle w:val="TableParagraph"/>
                          <w:spacing w:line="396"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發放營養券，憑證簽名，記錄都治日誌</w:t>
                        </w:r>
                      </w:p>
                    </w:tc>
                  </w:tr>
                  <w:tr>
                    <w:trPr>
                      <w:trHeight w:val="394" w:hRule="atLeast"/>
                    </w:trPr>
                    <w:tc>
                      <w:tcPr>
                        <w:tcW w:w="1211" w:type="dxa"/>
                        <w:vMerge/>
                        <w:tcBorders>
                          <w:top w:val="nil"/>
                        </w:tcBorders>
                      </w:tcPr>
                      <w:p>
                        <w:pPr>
                          <w:rPr>
                            <w:sz w:val="2"/>
                            <w:szCs w:val="2"/>
                          </w:rPr>
                        </w:pPr>
                      </w:p>
                    </w:tc>
                    <w:tc>
                      <w:tcPr>
                        <w:tcW w:w="991" w:type="dxa"/>
                        <w:tcBorders>
                          <w:top w:val="nil"/>
                          <w:bottom w:val="nil"/>
                        </w:tcBorders>
                      </w:tcPr>
                      <w:p>
                        <w:pPr>
                          <w:pStyle w:val="TableParagraph"/>
                          <w:spacing w:before="29"/>
                          <w:ind w:left="15"/>
                          <w:jc w:val="center"/>
                          <w:rPr>
                            <w:rFonts w:ascii="新細明體" w:eastAsia="新細明體" w:hint="eastAsia"/>
                            <w:sz w:val="24"/>
                          </w:rPr>
                        </w:pPr>
                        <w:r>
                          <w:rPr>
                            <w:rFonts w:ascii="新細明體" w:eastAsia="新細明體" w:hint="eastAsia"/>
                            <w:color w:val="231F20"/>
                            <w:sz w:val="24"/>
                          </w:rPr>
                          <w:t>口</w:t>
                        </w:r>
                      </w:p>
                    </w:tc>
                    <w:tc>
                      <w:tcPr>
                        <w:tcW w:w="997" w:type="dxa"/>
                        <w:tcBorders>
                          <w:top w:val="nil"/>
                          <w:bottom w:val="nil"/>
                        </w:tcBorders>
                      </w:tcPr>
                      <w:p>
                        <w:pPr>
                          <w:pStyle w:val="TableParagraph"/>
                          <w:spacing w:before="29"/>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r>
                    <w:trPr>
                      <w:trHeight w:val="425" w:hRule="atLeast"/>
                    </w:trPr>
                    <w:tc>
                      <w:tcPr>
                        <w:tcW w:w="1211" w:type="dxa"/>
                        <w:vMerge/>
                        <w:tcBorders>
                          <w:top w:val="nil"/>
                        </w:tcBorders>
                      </w:tcPr>
                      <w:p>
                        <w:pPr>
                          <w:rPr>
                            <w:sz w:val="2"/>
                            <w:szCs w:val="2"/>
                          </w:rPr>
                        </w:pPr>
                      </w:p>
                    </w:tc>
                    <w:tc>
                      <w:tcPr>
                        <w:tcW w:w="991" w:type="dxa"/>
                        <w:tcBorders>
                          <w:top w:val="nil"/>
                          <w:bottom w:val="nil"/>
                        </w:tcBorders>
                      </w:tcPr>
                      <w:p>
                        <w:pPr>
                          <w:pStyle w:val="TableParagraph"/>
                          <w:rPr>
                            <w:rFonts w:ascii="Times New Roman"/>
                            <w:sz w:val="22"/>
                          </w:rPr>
                        </w:pPr>
                      </w:p>
                    </w:tc>
                    <w:tc>
                      <w:tcPr>
                        <w:tcW w:w="997" w:type="dxa"/>
                        <w:tcBorders>
                          <w:top w:val="nil"/>
                          <w:bottom w:val="nil"/>
                        </w:tcBorders>
                      </w:tcPr>
                      <w:p>
                        <w:pPr>
                          <w:pStyle w:val="TableParagraph"/>
                          <w:spacing w:before="29"/>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r>
                    <w:trPr>
                      <w:trHeight w:val="425" w:hRule="atLeast"/>
                    </w:trPr>
                    <w:tc>
                      <w:tcPr>
                        <w:tcW w:w="1211" w:type="dxa"/>
                        <w:vMerge/>
                        <w:tcBorders>
                          <w:top w:val="nil"/>
                        </w:tcBorders>
                      </w:tcPr>
                      <w:p>
                        <w:pPr>
                          <w:rPr>
                            <w:sz w:val="2"/>
                            <w:szCs w:val="2"/>
                          </w:rPr>
                        </w:pPr>
                      </w:p>
                    </w:tc>
                    <w:tc>
                      <w:tcPr>
                        <w:tcW w:w="991" w:type="dxa"/>
                        <w:tcBorders>
                          <w:top w:val="nil"/>
                          <w:bottom w:val="nil"/>
                        </w:tcBorders>
                      </w:tcPr>
                      <w:p>
                        <w:pPr>
                          <w:pStyle w:val="TableParagraph"/>
                          <w:spacing w:before="60"/>
                          <w:ind w:left="15"/>
                          <w:jc w:val="center"/>
                          <w:rPr>
                            <w:rFonts w:ascii="新細明體" w:eastAsia="新細明體" w:hint="eastAsia"/>
                            <w:sz w:val="24"/>
                          </w:rPr>
                        </w:pPr>
                        <w:r>
                          <w:rPr>
                            <w:rFonts w:ascii="新細明體" w:eastAsia="新細明體" w:hint="eastAsia"/>
                            <w:color w:val="231F20"/>
                            <w:sz w:val="24"/>
                          </w:rPr>
                          <w:t>口</w:t>
                        </w:r>
                      </w:p>
                    </w:tc>
                    <w:tc>
                      <w:tcPr>
                        <w:tcW w:w="997" w:type="dxa"/>
                        <w:tcBorders>
                          <w:top w:val="nil"/>
                          <w:bottom w:val="nil"/>
                        </w:tcBorders>
                      </w:tcPr>
                      <w:p>
                        <w:pPr>
                          <w:pStyle w:val="TableParagraph"/>
                          <w:spacing w:before="60"/>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r>
                    <w:trPr>
                      <w:trHeight w:val="452" w:hRule="atLeast"/>
                    </w:trPr>
                    <w:tc>
                      <w:tcPr>
                        <w:tcW w:w="1211" w:type="dxa"/>
                        <w:vMerge/>
                        <w:tcBorders>
                          <w:top w:val="nil"/>
                        </w:tcBorders>
                      </w:tcPr>
                      <w:p>
                        <w:pPr>
                          <w:rPr>
                            <w:sz w:val="2"/>
                            <w:szCs w:val="2"/>
                          </w:rPr>
                        </w:pPr>
                      </w:p>
                    </w:tc>
                    <w:tc>
                      <w:tcPr>
                        <w:tcW w:w="991" w:type="dxa"/>
                        <w:tcBorders>
                          <w:top w:val="nil"/>
                          <w:bottom w:val="nil"/>
                        </w:tcBorders>
                      </w:tcPr>
                      <w:p>
                        <w:pPr>
                          <w:pStyle w:val="TableParagraph"/>
                          <w:spacing w:before="29"/>
                          <w:ind w:left="15"/>
                          <w:jc w:val="center"/>
                          <w:rPr>
                            <w:rFonts w:ascii="新細明體" w:eastAsia="新細明體" w:hint="eastAsia"/>
                            <w:sz w:val="24"/>
                          </w:rPr>
                        </w:pPr>
                        <w:r>
                          <w:rPr>
                            <w:rFonts w:ascii="新細明體" w:eastAsia="新細明體" w:hint="eastAsia"/>
                            <w:color w:val="231F20"/>
                            <w:sz w:val="24"/>
                          </w:rPr>
                          <w:t>口</w:t>
                        </w:r>
                      </w:p>
                    </w:tc>
                    <w:tc>
                      <w:tcPr>
                        <w:tcW w:w="997" w:type="dxa"/>
                        <w:tcBorders>
                          <w:top w:val="nil"/>
                          <w:bottom w:val="nil"/>
                        </w:tcBorders>
                      </w:tcPr>
                      <w:p>
                        <w:pPr>
                          <w:pStyle w:val="TableParagraph"/>
                          <w:rPr>
                            <w:rFonts w:ascii="Times New Roman"/>
                            <w:sz w:val="22"/>
                          </w:rPr>
                        </w:pPr>
                      </w:p>
                    </w:tc>
                    <w:tc>
                      <w:tcPr>
                        <w:tcW w:w="6419" w:type="dxa"/>
                        <w:vMerge/>
                        <w:tcBorders>
                          <w:top w:val="nil"/>
                        </w:tcBorders>
                      </w:tcPr>
                      <w:p>
                        <w:pPr>
                          <w:rPr>
                            <w:sz w:val="2"/>
                            <w:szCs w:val="2"/>
                          </w:rPr>
                        </w:pPr>
                      </w:p>
                    </w:tc>
                  </w:tr>
                  <w:tr>
                    <w:trPr>
                      <w:trHeight w:val="452" w:hRule="atLeast"/>
                    </w:trPr>
                    <w:tc>
                      <w:tcPr>
                        <w:tcW w:w="1211" w:type="dxa"/>
                        <w:vMerge/>
                        <w:tcBorders>
                          <w:top w:val="nil"/>
                        </w:tcBorders>
                      </w:tcPr>
                      <w:p>
                        <w:pPr>
                          <w:rPr>
                            <w:sz w:val="2"/>
                            <w:szCs w:val="2"/>
                          </w:rPr>
                        </w:pPr>
                      </w:p>
                    </w:tc>
                    <w:tc>
                      <w:tcPr>
                        <w:tcW w:w="991" w:type="dxa"/>
                        <w:tcBorders>
                          <w:top w:val="nil"/>
                          <w:bottom w:val="nil"/>
                        </w:tcBorders>
                      </w:tcPr>
                      <w:p>
                        <w:pPr>
                          <w:pStyle w:val="TableParagraph"/>
                          <w:spacing w:before="87"/>
                          <w:ind w:left="15"/>
                          <w:jc w:val="center"/>
                          <w:rPr>
                            <w:rFonts w:ascii="新細明體" w:eastAsia="新細明體" w:hint="eastAsia"/>
                            <w:sz w:val="24"/>
                          </w:rPr>
                        </w:pPr>
                        <w:r>
                          <w:rPr>
                            <w:rFonts w:ascii="新細明體" w:eastAsia="新細明體" w:hint="eastAsia"/>
                            <w:color w:val="231F20"/>
                            <w:sz w:val="24"/>
                          </w:rPr>
                          <w:t>口</w:t>
                        </w:r>
                      </w:p>
                    </w:tc>
                    <w:tc>
                      <w:tcPr>
                        <w:tcW w:w="997" w:type="dxa"/>
                        <w:tcBorders>
                          <w:top w:val="nil"/>
                          <w:bottom w:val="nil"/>
                        </w:tcBorders>
                      </w:tcPr>
                      <w:p>
                        <w:pPr>
                          <w:pStyle w:val="TableParagraph"/>
                          <w:spacing w:before="87"/>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r>
                    <w:trPr>
                      <w:trHeight w:val="599" w:hRule="atLeast"/>
                    </w:trPr>
                    <w:tc>
                      <w:tcPr>
                        <w:tcW w:w="1211" w:type="dxa"/>
                        <w:vMerge/>
                        <w:tcBorders>
                          <w:top w:val="nil"/>
                        </w:tcBorders>
                      </w:tcPr>
                      <w:p>
                        <w:pPr>
                          <w:rPr>
                            <w:sz w:val="2"/>
                            <w:szCs w:val="2"/>
                          </w:rPr>
                        </w:pPr>
                      </w:p>
                    </w:tc>
                    <w:tc>
                      <w:tcPr>
                        <w:tcW w:w="991" w:type="dxa"/>
                        <w:tcBorders>
                          <w:top w:val="nil"/>
                          <w:bottom w:val="nil"/>
                        </w:tcBorders>
                      </w:tcPr>
                      <w:p>
                        <w:pPr>
                          <w:pStyle w:val="TableParagraph"/>
                          <w:spacing w:before="29"/>
                          <w:ind w:left="15"/>
                          <w:jc w:val="center"/>
                          <w:rPr>
                            <w:rFonts w:ascii="新細明體" w:eastAsia="新細明體" w:hint="eastAsia"/>
                            <w:sz w:val="24"/>
                          </w:rPr>
                        </w:pPr>
                        <w:r>
                          <w:rPr>
                            <w:rFonts w:ascii="新細明體" w:eastAsia="新細明體" w:hint="eastAsia"/>
                            <w:color w:val="231F20"/>
                            <w:sz w:val="24"/>
                          </w:rPr>
                          <w:t>口</w:t>
                        </w:r>
                      </w:p>
                    </w:tc>
                    <w:tc>
                      <w:tcPr>
                        <w:tcW w:w="997" w:type="dxa"/>
                        <w:tcBorders>
                          <w:top w:val="nil"/>
                          <w:bottom w:val="nil"/>
                        </w:tcBorders>
                      </w:tcPr>
                      <w:p>
                        <w:pPr>
                          <w:pStyle w:val="TableParagraph"/>
                          <w:spacing w:before="29"/>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r>
                    <w:trPr>
                      <w:trHeight w:val="1214" w:hRule="atLeast"/>
                    </w:trPr>
                    <w:tc>
                      <w:tcPr>
                        <w:tcW w:w="1211" w:type="dxa"/>
                        <w:vMerge/>
                        <w:tcBorders>
                          <w:top w:val="nil"/>
                        </w:tcBorders>
                      </w:tcPr>
                      <w:p>
                        <w:pPr>
                          <w:rPr>
                            <w:sz w:val="2"/>
                            <w:szCs w:val="2"/>
                          </w:rPr>
                        </w:pPr>
                      </w:p>
                    </w:tc>
                    <w:tc>
                      <w:tcPr>
                        <w:tcW w:w="991" w:type="dxa"/>
                        <w:tcBorders>
                          <w:top w:val="nil"/>
                          <w:bottom w:val="nil"/>
                        </w:tcBorders>
                      </w:tcPr>
                      <w:p>
                        <w:pPr>
                          <w:pStyle w:val="TableParagraph"/>
                          <w:rPr>
                            <w:rFonts w:ascii="Times New Roman"/>
                            <w:sz w:val="22"/>
                          </w:rPr>
                        </w:pPr>
                      </w:p>
                    </w:tc>
                    <w:tc>
                      <w:tcPr>
                        <w:tcW w:w="997" w:type="dxa"/>
                        <w:tcBorders>
                          <w:top w:val="nil"/>
                          <w:bottom w:val="nil"/>
                        </w:tcBorders>
                      </w:tcPr>
                      <w:p>
                        <w:pPr>
                          <w:pStyle w:val="TableParagraph"/>
                          <w:spacing w:before="13"/>
                          <w:rPr>
                            <w:rFonts w:ascii="微軟正黑體"/>
                            <w:b/>
                            <w:sz w:val="12"/>
                          </w:rPr>
                        </w:pPr>
                      </w:p>
                      <w:p>
                        <w:pPr>
                          <w:pStyle w:val="TableParagraph"/>
                          <w:spacing w:before="1"/>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r>
                    <w:trPr>
                      <w:trHeight w:val="2024" w:hRule="atLeast"/>
                    </w:trPr>
                    <w:tc>
                      <w:tcPr>
                        <w:tcW w:w="1211" w:type="dxa"/>
                        <w:vMerge/>
                        <w:tcBorders>
                          <w:top w:val="nil"/>
                        </w:tcBorders>
                      </w:tcPr>
                      <w:p>
                        <w:pPr>
                          <w:rPr>
                            <w:sz w:val="2"/>
                            <w:szCs w:val="2"/>
                          </w:rPr>
                        </w:pPr>
                      </w:p>
                    </w:tc>
                    <w:tc>
                      <w:tcPr>
                        <w:tcW w:w="991" w:type="dxa"/>
                        <w:tcBorders>
                          <w:top w:val="nil"/>
                          <w:bottom w:val="nil"/>
                        </w:tcBorders>
                      </w:tcPr>
                      <w:p>
                        <w:pPr>
                          <w:pStyle w:val="TableParagraph"/>
                          <w:rPr>
                            <w:rFonts w:ascii="Times New Roman"/>
                            <w:sz w:val="22"/>
                          </w:rPr>
                        </w:pPr>
                      </w:p>
                    </w:tc>
                    <w:tc>
                      <w:tcPr>
                        <w:tcW w:w="997" w:type="dxa"/>
                        <w:tcBorders>
                          <w:top w:val="nil"/>
                          <w:bottom w:val="nil"/>
                        </w:tcBorders>
                      </w:tcPr>
                      <w:p>
                        <w:pPr>
                          <w:pStyle w:val="TableParagraph"/>
                          <w:rPr>
                            <w:rFonts w:ascii="微軟正黑體"/>
                            <w:b/>
                            <w:sz w:val="35"/>
                          </w:rPr>
                        </w:pPr>
                      </w:p>
                      <w:p>
                        <w:pPr>
                          <w:pStyle w:val="TableParagraph"/>
                          <w:spacing w:before="1"/>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r>
                    <w:trPr>
                      <w:trHeight w:val="1819" w:hRule="atLeast"/>
                    </w:trPr>
                    <w:tc>
                      <w:tcPr>
                        <w:tcW w:w="1211" w:type="dxa"/>
                        <w:vMerge/>
                        <w:tcBorders>
                          <w:top w:val="nil"/>
                        </w:tcBorders>
                      </w:tcPr>
                      <w:p>
                        <w:pPr>
                          <w:rPr>
                            <w:sz w:val="2"/>
                            <w:szCs w:val="2"/>
                          </w:rPr>
                        </w:pPr>
                      </w:p>
                    </w:tc>
                    <w:tc>
                      <w:tcPr>
                        <w:tcW w:w="991" w:type="dxa"/>
                        <w:tcBorders>
                          <w:top w:val="nil"/>
                          <w:bottom w:val="nil"/>
                        </w:tcBorders>
                      </w:tcPr>
                      <w:p>
                        <w:pPr>
                          <w:pStyle w:val="TableParagraph"/>
                          <w:rPr>
                            <w:rFonts w:ascii="Times New Roman"/>
                            <w:sz w:val="22"/>
                          </w:rPr>
                        </w:pPr>
                      </w:p>
                    </w:tc>
                    <w:tc>
                      <w:tcPr>
                        <w:tcW w:w="997" w:type="dxa"/>
                        <w:tcBorders>
                          <w:top w:val="nil"/>
                          <w:bottom w:val="nil"/>
                        </w:tcBorders>
                      </w:tcPr>
                      <w:p>
                        <w:pPr>
                          <w:pStyle w:val="TableParagraph"/>
                          <w:rPr>
                            <w:rFonts w:ascii="微軟正黑體"/>
                            <w:b/>
                            <w:sz w:val="24"/>
                          </w:rPr>
                        </w:pPr>
                      </w:p>
                      <w:p>
                        <w:pPr>
                          <w:pStyle w:val="TableParagraph"/>
                          <w:spacing w:before="14"/>
                          <w:rPr>
                            <w:rFonts w:ascii="微軟正黑體"/>
                            <w:b/>
                            <w:sz w:val="32"/>
                          </w:rPr>
                        </w:pPr>
                      </w:p>
                      <w:p>
                        <w:pPr>
                          <w:pStyle w:val="TableParagraph"/>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r>
                    <w:trPr>
                      <w:trHeight w:val="3692" w:hRule="atLeast"/>
                    </w:trPr>
                    <w:tc>
                      <w:tcPr>
                        <w:tcW w:w="1211" w:type="dxa"/>
                        <w:vMerge/>
                        <w:tcBorders>
                          <w:top w:val="nil"/>
                        </w:tcBorders>
                      </w:tcPr>
                      <w:p>
                        <w:pPr>
                          <w:rPr>
                            <w:sz w:val="2"/>
                            <w:szCs w:val="2"/>
                          </w:rPr>
                        </w:pPr>
                      </w:p>
                    </w:tc>
                    <w:tc>
                      <w:tcPr>
                        <w:tcW w:w="991" w:type="dxa"/>
                        <w:tcBorders>
                          <w:top w:val="nil"/>
                        </w:tcBorders>
                      </w:tcPr>
                      <w:p>
                        <w:pPr>
                          <w:pStyle w:val="TableParagraph"/>
                          <w:rPr>
                            <w:rFonts w:ascii="Times New Roman"/>
                            <w:sz w:val="22"/>
                          </w:rPr>
                        </w:pPr>
                      </w:p>
                    </w:tc>
                    <w:tc>
                      <w:tcPr>
                        <w:tcW w:w="997" w:type="dxa"/>
                        <w:tcBorders>
                          <w:top w:val="nil"/>
                        </w:tcBorders>
                      </w:tcPr>
                      <w:p>
                        <w:pPr>
                          <w:pStyle w:val="TableParagraph"/>
                          <w:spacing w:before="16"/>
                          <w:rPr>
                            <w:rFonts w:ascii="微軟正黑體"/>
                            <w:b/>
                            <w:sz w:val="23"/>
                          </w:rPr>
                        </w:pPr>
                      </w:p>
                      <w:p>
                        <w:pPr>
                          <w:pStyle w:val="TableParagraph"/>
                          <w:ind w:left="16"/>
                          <w:jc w:val="center"/>
                          <w:rPr>
                            <w:rFonts w:ascii="新細明體" w:eastAsia="新細明體" w:hint="eastAsia"/>
                            <w:sz w:val="24"/>
                          </w:rPr>
                        </w:pPr>
                        <w:r>
                          <w:rPr>
                            <w:rFonts w:ascii="新細明體" w:eastAsia="新細明體" w:hint="eastAsia"/>
                            <w:color w:val="231F20"/>
                            <w:sz w:val="24"/>
                          </w:rPr>
                          <w:t>口</w:t>
                        </w:r>
                      </w:p>
                    </w:tc>
                    <w:tc>
                      <w:tcPr>
                        <w:tcW w:w="6419" w:type="dxa"/>
                        <w:vMerge/>
                        <w:tcBorders>
                          <w:top w:val="nil"/>
                        </w:tcBorders>
                      </w:tcPr>
                      <w:p>
                        <w:pPr>
                          <w:rPr>
                            <w:sz w:val="2"/>
                            <w:szCs w:val="2"/>
                          </w:rPr>
                        </w:pPr>
                      </w:p>
                    </w:tc>
                  </w:tr>
                </w:tbl>
                <w:p>
                  <w:pPr>
                    <w:pStyle w:val="BodyText"/>
                  </w:pPr>
                </w:p>
              </w:txbxContent>
            </v:textbox>
            <w10:wrap type="none"/>
          </v:shape>
        </w:pict>
      </w:r>
      <w:r>
        <w:rPr>
          <w:color w:val="231F20"/>
        </w:rPr>
        <w:t>玖、都治策略檢核表</w:t>
      </w:r>
    </w:p>
    <w:p>
      <w:pPr>
        <w:spacing w:after="0" w:line="240" w:lineRule="auto"/>
        <w:sectPr>
          <w:pgSz w:w="11910" w:h="16840"/>
          <w:pgMar w:top="1060" w:bottom="0" w:left="980" w:right="0"/>
        </w:sectPr>
      </w:pP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11"/>
        <w:gridCol w:w="991"/>
        <w:gridCol w:w="997"/>
        <w:gridCol w:w="6419"/>
      </w:tblGrid>
      <w:tr>
        <w:trPr>
          <w:trHeight w:val="451" w:hRule="atLeast"/>
        </w:trPr>
        <w:tc>
          <w:tcPr>
            <w:tcW w:w="3199" w:type="dxa"/>
            <w:gridSpan w:val="3"/>
            <w:shd w:val="clear" w:color="auto" w:fill="E6E7E8"/>
          </w:tcPr>
          <w:p>
            <w:pPr>
              <w:pStyle w:val="TableParagraph"/>
              <w:spacing w:line="432" w:lineRule="exact"/>
              <w:ind w:left="1099" w:right="1084"/>
              <w:jc w:val="center"/>
              <w:rPr>
                <w:rFonts w:ascii="微軟正黑體" w:eastAsia="微軟正黑體" w:hint="eastAsia"/>
                <w:b/>
                <w:sz w:val="24"/>
              </w:rPr>
            </w:pPr>
            <w:r>
              <w:rPr>
                <w:rFonts w:ascii="微軟正黑體" w:eastAsia="微軟正黑體" w:hint="eastAsia"/>
                <w:b/>
                <w:color w:val="231F20"/>
                <w:sz w:val="24"/>
              </w:rPr>
              <w:t>主責單位</w:t>
            </w:r>
          </w:p>
        </w:tc>
        <w:tc>
          <w:tcPr>
            <w:tcW w:w="6419" w:type="dxa"/>
            <w:vMerge w:val="restart"/>
            <w:shd w:val="clear" w:color="auto" w:fill="E6E7E8"/>
          </w:tcPr>
          <w:p>
            <w:pPr>
              <w:pStyle w:val="TableParagraph"/>
              <w:spacing w:before="227"/>
              <w:ind w:left="2710" w:right="2693"/>
              <w:jc w:val="center"/>
              <w:rPr>
                <w:rFonts w:ascii="微軟正黑體" w:eastAsia="微軟正黑體" w:hint="eastAsia"/>
                <w:b/>
                <w:sz w:val="24"/>
              </w:rPr>
            </w:pPr>
            <w:r>
              <w:rPr>
                <w:rFonts w:ascii="微軟正黑體" w:eastAsia="微軟正黑體" w:hint="eastAsia"/>
                <w:b/>
                <w:color w:val="231F20"/>
                <w:sz w:val="24"/>
              </w:rPr>
              <w:t>工作內容</w:t>
            </w:r>
          </w:p>
        </w:tc>
      </w:tr>
      <w:tr>
        <w:trPr>
          <w:trHeight w:val="451" w:hRule="atLeast"/>
        </w:trPr>
        <w:tc>
          <w:tcPr>
            <w:tcW w:w="1211" w:type="dxa"/>
            <w:shd w:val="clear" w:color="auto" w:fill="E6E7E8"/>
          </w:tcPr>
          <w:p>
            <w:pPr>
              <w:pStyle w:val="TableParagraph"/>
              <w:spacing w:line="432" w:lineRule="exact"/>
              <w:ind w:left="105" w:right="91"/>
              <w:jc w:val="center"/>
              <w:rPr>
                <w:rFonts w:ascii="微軟正黑體" w:eastAsia="微軟正黑體" w:hint="eastAsia"/>
                <w:b/>
                <w:sz w:val="24"/>
              </w:rPr>
            </w:pPr>
            <w:r>
              <w:rPr>
                <w:rFonts w:ascii="微軟正黑體" w:eastAsia="微軟正黑體" w:hint="eastAsia"/>
                <w:b/>
                <w:color w:val="231F20"/>
                <w:sz w:val="24"/>
              </w:rPr>
              <w:t>區管中心</w:t>
            </w:r>
          </w:p>
        </w:tc>
        <w:tc>
          <w:tcPr>
            <w:tcW w:w="991" w:type="dxa"/>
            <w:shd w:val="clear" w:color="auto" w:fill="E6E7E8"/>
          </w:tcPr>
          <w:p>
            <w:pPr>
              <w:pStyle w:val="TableParagraph"/>
              <w:spacing w:line="432" w:lineRule="exact"/>
              <w:ind w:left="115" w:right="100"/>
              <w:jc w:val="center"/>
              <w:rPr>
                <w:rFonts w:ascii="微軟正黑體" w:eastAsia="微軟正黑體" w:hint="eastAsia"/>
                <w:b/>
                <w:sz w:val="24"/>
              </w:rPr>
            </w:pPr>
            <w:r>
              <w:rPr>
                <w:rFonts w:ascii="微軟正黑體" w:eastAsia="微軟正黑體" w:hint="eastAsia"/>
                <w:b/>
                <w:color w:val="231F20"/>
                <w:sz w:val="24"/>
              </w:rPr>
              <w:t>衛生局</w:t>
            </w:r>
          </w:p>
        </w:tc>
        <w:tc>
          <w:tcPr>
            <w:tcW w:w="997" w:type="dxa"/>
            <w:shd w:val="clear" w:color="auto" w:fill="E6E7E8"/>
          </w:tcPr>
          <w:p>
            <w:pPr>
              <w:pStyle w:val="TableParagraph"/>
              <w:spacing w:line="432" w:lineRule="exact"/>
              <w:ind w:left="139"/>
              <w:rPr>
                <w:rFonts w:ascii="微軟正黑體" w:eastAsia="微軟正黑體" w:hint="eastAsia"/>
                <w:b/>
                <w:sz w:val="24"/>
              </w:rPr>
            </w:pPr>
            <w:r>
              <w:rPr>
                <w:rFonts w:ascii="微軟正黑體" w:eastAsia="微軟正黑體" w:hint="eastAsia"/>
                <w:b/>
                <w:color w:val="231F20"/>
                <w:sz w:val="24"/>
              </w:rPr>
              <w:t>衛生所</w:t>
            </w:r>
          </w:p>
        </w:tc>
        <w:tc>
          <w:tcPr>
            <w:tcW w:w="6419" w:type="dxa"/>
            <w:vMerge/>
            <w:tcBorders>
              <w:top w:val="nil"/>
            </w:tcBorders>
            <w:shd w:val="clear" w:color="auto" w:fill="E6E7E8"/>
          </w:tcPr>
          <w:p>
            <w:pPr>
              <w:rPr>
                <w:sz w:val="2"/>
                <w:szCs w:val="2"/>
              </w:rPr>
            </w:pPr>
          </w:p>
        </w:tc>
      </w:tr>
      <w:tr>
        <w:trPr>
          <w:trHeight w:val="2890" w:hRule="atLeast"/>
        </w:trPr>
        <w:tc>
          <w:tcPr>
            <w:tcW w:w="1211" w:type="dxa"/>
          </w:tcPr>
          <w:p>
            <w:pPr>
              <w:pStyle w:val="TableParagraph"/>
              <w:rPr>
                <w:rFonts w:ascii="微軟正黑體"/>
                <w:b/>
                <w:sz w:val="24"/>
              </w:rPr>
            </w:pPr>
          </w:p>
          <w:p>
            <w:pPr>
              <w:pStyle w:val="TableParagraph"/>
              <w:rPr>
                <w:rFonts w:ascii="微軟正黑體"/>
                <w:b/>
                <w:sz w:val="24"/>
              </w:rPr>
            </w:pPr>
          </w:p>
          <w:p>
            <w:pPr>
              <w:pStyle w:val="TableParagraph"/>
              <w:spacing w:before="12"/>
              <w:rPr>
                <w:rFonts w:ascii="微軟正黑體"/>
                <w:b/>
                <w:sz w:val="21"/>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991" w:type="dxa"/>
          </w:tcPr>
          <w:p>
            <w:pPr>
              <w:pStyle w:val="TableParagraph"/>
              <w:rPr>
                <w:rFonts w:ascii="微軟正黑體"/>
                <w:b/>
                <w:sz w:val="24"/>
              </w:rPr>
            </w:pPr>
          </w:p>
          <w:p>
            <w:pPr>
              <w:pStyle w:val="TableParagraph"/>
              <w:rPr>
                <w:rFonts w:ascii="微軟正黑體"/>
                <w:b/>
                <w:sz w:val="24"/>
              </w:rPr>
            </w:pPr>
          </w:p>
          <w:p>
            <w:pPr>
              <w:pStyle w:val="TableParagraph"/>
              <w:spacing w:before="12"/>
              <w:rPr>
                <w:rFonts w:ascii="微軟正黑體"/>
                <w:b/>
                <w:sz w:val="21"/>
              </w:rPr>
            </w:pPr>
          </w:p>
          <w:p>
            <w:pPr>
              <w:pStyle w:val="TableParagraph"/>
              <w:ind w:left="15"/>
              <w:jc w:val="center"/>
              <w:rPr>
                <w:rFonts w:ascii="新細明體" w:eastAsia="新細明體" w:hint="eastAsia"/>
                <w:sz w:val="24"/>
              </w:rPr>
            </w:pPr>
            <w:r>
              <w:rPr>
                <w:rFonts w:ascii="新細明體" w:eastAsia="新細明體" w:hint="eastAsia"/>
                <w:color w:val="231F20"/>
                <w:sz w:val="24"/>
              </w:rPr>
              <w:t>口</w:t>
            </w:r>
          </w:p>
        </w:tc>
        <w:tc>
          <w:tcPr>
            <w:tcW w:w="997" w:type="dxa"/>
          </w:tcPr>
          <w:p>
            <w:pPr>
              <w:pStyle w:val="TableParagraph"/>
              <w:spacing w:before="51"/>
              <w:ind w:left="16"/>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spacing w:before="11"/>
              <w:rPr>
                <w:rFonts w:ascii="微軟正黑體"/>
                <w:b/>
                <w:sz w:val="24"/>
              </w:rPr>
            </w:pPr>
          </w:p>
          <w:p>
            <w:pPr>
              <w:pStyle w:val="TableParagraph"/>
              <w:ind w:left="16"/>
              <w:jc w:val="center"/>
              <w:rPr>
                <w:rFonts w:ascii="新細明體" w:eastAsia="新細明體" w:hint="eastAsia"/>
                <w:sz w:val="24"/>
              </w:rPr>
            </w:pPr>
            <w:r>
              <w:rPr>
                <w:rFonts w:ascii="新細明體" w:eastAsia="新細明體" w:hint="eastAsia"/>
                <w:color w:val="231F20"/>
                <w:sz w:val="24"/>
              </w:rPr>
              <w:t>口</w:t>
            </w:r>
          </w:p>
        </w:tc>
        <w:tc>
          <w:tcPr>
            <w:tcW w:w="6419" w:type="dxa"/>
          </w:tcPr>
          <w:p>
            <w:pPr>
              <w:pStyle w:val="TableParagraph"/>
              <w:numPr>
                <w:ilvl w:val="0"/>
                <w:numId w:val="180"/>
              </w:numPr>
              <w:tabs>
                <w:tab w:pos="359" w:val="left" w:leader="none"/>
              </w:tabs>
              <w:spacing w:line="414" w:lineRule="exact" w:before="25" w:after="0"/>
              <w:ind w:left="358" w:right="0" w:hanging="245"/>
              <w:jc w:val="left"/>
              <w:rPr>
                <w:sz w:val="24"/>
              </w:rPr>
            </w:pPr>
            <w:r>
              <w:rPr>
                <w:color w:val="231F20"/>
                <w:sz w:val="24"/>
              </w:rPr>
              <w:t>都治後整理</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關懷員與公衛管理人員口冊個案情形</w:t>
            </w:r>
          </w:p>
          <w:p>
            <w:pPr>
              <w:pStyle w:val="TableParagraph"/>
              <w:spacing w:line="410"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3 日內將都治日誌鍵入 TB 系統</w:t>
            </w:r>
          </w:p>
          <w:p>
            <w:pPr>
              <w:pStyle w:val="TableParagraph"/>
              <w:numPr>
                <w:ilvl w:val="0"/>
                <w:numId w:val="180"/>
              </w:numPr>
              <w:tabs>
                <w:tab w:pos="359" w:val="left" w:leader="none"/>
              </w:tabs>
              <w:spacing w:line="410" w:lineRule="exact" w:before="0" w:after="0"/>
              <w:ind w:left="358" w:right="0" w:hanging="245"/>
              <w:jc w:val="left"/>
              <w:rPr>
                <w:sz w:val="24"/>
              </w:rPr>
            </w:pPr>
            <w:r>
              <w:rPr>
                <w:color w:val="231F20"/>
                <w:sz w:val="24"/>
              </w:rPr>
              <w:t>都治査核</w:t>
            </w:r>
          </w:p>
          <w:p>
            <w:pPr>
              <w:pStyle w:val="TableParagraph"/>
              <w:spacing w:line="230" w:lineRule="auto" w:before="7"/>
              <w:ind w:left="624" w:right="88"/>
              <w:rPr>
                <w:sz w:val="24"/>
              </w:rPr>
            </w:pPr>
            <w:r>
              <w:rPr>
                <w:color w:val="231F20"/>
                <w:sz w:val="24"/>
              </w:rPr>
              <w:t>各層級依年度計畫之規範，進行都治査核；抗藥性結核病醫療照護體系病人都治査核依照抗藥性結核病照</w:t>
            </w:r>
          </w:p>
          <w:p>
            <w:pPr>
              <w:pStyle w:val="TableParagraph"/>
              <w:spacing w:line="393" w:lineRule="exact"/>
              <w:ind w:left="624"/>
              <w:rPr>
                <w:sz w:val="24"/>
              </w:rPr>
            </w:pPr>
            <w:r>
              <w:rPr>
                <w:color w:val="231F20"/>
                <w:sz w:val="24"/>
              </w:rPr>
              <w:t>護與管理專章辦理。</w:t>
            </w:r>
          </w:p>
        </w:tc>
      </w:tr>
    </w:tbl>
    <w:p>
      <w:pPr>
        <w:rPr>
          <w:sz w:val="2"/>
          <w:szCs w:val="2"/>
        </w:rPr>
      </w:pPr>
      <w:r>
        <w:rPr/>
        <w:pict>
          <v:group style="position:absolute;margin-left:557.686523pt;margin-top:232.158005pt;width:37.35pt;height:609.550pt;mso-position-horizontal-relative:page;mso-position-vertical-relative:page;z-index:251815936" coordorigin="11154,4643" coordsize="747,12191">
            <v:shape style="position:absolute;left:11283;top:5154;width:439;height:11680" type="#_x0000_t75" stroked="false">
              <v:imagedata r:id="rId86" o:title=""/>
            </v:shape>
            <v:shape style="position:absolute;left:11153;top:4643;width:747;height:812" coordorigin="11154,4643" coordsize="747,812" path="m11900,4643l11536,4643,11514,4645,11454,4679,11188,4962,11154,5049,11162,5095,11454,5418,11514,5452,11536,5454,11900,5454,11900,4643xe" filled="true" fillcolor="#49b7cf" stroked="false">
              <v:path arrowok="t"/>
              <v:fill type="solid"/>
            </v:shape>
            <v:shape style="position:absolute;left:11307;top:4910;width:390;height:278" type="#_x0000_t75" stroked="false">
              <v:imagedata r:id="rId94" o:title=""/>
            </v:shape>
            <v:shape style="position:absolute;left:11378;top:5592;width:252;height:1253" coordorigin="11378,5593" coordsize="252,1253" path="m11432,5747l11408,5747,11408,5838,11432,5838,11432,5822,11511,5822,11511,5800,11432,5800,11432,5781,11511,5781,11511,5760,11432,5760,11432,5747xm11511,5822l11487,5822,11487,5838,11511,5838,11511,5822xm11511,5781l11487,5781,11487,5800,11511,5800,11511,5781xm11511,5741l11487,5741,11487,5760,11511,5760,11511,5741xm11477,5694l11444,5694,11429,5706,11413,5716,11396,5726,11378,5735,11391,5755,11398,5752,11404,5749,11408,5747,11432,5747,11432,5741,11511,5741,11511,5718,11451,5718,11458,5713,11467,5705,11477,5694xm11527,5672l11382,5672,11382,5694,11527,5694,11527,5672xm11460,5642l11435,5642,11435,5672,11460,5672,11460,5642xm11491,5620l11394,5620,11394,5642,11490,5642,11482,5654,11474,5664,11467,5672,11496,5672,11504,5661,11512,5649,11518,5641,11491,5641,11491,5620xm11509,5612l11503,5622,11497,5632,11491,5641,11518,5641,11521,5636,11529,5622,11509,5612xm11460,5593l11435,5593,11435,5620,11460,5620,11460,5593xm11623,5600l11537,5600,11537,5838,11561,5838,11561,5624,11623,5624,11623,5600xm11567,5781l11573,5805,11580,5805,11585,5806,11600,5806,11609,5803,11623,5792,11626,5782,11583,5782,11574,5781,11567,5781xm11623,5624l11597,5624,11592,5644,11586,5662,11580,5680,11574,5696,11586,5714,11595,5731,11600,5748,11602,5764,11602,5771,11601,5776,11597,5781,11595,5782,11626,5782,11626,5764,11624,5748,11619,5730,11612,5712,11600,5694,11604,5682,11609,5667,11616,5647,11623,5624xm11396,5995l11380,6016,11395,6025,11408,6034,11421,6044,11432,6054,11448,6033,11436,6023,11424,6013,11410,6004,11396,5995xm11624,6032l11596,6032,11599,6036,11602,6043,11606,6052,11629,6042,11624,6032xm11519,5925l11505,5955,11489,5981,11471,6002,11451,6018,11456,6040,11493,6039,11528,6037,11563,6035,11596,6032,11624,6032,11619,6022,11615,6015,11490,6015,11504,5999,11518,5981,11531,5959,11544,5934,11519,5925xm11580,5960l11556,5971,11562,5978,11568,5987,11575,5997,11582,6008,11559,6011,11536,6012,11513,6014,11490,6015,11615,6015,11608,6002,11595,5981,11580,5960xm11404,5927l11387,5946,11401,5956,11414,5967,11425,5978,11435,5988,11453,5970,11442,5959,11430,5948,11417,5937,11404,5927xm11610,6058l11463,6058,11463,6174,11488,6174,11488,6161,11610,6161,11610,6137,11488,6137,11488,6082,11610,6082,11610,6058xm11610,6161l11584,6161,11584,6174,11610,6174,11610,6161xm11610,6082l11584,6082,11584,6137,11610,6137,11610,6082xm11428,6067l11419,6091,11408,6114,11396,6135,11384,6155,11403,6175,11416,6153,11428,6131,11440,6107,11450,6082,11428,6067xm11516,6443l11491,6443,11491,6509,11516,6509,11516,6443xm11516,6403l11491,6403,11491,6412,11467,6435,11440,6454,11411,6470,11379,6483,11392,6505,11421,6492,11447,6477,11470,6461,11491,6443,11516,6443,11516,6442,11552,6442,11540,6434,11516,6412,11516,6403xm11552,6442l11516,6442,11538,6461,11561,6477,11587,6492,11615,6504,11629,6482,11596,6469,11566,6453,11552,6442xm11603,6381l11405,6381,11405,6445,11430,6445,11430,6403,11603,6403,11603,6381xm11603,6403l11578,6403,11578,6421,11576,6423,11573,6423,11554,6423,11561,6444,11566,6445,11570,6445,11586,6445,11594,6443,11601,6434,11603,6429,11603,6403xm11516,6368l11491,6368,11491,6381,11516,6381,11516,6368xm11626,6346l11382,6346,11382,6368,11626,6368,11626,6346xm11516,6332l11491,6332,11491,6346,11516,6346,11516,6332xm11577,6308l11554,6315,11559,6321,11564,6330,11568,6339,11592,6333,11588,6323,11583,6315,11583,6314,11577,6308xm11461,6308l11438,6314,11444,6322,11448,6330,11452,6339,11475,6333,11473,6324,11468,6316,11461,6308xm11423,6262l11413,6281,11403,6296,11391,6310,11378,6321,11378,6321,11399,6336,11407,6329,11414,6321,11421,6312,11428,6303,11500,6303,11500,6282,11441,6282,11445,6275,11447,6271,11448,6269,11423,6262xm11534,6263l11526,6279,11517,6293,11508,6305,11498,6314,11519,6328,11526,6321,11533,6312,11539,6303,11625,6303,11625,6282,11552,6282,11554,6277,11556,6273,11557,6268,11534,6263xm11539,6663l11510,6663,11515,6671,11522,6681,11532,6691,11519,6698,11506,6705,11492,6710,11478,6716,11490,6737,11508,6730,11524,6723,11539,6715,11552,6707,11603,6707,11600,6706,11586,6699,11572,6692,11585,6680,11588,6676,11553,6676,11544,6670,11539,6663xm11603,6707l11552,6707,11565,6715,11580,6723,11597,6730,11617,6737,11629,6716,11614,6711,11603,6707xm11612,6644l11584,6644,11578,6652,11570,6661,11562,6669,11553,6676,11588,6676,11596,6667,11605,6655,11612,6644xm11532,6599l11523,6615,11511,6629,11496,6644,11478,6657,11493,6676,11499,6672,11505,6668,11510,6663,11539,6663,11536,6660,11528,6646,11530,6644,11612,6644,11612,6621,11547,6621,11549,6617,11552,6612,11555,6606,11532,6599xm11474,6613l11387,6613,11387,6831,11408,6831,11408,6810,11474,6810,11474,6788,11408,6788,11408,6721,11474,6721,11474,6698,11408,6698,11408,6636,11474,6636,11474,6613xm11474,6810l11453,6810,11453,6824,11474,6824,11474,6810xm11440,6721l11421,6721,11421,6788,11440,6788,11440,6721xm11474,6721l11453,6721,11453,6788,11474,6788,11474,6721xm11440,6636l11421,6636,11421,6698,11440,6698,11440,6636xm11474,6636l11453,6636,11453,6698,11474,6698,11474,6636xm11611,6742l11495,6742,11495,6846,11520,6846,11520,6836,11611,6836,11611,6812,11520,6812,11520,6765,11611,6765,11611,6742xm11611,6836l11586,6836,11586,6845,11611,6845,11611,6836xm11611,6765l11586,6765,11586,6812,11611,6812,11611,6765xe" filled="true" fillcolor="#58595b" stroked="false">
              <v:path arrowok="t"/>
              <v:fill type="solid"/>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89</w:t>
                    </w:r>
                  </w:p>
                </w:txbxContent>
              </v:textbox>
              <w10:wrap type="none"/>
            </v:shape>
            <w10:wrap type="none"/>
          </v:group>
        </w:pict>
      </w:r>
    </w:p>
    <w:p>
      <w:pPr>
        <w:spacing w:after="0"/>
        <w:rPr>
          <w:sz w:val="2"/>
          <w:szCs w:val="2"/>
        </w:rPr>
        <w:sectPr>
          <w:pgSz w:w="11910" w:h="16840"/>
          <w:pgMar w:top="1200" w:bottom="0" w:left="980" w:right="0"/>
        </w:sectPr>
      </w:pPr>
    </w:p>
    <w:p>
      <w:pPr>
        <w:pStyle w:val="BodyText"/>
        <w:spacing w:before="16"/>
        <w:rPr>
          <w:rFonts w:ascii="微軟正黑體"/>
          <w:b/>
          <w:sz w:val="10"/>
        </w:rPr>
      </w:pPr>
      <w:r>
        <w:rPr/>
        <w:pict>
          <v:group style="position:absolute;margin-left:.0pt;margin-top:232.158005pt;width:37.35pt;height:609.550pt;mso-position-horizontal-relative:page;mso-position-vertical-relative:page;z-index:251817984" coordorigin="0,4643" coordsize="747,12191">
            <v:shape style="position:absolute;left:178;top:5154;width:439;height:11680" type="#_x0000_t75" stroked="false">
              <v:imagedata r:id="rId88" o:title=""/>
            </v:shape>
            <v:shape style="position:absolute;left:0;top:4643;width:747;height:812" coordorigin="0,4643" coordsize="747,812" path="m365,4643l0,4643,0,5454,365,5454,387,5452,447,5418,713,5136,747,5049,738,5002,447,4679,387,4645,365,4643xe" filled="true" fillcolor="#49b7cf" stroked="false">
              <v:path arrowok="t"/>
              <v:fill type="solid"/>
            </v:shape>
            <v:shape style="position:absolute;left:202;top:4910;width:390;height:278" type="#_x0000_t75" stroked="false">
              <v:imagedata r:id="rId95" o:title=""/>
            </v:shape>
            <v:shape style="position:absolute;left:273;top:5592;width:252;height:1253" coordorigin="273,5593" coordsize="252,1253" path="m327,5747l303,5747,303,5838,327,5838,327,5822,406,5822,406,5800,327,5800,327,5781,406,5781,406,5760,327,5760,327,5747xm406,5822l382,5822,382,5838,406,5838,406,5822xm406,5781l382,5781,382,5800,406,5800,406,5781xm406,5741l382,5741,382,5760,406,5760,406,5741xm372,5694l339,5694,324,5706,308,5716,291,5726,273,5735,286,5755,293,5752,299,5749,303,5747,327,5747,327,5741,406,5741,406,5718,346,5718,353,5713,362,5705,372,5694xm422,5672l277,5672,277,5694,422,5694,422,5672xm355,5642l330,5642,330,5672,355,5672,355,5642xm386,5620l289,5620,289,5642,385,5642,377,5654,369,5664,362,5672,391,5672,399,5661,407,5649,413,5641,386,5641,386,5620xm404,5612l398,5622,392,5632,386,5641,413,5641,416,5636,424,5622,404,5612xm355,5593l330,5593,330,5620,355,5620,355,5593xm518,5600l432,5600,432,5838,456,5838,456,5624,518,5624,518,5600xm462,5781l468,5805,475,5805,480,5806,495,5806,504,5803,518,5792,521,5782,478,5782,469,5781,462,5781xm518,5624l492,5624,487,5644,481,5662,475,5680,469,5696,481,5714,490,5731,495,5748,497,5764,497,5771,496,5776,492,5781,490,5782,521,5782,521,5764,519,5748,515,5730,507,5712,495,5694,499,5682,505,5667,511,5647,518,5624xm291,5995l275,6016,290,6025,303,6034,316,6044,327,6054,343,6033,331,6023,319,6013,305,6004,291,5995xm519,6032l491,6032,494,6036,497,6043,501,6052,524,6042,519,6032xm414,5925l400,5955,384,5981,366,6002,346,6018,351,6040,388,6039,423,6037,458,6035,491,6032,519,6032,514,6022,510,6015,385,6015,399,5999,413,5981,426,5959,439,5934,414,5925xm475,5960l451,5971,457,5978,463,5987,470,5997,477,6008,454,6011,431,6012,408,6014,385,6015,510,6015,503,6002,490,5981,475,5960xm299,5927l282,5946,296,5956,309,5967,320,5978,330,5988,348,5970,337,5959,325,5948,312,5937,299,5927xm505,6058l358,6058,358,6174,383,6174,383,6161,505,6161,505,6137,383,6137,383,6082,505,6082,505,6058xm505,6161l479,6161,479,6174,505,6174,505,6161xm505,6082l479,6082,479,6137,505,6137,505,6082xm323,6067l314,6091,303,6114,291,6135,279,6155,298,6175,311,6153,323,6131,335,6107,345,6082,323,6067xm411,6443l386,6443,386,6509,411,6509,411,6443xm411,6403l386,6403,386,6412,362,6435,335,6454,306,6470,274,6483,287,6505,316,6492,342,6477,365,6461,386,6443,411,6443,411,6442,447,6442,435,6434,411,6412,411,6403xm447,6442l411,6442,433,6461,456,6477,482,6492,510,6504,524,6482,491,6469,461,6453,447,6442xm498,6381l300,6381,300,6445,325,6445,325,6403,498,6403,498,6381xm498,6403l473,6403,473,6421,471,6423,469,6423,449,6423,456,6444,461,6445,465,6445,481,6445,489,6443,496,6434,498,6429,498,6403xm411,6368l386,6368,386,6381,411,6381,411,6368xm521,6346l277,6346,277,6368,521,6368,521,6346xm411,6332l386,6332,386,6346,411,6346,411,6332xm472,6308l449,6315,454,6321,459,6330,463,6339,487,6333,483,6323,478,6315,478,6314,472,6308xm356,6308l333,6314,339,6322,343,6330,347,6339,370,6333,368,6324,363,6316,356,6308xm318,6262l308,6281,298,6296,286,6310,273,6321,273,6321,294,6336,302,6329,309,6321,316,6312,323,6303,395,6303,395,6282,336,6282,340,6275,342,6271,343,6269,318,6262xm429,6263l421,6279,412,6293,403,6305,393,6314,414,6328,421,6321,428,6312,434,6303,520,6303,520,6282,447,6282,449,6277,451,6273,453,6268,429,6263xm434,6663l405,6663,410,6671,417,6681,427,6691,414,6698,401,6705,387,6710,373,6716,385,6737,403,6730,419,6723,434,6715,447,6707,498,6707,495,6706,481,6699,467,6692,480,6680,483,6676,448,6676,439,6670,434,6663xm498,6707l447,6707,460,6715,475,6723,492,6730,512,6737,524,6716,509,6711,498,6707xm507,6644l479,6644,473,6652,465,6661,457,6669,448,6676,483,6676,491,6667,500,6655,507,6644xm427,6599l418,6615,406,6629,391,6644,373,6657,388,6676,394,6672,400,6668,405,6663,434,6663,431,6660,423,6646,425,6644,507,6644,507,6621,442,6621,444,6617,447,6612,450,6606,427,6599xm369,6613l282,6613,282,6831,303,6831,303,6810,369,6810,369,6788,303,6788,303,6721,369,6721,369,6698,303,6698,303,6636,369,6636,369,6613xm369,6810l348,6810,348,6824,369,6824,369,6810xm335,6721l316,6721,316,6788,335,6788,335,6721xm369,6721l348,6721,348,6788,369,6788,369,6721xm335,6636l316,6636,316,6698,335,6698,335,6636xm369,6636l348,6636,348,6698,369,6698,369,6636xm506,6742l390,6742,390,6846,415,6846,415,6836,506,6836,506,6812,415,6812,415,6765,506,6765,506,6742xm506,6836l481,6836,481,6845,506,6845,506,6836xm506,6765l481,6765,481,6812,506,6812,506,6765xe" filled="true" fillcolor="#58595b" stroked="false">
              <v:path arrowok="t"/>
              <v:fill type="solid"/>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90</w:t>
                    </w:r>
                  </w:p>
                </w:txbxContent>
              </v:textbox>
              <w10:wrap type="none"/>
            </v:shape>
            <w10:wrap type="none"/>
          </v:group>
        </w:pict>
      </w:r>
    </w:p>
    <w:p>
      <w:pPr>
        <w:spacing w:after="0"/>
        <w:rPr>
          <w:rFonts w:ascii="微軟正黑體"/>
          <w:sz w:val="10"/>
        </w:rPr>
        <w:sectPr>
          <w:pgSz w:w="11910" w:h="16840"/>
          <w:pgMar w:top="1600" w:bottom="0" w:left="980" w:right="0"/>
        </w:sectPr>
      </w:pPr>
    </w:p>
    <w:p>
      <w:pPr>
        <w:spacing w:line="581" w:lineRule="exact" w:before="0"/>
        <w:ind w:left="0" w:right="981" w:firstLine="0"/>
        <w:jc w:val="center"/>
        <w:rPr>
          <w:rFonts w:ascii="微軟正黑體" w:eastAsia="微軟正黑體" w:hint="eastAsia"/>
          <w:b/>
          <w:sz w:val="32"/>
        </w:rPr>
      </w:pPr>
      <w:r>
        <w:rPr>
          <w:rFonts w:ascii="微軟正黑體" w:eastAsia="微軟正黑體" w:hint="eastAsia"/>
          <w:b/>
          <w:color w:val="231F20"/>
          <w:sz w:val="32"/>
        </w:rPr>
        <w:t>第九章 隔離治療</w:t>
      </w:r>
    </w:p>
    <w:p>
      <w:pPr>
        <w:spacing w:line="436" w:lineRule="exact" w:before="284"/>
        <w:ind w:left="153" w:right="0" w:firstLine="0"/>
        <w:jc w:val="left"/>
        <w:rPr>
          <w:rFonts w:ascii="微軟正黑體" w:eastAsia="微軟正黑體" w:hint="eastAsia"/>
          <w:b/>
          <w:sz w:val="24"/>
        </w:rPr>
      </w:pPr>
      <w:r>
        <w:rPr>
          <w:rFonts w:ascii="微軟正黑體" w:eastAsia="微軟正黑體" w:hint="eastAsia"/>
          <w:b/>
          <w:color w:val="231F20"/>
          <w:sz w:val="24"/>
        </w:rPr>
        <w:t>壹、前言</w:t>
      </w:r>
    </w:p>
    <w:p>
      <w:pPr>
        <w:pStyle w:val="BodyText"/>
        <w:spacing w:line="230" w:lineRule="auto" w:before="6"/>
        <w:ind w:left="878" w:right="1130" w:hanging="488"/>
        <w:jc w:val="both"/>
      </w:pPr>
      <w:r>
        <w:rPr>
          <w:color w:val="231F20"/>
        </w:rPr>
        <w:t>—、為避免具傳染性之結核病病人，因不願意配合治療或拒絕做好適當防護措施，而傳染他人，造成公共衛生的危害，地方衛生主管機關得依法對其施行隔離治療，惟應參照世界衛生組織指引，提醒各國在執行結核病防治工作時，必須重視病人的人權保障(註)。衛生主管機關於口頭、書面及電子資料方式告知及衛教、臨床醫師與衛生所  主管面訪、依法處以罰鍰或其他為達配合治療等措施皆已用盡，仍勸導無效，已無其他比施行隔離治療較小侵害或限制手段可讓病人配合治療時，始得施行隔離治療。</w:t>
      </w:r>
    </w:p>
    <w:p>
      <w:pPr>
        <w:pStyle w:val="BodyText"/>
        <w:spacing w:line="230" w:lineRule="auto"/>
        <w:ind w:left="878" w:right="1128" w:hanging="488"/>
        <w:jc w:val="both"/>
      </w:pPr>
      <w:r>
        <w:rPr/>
        <w:pict>
          <v:group style="position:absolute;margin-left:557.684509pt;margin-top:20.830482pt;width:37.35pt;height:582.550pt;mso-position-horizontal-relative:page;mso-position-vertical-relative:paragraph;z-index:251820032" coordorigin="11154,417" coordsize="747,11651">
            <v:shape style="position:absolute;left:11283;top:928;width:438;height:11140" type="#_x0000_t75" stroked="false">
              <v:imagedata r:id="rId96" o:title=""/>
            </v:shape>
            <v:shape style="position:absolute;left:11153;top:416;width:747;height:812" coordorigin="11154,417" coordsize="747,812" path="m11900,417l11536,417,11514,419,11454,453,11188,735,11154,822,11162,869,11454,1192,11514,1226,11536,1228,11900,1228,11900,417xe" filled="true" fillcolor="#f8971d" stroked="false">
              <v:path arrowok="t"/>
              <v:fill type="solid"/>
            </v:shape>
            <v:shape style="position:absolute;left:11307;top:683;width:389;height:278" type="#_x0000_t75" stroked="false">
              <v:imagedata r:id="rId97" o:title=""/>
            </v:shape>
            <v:shape style="position:absolute;left:11379;top:1373;width:250;height:1245" type="#_x0000_t75" stroked="false">
              <v:imagedata r:id="rId98" o:title=""/>
            </v:shape>
            <v:shape style="position:absolute;left:11412;top:11505;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91</w:t>
                    </w:r>
                  </w:p>
                </w:txbxContent>
              </v:textbox>
              <w10:wrap type="none"/>
            </v:shape>
            <w10:wrap type="none"/>
          </v:group>
        </w:pict>
      </w:r>
      <w:r>
        <w:rPr>
          <w:color w:val="231F20"/>
        </w:rPr>
        <w:t>二、衛生主管機關依據傳染病防治法第 44 條之規範，對結核病病人施行隔離治療行政處分，因屬限制人身自由之措施，主管機關應確保受隔離治療病人及其家屬瞭解其相關權益，執行過程中應符合相關法規及作業程序，以兼顧社區安全及保障病人相關權益。</w:t>
      </w:r>
    </w:p>
    <w:p>
      <w:pPr>
        <w:pStyle w:val="BodyText"/>
        <w:spacing w:line="392" w:lineRule="exact"/>
        <w:ind w:right="1132"/>
        <w:jc w:val="right"/>
      </w:pPr>
      <w:r>
        <w:rPr>
          <w:color w:val="231F20"/>
        </w:rPr>
        <w:t>註：世界衛生組織要求國家隔離結核病病人前，應依循聯合國經濟及社會理事會所通過之</w:t>
      </w:r>
    </w:p>
    <w:p>
      <w:pPr>
        <w:pStyle w:val="BodyText"/>
        <w:spacing w:line="400" w:lineRule="exact"/>
        <w:ind w:right="1075"/>
        <w:jc w:val="right"/>
      </w:pPr>
      <w:r>
        <w:rPr>
          <w:color w:val="231F20"/>
          <w:spacing w:val="-6"/>
        </w:rPr>
        <w:t>「錫拉庫扎原則</w:t>
      </w:r>
      <w:r>
        <w:rPr>
          <w:color w:val="231F20"/>
          <w:spacing w:val="-1"/>
          <w:w w:val="132"/>
        </w:rPr>
        <w:t>(Th</w:t>
      </w:r>
      <w:r>
        <w:rPr>
          <w:color w:val="231F20"/>
          <w:w w:val="132"/>
        </w:rPr>
        <w:t>e</w:t>
      </w:r>
      <w:r>
        <w:rPr>
          <w:color w:val="231F20"/>
          <w:spacing w:val="-7"/>
        </w:rPr>
        <w:t> </w:t>
      </w:r>
      <w:r>
        <w:rPr>
          <w:color w:val="231F20"/>
          <w:w w:val="99"/>
        </w:rPr>
        <w:t>Siracusa</w:t>
      </w:r>
      <w:r>
        <w:rPr>
          <w:color w:val="231F20"/>
          <w:spacing w:val="-7"/>
        </w:rPr>
        <w:t> </w:t>
      </w:r>
      <w:r>
        <w:rPr>
          <w:color w:val="231F20"/>
          <w:spacing w:val="-1"/>
          <w:w w:val="104"/>
        </w:rPr>
        <w:t>Principles</w:t>
      </w:r>
      <w:r>
        <w:rPr>
          <w:color w:val="231F20"/>
          <w:spacing w:val="-35"/>
          <w:w w:val="300"/>
        </w:rPr>
        <w:t>)</w:t>
      </w:r>
      <w:r>
        <w:rPr>
          <w:color w:val="231F20"/>
        </w:rPr>
        <w:t>J</w:t>
      </w:r>
      <w:r>
        <w:rPr>
          <w:color w:val="231F20"/>
          <w:spacing w:val="8"/>
        </w:rPr>
        <w:t> 的</w:t>
      </w:r>
      <w:r>
        <w:rPr>
          <w:color w:val="231F20"/>
          <w:w w:val="104"/>
        </w:rPr>
        <w:t>5</w:t>
      </w:r>
      <w:r>
        <w:rPr>
          <w:color w:val="231F20"/>
          <w:spacing w:val="-16"/>
        </w:rPr>
        <w:t> 要件，</w:t>
      </w:r>
      <w:r>
        <w:rPr>
          <w:color w:val="231F20"/>
          <w:spacing w:val="-1"/>
          <w:w w:val="106"/>
        </w:rPr>
        <w:t>含)由法律規定並依法執</w:t>
      </w:r>
      <w:r>
        <w:rPr>
          <w:color w:val="231F20"/>
          <w:spacing w:val="-18"/>
        </w:rPr>
        <w:t>行；</w:t>
      </w:r>
    </w:p>
    <w:p>
      <w:pPr>
        <w:pStyle w:val="BodyText"/>
        <w:spacing w:line="230" w:lineRule="auto"/>
        <w:ind w:left="878" w:right="1133"/>
        <w:jc w:val="both"/>
      </w:pPr>
      <w:r>
        <w:rPr>
          <w:color w:val="231F20"/>
        </w:rPr>
        <w:t>)係為達成保護大眾正當利益；)民主社會為達成目的絕對必要的措施；)沒有其他     較小侵害或限制手段可達成相同目的；)有科學證據為基礎、非武斷、不合理或歧視之情形；且執行程序上不得無限期拘束人身自由，並必須有審査及上訢機制，確保權力之行使受到監督。</w:t>
      </w:r>
    </w:p>
    <w:p>
      <w:pPr>
        <w:pStyle w:val="BodyText"/>
        <w:spacing w:before="13"/>
        <w:rPr>
          <w:sz w:val="19"/>
        </w:rPr>
      </w:pPr>
    </w:p>
    <w:p>
      <w:pPr>
        <w:pStyle w:val="Heading2"/>
      </w:pPr>
      <w:r>
        <w:rPr>
          <w:color w:val="231F20"/>
        </w:rPr>
        <w:t>貳、法令依據</w:t>
      </w:r>
    </w:p>
    <w:p>
      <w:pPr>
        <w:pStyle w:val="BodyText"/>
        <w:spacing w:line="404" w:lineRule="exact"/>
        <w:ind w:left="391"/>
      </w:pPr>
      <w:r>
        <w:rPr>
          <w:color w:val="231F20"/>
        </w:rPr>
        <w:t>—、傳染病防治法：第 13 條、第 14 條、第 36 條、第 44 條、第 45 條、第 65 條、第</w:t>
      </w:r>
    </w:p>
    <w:p>
      <w:pPr>
        <w:pStyle w:val="BodyText"/>
        <w:spacing w:line="400" w:lineRule="exact"/>
        <w:ind w:left="878"/>
      </w:pPr>
      <w:r>
        <w:rPr>
          <w:color w:val="231F20"/>
        </w:rPr>
        <w:t>67 條及第 70 條</w:t>
      </w:r>
    </w:p>
    <w:p>
      <w:pPr>
        <w:pStyle w:val="BodyText"/>
        <w:spacing w:line="400" w:lineRule="exact"/>
        <w:ind w:left="391"/>
      </w:pPr>
      <w:r>
        <w:rPr>
          <w:color w:val="231F20"/>
        </w:rPr>
        <w:t>二、傳染病防治法施行細則：第 9 條、第 10 條</w:t>
      </w:r>
    </w:p>
    <w:p>
      <w:pPr>
        <w:pStyle w:val="BodyText"/>
        <w:spacing w:line="230" w:lineRule="auto" w:before="3"/>
        <w:ind w:left="391" w:right="2846"/>
      </w:pPr>
      <w:r>
        <w:rPr>
          <w:color w:val="231F20"/>
        </w:rPr>
        <w:t>三、其他相關法源：行政程序法、提審法、民法、行政執行法、行政罰法匹、法定傳染病病患隔離治療及重新鑑定隔離治療之作業流程</w:t>
      </w:r>
    </w:p>
    <w:p>
      <w:pPr>
        <w:pStyle w:val="BodyText"/>
        <w:spacing w:before="3"/>
        <w:rPr>
          <w:sz w:val="20"/>
        </w:rPr>
      </w:pPr>
    </w:p>
    <w:p>
      <w:pPr>
        <w:pStyle w:val="Heading2"/>
      </w:pPr>
      <w:r>
        <w:rPr>
          <w:color w:val="231F20"/>
        </w:rPr>
        <w:t>參、隔離治療對象</w:t>
      </w:r>
    </w:p>
    <w:p>
      <w:pPr>
        <w:pStyle w:val="BodyText"/>
        <w:spacing w:line="230" w:lineRule="auto" w:before="6"/>
        <w:ind w:left="635" w:right="1075"/>
      </w:pPr>
      <w:r>
        <w:rPr>
          <w:color w:val="231F20"/>
          <w:spacing w:val="-12"/>
        </w:rPr>
        <w:t>隔離治療對象：結核病和多重抗藥性結核病病人，因以下情形而「有傳染他人之虞」者， </w:t>
      </w:r>
      <w:r>
        <w:rPr>
          <w:color w:val="231F20"/>
        </w:rPr>
        <w:t>依法得於指定機構施行隔離治療：</w:t>
      </w:r>
    </w:p>
    <w:p>
      <w:pPr>
        <w:pStyle w:val="BodyText"/>
        <w:spacing w:line="230" w:lineRule="auto"/>
        <w:ind w:left="391" w:right="2127"/>
      </w:pPr>
      <w:r>
        <w:rPr>
          <w:color w:val="231F20"/>
        </w:rPr>
        <w:t>—、痰塗片或培養檢査結果為陽性，且就醫或服藥順從性差或拒絕適當防護者。二、痰液檢査結果雖無陽性證據，但經主管機關評估認為仍有傳染他人之虞者。</w:t>
      </w:r>
    </w:p>
    <w:p>
      <w:pPr>
        <w:pStyle w:val="BodyText"/>
        <w:spacing w:before="1"/>
        <w:rPr>
          <w:sz w:val="20"/>
        </w:rPr>
      </w:pPr>
    </w:p>
    <w:p>
      <w:pPr>
        <w:pStyle w:val="Heading2"/>
      </w:pPr>
      <w:r>
        <w:rPr>
          <w:color w:val="231F20"/>
        </w:rPr>
        <w:t>肆、隔離治療作業</w:t>
      </w:r>
    </w:p>
    <w:p>
      <w:pPr>
        <w:pStyle w:val="BodyText"/>
        <w:spacing w:line="413" w:lineRule="exact"/>
        <w:ind w:left="391"/>
      </w:pPr>
      <w:r>
        <w:rPr>
          <w:color w:val="231F20"/>
        </w:rPr>
        <w:t>—、流程說明：隔離治療相關作業流程、使用表單及參考法源請參見附件 9-1 及表 1：</w:t>
      </w:r>
    </w:p>
    <w:p>
      <w:pPr>
        <w:spacing w:after="0" w:line="413" w:lineRule="exact"/>
        <w:sectPr>
          <w:pgSz w:w="11910" w:h="16840"/>
          <w:pgMar w:top="1060" w:bottom="0" w:left="980" w:right="0"/>
        </w:sectPr>
      </w:pPr>
    </w:p>
    <w:p>
      <w:pPr>
        <w:pStyle w:val="BodyText"/>
        <w:spacing w:before="59"/>
        <w:ind w:left="391"/>
      </w:pPr>
      <w:r>
        <w:rPr/>
        <w:pict>
          <v:group style="position:absolute;margin-left:-.000001pt;margin-top:259.160004pt;width:37.35pt;height:582.550pt;mso-position-horizontal-relative:page;mso-position-vertical-relative:page;z-index:251822080" coordorigin="0,5183" coordsize="747,11651">
            <v:shape style="position:absolute;left:178;top:5694;width:438;height:11140" type="#_x0000_t75" stroked="false">
              <v:imagedata r:id="rId99" o:title=""/>
            </v:shape>
            <v:shape style="position:absolute;left:0;top:5183;width:747;height:812" coordorigin="0,5183" coordsize="747,812" path="m365,5183l0,5183,0,5995,365,5995,387,5992,447,5958,713,5676,747,5589,738,5542,447,5219,387,5185,365,5183xe" filled="true" fillcolor="#f8971d" stroked="false">
              <v:path arrowok="t"/>
              <v:fill type="solid"/>
            </v:shape>
            <v:shape style="position:absolute;left:202;top:5450;width:389;height:278" type="#_x0000_t75" stroked="false">
              <v:imagedata r:id="rId100" o:title=""/>
            </v:shape>
            <v:shape style="position:absolute;left:274;top:6139;width:250;height:1245" type="#_x0000_t75" stroked="false">
              <v:imagedata r:id="rId101"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92</w:t>
                    </w:r>
                  </w:p>
                </w:txbxContent>
              </v:textbox>
              <w10:wrap type="none"/>
            </v:shape>
            <w10:wrap type="none"/>
          </v:group>
        </w:pict>
      </w:r>
      <w:r>
        <w:rPr/>
        <w:pict>
          <v:shape style="position:absolute;margin-left:67.998497pt;margin-top:21.48588pt;width:470.75pt;height:697.15pt;mso-position-horizontal-relative:page;mso-position-vertical-relative:paragraph;z-index:251823104"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02"/>
                    <w:gridCol w:w="5138"/>
                    <w:gridCol w:w="3053"/>
                  </w:tblGrid>
                  <w:tr>
                    <w:trPr>
                      <w:trHeight w:val="451" w:hRule="atLeast"/>
                    </w:trPr>
                    <w:tc>
                      <w:tcPr>
                        <w:tcW w:w="1202" w:type="dxa"/>
                        <w:shd w:val="clear" w:color="auto" w:fill="E6E7E8"/>
                      </w:tcPr>
                      <w:p>
                        <w:pPr>
                          <w:pStyle w:val="TableParagraph"/>
                          <w:spacing w:line="431" w:lineRule="exact"/>
                          <w:ind w:left="360"/>
                          <w:rPr>
                            <w:rFonts w:ascii="微軟正黑體" w:eastAsia="微軟正黑體" w:hint="eastAsia"/>
                            <w:b/>
                            <w:sz w:val="24"/>
                          </w:rPr>
                        </w:pPr>
                        <w:r>
                          <w:rPr>
                            <w:rFonts w:ascii="微軟正黑體" w:eastAsia="微軟正黑體" w:hint="eastAsia"/>
                            <w:b/>
                            <w:color w:val="231F20"/>
                            <w:w w:val="145"/>
                            <w:sz w:val="24"/>
                          </w:rPr>
                          <w:t>t呈</w:t>
                        </w:r>
                      </w:p>
                    </w:tc>
                    <w:tc>
                      <w:tcPr>
                        <w:tcW w:w="5138" w:type="dxa"/>
                        <w:shd w:val="clear" w:color="auto" w:fill="E6E7E8"/>
                      </w:tcPr>
                      <w:p>
                        <w:pPr>
                          <w:pStyle w:val="TableParagraph"/>
                          <w:spacing w:line="431" w:lineRule="exact"/>
                          <w:ind w:left="2308" w:right="2294"/>
                          <w:jc w:val="center"/>
                          <w:rPr>
                            <w:rFonts w:ascii="微軟正黑體" w:eastAsia="微軟正黑體" w:hint="eastAsia"/>
                            <w:b/>
                            <w:sz w:val="24"/>
                          </w:rPr>
                        </w:pPr>
                        <w:r>
                          <w:rPr>
                            <w:rFonts w:ascii="微軟正黑體" w:eastAsia="微軟正黑體" w:hint="eastAsia"/>
                            <w:b/>
                            <w:color w:val="231F20"/>
                            <w:sz w:val="24"/>
                          </w:rPr>
                          <w:t>說明</w:t>
                        </w:r>
                      </w:p>
                    </w:tc>
                    <w:tc>
                      <w:tcPr>
                        <w:tcW w:w="3053" w:type="dxa"/>
                        <w:shd w:val="clear" w:color="auto" w:fill="E6E7E8"/>
                      </w:tcPr>
                      <w:p>
                        <w:pPr>
                          <w:pStyle w:val="TableParagraph"/>
                          <w:spacing w:line="431" w:lineRule="exact"/>
                          <w:ind w:left="686"/>
                          <w:rPr>
                            <w:rFonts w:ascii="微軟正黑體" w:eastAsia="微軟正黑體" w:hint="eastAsia"/>
                            <w:b/>
                            <w:sz w:val="24"/>
                          </w:rPr>
                        </w:pPr>
                        <w:r>
                          <w:rPr>
                            <w:rFonts w:ascii="微軟正黑體" w:eastAsia="微軟正黑體" w:hint="eastAsia"/>
                            <w:b/>
                            <w:color w:val="231F20"/>
                            <w:sz w:val="24"/>
                          </w:rPr>
                          <w:t>相關法條及函釋</w:t>
                        </w:r>
                      </w:p>
                    </w:tc>
                  </w:tr>
                  <w:tr>
                    <w:trPr>
                      <w:trHeight w:val="2050" w:hRule="atLeast"/>
                    </w:trPr>
                    <w:tc>
                      <w:tcPr>
                        <w:tcW w:w="1202" w:type="dxa"/>
                        <w:vMerge w:val="restart"/>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11"/>
                          <w:rPr>
                            <w:sz w:val="16"/>
                          </w:rPr>
                        </w:pPr>
                      </w:p>
                      <w:p>
                        <w:pPr>
                          <w:pStyle w:val="TableParagraph"/>
                          <w:spacing w:line="230" w:lineRule="auto"/>
                          <w:ind w:left="113" w:right="112"/>
                          <w:rPr>
                            <w:sz w:val="24"/>
                          </w:rPr>
                        </w:pPr>
                        <w:r>
                          <w:rPr>
                            <w:color w:val="231F20"/>
                            <w:sz w:val="24"/>
                          </w:rPr>
                          <w:t>發現隔離治療對象</w:t>
                        </w:r>
                      </w:p>
                    </w:tc>
                    <w:tc>
                      <w:tcPr>
                        <w:tcW w:w="5138" w:type="dxa"/>
                      </w:tcPr>
                      <w:p>
                        <w:pPr>
                          <w:pStyle w:val="TableParagraph"/>
                          <w:spacing w:line="230" w:lineRule="auto" w:before="43"/>
                          <w:ind w:left="622" w:right="85" w:hanging="510"/>
                          <w:jc w:val="both"/>
                          <w:rPr>
                            <w:sz w:val="24"/>
                          </w:rPr>
                        </w:pPr>
                        <w:r>
                          <w:rPr>
                            <w:color w:val="231F20"/>
                            <w:sz w:val="24"/>
                          </w:rPr>
                          <w:t>—、醫療單位發現：醫師於診療過程發現符合隔離治療對象，填寫「法定傳染病隔離治</w:t>
                        </w:r>
                        <w:r>
                          <w:rPr>
                            <w:color w:val="231F20"/>
                            <w:w w:val="110"/>
                            <w:sz w:val="24"/>
                          </w:rPr>
                          <w:t>療建議單」(附件 9-1-1)，註明建議隔</w:t>
                        </w:r>
                        <w:r>
                          <w:rPr>
                            <w:color w:val="231F20"/>
                            <w:sz w:val="24"/>
                          </w:rPr>
                          <w:t>離之理由，交由個案管理單位之衛生局評</w:t>
                        </w:r>
                      </w:p>
                      <w:p>
                        <w:pPr>
                          <w:pStyle w:val="TableParagraph"/>
                          <w:spacing w:line="383" w:lineRule="exact"/>
                          <w:ind w:left="622"/>
                          <w:rPr>
                            <w:sz w:val="24"/>
                          </w:rPr>
                        </w:pPr>
                        <w:r>
                          <w:rPr>
                            <w:color w:val="231F20"/>
                            <w:sz w:val="24"/>
                          </w:rPr>
                          <w:t>估。</w:t>
                        </w:r>
                      </w:p>
                    </w:tc>
                    <w:tc>
                      <w:tcPr>
                        <w:tcW w:w="3053" w:type="dxa"/>
                        <w:vMerge w:val="restart"/>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9"/>
                          <w:rPr>
                            <w:sz w:val="36"/>
                          </w:rPr>
                        </w:pPr>
                      </w:p>
                      <w:p>
                        <w:pPr>
                          <w:pStyle w:val="TableParagraph"/>
                          <w:spacing w:line="409" w:lineRule="exact"/>
                          <w:ind w:left="112"/>
                          <w:rPr>
                            <w:sz w:val="24"/>
                          </w:rPr>
                        </w:pPr>
                        <w:r>
                          <w:rPr>
                            <w:color w:val="231F20"/>
                            <w:sz w:val="24"/>
                          </w:rPr>
                          <w:t>傳染病防治法</w:t>
                        </w:r>
                      </w:p>
                      <w:p>
                        <w:pPr>
                          <w:pStyle w:val="TableParagraph"/>
                          <w:spacing w:line="409" w:lineRule="exact"/>
                          <w:ind w:left="112"/>
                          <w:rPr>
                            <w:sz w:val="24"/>
                          </w:rPr>
                        </w:pPr>
                        <w:r>
                          <w:rPr>
                            <w:color w:val="231F20"/>
                            <w:sz w:val="24"/>
                          </w:rPr>
                          <w:t>§13、§36、§70</w:t>
                        </w:r>
                      </w:p>
                    </w:tc>
                  </w:tr>
                  <w:tr>
                    <w:trPr>
                      <w:trHeight w:val="4849" w:hRule="atLeast"/>
                    </w:trPr>
                    <w:tc>
                      <w:tcPr>
                        <w:tcW w:w="1202" w:type="dxa"/>
                        <w:vMerge/>
                        <w:tcBorders>
                          <w:top w:val="nil"/>
                        </w:tcBorders>
                      </w:tcPr>
                      <w:p>
                        <w:pPr>
                          <w:rPr>
                            <w:sz w:val="2"/>
                            <w:szCs w:val="2"/>
                          </w:rPr>
                        </w:pPr>
                      </w:p>
                    </w:tc>
                    <w:tc>
                      <w:tcPr>
                        <w:tcW w:w="5138" w:type="dxa"/>
                      </w:tcPr>
                      <w:p>
                        <w:pPr>
                          <w:pStyle w:val="TableParagraph"/>
                          <w:spacing w:line="230" w:lineRule="auto" w:before="43"/>
                          <w:ind w:left="622" w:right="70" w:hanging="510"/>
                          <w:jc w:val="both"/>
                          <w:rPr>
                            <w:sz w:val="24"/>
                          </w:rPr>
                        </w:pPr>
                        <w:r>
                          <w:rPr>
                            <w:color w:val="231F20"/>
                            <w:sz w:val="24"/>
                          </w:rPr>
                          <w:t>二、衛生單位發現：公衛管理人員於社區中發現符合隔離治療對象，經口頭、書面及電子資料方式告知及衛教、臨床醫師與衛生所主管面訪或其他為達配合治療等措施皆已用盡， 仍無法勸導可讓病人配合治療時，於結核病追蹤管理系統(下稱 TB 系統)申請主管協助。</w:t>
                        </w:r>
                      </w:p>
                      <w:p>
                        <w:pPr>
                          <w:pStyle w:val="TableParagraph"/>
                          <w:spacing w:line="361" w:lineRule="exact"/>
                          <w:ind w:left="622"/>
                          <w:jc w:val="both"/>
                          <w:rPr>
                            <w:sz w:val="24"/>
                          </w:rPr>
                        </w:pPr>
                        <w:r>
                          <w:rPr>
                            <w:color w:val="231F20"/>
                            <w:spacing w:val="8"/>
                            <w:sz w:val="24"/>
                          </w:rPr>
                          <w:t>衛生局接獲通報，</w:t>
                        </w:r>
                        <w:r>
                          <w:rPr>
                            <w:color w:val="231F20"/>
                            <w:spacing w:val="4"/>
                            <w:sz w:val="24"/>
                          </w:rPr>
                          <w:t>3</w:t>
                        </w:r>
                        <w:r>
                          <w:rPr>
                            <w:color w:val="231F20"/>
                            <w:spacing w:val="5"/>
                            <w:sz w:val="24"/>
                          </w:rPr>
                          <w:t> 日內系統點選受理，</w:t>
                        </w:r>
                      </w:p>
                      <w:p>
                        <w:pPr>
                          <w:pStyle w:val="TableParagraph"/>
                          <w:spacing w:line="230" w:lineRule="auto" w:before="3"/>
                          <w:ind w:left="622" w:right="60"/>
                          <w:jc w:val="both"/>
                          <w:rPr>
                            <w:sz w:val="24"/>
                          </w:rPr>
                        </w:pPr>
                        <w:r>
                          <w:rPr>
                            <w:color w:val="231F20"/>
                            <w:spacing w:val="7"/>
                            <w:sz w:val="24"/>
                          </w:rPr>
                          <w:t>並於 </w:t>
                        </w:r>
                        <w:r>
                          <w:rPr>
                            <w:color w:val="231F20"/>
                            <w:spacing w:val="6"/>
                            <w:sz w:val="24"/>
                          </w:rPr>
                          <w:t>14 日內系統回復處理情形，必要時</w:t>
                        </w:r>
                        <w:r>
                          <w:rPr>
                            <w:color w:val="231F20"/>
                            <w:spacing w:val="3"/>
                            <w:sz w:val="24"/>
                          </w:rPr>
                          <w:t>得安排提送「結核病診療諮詢小組 </w:t>
                        </w:r>
                        <w:r>
                          <w:rPr>
                            <w:color w:val="231F20"/>
                            <w:sz w:val="24"/>
                          </w:rPr>
                          <w:t>J</w:t>
                        </w:r>
                        <w:r>
                          <w:rPr>
                            <w:color w:val="231F20"/>
                            <w:spacing w:val="3"/>
                            <w:sz w:val="24"/>
                          </w:rPr>
                          <w:t> 病例</w:t>
                        </w:r>
                        <w:r>
                          <w:rPr>
                            <w:color w:val="231F20"/>
                            <w:spacing w:val="1"/>
                            <w:sz w:val="24"/>
                          </w:rPr>
                          <w:t>口冊，經建議轉介抗藥性結核病醫療照護</w:t>
                        </w:r>
                      </w:p>
                      <w:p>
                        <w:pPr>
                          <w:pStyle w:val="TableParagraph"/>
                          <w:spacing w:line="400" w:lineRule="exact" w:before="12"/>
                          <w:ind w:left="622"/>
                          <w:rPr>
                            <w:sz w:val="24"/>
                          </w:rPr>
                        </w:pPr>
                        <w:r>
                          <w:rPr>
                            <w:color w:val="231F20"/>
                            <w:w w:val="115"/>
                            <w:sz w:val="24"/>
                          </w:rPr>
                          <w:t>體系(TMTC)團隊評估。</w:t>
                        </w:r>
                      </w:p>
                    </w:tc>
                    <w:tc>
                      <w:tcPr>
                        <w:tcW w:w="3053" w:type="dxa"/>
                        <w:vMerge/>
                        <w:tcBorders>
                          <w:top w:val="nil"/>
                        </w:tcBorders>
                      </w:tcPr>
                      <w:p>
                        <w:pPr>
                          <w:rPr>
                            <w:sz w:val="2"/>
                            <w:szCs w:val="2"/>
                          </w:rPr>
                        </w:pPr>
                      </w:p>
                    </w:tc>
                  </w:tr>
                  <w:tr>
                    <w:trPr>
                      <w:trHeight w:val="4849" w:hRule="atLeast"/>
                    </w:trPr>
                    <w:tc>
                      <w:tcPr>
                        <w:tcW w:w="1202" w:type="dxa"/>
                        <w:vMerge w:val="restart"/>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3"/>
                          <w:rPr>
                            <w:sz w:val="37"/>
                          </w:rPr>
                        </w:pPr>
                      </w:p>
                      <w:p>
                        <w:pPr>
                          <w:pStyle w:val="TableParagraph"/>
                          <w:spacing w:line="230" w:lineRule="auto"/>
                          <w:ind w:left="112" w:right="112"/>
                          <w:rPr>
                            <w:sz w:val="24"/>
                          </w:rPr>
                        </w:pPr>
                        <w:r>
                          <w:rPr>
                            <w:color w:val="231F20"/>
                            <w:sz w:val="24"/>
                          </w:rPr>
                          <w:t>隔離治療前評估</w:t>
                        </w:r>
                      </w:p>
                    </w:tc>
                    <w:tc>
                      <w:tcPr>
                        <w:tcW w:w="5138" w:type="dxa"/>
                      </w:tcPr>
                      <w:p>
                        <w:pPr>
                          <w:pStyle w:val="TableParagraph"/>
                          <w:spacing w:line="230" w:lineRule="auto" w:before="43"/>
                          <w:ind w:left="622" w:right="90" w:hanging="511"/>
                          <w:rPr>
                            <w:sz w:val="24"/>
                          </w:rPr>
                        </w:pPr>
                        <w:r>
                          <w:rPr>
                            <w:color w:val="231F20"/>
                            <w:sz w:val="24"/>
                          </w:rPr>
                          <w:t>—、衛生局作成隔離治療行政處分前，應進行下列評估並做成紀錄：</w:t>
                        </w:r>
                      </w:p>
                      <w:p>
                        <w:pPr>
                          <w:pStyle w:val="TableParagraph"/>
                          <w:spacing w:line="395" w:lineRule="exact"/>
                          <w:ind w:left="299"/>
                          <w:rPr>
                            <w:sz w:val="24"/>
                          </w:rPr>
                        </w:pPr>
                        <w:r>
                          <w:rPr>
                            <w:color w:val="231F20"/>
                            <w:w w:val="65"/>
                            <w:sz w:val="24"/>
                          </w:rPr>
                          <w:t>（ </w:t>
                        </w:r>
                        <w:r>
                          <w:rPr>
                            <w:color w:val="231F20"/>
                            <w:sz w:val="24"/>
                          </w:rPr>
                          <w:t>— ) 病人確有傳染他人之虞。</w:t>
                        </w:r>
                      </w:p>
                      <w:p>
                        <w:pPr>
                          <w:pStyle w:val="TableParagraph"/>
                          <w:spacing w:line="230" w:lineRule="auto" w:before="3"/>
                          <w:ind w:left="866" w:right="53" w:hanging="567"/>
                          <w:rPr>
                            <w:sz w:val="24"/>
                          </w:rPr>
                        </w:pPr>
                        <w:r>
                          <w:rPr>
                            <w:color w:val="231F20"/>
                            <w:w w:val="65"/>
                            <w:sz w:val="24"/>
                          </w:rPr>
                          <w:t>（ </w:t>
                        </w:r>
                        <w:r>
                          <w:rPr>
                            <w:color w:val="231F20"/>
                            <w:sz w:val="24"/>
                          </w:rPr>
                          <w:t>二 ) 病人不願配合醫療，或執行保護措施， 以避免他人道受感染。</w:t>
                        </w:r>
                      </w:p>
                      <w:p>
                        <w:pPr>
                          <w:pStyle w:val="TableParagraph"/>
                          <w:spacing w:line="230" w:lineRule="auto"/>
                          <w:ind w:left="866" w:right="91" w:hanging="567"/>
                          <w:rPr>
                            <w:sz w:val="24"/>
                          </w:rPr>
                        </w:pPr>
                        <w:r>
                          <w:rPr>
                            <w:color w:val="231F20"/>
                            <w:w w:val="65"/>
                            <w:sz w:val="24"/>
                          </w:rPr>
                          <w:t>（ </w:t>
                        </w:r>
                        <w:r>
                          <w:rPr>
                            <w:color w:val="231F20"/>
                            <w:sz w:val="24"/>
                          </w:rPr>
                          <w:t>三 ) 用盡所有能提供的介入措施，病人仍無法配合者。</w:t>
                        </w:r>
                      </w:p>
                      <w:p>
                        <w:pPr>
                          <w:pStyle w:val="TableParagraph"/>
                          <w:spacing w:line="230" w:lineRule="auto"/>
                          <w:ind w:left="112" w:right="74"/>
                          <w:jc w:val="both"/>
                          <w:rPr>
                            <w:sz w:val="24"/>
                          </w:rPr>
                        </w:pPr>
                        <w:r>
                          <w:rPr>
                            <w:color w:val="231F20"/>
                            <w:sz w:val="24"/>
                          </w:rPr>
                          <w:t>如上述要件皆符合，為達成保護大眾正當利益，應予隔離治療行政處分；如為醫療單位建議，經衛生局評估未同時符合上述要件，為維護病人的自由及權益，則回復原開立建議單之</w:t>
                        </w:r>
                      </w:p>
                      <w:p>
                        <w:pPr>
                          <w:pStyle w:val="TableParagraph"/>
                          <w:spacing w:line="383" w:lineRule="exact"/>
                          <w:ind w:left="112"/>
                          <w:rPr>
                            <w:sz w:val="24"/>
                          </w:rPr>
                        </w:pPr>
                        <w:r>
                          <w:rPr>
                            <w:color w:val="231F20"/>
                            <w:w w:val="110"/>
                            <w:sz w:val="24"/>
                          </w:rPr>
                          <w:t>醫療院所(醫師)補齊資料或駁回其建議。</w:t>
                        </w:r>
                      </w:p>
                    </w:tc>
                    <w:tc>
                      <w:tcPr>
                        <w:tcW w:w="3053" w:type="dxa"/>
                      </w:tcPr>
                      <w:p>
                        <w:pPr>
                          <w:pStyle w:val="TableParagraph"/>
                          <w:spacing w:before="14"/>
                          <w:rPr>
                            <w:sz w:val="47"/>
                          </w:rPr>
                        </w:pPr>
                      </w:p>
                      <w:p>
                        <w:pPr>
                          <w:pStyle w:val="TableParagraph"/>
                          <w:ind w:left="112"/>
                          <w:rPr>
                            <w:sz w:val="24"/>
                          </w:rPr>
                        </w:pPr>
                        <w:r>
                          <w:rPr>
                            <w:color w:val="231F20"/>
                            <w:spacing w:val="-3"/>
                            <w:sz w:val="24"/>
                          </w:rPr>
                          <w:t>傳染病防治法 </w:t>
                        </w:r>
                        <w:r>
                          <w:rPr>
                            <w:color w:val="231F20"/>
                            <w:sz w:val="24"/>
                          </w:rPr>
                          <w:t>§45</w:t>
                        </w:r>
                      </w:p>
                      <w:p>
                        <w:pPr>
                          <w:pStyle w:val="TableParagraph"/>
                          <w:spacing w:before="10"/>
                          <w:rPr>
                            <w:sz w:val="22"/>
                          </w:rPr>
                        </w:pPr>
                      </w:p>
                      <w:p>
                        <w:pPr>
                          <w:pStyle w:val="TableParagraph"/>
                          <w:spacing w:line="230" w:lineRule="auto"/>
                          <w:ind w:left="112" w:right="75"/>
                          <w:rPr>
                            <w:sz w:val="24"/>
                          </w:rPr>
                        </w:pPr>
                        <w:r>
                          <w:rPr>
                            <w:color w:val="231F20"/>
                            <w:spacing w:val="15"/>
                            <w:sz w:val="24"/>
                          </w:rPr>
                          <w:t>公告：傳染病指定隔離醫</w:t>
                        </w:r>
                        <w:r>
                          <w:rPr>
                            <w:color w:val="231F20"/>
                            <w:sz w:val="24"/>
                          </w:rPr>
                          <w:t>院及應變醫院名單</w:t>
                        </w:r>
                      </w:p>
                      <w:p>
                        <w:pPr>
                          <w:pStyle w:val="TableParagraph"/>
                          <w:spacing w:line="230" w:lineRule="auto"/>
                          <w:ind w:left="112" w:right="72"/>
                          <w:jc w:val="both"/>
                          <w:rPr>
                            <w:sz w:val="24"/>
                          </w:rPr>
                        </w:pPr>
                        <w:r>
                          <w:rPr>
                            <w:color w:val="231F20"/>
                            <w:spacing w:val="-4"/>
                            <w:w w:val="105"/>
                            <w:sz w:val="24"/>
                          </w:rPr>
                          <w:t>疾管署全球資訊網</w:t>
                        </w:r>
                        <w:r>
                          <w:rPr>
                            <w:color w:val="231F20"/>
                            <w:w w:val="115"/>
                            <w:sz w:val="24"/>
                          </w:rPr>
                          <w:t>(路</w:t>
                        </w:r>
                        <w:r>
                          <w:rPr>
                            <w:color w:val="231F20"/>
                            <w:spacing w:val="-14"/>
                            <w:w w:val="105"/>
                            <w:sz w:val="24"/>
                          </w:rPr>
                          <w:t>徑： </w:t>
                        </w:r>
                        <w:r>
                          <w:rPr>
                            <w:color w:val="231F20"/>
                            <w:spacing w:val="15"/>
                            <w:sz w:val="24"/>
                          </w:rPr>
                          <w:t>傳染病與防疫專題 </w:t>
                        </w:r>
                        <w:r>
                          <w:rPr>
                            <w:color w:val="231F20"/>
                            <w:spacing w:val="-5"/>
                            <w:w w:val="70"/>
                            <w:sz w:val="24"/>
                          </w:rPr>
                          <w:t>／ </w:t>
                        </w:r>
                        <w:r>
                          <w:rPr>
                            <w:color w:val="231F20"/>
                            <w:spacing w:val="12"/>
                            <w:sz w:val="24"/>
                          </w:rPr>
                          <w:t>應變</w:t>
                        </w:r>
                        <w:r>
                          <w:rPr>
                            <w:color w:val="231F20"/>
                            <w:spacing w:val="7"/>
                            <w:sz w:val="24"/>
                          </w:rPr>
                          <w:t>整備專區 </w:t>
                        </w:r>
                        <w:r>
                          <w:rPr>
                            <w:color w:val="231F20"/>
                            <w:spacing w:val="-5"/>
                            <w:w w:val="70"/>
                            <w:sz w:val="24"/>
                          </w:rPr>
                          <w:t>／ </w:t>
                        </w:r>
                        <w:r>
                          <w:rPr>
                            <w:color w:val="231F20"/>
                            <w:spacing w:val="21"/>
                            <w:sz w:val="24"/>
                          </w:rPr>
                          <w:t>傳染病防治醫</w:t>
                        </w:r>
                        <w:r>
                          <w:rPr>
                            <w:color w:val="231F20"/>
                            <w:spacing w:val="-4"/>
                            <w:w w:val="105"/>
                            <w:sz w:val="24"/>
                          </w:rPr>
                          <w:t>療網 </w:t>
                        </w:r>
                        <w:r>
                          <w:rPr>
                            <w:color w:val="231F20"/>
                            <w:spacing w:val="7"/>
                            <w:w w:val="70"/>
                            <w:sz w:val="24"/>
                          </w:rPr>
                          <w:t>／ </w:t>
                        </w:r>
                        <w:r>
                          <w:rPr>
                            <w:color w:val="231F20"/>
                            <w:w w:val="105"/>
                            <w:sz w:val="24"/>
                          </w:rPr>
                          <w:t>相關公告)</w:t>
                        </w:r>
                      </w:p>
                    </w:tc>
                  </w:tr>
                  <w:tr>
                    <w:trPr>
                      <w:trHeight w:val="1651" w:hRule="atLeast"/>
                    </w:trPr>
                    <w:tc>
                      <w:tcPr>
                        <w:tcW w:w="1202" w:type="dxa"/>
                        <w:vMerge/>
                        <w:tcBorders>
                          <w:top w:val="nil"/>
                        </w:tcBorders>
                      </w:tcPr>
                      <w:p>
                        <w:pPr>
                          <w:rPr>
                            <w:sz w:val="2"/>
                            <w:szCs w:val="2"/>
                          </w:rPr>
                        </w:pPr>
                      </w:p>
                    </w:tc>
                    <w:tc>
                      <w:tcPr>
                        <w:tcW w:w="5138" w:type="dxa"/>
                      </w:tcPr>
                      <w:p>
                        <w:pPr>
                          <w:pStyle w:val="TableParagraph"/>
                          <w:spacing w:line="400" w:lineRule="exact"/>
                          <w:ind w:left="622" w:right="90" w:hanging="511"/>
                          <w:jc w:val="both"/>
                          <w:rPr>
                            <w:sz w:val="24"/>
                          </w:rPr>
                        </w:pPr>
                        <w:r>
                          <w:rPr>
                            <w:color w:val="231F20"/>
                            <w:sz w:val="24"/>
                          </w:rPr>
                          <w:t>二、隔離治療應於「傳染病指定隔離醫院及應變醫院」施行，如開立建議單之醫療院所非為指定醫院，個案管理單位之衛生局應協助進行轉院。</w:t>
                        </w:r>
                      </w:p>
                    </w:tc>
                    <w:tc>
                      <w:tcPr>
                        <w:tcW w:w="3053" w:type="dxa"/>
                      </w:tcPr>
                      <w:p>
                        <w:pPr>
                          <w:pStyle w:val="TableParagraph"/>
                          <w:rPr>
                            <w:rFonts w:ascii="Times New Roman"/>
                            <w:sz w:val="22"/>
                          </w:rPr>
                        </w:pPr>
                      </w:p>
                    </w:tc>
                  </w:tr>
                </w:tbl>
                <w:p>
                  <w:pPr>
                    <w:pStyle w:val="BodyText"/>
                  </w:pPr>
                </w:p>
              </w:txbxContent>
            </v:textbox>
            <w10:wrap type="none"/>
          </v:shape>
        </w:pict>
      </w:r>
      <w:r>
        <w:rPr>
          <w:color w:val="231F20"/>
        </w:rPr>
        <w:t>表 1、隔離治療作業流程說明事項、使用表單及相關法條與函釋</w:t>
      </w:r>
    </w:p>
    <w:p>
      <w:pPr>
        <w:spacing w:after="0"/>
        <w:sectPr>
          <w:pgSz w:w="11910" w:h="16840"/>
          <w:pgMar w:top="1060" w:bottom="0" w:left="980" w:right="0"/>
        </w:sectPr>
      </w:pPr>
    </w:p>
    <w:tbl>
      <w:tblPr>
        <w:tblW w:w="0" w:type="auto"/>
        <w:jc w:val="left"/>
        <w:tblInd w:w="394"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02"/>
        <w:gridCol w:w="5138"/>
        <w:gridCol w:w="3053"/>
      </w:tblGrid>
      <w:tr>
        <w:trPr>
          <w:trHeight w:val="451" w:hRule="atLeast"/>
        </w:trPr>
        <w:tc>
          <w:tcPr>
            <w:tcW w:w="1202" w:type="dxa"/>
            <w:shd w:val="clear" w:color="auto" w:fill="E6E7E8"/>
          </w:tcPr>
          <w:p>
            <w:pPr>
              <w:pStyle w:val="TableParagraph"/>
              <w:spacing w:line="432" w:lineRule="exact"/>
              <w:ind w:left="360"/>
              <w:rPr>
                <w:rFonts w:ascii="微軟正黑體" w:eastAsia="微軟正黑體" w:hint="eastAsia"/>
                <w:b/>
                <w:sz w:val="24"/>
              </w:rPr>
            </w:pPr>
            <w:r>
              <w:rPr>
                <w:rFonts w:ascii="微軟正黑體" w:eastAsia="微軟正黑體" w:hint="eastAsia"/>
                <w:b/>
                <w:color w:val="231F20"/>
                <w:w w:val="145"/>
                <w:sz w:val="24"/>
              </w:rPr>
              <w:t>t呈</w:t>
            </w:r>
          </w:p>
        </w:tc>
        <w:tc>
          <w:tcPr>
            <w:tcW w:w="5138" w:type="dxa"/>
            <w:shd w:val="clear" w:color="auto" w:fill="E6E7E8"/>
          </w:tcPr>
          <w:p>
            <w:pPr>
              <w:pStyle w:val="TableParagraph"/>
              <w:spacing w:line="432" w:lineRule="exact"/>
              <w:ind w:left="2308" w:right="2294"/>
              <w:jc w:val="center"/>
              <w:rPr>
                <w:rFonts w:ascii="微軟正黑體" w:eastAsia="微軟正黑體" w:hint="eastAsia"/>
                <w:b/>
                <w:sz w:val="24"/>
              </w:rPr>
            </w:pPr>
            <w:r>
              <w:rPr>
                <w:rFonts w:ascii="微軟正黑體" w:eastAsia="微軟正黑體" w:hint="eastAsia"/>
                <w:b/>
                <w:color w:val="231F20"/>
                <w:sz w:val="24"/>
              </w:rPr>
              <w:t>說明</w:t>
            </w:r>
          </w:p>
        </w:tc>
        <w:tc>
          <w:tcPr>
            <w:tcW w:w="3053" w:type="dxa"/>
            <w:shd w:val="clear" w:color="auto" w:fill="E6E7E8"/>
          </w:tcPr>
          <w:p>
            <w:pPr>
              <w:pStyle w:val="TableParagraph"/>
              <w:spacing w:line="432" w:lineRule="exact"/>
              <w:ind w:left="686"/>
              <w:rPr>
                <w:rFonts w:ascii="微軟正黑體" w:eastAsia="微軟正黑體" w:hint="eastAsia"/>
                <w:b/>
                <w:sz w:val="24"/>
              </w:rPr>
            </w:pPr>
            <w:r>
              <w:rPr>
                <w:rFonts w:ascii="微軟正黑體" w:eastAsia="微軟正黑體" w:hint="eastAsia"/>
                <w:b/>
                <w:color w:val="231F20"/>
                <w:sz w:val="24"/>
              </w:rPr>
              <w:t>相關法條及函釋</w:t>
            </w:r>
          </w:p>
        </w:tc>
      </w:tr>
      <w:tr>
        <w:trPr>
          <w:trHeight w:val="851" w:hRule="atLeast"/>
        </w:trPr>
        <w:tc>
          <w:tcPr>
            <w:tcW w:w="1202" w:type="dxa"/>
          </w:tcPr>
          <w:p>
            <w:pPr>
              <w:pStyle w:val="TableParagraph"/>
              <w:rPr>
                <w:rFonts w:ascii="Times New Roman"/>
                <w:sz w:val="22"/>
              </w:rPr>
            </w:pPr>
          </w:p>
        </w:tc>
        <w:tc>
          <w:tcPr>
            <w:tcW w:w="5138" w:type="dxa"/>
          </w:tcPr>
          <w:p>
            <w:pPr>
              <w:pStyle w:val="TableParagraph"/>
              <w:spacing w:line="409" w:lineRule="exact" w:before="25"/>
              <w:ind w:left="112"/>
              <w:rPr>
                <w:sz w:val="24"/>
              </w:rPr>
            </w:pPr>
            <w:r>
              <w:rPr>
                <w:color w:val="231F20"/>
                <w:sz w:val="24"/>
              </w:rPr>
              <w:t>三、衛生局作成隔離治療行政處分前，應給予</w:t>
            </w:r>
          </w:p>
          <w:p>
            <w:pPr>
              <w:pStyle w:val="TableParagraph"/>
              <w:spacing w:line="397" w:lineRule="exact"/>
              <w:ind w:left="623"/>
              <w:rPr>
                <w:sz w:val="24"/>
              </w:rPr>
            </w:pPr>
            <w:r>
              <w:rPr>
                <w:color w:val="231F20"/>
                <w:sz w:val="24"/>
              </w:rPr>
              <w:t>病人陳述意見之機會。</w:t>
            </w:r>
          </w:p>
        </w:tc>
        <w:tc>
          <w:tcPr>
            <w:tcW w:w="3053" w:type="dxa"/>
          </w:tcPr>
          <w:p>
            <w:pPr>
              <w:pStyle w:val="TableParagraph"/>
              <w:spacing w:line="409" w:lineRule="exact" w:before="25"/>
              <w:ind w:left="112"/>
              <w:rPr>
                <w:sz w:val="24"/>
              </w:rPr>
            </w:pPr>
            <w:r>
              <w:rPr>
                <w:color w:val="231F20"/>
                <w:w w:val="105"/>
                <w:sz w:val="24"/>
              </w:rPr>
              <w:t>行政程序法§102、§103. I</w:t>
            </w:r>
          </w:p>
          <w:p>
            <w:pPr>
              <w:pStyle w:val="TableParagraph"/>
              <w:spacing w:line="397" w:lineRule="exact"/>
              <w:ind w:left="112"/>
              <w:rPr>
                <w:sz w:val="24"/>
              </w:rPr>
            </w:pPr>
            <w:r>
              <w:rPr>
                <w:color w:val="231F20"/>
                <w:w w:val="210"/>
                <w:sz w:val="24"/>
              </w:rPr>
              <w:t>(5)</w:t>
            </w:r>
          </w:p>
        </w:tc>
      </w:tr>
      <w:tr>
        <w:trPr>
          <w:trHeight w:val="2050" w:hRule="atLeast"/>
        </w:trPr>
        <w:tc>
          <w:tcPr>
            <w:tcW w:w="1202" w:type="dxa"/>
            <w:vMerge w:val="restart"/>
          </w:tcPr>
          <w:p>
            <w:pPr>
              <w:pStyle w:val="TableParagraph"/>
              <w:rPr>
                <w:sz w:val="32"/>
              </w:rPr>
            </w:pPr>
          </w:p>
          <w:p>
            <w:pPr>
              <w:pStyle w:val="TableParagraph"/>
              <w:rPr>
                <w:sz w:val="32"/>
              </w:rPr>
            </w:pPr>
          </w:p>
          <w:p>
            <w:pPr>
              <w:pStyle w:val="TableParagraph"/>
              <w:rPr>
                <w:sz w:val="32"/>
              </w:rPr>
            </w:pPr>
          </w:p>
          <w:p>
            <w:pPr>
              <w:pStyle w:val="TableParagraph"/>
              <w:spacing w:before="13"/>
              <w:rPr>
                <w:sz w:val="47"/>
              </w:rPr>
            </w:pPr>
          </w:p>
          <w:p>
            <w:pPr>
              <w:pStyle w:val="TableParagraph"/>
              <w:spacing w:line="230" w:lineRule="auto"/>
              <w:ind w:left="113" w:right="112"/>
              <w:rPr>
                <w:sz w:val="24"/>
              </w:rPr>
            </w:pPr>
            <w:r>
              <w:rPr>
                <w:color w:val="231F20"/>
                <w:sz w:val="24"/>
              </w:rPr>
              <w:t>作成隔離治療處置</w:t>
            </w:r>
          </w:p>
        </w:tc>
        <w:tc>
          <w:tcPr>
            <w:tcW w:w="5138" w:type="dxa"/>
          </w:tcPr>
          <w:p>
            <w:pPr>
              <w:pStyle w:val="TableParagraph"/>
              <w:spacing w:line="230" w:lineRule="auto" w:before="36"/>
              <w:ind w:left="623" w:right="81" w:hanging="511"/>
              <w:jc w:val="both"/>
              <w:rPr>
                <w:sz w:val="24"/>
              </w:rPr>
            </w:pPr>
            <w:r>
              <w:rPr>
                <w:color w:val="231F20"/>
                <w:sz w:val="24"/>
              </w:rPr>
              <w:t>—、衛生局於病人隔離治療之次日起 3 日內作成「法定傳染病隔離治療通知書」(附件</w:t>
            </w:r>
            <w:r>
              <w:rPr>
                <w:color w:val="231F20"/>
                <w:w w:val="105"/>
                <w:sz w:val="24"/>
              </w:rPr>
              <w:t>9-1-2)，以密件送達本人或其家屬，並</w:t>
            </w:r>
            <w:r>
              <w:rPr>
                <w:color w:val="231F20"/>
                <w:sz w:val="24"/>
              </w:rPr>
              <w:t>副知隔離治療機構；通知時並應同時告知</w:t>
            </w:r>
          </w:p>
          <w:p>
            <w:pPr>
              <w:pStyle w:val="TableParagraph"/>
              <w:spacing w:line="390" w:lineRule="exact"/>
              <w:ind w:left="623"/>
              <w:rPr>
                <w:sz w:val="24"/>
              </w:rPr>
            </w:pPr>
            <w:r>
              <w:rPr>
                <w:color w:val="231F20"/>
                <w:sz w:val="24"/>
              </w:rPr>
              <w:t>被隔離治療病人其提審權利。</w:t>
            </w:r>
          </w:p>
        </w:tc>
        <w:tc>
          <w:tcPr>
            <w:tcW w:w="3053" w:type="dxa"/>
            <w:vMerge w:val="restart"/>
          </w:tcPr>
          <w:p>
            <w:pPr>
              <w:pStyle w:val="TableParagraph"/>
              <w:spacing w:before="14"/>
              <w:rPr>
                <w:sz w:val="37"/>
              </w:rPr>
            </w:pPr>
          </w:p>
          <w:p>
            <w:pPr>
              <w:pStyle w:val="TableParagraph"/>
              <w:numPr>
                <w:ilvl w:val="0"/>
                <w:numId w:val="181"/>
              </w:numPr>
              <w:tabs>
                <w:tab w:pos="357" w:val="left" w:leader="none"/>
              </w:tabs>
              <w:spacing w:line="409" w:lineRule="exact" w:before="0" w:after="0"/>
              <w:ind w:left="356" w:right="0" w:hanging="245"/>
              <w:jc w:val="left"/>
              <w:rPr>
                <w:sz w:val="24"/>
              </w:rPr>
            </w:pPr>
            <w:r>
              <w:rPr>
                <w:color w:val="231F20"/>
                <w:spacing w:val="-3"/>
                <w:w w:val="105"/>
                <w:sz w:val="24"/>
              </w:rPr>
              <w:t>傳染病防治法 </w:t>
            </w:r>
            <w:r>
              <w:rPr>
                <w:color w:val="231F20"/>
                <w:w w:val="105"/>
                <w:sz w:val="24"/>
              </w:rPr>
              <w:t>§44</w:t>
            </w:r>
            <w:r>
              <w:rPr>
                <w:color w:val="231F20"/>
                <w:spacing w:val="-10"/>
                <w:w w:val="105"/>
                <w:sz w:val="24"/>
              </w:rPr>
              <w:t>. </w:t>
            </w:r>
            <w:r>
              <w:rPr>
                <w:color w:val="231F20"/>
                <w:w w:val="160"/>
                <w:sz w:val="24"/>
              </w:rPr>
              <w:t>II</w:t>
            </w:r>
          </w:p>
          <w:p>
            <w:pPr>
              <w:pStyle w:val="TableParagraph"/>
              <w:numPr>
                <w:ilvl w:val="0"/>
                <w:numId w:val="181"/>
              </w:numPr>
              <w:tabs>
                <w:tab w:pos="357" w:val="left" w:leader="none"/>
              </w:tabs>
              <w:spacing w:line="400" w:lineRule="exact" w:before="0" w:after="0"/>
              <w:ind w:left="356" w:right="0" w:hanging="245"/>
              <w:jc w:val="left"/>
              <w:rPr>
                <w:sz w:val="24"/>
              </w:rPr>
            </w:pPr>
            <w:r>
              <w:rPr>
                <w:color w:val="231F20"/>
                <w:spacing w:val="-7"/>
                <w:w w:val="105"/>
                <w:sz w:val="24"/>
              </w:rPr>
              <w:t>行 政 程 序 法 </w:t>
            </w:r>
            <w:r>
              <w:rPr>
                <w:color w:val="231F20"/>
                <w:w w:val="105"/>
                <w:sz w:val="24"/>
              </w:rPr>
              <w:t>§73</w:t>
            </w:r>
            <w:r>
              <w:rPr>
                <w:color w:val="231F20"/>
                <w:spacing w:val="-4"/>
                <w:w w:val="105"/>
                <w:sz w:val="24"/>
              </w:rPr>
              <w:t>. </w:t>
            </w:r>
            <w:r>
              <w:rPr>
                <w:color w:val="231F20"/>
                <w:w w:val="340"/>
                <w:sz w:val="24"/>
              </w:rPr>
              <w:t>I</w:t>
            </w:r>
            <w:r>
              <w:rPr>
                <w:color w:val="231F20"/>
                <w:w w:val="105"/>
                <w:sz w:val="24"/>
              </w:rPr>
              <w:t>、</w:t>
            </w:r>
          </w:p>
          <w:p>
            <w:pPr>
              <w:pStyle w:val="TableParagraph"/>
              <w:spacing w:line="400" w:lineRule="exact"/>
              <w:ind w:right="1297"/>
              <w:jc w:val="right"/>
              <w:rPr>
                <w:sz w:val="24"/>
              </w:rPr>
            </w:pPr>
            <w:r>
              <w:rPr>
                <w:color w:val="231F20"/>
                <w:sz w:val="24"/>
              </w:rPr>
              <w:t>§73</w:t>
            </w:r>
            <w:r>
              <w:rPr>
                <w:color w:val="231F20"/>
                <w:spacing w:val="-18"/>
                <w:sz w:val="24"/>
              </w:rPr>
              <w:t>. </w:t>
            </w:r>
            <w:r>
              <w:rPr>
                <w:color w:val="231F20"/>
                <w:sz w:val="24"/>
              </w:rPr>
              <w:t>III 、 §74</w:t>
            </w:r>
          </w:p>
          <w:p>
            <w:pPr>
              <w:pStyle w:val="TableParagraph"/>
              <w:numPr>
                <w:ilvl w:val="0"/>
                <w:numId w:val="181"/>
              </w:numPr>
              <w:tabs>
                <w:tab w:pos="357" w:val="left" w:leader="none"/>
              </w:tabs>
              <w:spacing w:line="409" w:lineRule="exact" w:before="0" w:after="0"/>
              <w:ind w:left="356" w:right="1266" w:hanging="357"/>
              <w:jc w:val="right"/>
              <w:rPr>
                <w:sz w:val="24"/>
              </w:rPr>
            </w:pPr>
            <w:r>
              <w:rPr>
                <w:color w:val="231F20"/>
                <w:spacing w:val="-5"/>
                <w:sz w:val="24"/>
              </w:rPr>
              <w:t>提審法 </w:t>
            </w:r>
            <w:r>
              <w:rPr>
                <w:color w:val="231F20"/>
                <w:sz w:val="24"/>
              </w:rPr>
              <w:t>§1、2</w:t>
            </w:r>
          </w:p>
        </w:tc>
      </w:tr>
      <w:tr>
        <w:trPr>
          <w:trHeight w:val="1251" w:hRule="atLeast"/>
        </w:trPr>
        <w:tc>
          <w:tcPr>
            <w:tcW w:w="1202" w:type="dxa"/>
            <w:vMerge/>
            <w:tcBorders>
              <w:top w:val="nil"/>
            </w:tcBorders>
          </w:tcPr>
          <w:p>
            <w:pPr>
              <w:rPr>
                <w:sz w:val="2"/>
                <w:szCs w:val="2"/>
              </w:rPr>
            </w:pPr>
          </w:p>
        </w:tc>
        <w:tc>
          <w:tcPr>
            <w:tcW w:w="5138" w:type="dxa"/>
          </w:tcPr>
          <w:p>
            <w:pPr>
              <w:pStyle w:val="TableParagraph"/>
              <w:spacing w:line="230" w:lineRule="auto" w:before="36"/>
              <w:ind w:left="112" w:right="95"/>
              <w:rPr>
                <w:sz w:val="24"/>
              </w:rPr>
            </w:pPr>
            <w:r>
              <w:rPr>
                <w:color w:val="231F20"/>
                <w:sz w:val="24"/>
              </w:rPr>
              <w:t>如預期無法於24 小時內送達隔離治療通知書， 應先開立「提審權利告知書」</w:t>
            </w:r>
            <w:r>
              <w:rPr>
                <w:color w:val="231F20"/>
                <w:w w:val="128"/>
                <w:sz w:val="24"/>
              </w:rPr>
              <w:t>(附件</w:t>
            </w:r>
            <w:r>
              <w:rPr>
                <w:color w:val="231F20"/>
                <w:sz w:val="24"/>
              </w:rPr>
              <w:t> </w:t>
            </w:r>
            <w:r>
              <w:rPr>
                <w:color w:val="231F20"/>
                <w:w w:val="104"/>
                <w:sz w:val="24"/>
              </w:rPr>
              <w:t>9</w:t>
            </w:r>
            <w:r>
              <w:rPr>
                <w:color w:val="231F20"/>
                <w:w w:val="129"/>
                <w:sz w:val="24"/>
              </w:rPr>
              <w:t>-</w:t>
            </w:r>
            <w:r>
              <w:rPr>
                <w:color w:val="231F20"/>
                <w:w w:val="104"/>
                <w:sz w:val="24"/>
              </w:rPr>
              <w:t>1</w:t>
            </w:r>
            <w:r>
              <w:rPr>
                <w:color w:val="231F20"/>
                <w:w w:val="129"/>
                <w:sz w:val="24"/>
              </w:rPr>
              <w:t>-</w:t>
            </w:r>
            <w:r>
              <w:rPr>
                <w:color w:val="231F20"/>
                <w:w w:val="104"/>
                <w:sz w:val="24"/>
              </w:rPr>
              <w:t>5</w:t>
            </w:r>
            <w:r>
              <w:rPr>
                <w:color w:val="231F20"/>
                <w:w w:val="300"/>
                <w:sz w:val="24"/>
              </w:rPr>
              <w:t>)</w:t>
            </w:r>
          </w:p>
          <w:p>
            <w:pPr>
              <w:pStyle w:val="TableParagraph"/>
              <w:spacing w:line="393" w:lineRule="exact"/>
              <w:ind w:left="112"/>
              <w:rPr>
                <w:sz w:val="24"/>
              </w:rPr>
            </w:pPr>
            <w:r>
              <w:rPr>
                <w:color w:val="231F20"/>
                <w:sz w:val="24"/>
              </w:rPr>
              <w:t>予本人及其指定親友。</w:t>
            </w:r>
          </w:p>
        </w:tc>
        <w:tc>
          <w:tcPr>
            <w:tcW w:w="3053" w:type="dxa"/>
            <w:vMerge/>
            <w:tcBorders>
              <w:top w:val="nil"/>
            </w:tcBorders>
          </w:tcPr>
          <w:p>
            <w:pPr>
              <w:rPr>
                <w:sz w:val="2"/>
                <w:szCs w:val="2"/>
              </w:rPr>
            </w:pPr>
          </w:p>
        </w:tc>
      </w:tr>
      <w:tr>
        <w:trPr>
          <w:trHeight w:val="2450" w:hRule="atLeast"/>
        </w:trPr>
        <w:tc>
          <w:tcPr>
            <w:tcW w:w="1202" w:type="dxa"/>
            <w:vMerge/>
            <w:tcBorders>
              <w:top w:val="nil"/>
            </w:tcBorders>
          </w:tcPr>
          <w:p>
            <w:pPr>
              <w:rPr>
                <w:sz w:val="2"/>
                <w:szCs w:val="2"/>
              </w:rPr>
            </w:pPr>
          </w:p>
        </w:tc>
        <w:tc>
          <w:tcPr>
            <w:tcW w:w="5138" w:type="dxa"/>
          </w:tcPr>
          <w:p>
            <w:pPr>
              <w:pStyle w:val="TableParagraph"/>
              <w:spacing w:line="230" w:lineRule="auto" w:before="36"/>
              <w:ind w:left="622" w:right="91" w:hanging="511"/>
              <w:jc w:val="both"/>
              <w:rPr>
                <w:sz w:val="24"/>
              </w:rPr>
            </w:pPr>
            <w:r>
              <w:rPr>
                <w:color w:val="231F20"/>
                <w:sz w:val="24"/>
              </w:rPr>
              <w:t>二、如病人經通知後未依隔離治療通知書期限內，前往隔離治療機構接受治療，可採用或併用以下方式處理：</w:t>
            </w:r>
          </w:p>
          <w:p>
            <w:pPr>
              <w:pStyle w:val="TableParagraph"/>
              <w:spacing w:line="230" w:lineRule="auto"/>
              <w:ind w:left="866" w:right="90" w:hanging="567"/>
              <w:jc w:val="both"/>
              <w:rPr>
                <w:sz w:val="24"/>
              </w:rPr>
            </w:pPr>
            <w:r>
              <w:rPr>
                <w:color w:val="231F20"/>
                <w:w w:val="65"/>
                <w:sz w:val="24"/>
              </w:rPr>
              <w:t>（ </w:t>
            </w:r>
            <w:r>
              <w:rPr>
                <w:color w:val="231F20"/>
                <w:spacing w:val="-11"/>
                <w:sz w:val="24"/>
              </w:rPr>
              <w:t>— ) 協請警察 </w:t>
            </w:r>
            <w:r>
              <w:rPr>
                <w:color w:val="231F20"/>
                <w:spacing w:val="-5"/>
                <w:w w:val="65"/>
                <w:sz w:val="24"/>
              </w:rPr>
              <w:t>／ </w:t>
            </w:r>
            <w:r>
              <w:rPr>
                <w:color w:val="231F20"/>
                <w:spacing w:val="6"/>
                <w:sz w:val="24"/>
              </w:rPr>
              <w:t>消防機關共同執行隔離治療</w:t>
            </w:r>
            <w:r>
              <w:rPr>
                <w:color w:val="231F20"/>
                <w:w w:val="110"/>
                <w:sz w:val="24"/>
              </w:rPr>
              <w:t>(行政協助)。</w:t>
            </w:r>
          </w:p>
          <w:p>
            <w:pPr>
              <w:pStyle w:val="TableParagraph"/>
              <w:spacing w:line="392" w:lineRule="exact"/>
              <w:ind w:left="300"/>
              <w:jc w:val="both"/>
              <w:rPr>
                <w:sz w:val="24"/>
              </w:rPr>
            </w:pPr>
            <w:r>
              <w:rPr>
                <w:color w:val="231F20"/>
                <w:w w:val="70"/>
                <w:sz w:val="24"/>
              </w:rPr>
              <w:t>（ </w:t>
            </w:r>
            <w:r>
              <w:rPr>
                <w:color w:val="231F20"/>
                <w:sz w:val="24"/>
              </w:rPr>
              <w:t>二 ) 違者處新臺幣 6~30 萬元罰鍰。</w:t>
            </w:r>
          </w:p>
        </w:tc>
        <w:tc>
          <w:tcPr>
            <w:tcW w:w="3053" w:type="dxa"/>
          </w:tcPr>
          <w:p>
            <w:pPr>
              <w:pStyle w:val="TableParagraph"/>
              <w:spacing w:before="7"/>
              <w:rPr>
                <w:sz w:val="24"/>
              </w:rPr>
            </w:pPr>
          </w:p>
          <w:p>
            <w:pPr>
              <w:pStyle w:val="TableParagraph"/>
              <w:numPr>
                <w:ilvl w:val="0"/>
                <w:numId w:val="182"/>
              </w:numPr>
              <w:tabs>
                <w:tab w:pos="357" w:val="left" w:leader="none"/>
              </w:tabs>
              <w:spacing w:line="409" w:lineRule="exact" w:before="0" w:after="0"/>
              <w:ind w:left="356" w:right="0" w:hanging="245"/>
              <w:jc w:val="left"/>
              <w:rPr>
                <w:sz w:val="24"/>
              </w:rPr>
            </w:pPr>
            <w:r>
              <w:rPr>
                <w:color w:val="231F20"/>
                <w:spacing w:val="-2"/>
                <w:sz w:val="24"/>
              </w:rPr>
              <w:t>行政程序法 </w:t>
            </w:r>
            <w:r>
              <w:rPr>
                <w:color w:val="231F20"/>
                <w:sz w:val="24"/>
              </w:rPr>
              <w:t>§19</w:t>
            </w:r>
          </w:p>
          <w:p>
            <w:pPr>
              <w:pStyle w:val="TableParagraph"/>
              <w:numPr>
                <w:ilvl w:val="0"/>
                <w:numId w:val="182"/>
              </w:numPr>
              <w:tabs>
                <w:tab w:pos="357" w:val="left" w:leader="none"/>
              </w:tabs>
              <w:spacing w:line="230" w:lineRule="auto" w:before="2" w:after="0"/>
              <w:ind w:left="356" w:right="96" w:hanging="244"/>
              <w:jc w:val="left"/>
              <w:rPr>
                <w:sz w:val="24"/>
              </w:rPr>
            </w:pPr>
            <w:r>
              <w:rPr>
                <w:color w:val="231F20"/>
                <w:spacing w:val="37"/>
                <w:w w:val="105"/>
                <w:sz w:val="24"/>
              </w:rPr>
              <w:t>傳染病防治法 </w:t>
            </w:r>
            <w:r>
              <w:rPr>
                <w:color w:val="231F20"/>
                <w:w w:val="105"/>
                <w:sz w:val="24"/>
              </w:rPr>
              <w:t>§67</w:t>
            </w:r>
            <w:r>
              <w:rPr>
                <w:color w:val="231F20"/>
                <w:spacing w:val="-19"/>
                <w:w w:val="105"/>
                <w:sz w:val="24"/>
              </w:rPr>
              <w:t>. </w:t>
            </w:r>
            <w:r>
              <w:rPr>
                <w:color w:val="231F20"/>
                <w:spacing w:val="-11"/>
                <w:w w:val="330"/>
                <w:sz w:val="24"/>
              </w:rPr>
              <w:t>I </w:t>
            </w:r>
            <w:r>
              <w:rPr>
                <w:color w:val="231F20"/>
                <w:w w:val="200"/>
                <w:sz w:val="24"/>
              </w:rPr>
              <w:t>(3)</w:t>
            </w:r>
          </w:p>
          <w:p>
            <w:pPr>
              <w:pStyle w:val="TableParagraph"/>
              <w:numPr>
                <w:ilvl w:val="0"/>
                <w:numId w:val="182"/>
              </w:numPr>
              <w:tabs>
                <w:tab w:pos="357" w:val="left" w:leader="none"/>
              </w:tabs>
              <w:spacing w:line="404" w:lineRule="exact" w:before="0" w:after="0"/>
              <w:ind w:left="356" w:right="0" w:hanging="245"/>
              <w:jc w:val="left"/>
              <w:rPr>
                <w:sz w:val="24"/>
              </w:rPr>
            </w:pPr>
            <w:r>
              <w:rPr>
                <w:color w:val="231F20"/>
                <w:spacing w:val="-2"/>
                <w:sz w:val="24"/>
              </w:rPr>
              <w:t>行政罰法第 </w:t>
            </w:r>
            <w:r>
              <w:rPr>
                <w:color w:val="231F20"/>
                <w:sz w:val="24"/>
              </w:rPr>
              <w:t>18</w:t>
            </w:r>
            <w:r>
              <w:rPr>
                <w:color w:val="231F20"/>
                <w:spacing w:val="-3"/>
                <w:sz w:val="24"/>
              </w:rPr>
              <w:t> 條</w:t>
            </w:r>
          </w:p>
        </w:tc>
      </w:tr>
      <w:tr>
        <w:trPr>
          <w:trHeight w:val="1651" w:hRule="atLeast"/>
        </w:trPr>
        <w:tc>
          <w:tcPr>
            <w:tcW w:w="1202" w:type="dxa"/>
            <w:vMerge w:val="restart"/>
          </w:tcPr>
          <w:p>
            <w:pPr>
              <w:pStyle w:val="TableParagraph"/>
              <w:rPr>
                <w:sz w:val="32"/>
              </w:rPr>
            </w:pPr>
          </w:p>
          <w:p>
            <w:pPr>
              <w:pStyle w:val="TableParagraph"/>
              <w:rPr>
                <w:sz w:val="32"/>
              </w:rPr>
            </w:pPr>
          </w:p>
          <w:p>
            <w:pPr>
              <w:pStyle w:val="TableParagraph"/>
              <w:rPr>
                <w:sz w:val="32"/>
              </w:rPr>
            </w:pPr>
          </w:p>
          <w:p>
            <w:pPr>
              <w:pStyle w:val="TableParagraph"/>
              <w:spacing w:before="14"/>
              <w:rPr>
                <w:sz w:val="45"/>
              </w:rPr>
            </w:pPr>
          </w:p>
          <w:p>
            <w:pPr>
              <w:pStyle w:val="TableParagraph"/>
              <w:spacing w:line="230" w:lineRule="auto"/>
              <w:ind w:left="113" w:right="112"/>
              <w:rPr>
                <w:sz w:val="24"/>
              </w:rPr>
            </w:pPr>
            <w:r>
              <w:rPr>
                <w:color w:val="231F20"/>
                <w:sz w:val="24"/>
              </w:rPr>
              <w:t>隔離治療期間</w:t>
            </w:r>
          </w:p>
        </w:tc>
        <w:tc>
          <w:tcPr>
            <w:tcW w:w="5138" w:type="dxa"/>
          </w:tcPr>
          <w:p>
            <w:pPr>
              <w:pStyle w:val="TableParagraph"/>
              <w:spacing w:line="230" w:lineRule="auto" w:before="36"/>
              <w:ind w:left="622" w:right="90" w:hanging="511"/>
              <w:jc w:val="both"/>
              <w:rPr>
                <w:sz w:val="24"/>
              </w:rPr>
            </w:pPr>
            <w:r>
              <w:rPr>
                <w:color w:val="231F20"/>
                <w:sz w:val="24"/>
              </w:rPr>
              <w:t>—、隔離治療機構應提供必要之治療並隨時評估可否解除隔離治療；衛生局應適時提供必要協助，例如：協調社會福利等有關主</w:t>
            </w:r>
          </w:p>
          <w:p>
            <w:pPr>
              <w:pStyle w:val="TableParagraph"/>
              <w:spacing w:line="391" w:lineRule="exact"/>
              <w:ind w:left="622"/>
              <w:rPr>
                <w:sz w:val="24"/>
              </w:rPr>
            </w:pPr>
            <w:r>
              <w:rPr>
                <w:color w:val="231F20"/>
                <w:sz w:val="24"/>
              </w:rPr>
              <w:t>管機關予以救助。</w:t>
            </w:r>
          </w:p>
        </w:tc>
        <w:tc>
          <w:tcPr>
            <w:tcW w:w="3053" w:type="dxa"/>
          </w:tcPr>
          <w:p>
            <w:pPr>
              <w:pStyle w:val="TableParagraph"/>
              <w:numPr>
                <w:ilvl w:val="0"/>
                <w:numId w:val="183"/>
              </w:numPr>
              <w:tabs>
                <w:tab w:pos="357" w:val="left" w:leader="none"/>
              </w:tabs>
              <w:spacing w:line="409" w:lineRule="exact" w:before="225" w:after="0"/>
              <w:ind w:left="356" w:right="0" w:hanging="245"/>
              <w:jc w:val="left"/>
              <w:rPr>
                <w:sz w:val="24"/>
              </w:rPr>
            </w:pPr>
            <w:r>
              <w:rPr>
                <w:color w:val="231F20"/>
                <w:spacing w:val="-3"/>
                <w:w w:val="105"/>
                <w:sz w:val="24"/>
              </w:rPr>
              <w:t>傳染病防治法 </w:t>
            </w:r>
            <w:r>
              <w:rPr>
                <w:color w:val="231F20"/>
                <w:w w:val="105"/>
                <w:sz w:val="24"/>
              </w:rPr>
              <w:t>§45</w:t>
            </w:r>
            <w:r>
              <w:rPr>
                <w:color w:val="231F20"/>
                <w:spacing w:val="-10"/>
                <w:w w:val="105"/>
                <w:sz w:val="24"/>
              </w:rPr>
              <w:t>. </w:t>
            </w:r>
            <w:r>
              <w:rPr>
                <w:color w:val="231F20"/>
                <w:w w:val="160"/>
                <w:sz w:val="24"/>
              </w:rPr>
              <w:t>II</w:t>
            </w:r>
          </w:p>
          <w:p>
            <w:pPr>
              <w:pStyle w:val="TableParagraph"/>
              <w:numPr>
                <w:ilvl w:val="0"/>
                <w:numId w:val="183"/>
              </w:numPr>
              <w:tabs>
                <w:tab w:pos="357" w:val="left" w:leader="none"/>
              </w:tabs>
              <w:spacing w:line="400" w:lineRule="exact" w:before="0" w:after="0"/>
              <w:ind w:left="356" w:right="0" w:hanging="245"/>
              <w:jc w:val="left"/>
              <w:rPr>
                <w:sz w:val="24"/>
              </w:rPr>
            </w:pPr>
            <w:r>
              <w:rPr>
                <w:color w:val="231F20"/>
                <w:spacing w:val="20"/>
                <w:sz w:val="24"/>
              </w:rPr>
              <w:t>傳染病防治法施行細則</w:t>
            </w:r>
          </w:p>
          <w:p>
            <w:pPr>
              <w:pStyle w:val="TableParagraph"/>
              <w:spacing w:line="409" w:lineRule="exact"/>
              <w:ind w:left="356"/>
              <w:rPr>
                <w:sz w:val="24"/>
              </w:rPr>
            </w:pPr>
            <w:r>
              <w:rPr>
                <w:color w:val="231F20"/>
                <w:sz w:val="24"/>
              </w:rPr>
              <w:t>§10. III  </w:t>
            </w:r>
          </w:p>
        </w:tc>
      </w:tr>
      <w:tr>
        <w:trPr>
          <w:trHeight w:val="4050" w:hRule="atLeast"/>
        </w:trPr>
        <w:tc>
          <w:tcPr>
            <w:tcW w:w="1202" w:type="dxa"/>
            <w:vMerge/>
            <w:tcBorders>
              <w:top w:val="nil"/>
            </w:tcBorders>
          </w:tcPr>
          <w:p>
            <w:pPr>
              <w:rPr>
                <w:sz w:val="2"/>
                <w:szCs w:val="2"/>
              </w:rPr>
            </w:pPr>
          </w:p>
        </w:tc>
        <w:tc>
          <w:tcPr>
            <w:tcW w:w="5138" w:type="dxa"/>
          </w:tcPr>
          <w:p>
            <w:pPr>
              <w:pStyle w:val="TableParagraph"/>
              <w:spacing w:line="230" w:lineRule="auto" w:before="36"/>
              <w:ind w:left="622" w:right="90" w:hanging="511"/>
              <w:jc w:val="both"/>
              <w:rPr>
                <w:sz w:val="24"/>
              </w:rPr>
            </w:pPr>
            <w:r>
              <w:rPr>
                <w:color w:val="231F20"/>
                <w:sz w:val="24"/>
              </w:rPr>
              <w:t>二、被隔離治療者應收住於負壓隔離病房，痰液檢査已呈陰性者，則以—般病房隔離為原則；例外狀況必要時辦理如下：</w:t>
            </w:r>
          </w:p>
          <w:p>
            <w:pPr>
              <w:pStyle w:val="TableParagraph"/>
              <w:spacing w:line="230" w:lineRule="auto"/>
              <w:ind w:left="866" w:right="85" w:hanging="567"/>
              <w:jc w:val="both"/>
              <w:rPr>
                <w:sz w:val="24"/>
              </w:rPr>
            </w:pPr>
            <w:r>
              <w:rPr>
                <w:color w:val="231F20"/>
                <w:w w:val="65"/>
                <w:sz w:val="24"/>
              </w:rPr>
              <w:t>（ </w:t>
            </w:r>
            <w:r>
              <w:rPr>
                <w:color w:val="231F20"/>
                <w:sz w:val="24"/>
              </w:rPr>
              <w:t>— ) 有逃跑、干擾其他病人或疾病無法完治等情形發生，經公衛管理人員權衡防疫與人身自由及權益最有利情況等比例原則，再次評估無法解除隔離治療，且須繼續收治於負壓隔離病房者，應將理由詳細記錄於 TB 系統，確保處分之行使</w:t>
            </w:r>
          </w:p>
          <w:p>
            <w:pPr>
              <w:pStyle w:val="TableParagraph"/>
              <w:spacing w:line="387" w:lineRule="exact"/>
              <w:ind w:left="866"/>
              <w:rPr>
                <w:sz w:val="24"/>
              </w:rPr>
            </w:pPr>
            <w:r>
              <w:rPr>
                <w:color w:val="231F20"/>
                <w:sz w:val="24"/>
              </w:rPr>
              <w:t>持續受到監督。</w:t>
            </w:r>
          </w:p>
        </w:tc>
        <w:tc>
          <w:tcPr>
            <w:tcW w:w="3053" w:type="dxa"/>
          </w:tcPr>
          <w:p>
            <w:pPr>
              <w:pStyle w:val="TableParagraph"/>
              <w:rPr>
                <w:sz w:val="32"/>
              </w:rPr>
            </w:pPr>
          </w:p>
          <w:p>
            <w:pPr>
              <w:pStyle w:val="TableParagraph"/>
              <w:spacing w:before="6"/>
              <w:rPr>
                <w:sz w:val="38"/>
              </w:rPr>
            </w:pPr>
          </w:p>
          <w:p>
            <w:pPr>
              <w:pStyle w:val="TableParagraph"/>
              <w:numPr>
                <w:ilvl w:val="0"/>
                <w:numId w:val="184"/>
              </w:numPr>
              <w:tabs>
                <w:tab w:pos="357" w:val="left" w:leader="none"/>
              </w:tabs>
              <w:spacing w:line="409" w:lineRule="exact" w:before="0" w:after="0"/>
              <w:ind w:left="356" w:right="0" w:hanging="245"/>
              <w:jc w:val="left"/>
              <w:rPr>
                <w:sz w:val="24"/>
              </w:rPr>
            </w:pPr>
            <w:r>
              <w:rPr>
                <w:color w:val="231F20"/>
                <w:spacing w:val="6"/>
                <w:sz w:val="24"/>
              </w:rPr>
              <w:t>傳染病防治法</w:t>
            </w:r>
            <w:r>
              <w:rPr>
                <w:color w:val="231F20"/>
                <w:sz w:val="24"/>
              </w:rPr>
              <w:t>§44</w:t>
            </w:r>
            <w:r>
              <w:rPr>
                <w:color w:val="231F20"/>
                <w:spacing w:val="2"/>
                <w:sz w:val="24"/>
              </w:rPr>
              <w:t> 及</w:t>
            </w:r>
            <w:r>
              <w:rPr>
                <w:color w:val="231F20"/>
                <w:sz w:val="24"/>
              </w:rPr>
              <w:t>§45</w:t>
            </w:r>
          </w:p>
          <w:p>
            <w:pPr>
              <w:pStyle w:val="TableParagraph"/>
              <w:numPr>
                <w:ilvl w:val="0"/>
                <w:numId w:val="184"/>
              </w:numPr>
              <w:tabs>
                <w:tab w:pos="357" w:val="left" w:leader="none"/>
              </w:tabs>
              <w:spacing w:line="230" w:lineRule="auto" w:before="2" w:after="0"/>
              <w:ind w:left="356" w:right="93" w:hanging="244"/>
              <w:jc w:val="left"/>
              <w:rPr>
                <w:sz w:val="24"/>
              </w:rPr>
            </w:pPr>
            <w:r>
              <w:rPr>
                <w:color w:val="231F20"/>
                <w:sz w:val="24"/>
              </w:rPr>
              <w:t>102 年 4 月 23</w:t>
            </w:r>
            <w:r>
              <w:rPr>
                <w:color w:val="231F20"/>
                <w:spacing w:val="-2"/>
                <w:sz w:val="24"/>
              </w:rPr>
              <w:t> 日衛署疾</w:t>
            </w:r>
            <w:r>
              <w:rPr>
                <w:color w:val="231F20"/>
                <w:spacing w:val="39"/>
                <w:sz w:val="24"/>
              </w:rPr>
              <w:t>管核字第 </w:t>
            </w:r>
            <w:r>
              <w:rPr>
                <w:color w:val="231F20"/>
                <w:sz w:val="24"/>
              </w:rPr>
              <w:t>1020300572</w:t>
            </w:r>
          </w:p>
          <w:p>
            <w:pPr>
              <w:pStyle w:val="TableParagraph"/>
              <w:spacing w:line="404" w:lineRule="exact"/>
              <w:ind w:left="356"/>
              <w:rPr>
                <w:sz w:val="24"/>
              </w:rPr>
            </w:pPr>
            <w:r>
              <w:rPr>
                <w:color w:val="231F20"/>
                <w:sz w:val="24"/>
              </w:rPr>
              <w:t>號函</w:t>
            </w:r>
          </w:p>
        </w:tc>
      </w:tr>
    </w:tbl>
    <w:p>
      <w:pPr>
        <w:rPr>
          <w:sz w:val="2"/>
          <w:szCs w:val="2"/>
        </w:rPr>
      </w:pPr>
      <w:r>
        <w:rPr/>
        <w:pict>
          <v:group style="position:absolute;margin-left:557.684509pt;margin-top:259.160004pt;width:37.35pt;height:582.550pt;mso-position-horizontal-relative:page;mso-position-vertical-relative:page;z-index:251825152" coordorigin="11154,5183" coordsize="747,11651">
            <v:shape style="position:absolute;left:11283;top:5694;width:438;height:11140" type="#_x0000_t75" stroked="false">
              <v:imagedata r:id="rId96" o:title=""/>
            </v:shape>
            <v:shape style="position:absolute;left:11153;top:5183;width:747;height:812" coordorigin="11154,5183" coordsize="747,812" path="m11900,5183l11536,5183,11514,5185,11454,5219,11188,5502,11154,5589,11162,5635,11454,5958,11514,5992,11536,5995,11900,5995,11900,5183xe" filled="true" fillcolor="#f8971d" stroked="false">
              <v:path arrowok="t"/>
              <v:fill type="solid"/>
            </v:shape>
            <v:shape style="position:absolute;left:11307;top:5450;width:389;height:278" type="#_x0000_t75" stroked="false">
              <v:imagedata r:id="rId97" o:title=""/>
            </v:shape>
            <v:shape style="position:absolute;left:11379;top:6139;width:250;height:1245" type="#_x0000_t75" stroked="false">
              <v:imagedata r:id="rId98"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93</w:t>
                    </w:r>
                  </w:p>
                </w:txbxContent>
              </v:textbox>
              <w10:wrap type="none"/>
            </v:shape>
            <w10:wrap type="none"/>
          </v:group>
        </w:pict>
      </w:r>
    </w:p>
    <w:p>
      <w:pPr>
        <w:spacing w:after="0"/>
        <w:rPr>
          <w:sz w:val="2"/>
          <w:szCs w:val="2"/>
        </w:rPr>
        <w:sectPr>
          <w:pgSz w:w="11910" w:h="16840"/>
          <w:pgMar w:top="1200" w:bottom="0" w:left="980" w:right="0"/>
        </w:sectPr>
      </w:pPr>
    </w:p>
    <w:tbl>
      <w:tblPr>
        <w:tblW w:w="0" w:type="auto"/>
        <w:jc w:val="left"/>
        <w:tblInd w:w="394"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02"/>
        <w:gridCol w:w="5138"/>
        <w:gridCol w:w="3053"/>
      </w:tblGrid>
      <w:tr>
        <w:trPr>
          <w:trHeight w:val="451" w:hRule="atLeast"/>
        </w:trPr>
        <w:tc>
          <w:tcPr>
            <w:tcW w:w="1202" w:type="dxa"/>
            <w:shd w:val="clear" w:color="auto" w:fill="E6E7E8"/>
          </w:tcPr>
          <w:p>
            <w:pPr>
              <w:pStyle w:val="TableParagraph"/>
              <w:spacing w:line="432" w:lineRule="exact"/>
              <w:ind w:left="360"/>
              <w:rPr>
                <w:rFonts w:ascii="微軟正黑體" w:eastAsia="微軟正黑體" w:hint="eastAsia"/>
                <w:b/>
                <w:sz w:val="24"/>
              </w:rPr>
            </w:pPr>
            <w:r>
              <w:rPr>
                <w:rFonts w:ascii="微軟正黑體" w:eastAsia="微軟正黑體" w:hint="eastAsia"/>
                <w:b/>
                <w:color w:val="231F20"/>
                <w:w w:val="145"/>
                <w:sz w:val="24"/>
              </w:rPr>
              <w:t>t呈</w:t>
            </w:r>
          </w:p>
        </w:tc>
        <w:tc>
          <w:tcPr>
            <w:tcW w:w="5138" w:type="dxa"/>
            <w:shd w:val="clear" w:color="auto" w:fill="E6E7E8"/>
          </w:tcPr>
          <w:p>
            <w:pPr>
              <w:pStyle w:val="TableParagraph"/>
              <w:spacing w:line="432" w:lineRule="exact"/>
              <w:ind w:left="2308" w:right="2294"/>
              <w:jc w:val="center"/>
              <w:rPr>
                <w:rFonts w:ascii="微軟正黑體" w:eastAsia="微軟正黑體" w:hint="eastAsia"/>
                <w:b/>
                <w:sz w:val="24"/>
              </w:rPr>
            </w:pPr>
            <w:r>
              <w:rPr>
                <w:rFonts w:ascii="微軟正黑體" w:eastAsia="微軟正黑體" w:hint="eastAsia"/>
                <w:b/>
                <w:color w:val="231F20"/>
                <w:sz w:val="24"/>
              </w:rPr>
              <w:t>說明</w:t>
            </w:r>
          </w:p>
        </w:tc>
        <w:tc>
          <w:tcPr>
            <w:tcW w:w="3053" w:type="dxa"/>
            <w:shd w:val="clear" w:color="auto" w:fill="E6E7E8"/>
          </w:tcPr>
          <w:p>
            <w:pPr>
              <w:pStyle w:val="TableParagraph"/>
              <w:spacing w:line="432" w:lineRule="exact"/>
              <w:ind w:left="686"/>
              <w:rPr>
                <w:rFonts w:ascii="微軟正黑體" w:eastAsia="微軟正黑體" w:hint="eastAsia"/>
                <w:b/>
                <w:sz w:val="24"/>
              </w:rPr>
            </w:pPr>
            <w:r>
              <w:rPr>
                <w:rFonts w:ascii="微軟正黑體" w:eastAsia="微軟正黑體" w:hint="eastAsia"/>
                <w:b/>
                <w:color w:val="231F20"/>
                <w:sz w:val="24"/>
              </w:rPr>
              <w:t>相關法條及函釋</w:t>
            </w:r>
          </w:p>
        </w:tc>
      </w:tr>
      <w:tr>
        <w:trPr>
          <w:trHeight w:val="2850" w:hRule="atLeast"/>
        </w:trPr>
        <w:tc>
          <w:tcPr>
            <w:tcW w:w="1202" w:type="dxa"/>
            <w:vMerge w:val="restart"/>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5"/>
              <w:rPr>
                <w:sz w:val="34"/>
              </w:rPr>
            </w:pPr>
          </w:p>
          <w:p>
            <w:pPr>
              <w:pStyle w:val="TableParagraph"/>
              <w:spacing w:line="230" w:lineRule="auto"/>
              <w:ind w:left="113" w:right="112"/>
              <w:rPr>
                <w:sz w:val="24"/>
              </w:rPr>
            </w:pPr>
            <w:r>
              <w:rPr>
                <w:color w:val="231F20"/>
                <w:sz w:val="24"/>
              </w:rPr>
              <w:t>隔離治療期間</w:t>
            </w:r>
          </w:p>
        </w:tc>
        <w:tc>
          <w:tcPr>
            <w:tcW w:w="5138" w:type="dxa"/>
          </w:tcPr>
          <w:p>
            <w:pPr>
              <w:pStyle w:val="TableParagraph"/>
              <w:spacing w:line="230" w:lineRule="auto" w:before="36"/>
              <w:ind w:left="866" w:right="85" w:hanging="567"/>
              <w:jc w:val="both"/>
              <w:rPr>
                <w:sz w:val="24"/>
              </w:rPr>
            </w:pPr>
            <w:r>
              <w:rPr>
                <w:color w:val="231F20"/>
                <w:w w:val="70"/>
                <w:sz w:val="24"/>
              </w:rPr>
              <w:t>（ </w:t>
            </w:r>
            <w:r>
              <w:rPr>
                <w:color w:val="231F20"/>
                <w:spacing w:val="-7"/>
                <w:sz w:val="24"/>
              </w:rPr>
              <w:t>二 ) 衛生局提出個案須繼續於負壓隔離病房</w:t>
            </w:r>
            <w:r>
              <w:rPr>
                <w:color w:val="231F20"/>
                <w:spacing w:val="2"/>
                <w:sz w:val="24"/>
              </w:rPr>
              <w:t>治療時，需事先檢具相關文件(如記錄</w:t>
            </w:r>
            <w:r>
              <w:rPr>
                <w:color w:val="231F20"/>
                <w:spacing w:val="27"/>
                <w:sz w:val="24"/>
              </w:rPr>
              <w:t>於 </w:t>
            </w:r>
            <w:r>
              <w:rPr>
                <w:color w:val="231F20"/>
                <w:sz w:val="24"/>
              </w:rPr>
              <w:t>TB</w:t>
            </w:r>
            <w:r>
              <w:rPr>
                <w:color w:val="231F20"/>
                <w:spacing w:val="9"/>
                <w:sz w:val="24"/>
              </w:rPr>
              <w:t> 系統之無法配合具體事實)，提</w:t>
            </w:r>
            <w:r>
              <w:rPr>
                <w:color w:val="231F20"/>
                <w:spacing w:val="2"/>
                <w:sz w:val="24"/>
              </w:rPr>
              <w:t>供並徵詢  </w:t>
            </w:r>
            <w:r>
              <w:rPr>
                <w:color w:val="231F20"/>
                <w:sz w:val="24"/>
              </w:rPr>
              <w:t>2</w:t>
            </w:r>
            <w:r>
              <w:rPr>
                <w:color w:val="231F20"/>
                <w:spacing w:val="1"/>
                <w:sz w:val="24"/>
              </w:rPr>
              <w:t>  位(含)以上非任職於該隔</w:t>
            </w:r>
            <w:r>
              <w:rPr>
                <w:color w:val="231F20"/>
                <w:spacing w:val="3"/>
                <w:sz w:val="24"/>
              </w:rPr>
              <w:t>離醫院之「結核病診療諮詢小組委員」</w:t>
            </w:r>
            <w:r>
              <w:rPr>
                <w:color w:val="231F20"/>
                <w:spacing w:val="2"/>
                <w:sz w:val="24"/>
              </w:rPr>
              <w:t>該等專家之意見，方得以繼續於負壓隔</w:t>
            </w:r>
          </w:p>
          <w:p>
            <w:pPr>
              <w:pStyle w:val="TableParagraph"/>
              <w:spacing w:line="388" w:lineRule="exact"/>
              <w:ind w:left="866"/>
              <w:rPr>
                <w:sz w:val="24"/>
              </w:rPr>
            </w:pPr>
            <w:r>
              <w:rPr>
                <w:color w:val="231F20"/>
                <w:sz w:val="24"/>
              </w:rPr>
              <w:t>離病房治療。</w:t>
            </w:r>
          </w:p>
        </w:tc>
        <w:tc>
          <w:tcPr>
            <w:tcW w:w="3053" w:type="dxa"/>
          </w:tcPr>
          <w:p>
            <w:pPr>
              <w:pStyle w:val="TableParagraph"/>
              <w:rPr>
                <w:rFonts w:ascii="Times New Roman"/>
                <w:sz w:val="22"/>
              </w:rPr>
            </w:pPr>
          </w:p>
        </w:tc>
      </w:tr>
      <w:tr>
        <w:trPr>
          <w:trHeight w:val="2450" w:hRule="atLeast"/>
        </w:trPr>
        <w:tc>
          <w:tcPr>
            <w:tcW w:w="1202" w:type="dxa"/>
            <w:vMerge/>
            <w:tcBorders>
              <w:top w:val="nil"/>
            </w:tcBorders>
          </w:tcPr>
          <w:p>
            <w:pPr>
              <w:rPr>
                <w:sz w:val="2"/>
                <w:szCs w:val="2"/>
              </w:rPr>
            </w:pPr>
          </w:p>
        </w:tc>
        <w:tc>
          <w:tcPr>
            <w:tcW w:w="5138" w:type="dxa"/>
          </w:tcPr>
          <w:p>
            <w:pPr>
              <w:pStyle w:val="TableParagraph"/>
              <w:spacing w:line="230" w:lineRule="auto" w:before="37"/>
              <w:ind w:left="622" w:right="77" w:hanging="511"/>
              <w:jc w:val="both"/>
              <w:rPr>
                <w:sz w:val="24"/>
              </w:rPr>
            </w:pPr>
            <w:r>
              <w:rPr>
                <w:color w:val="231F20"/>
                <w:sz w:val="24"/>
              </w:rPr>
              <w:t>三、被隔離治療之病人不得任意離開，隔離治療機構亦不得任意允許受隔離者請假外出，如因特殊需求須暫時離院，隔離治療機構應通報個案管理單位之衛生局，衛生局依法評估是否同意請假外出或符合解除</w:t>
            </w:r>
          </w:p>
          <w:p>
            <w:pPr>
              <w:pStyle w:val="TableParagraph"/>
              <w:spacing w:line="388" w:lineRule="exact"/>
              <w:ind w:left="622"/>
              <w:rPr>
                <w:sz w:val="24"/>
              </w:rPr>
            </w:pPr>
            <w:r>
              <w:rPr>
                <w:color w:val="231F20"/>
                <w:sz w:val="24"/>
              </w:rPr>
              <w:t>隔離治療之要件。</w:t>
            </w:r>
          </w:p>
        </w:tc>
        <w:tc>
          <w:tcPr>
            <w:tcW w:w="3053" w:type="dxa"/>
          </w:tcPr>
          <w:p>
            <w:pPr>
              <w:pStyle w:val="TableParagraph"/>
              <w:spacing w:before="7"/>
              <w:rPr>
                <w:sz w:val="24"/>
              </w:rPr>
            </w:pPr>
          </w:p>
          <w:p>
            <w:pPr>
              <w:pStyle w:val="TableParagraph"/>
              <w:numPr>
                <w:ilvl w:val="0"/>
                <w:numId w:val="185"/>
              </w:numPr>
              <w:tabs>
                <w:tab w:pos="357" w:val="left" w:leader="none"/>
              </w:tabs>
              <w:spacing w:line="409" w:lineRule="exact" w:before="0" w:after="0"/>
              <w:ind w:left="356" w:right="0" w:hanging="245"/>
              <w:jc w:val="left"/>
              <w:rPr>
                <w:sz w:val="24"/>
              </w:rPr>
            </w:pPr>
            <w:r>
              <w:rPr>
                <w:color w:val="231F20"/>
                <w:spacing w:val="-4"/>
                <w:w w:val="105"/>
                <w:sz w:val="24"/>
              </w:rPr>
              <w:t>傳染病防治法 </w:t>
            </w:r>
            <w:r>
              <w:rPr>
                <w:color w:val="231F20"/>
                <w:w w:val="105"/>
                <w:sz w:val="24"/>
              </w:rPr>
              <w:t>§45</w:t>
            </w:r>
            <w:r>
              <w:rPr>
                <w:color w:val="231F20"/>
                <w:spacing w:val="-11"/>
                <w:w w:val="105"/>
                <w:sz w:val="24"/>
              </w:rPr>
              <w:t>. </w:t>
            </w:r>
            <w:r>
              <w:rPr>
                <w:color w:val="231F20"/>
                <w:w w:val="340"/>
                <w:sz w:val="24"/>
              </w:rPr>
              <w:t>I</w:t>
            </w:r>
          </w:p>
          <w:p>
            <w:pPr>
              <w:pStyle w:val="TableParagraph"/>
              <w:numPr>
                <w:ilvl w:val="0"/>
                <w:numId w:val="185"/>
              </w:numPr>
              <w:tabs>
                <w:tab w:pos="357" w:val="left" w:leader="none"/>
              </w:tabs>
              <w:spacing w:line="230" w:lineRule="auto" w:before="2" w:after="0"/>
              <w:ind w:left="356" w:right="93" w:hanging="244"/>
              <w:jc w:val="left"/>
              <w:rPr>
                <w:sz w:val="24"/>
              </w:rPr>
            </w:pPr>
            <w:r>
              <w:rPr>
                <w:color w:val="231F20"/>
                <w:sz w:val="24"/>
              </w:rPr>
              <w:t>101 年 8 月 27</w:t>
            </w:r>
            <w:r>
              <w:rPr>
                <w:color w:val="231F20"/>
                <w:spacing w:val="-2"/>
                <w:sz w:val="24"/>
              </w:rPr>
              <w:t> 日衛署疾</w:t>
            </w:r>
            <w:r>
              <w:rPr>
                <w:color w:val="231F20"/>
                <w:spacing w:val="39"/>
                <w:sz w:val="24"/>
              </w:rPr>
              <w:t>管核字第 </w:t>
            </w:r>
            <w:r>
              <w:rPr>
                <w:color w:val="231F20"/>
                <w:sz w:val="24"/>
              </w:rPr>
              <w:t>1010301076</w:t>
            </w:r>
          </w:p>
          <w:p>
            <w:pPr>
              <w:pStyle w:val="TableParagraph"/>
              <w:spacing w:line="404" w:lineRule="exact"/>
              <w:ind w:left="356"/>
              <w:rPr>
                <w:sz w:val="24"/>
              </w:rPr>
            </w:pPr>
            <w:r>
              <w:rPr>
                <w:color w:val="231F20"/>
                <w:sz w:val="24"/>
              </w:rPr>
              <w:t>號函</w:t>
            </w:r>
          </w:p>
        </w:tc>
      </w:tr>
      <w:tr>
        <w:trPr>
          <w:trHeight w:val="3650" w:hRule="atLeast"/>
        </w:trPr>
        <w:tc>
          <w:tcPr>
            <w:tcW w:w="1202" w:type="dxa"/>
            <w:vMerge/>
            <w:tcBorders>
              <w:top w:val="nil"/>
            </w:tcBorders>
          </w:tcPr>
          <w:p>
            <w:pPr>
              <w:rPr>
                <w:sz w:val="2"/>
                <w:szCs w:val="2"/>
              </w:rPr>
            </w:pPr>
          </w:p>
        </w:tc>
        <w:tc>
          <w:tcPr>
            <w:tcW w:w="5138" w:type="dxa"/>
          </w:tcPr>
          <w:p>
            <w:pPr>
              <w:pStyle w:val="TableParagraph"/>
              <w:spacing w:line="230" w:lineRule="auto" w:before="37"/>
              <w:ind w:left="622" w:right="36" w:hanging="511"/>
              <w:rPr>
                <w:sz w:val="24"/>
              </w:rPr>
            </w:pPr>
            <w:r>
              <w:rPr>
                <w:color w:val="231F20"/>
                <w:spacing w:val="-10"/>
                <w:sz w:val="24"/>
              </w:rPr>
              <w:t>匹、如病人不服指示，擅自離開隔離治療機構， </w:t>
            </w:r>
            <w:r>
              <w:rPr>
                <w:color w:val="231F20"/>
                <w:sz w:val="24"/>
              </w:rPr>
              <w:t>隔離治療機構應通報：</w:t>
            </w:r>
          </w:p>
          <w:p>
            <w:pPr>
              <w:pStyle w:val="TableParagraph"/>
              <w:spacing w:line="230" w:lineRule="auto"/>
              <w:ind w:left="866" w:right="91" w:hanging="567"/>
              <w:rPr>
                <w:sz w:val="24"/>
              </w:rPr>
            </w:pPr>
            <w:r>
              <w:rPr>
                <w:color w:val="231F20"/>
                <w:w w:val="65"/>
                <w:sz w:val="24"/>
              </w:rPr>
              <w:t>（ </w:t>
            </w:r>
            <w:r>
              <w:rPr>
                <w:color w:val="231F20"/>
                <w:sz w:val="24"/>
              </w:rPr>
              <w:t>— ) 隔離治療機構之衛生局，通知警察機關協助搜尋。</w:t>
            </w:r>
          </w:p>
          <w:p>
            <w:pPr>
              <w:pStyle w:val="TableParagraph"/>
              <w:spacing w:line="230" w:lineRule="auto"/>
              <w:ind w:left="866" w:right="54" w:hanging="567"/>
              <w:rPr>
                <w:sz w:val="24"/>
              </w:rPr>
            </w:pPr>
            <w:r>
              <w:rPr>
                <w:color w:val="231F20"/>
                <w:w w:val="70"/>
                <w:sz w:val="24"/>
              </w:rPr>
              <w:t>（ </w:t>
            </w:r>
            <w:r>
              <w:rPr>
                <w:color w:val="231F20"/>
                <w:sz w:val="24"/>
              </w:rPr>
              <w:t>二 ) 個案管理單位之衛生局，處新臺幣6~30 萬元罰鍰。</w:t>
            </w:r>
          </w:p>
          <w:p>
            <w:pPr>
              <w:pStyle w:val="TableParagraph"/>
              <w:spacing w:line="230" w:lineRule="auto"/>
              <w:ind w:left="112" w:right="76"/>
              <w:rPr>
                <w:sz w:val="24"/>
              </w:rPr>
            </w:pPr>
            <w:r>
              <w:rPr>
                <w:color w:val="231F20"/>
                <w:sz w:val="24"/>
              </w:rPr>
              <w:t>病人於隔離治療期間有暴力或破壞設備等情形，除請求警察機關協處外，亦得依法提出告</w:t>
            </w:r>
          </w:p>
          <w:p>
            <w:pPr>
              <w:pStyle w:val="TableParagraph"/>
              <w:spacing w:line="392" w:lineRule="exact"/>
              <w:ind w:left="112"/>
              <w:rPr>
                <w:sz w:val="24"/>
              </w:rPr>
            </w:pPr>
            <w:r>
              <w:rPr>
                <w:color w:val="231F20"/>
                <w:sz w:val="24"/>
              </w:rPr>
              <w:t>訢或請求賠償。</w:t>
            </w:r>
          </w:p>
        </w:tc>
        <w:tc>
          <w:tcPr>
            <w:tcW w:w="3053" w:type="dxa"/>
          </w:tcPr>
          <w:p>
            <w:pPr>
              <w:pStyle w:val="TableParagraph"/>
              <w:numPr>
                <w:ilvl w:val="0"/>
                <w:numId w:val="186"/>
              </w:numPr>
              <w:tabs>
                <w:tab w:pos="357" w:val="left" w:leader="none"/>
              </w:tabs>
              <w:spacing w:line="409" w:lineRule="exact" w:before="225" w:after="0"/>
              <w:ind w:left="356" w:right="0" w:hanging="245"/>
              <w:jc w:val="left"/>
              <w:rPr>
                <w:sz w:val="24"/>
              </w:rPr>
            </w:pPr>
            <w:r>
              <w:rPr>
                <w:color w:val="231F20"/>
                <w:spacing w:val="-4"/>
                <w:w w:val="105"/>
                <w:sz w:val="24"/>
              </w:rPr>
              <w:t>傳染病防治法 </w:t>
            </w:r>
            <w:r>
              <w:rPr>
                <w:color w:val="231F20"/>
                <w:w w:val="105"/>
                <w:sz w:val="24"/>
              </w:rPr>
              <w:t>§45</w:t>
            </w:r>
            <w:r>
              <w:rPr>
                <w:color w:val="231F20"/>
                <w:spacing w:val="-11"/>
                <w:w w:val="105"/>
                <w:sz w:val="24"/>
              </w:rPr>
              <w:t>. </w:t>
            </w:r>
            <w:r>
              <w:rPr>
                <w:color w:val="231F20"/>
                <w:w w:val="340"/>
                <w:sz w:val="24"/>
              </w:rPr>
              <w:t>I</w:t>
            </w:r>
          </w:p>
          <w:p>
            <w:pPr>
              <w:pStyle w:val="TableParagraph"/>
              <w:numPr>
                <w:ilvl w:val="0"/>
                <w:numId w:val="186"/>
              </w:numPr>
              <w:tabs>
                <w:tab w:pos="357" w:val="left" w:leader="none"/>
              </w:tabs>
              <w:spacing w:line="230" w:lineRule="auto" w:before="2" w:after="0"/>
              <w:ind w:left="356" w:right="431" w:hanging="244"/>
              <w:jc w:val="left"/>
              <w:rPr>
                <w:sz w:val="24"/>
              </w:rPr>
            </w:pPr>
            <w:r>
              <w:rPr>
                <w:color w:val="231F20"/>
                <w:spacing w:val="-8"/>
                <w:w w:val="110"/>
                <w:sz w:val="24"/>
              </w:rPr>
              <w:t>傳染病防治法 </w:t>
            </w:r>
            <w:r>
              <w:rPr>
                <w:color w:val="231F20"/>
                <w:w w:val="110"/>
                <w:sz w:val="24"/>
              </w:rPr>
              <w:t>§67</w:t>
            </w:r>
            <w:r>
              <w:rPr>
                <w:color w:val="231F20"/>
                <w:spacing w:val="-27"/>
                <w:w w:val="110"/>
                <w:sz w:val="24"/>
              </w:rPr>
              <w:t>. </w:t>
            </w:r>
            <w:r>
              <w:rPr>
                <w:color w:val="231F20"/>
                <w:spacing w:val="-14"/>
                <w:w w:val="180"/>
                <w:sz w:val="24"/>
              </w:rPr>
              <w:t>I </w:t>
            </w:r>
            <w:r>
              <w:rPr>
                <w:color w:val="231F20"/>
                <w:w w:val="200"/>
                <w:sz w:val="24"/>
              </w:rPr>
              <w:t>(3)</w:t>
            </w:r>
          </w:p>
          <w:p>
            <w:pPr>
              <w:pStyle w:val="TableParagraph"/>
              <w:numPr>
                <w:ilvl w:val="0"/>
                <w:numId w:val="186"/>
              </w:numPr>
              <w:tabs>
                <w:tab w:pos="357" w:val="left" w:leader="none"/>
              </w:tabs>
              <w:spacing w:line="395" w:lineRule="exact" w:before="0" w:after="0"/>
              <w:ind w:left="356" w:right="0" w:hanging="245"/>
              <w:jc w:val="left"/>
              <w:rPr>
                <w:sz w:val="24"/>
              </w:rPr>
            </w:pPr>
            <w:r>
              <w:rPr>
                <w:color w:val="231F20"/>
                <w:spacing w:val="-2"/>
                <w:sz w:val="24"/>
              </w:rPr>
              <w:t>行政罰法第 </w:t>
            </w:r>
            <w:r>
              <w:rPr>
                <w:color w:val="231F20"/>
                <w:sz w:val="24"/>
              </w:rPr>
              <w:t>18</w:t>
            </w:r>
            <w:r>
              <w:rPr>
                <w:color w:val="231F20"/>
                <w:spacing w:val="-3"/>
                <w:sz w:val="24"/>
              </w:rPr>
              <w:t> 條</w:t>
            </w:r>
          </w:p>
          <w:p>
            <w:pPr>
              <w:pStyle w:val="TableParagraph"/>
              <w:numPr>
                <w:ilvl w:val="0"/>
                <w:numId w:val="186"/>
              </w:numPr>
              <w:tabs>
                <w:tab w:pos="357" w:val="left" w:leader="none"/>
              </w:tabs>
              <w:spacing w:line="230" w:lineRule="auto" w:before="3" w:after="0"/>
              <w:ind w:left="356" w:right="93" w:hanging="244"/>
              <w:jc w:val="left"/>
              <w:rPr>
                <w:sz w:val="24"/>
              </w:rPr>
            </w:pPr>
            <w:r>
              <w:rPr>
                <w:color w:val="231F20"/>
                <w:sz w:val="24"/>
              </w:rPr>
              <w:t>101 年 8 月 27</w:t>
            </w:r>
            <w:r>
              <w:rPr>
                <w:color w:val="231F20"/>
                <w:spacing w:val="-2"/>
                <w:sz w:val="24"/>
              </w:rPr>
              <w:t> 日衛署疾</w:t>
            </w:r>
            <w:r>
              <w:rPr>
                <w:color w:val="231F20"/>
                <w:spacing w:val="39"/>
                <w:sz w:val="24"/>
              </w:rPr>
              <w:t>管核字第 </w:t>
            </w:r>
            <w:r>
              <w:rPr>
                <w:color w:val="231F20"/>
                <w:sz w:val="24"/>
              </w:rPr>
              <w:t>1010301076</w:t>
            </w:r>
          </w:p>
          <w:p>
            <w:pPr>
              <w:pStyle w:val="TableParagraph"/>
              <w:spacing w:line="404" w:lineRule="exact"/>
              <w:ind w:left="356"/>
              <w:rPr>
                <w:sz w:val="24"/>
              </w:rPr>
            </w:pPr>
            <w:r>
              <w:rPr>
                <w:color w:val="231F20"/>
                <w:sz w:val="24"/>
              </w:rPr>
              <w:t>號函</w:t>
            </w:r>
          </w:p>
        </w:tc>
      </w:tr>
      <w:tr>
        <w:trPr>
          <w:trHeight w:val="2850" w:hRule="atLeast"/>
        </w:trPr>
        <w:tc>
          <w:tcPr>
            <w:tcW w:w="1202" w:type="dxa"/>
            <w:vMerge/>
            <w:tcBorders>
              <w:top w:val="nil"/>
            </w:tcBorders>
          </w:tcPr>
          <w:p>
            <w:pPr>
              <w:rPr>
                <w:sz w:val="2"/>
                <w:szCs w:val="2"/>
              </w:rPr>
            </w:pPr>
          </w:p>
        </w:tc>
        <w:tc>
          <w:tcPr>
            <w:tcW w:w="5138" w:type="dxa"/>
          </w:tcPr>
          <w:p>
            <w:pPr>
              <w:pStyle w:val="TableParagraph"/>
              <w:spacing w:line="409" w:lineRule="exact" w:before="25"/>
              <w:ind w:left="112"/>
              <w:rPr>
                <w:sz w:val="24"/>
              </w:rPr>
            </w:pPr>
            <w:r>
              <w:rPr>
                <w:color w:val="231F20"/>
                <w:sz w:val="24"/>
              </w:rPr>
              <w:t>五、病人轉院：</w:t>
            </w:r>
          </w:p>
          <w:p>
            <w:pPr>
              <w:pStyle w:val="TableParagraph"/>
              <w:spacing w:line="230" w:lineRule="auto" w:before="3"/>
              <w:ind w:left="112" w:right="91"/>
              <w:jc w:val="both"/>
              <w:rPr>
                <w:sz w:val="24"/>
              </w:rPr>
            </w:pPr>
            <w:r>
              <w:rPr>
                <w:color w:val="231F20"/>
                <w:spacing w:val="4"/>
                <w:sz w:val="24"/>
              </w:rPr>
              <w:t>由個案管理單位之衛生局開立「法定傳染病隔</w:t>
            </w:r>
            <w:r>
              <w:rPr>
                <w:color w:val="231F20"/>
                <w:spacing w:val="1"/>
                <w:w w:val="110"/>
                <w:sz w:val="24"/>
              </w:rPr>
              <w:t>離治療通知書」(附件 </w:t>
            </w:r>
            <w:r>
              <w:rPr>
                <w:color w:val="231F20"/>
                <w:w w:val="110"/>
                <w:sz w:val="24"/>
              </w:rPr>
              <w:t>9-1-2</w:t>
            </w:r>
            <w:r>
              <w:rPr>
                <w:color w:val="231F20"/>
                <w:spacing w:val="6"/>
                <w:w w:val="110"/>
                <w:sz w:val="24"/>
              </w:rPr>
              <w:t>)並敘明轉院至</w:t>
            </w:r>
          </w:p>
          <w:p>
            <w:pPr>
              <w:pStyle w:val="TableParagraph"/>
              <w:spacing w:line="230" w:lineRule="auto"/>
              <w:ind w:left="112" w:right="86"/>
              <w:jc w:val="both"/>
              <w:rPr>
                <w:sz w:val="24"/>
              </w:rPr>
            </w:pPr>
            <w:r>
              <w:rPr>
                <w:color w:val="231F20"/>
                <w:spacing w:val="6"/>
                <w:w w:val="95"/>
                <w:sz w:val="24"/>
              </w:rPr>
              <w:t>「．醫院」，送達本人或其家屬，並副知轉出</w:t>
            </w:r>
            <w:r>
              <w:rPr>
                <w:color w:val="231F20"/>
                <w:spacing w:val="5"/>
                <w:sz w:val="24"/>
              </w:rPr>
              <w:t>及轉入之隔離治療機構及機構所在地之地方衛</w:t>
            </w:r>
            <w:r>
              <w:rPr>
                <w:color w:val="231F20"/>
                <w:spacing w:val="1"/>
                <w:sz w:val="24"/>
              </w:rPr>
              <w:t>生局，並重新告知提審權利，毋須開立「法定</w:t>
            </w:r>
          </w:p>
          <w:p>
            <w:pPr>
              <w:pStyle w:val="TableParagraph"/>
              <w:spacing w:line="391" w:lineRule="exact"/>
              <w:ind w:left="112"/>
              <w:rPr>
                <w:sz w:val="24"/>
              </w:rPr>
            </w:pPr>
            <w:r>
              <w:rPr>
                <w:color w:val="231F20"/>
                <w:sz w:val="24"/>
              </w:rPr>
              <w:t>傳染病解除隔離治療通知書」。</w:t>
            </w:r>
          </w:p>
        </w:tc>
        <w:tc>
          <w:tcPr>
            <w:tcW w:w="3053" w:type="dxa"/>
            <w:vMerge w:val="restart"/>
          </w:tcPr>
          <w:p>
            <w:pPr>
              <w:pStyle w:val="TableParagraph"/>
              <w:rPr>
                <w:sz w:val="32"/>
              </w:rPr>
            </w:pPr>
          </w:p>
          <w:p>
            <w:pPr>
              <w:pStyle w:val="TableParagraph"/>
              <w:rPr>
                <w:sz w:val="32"/>
              </w:rPr>
            </w:pPr>
          </w:p>
          <w:p>
            <w:pPr>
              <w:pStyle w:val="TableParagraph"/>
              <w:spacing w:before="13"/>
              <w:rPr>
                <w:sz w:val="42"/>
              </w:rPr>
            </w:pPr>
          </w:p>
          <w:p>
            <w:pPr>
              <w:pStyle w:val="TableParagraph"/>
              <w:ind w:left="112"/>
              <w:rPr>
                <w:sz w:val="24"/>
              </w:rPr>
            </w:pPr>
            <w:r>
              <w:rPr>
                <w:color w:val="231F20"/>
                <w:sz w:val="24"/>
              </w:rPr>
              <w:t>提審法 §1、2</w:t>
            </w:r>
          </w:p>
        </w:tc>
      </w:tr>
      <w:tr>
        <w:trPr>
          <w:trHeight w:val="1251" w:hRule="atLeast"/>
        </w:trPr>
        <w:tc>
          <w:tcPr>
            <w:tcW w:w="1202" w:type="dxa"/>
            <w:vMerge/>
            <w:tcBorders>
              <w:top w:val="nil"/>
            </w:tcBorders>
          </w:tcPr>
          <w:p>
            <w:pPr>
              <w:rPr>
                <w:sz w:val="2"/>
                <w:szCs w:val="2"/>
              </w:rPr>
            </w:pPr>
          </w:p>
        </w:tc>
        <w:tc>
          <w:tcPr>
            <w:tcW w:w="5138" w:type="dxa"/>
          </w:tcPr>
          <w:p>
            <w:pPr>
              <w:pStyle w:val="TableParagraph"/>
              <w:spacing w:line="230" w:lineRule="auto" w:before="37"/>
              <w:ind w:left="112" w:right="95"/>
              <w:rPr>
                <w:sz w:val="24"/>
              </w:rPr>
            </w:pPr>
            <w:r>
              <w:rPr>
                <w:color w:val="231F20"/>
                <w:sz w:val="24"/>
              </w:rPr>
              <w:t>如預期無法於24 小時內送達隔離治療通知書， 應先開立「提審權利告知書」</w:t>
            </w:r>
            <w:r>
              <w:rPr>
                <w:color w:val="231F20"/>
                <w:w w:val="128"/>
                <w:sz w:val="24"/>
              </w:rPr>
              <w:t>(附件</w:t>
            </w:r>
            <w:r>
              <w:rPr>
                <w:color w:val="231F20"/>
                <w:sz w:val="24"/>
              </w:rPr>
              <w:t> </w:t>
            </w:r>
            <w:r>
              <w:rPr>
                <w:color w:val="231F20"/>
                <w:w w:val="104"/>
                <w:sz w:val="24"/>
              </w:rPr>
              <w:t>9</w:t>
            </w:r>
            <w:r>
              <w:rPr>
                <w:color w:val="231F20"/>
                <w:w w:val="129"/>
                <w:sz w:val="24"/>
              </w:rPr>
              <w:t>-</w:t>
            </w:r>
            <w:r>
              <w:rPr>
                <w:color w:val="231F20"/>
                <w:w w:val="104"/>
                <w:sz w:val="24"/>
              </w:rPr>
              <w:t>1</w:t>
            </w:r>
            <w:r>
              <w:rPr>
                <w:color w:val="231F20"/>
                <w:w w:val="129"/>
                <w:sz w:val="24"/>
              </w:rPr>
              <w:t>-</w:t>
            </w:r>
            <w:r>
              <w:rPr>
                <w:color w:val="231F20"/>
                <w:w w:val="104"/>
                <w:sz w:val="24"/>
              </w:rPr>
              <w:t>5</w:t>
            </w:r>
            <w:r>
              <w:rPr>
                <w:color w:val="231F20"/>
                <w:w w:val="300"/>
                <w:sz w:val="24"/>
              </w:rPr>
              <w:t>)</w:t>
            </w:r>
          </w:p>
          <w:p>
            <w:pPr>
              <w:pStyle w:val="TableParagraph"/>
              <w:spacing w:line="392" w:lineRule="exact"/>
              <w:ind w:left="112"/>
              <w:rPr>
                <w:sz w:val="24"/>
              </w:rPr>
            </w:pPr>
            <w:r>
              <w:rPr>
                <w:color w:val="231F20"/>
                <w:sz w:val="24"/>
              </w:rPr>
              <w:t>予本人及其指定親友。</w:t>
            </w:r>
          </w:p>
        </w:tc>
        <w:tc>
          <w:tcPr>
            <w:tcW w:w="3053" w:type="dxa"/>
            <w:vMerge/>
            <w:tcBorders>
              <w:top w:val="nil"/>
            </w:tcBorders>
          </w:tcPr>
          <w:p>
            <w:pPr>
              <w:rPr>
                <w:sz w:val="2"/>
                <w:szCs w:val="2"/>
              </w:rPr>
            </w:pPr>
          </w:p>
        </w:tc>
      </w:tr>
    </w:tbl>
    <w:p>
      <w:pPr>
        <w:rPr>
          <w:sz w:val="2"/>
          <w:szCs w:val="2"/>
        </w:rPr>
      </w:pPr>
      <w:r>
        <w:rPr/>
        <w:pict>
          <v:group style="position:absolute;margin-left:-.000001pt;margin-top:259.160004pt;width:37.35pt;height:582.550pt;mso-position-horizontal-relative:page;mso-position-vertical-relative:page;z-index:251827200" coordorigin="0,5183" coordsize="747,11651">
            <v:shape style="position:absolute;left:178;top:5694;width:438;height:11140" type="#_x0000_t75" stroked="false">
              <v:imagedata r:id="rId99" o:title=""/>
            </v:shape>
            <v:shape style="position:absolute;left:0;top:5183;width:747;height:812" coordorigin="0,5183" coordsize="747,812" path="m365,5183l0,5183,0,5995,365,5995,387,5992,447,5958,713,5676,747,5589,738,5542,447,5219,387,5185,365,5183xe" filled="true" fillcolor="#f8971d" stroked="false">
              <v:path arrowok="t"/>
              <v:fill type="solid"/>
            </v:shape>
            <v:shape style="position:absolute;left:202;top:5450;width:389;height:278" type="#_x0000_t75" stroked="false">
              <v:imagedata r:id="rId100" o:title=""/>
            </v:shape>
            <v:shape style="position:absolute;left:274;top:6139;width:250;height:1245" type="#_x0000_t75" stroked="false">
              <v:imagedata r:id="rId101"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94</w:t>
                    </w:r>
                  </w:p>
                </w:txbxContent>
              </v:textbox>
              <w10:wrap type="none"/>
            </v:shape>
            <w10:wrap type="none"/>
          </v:group>
        </w:pict>
      </w:r>
    </w:p>
    <w:p>
      <w:pPr>
        <w:spacing w:after="0"/>
        <w:rPr>
          <w:sz w:val="2"/>
          <w:szCs w:val="2"/>
        </w:rPr>
        <w:sectPr>
          <w:pgSz w:w="11910" w:h="16840"/>
          <w:pgMar w:top="1200" w:bottom="0" w:left="980" w:right="0"/>
        </w:sectPr>
      </w:pPr>
    </w:p>
    <w:tbl>
      <w:tblPr>
        <w:tblW w:w="0" w:type="auto"/>
        <w:jc w:val="left"/>
        <w:tblInd w:w="395"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02"/>
        <w:gridCol w:w="5138"/>
        <w:gridCol w:w="3053"/>
      </w:tblGrid>
      <w:tr>
        <w:trPr>
          <w:trHeight w:val="451" w:hRule="atLeast"/>
        </w:trPr>
        <w:tc>
          <w:tcPr>
            <w:tcW w:w="1202" w:type="dxa"/>
            <w:shd w:val="clear" w:color="auto" w:fill="E6E7E8"/>
          </w:tcPr>
          <w:p>
            <w:pPr>
              <w:pStyle w:val="TableParagraph"/>
              <w:spacing w:line="432" w:lineRule="exact"/>
              <w:ind w:left="360"/>
              <w:rPr>
                <w:rFonts w:ascii="微軟正黑體" w:eastAsia="微軟正黑體" w:hint="eastAsia"/>
                <w:b/>
                <w:sz w:val="24"/>
              </w:rPr>
            </w:pPr>
            <w:r>
              <w:rPr>
                <w:rFonts w:ascii="微軟正黑體" w:eastAsia="微軟正黑體" w:hint="eastAsia"/>
                <w:b/>
                <w:color w:val="231F20"/>
                <w:w w:val="145"/>
                <w:sz w:val="24"/>
              </w:rPr>
              <w:t>t呈</w:t>
            </w:r>
          </w:p>
        </w:tc>
        <w:tc>
          <w:tcPr>
            <w:tcW w:w="5138" w:type="dxa"/>
            <w:shd w:val="clear" w:color="auto" w:fill="E6E7E8"/>
          </w:tcPr>
          <w:p>
            <w:pPr>
              <w:pStyle w:val="TableParagraph"/>
              <w:spacing w:line="432" w:lineRule="exact"/>
              <w:ind w:left="2308" w:right="2294"/>
              <w:jc w:val="center"/>
              <w:rPr>
                <w:rFonts w:ascii="微軟正黑體" w:eastAsia="微軟正黑體" w:hint="eastAsia"/>
                <w:b/>
                <w:sz w:val="24"/>
              </w:rPr>
            </w:pPr>
            <w:r>
              <w:rPr>
                <w:rFonts w:ascii="微軟正黑體" w:eastAsia="微軟正黑體" w:hint="eastAsia"/>
                <w:b/>
                <w:color w:val="231F20"/>
                <w:sz w:val="24"/>
              </w:rPr>
              <w:t>說明</w:t>
            </w:r>
          </w:p>
        </w:tc>
        <w:tc>
          <w:tcPr>
            <w:tcW w:w="3053" w:type="dxa"/>
            <w:shd w:val="clear" w:color="auto" w:fill="E6E7E8"/>
          </w:tcPr>
          <w:p>
            <w:pPr>
              <w:pStyle w:val="TableParagraph"/>
              <w:spacing w:line="432" w:lineRule="exact"/>
              <w:ind w:left="686"/>
              <w:rPr>
                <w:rFonts w:ascii="微軟正黑體" w:eastAsia="微軟正黑體" w:hint="eastAsia"/>
                <w:b/>
                <w:sz w:val="24"/>
              </w:rPr>
            </w:pPr>
            <w:r>
              <w:rPr>
                <w:rFonts w:ascii="微軟正黑體" w:eastAsia="微軟正黑體" w:hint="eastAsia"/>
                <w:b/>
                <w:color w:val="231F20"/>
                <w:sz w:val="24"/>
              </w:rPr>
              <w:t>相關法條及函釋</w:t>
            </w:r>
          </w:p>
        </w:tc>
      </w:tr>
      <w:tr>
        <w:trPr>
          <w:trHeight w:val="5249" w:hRule="atLeast"/>
        </w:trPr>
        <w:tc>
          <w:tcPr>
            <w:tcW w:w="1202" w:type="dxa"/>
            <w:vMerge w:val="restart"/>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4"/>
              <w:rPr>
                <w:sz w:val="39"/>
              </w:rPr>
            </w:pPr>
          </w:p>
          <w:p>
            <w:pPr>
              <w:pStyle w:val="TableParagraph"/>
              <w:spacing w:line="230" w:lineRule="auto"/>
              <w:ind w:left="113" w:right="112"/>
              <w:rPr>
                <w:sz w:val="24"/>
              </w:rPr>
            </w:pPr>
            <w:r>
              <w:rPr>
                <w:color w:val="231F20"/>
                <w:sz w:val="24"/>
              </w:rPr>
              <w:t>隔離治療期間</w:t>
            </w:r>
          </w:p>
        </w:tc>
        <w:tc>
          <w:tcPr>
            <w:tcW w:w="5138" w:type="dxa"/>
          </w:tcPr>
          <w:p>
            <w:pPr>
              <w:pStyle w:val="TableParagraph"/>
              <w:spacing w:line="409" w:lineRule="exact" w:before="25"/>
              <w:ind w:left="112"/>
              <w:rPr>
                <w:sz w:val="24"/>
              </w:rPr>
            </w:pPr>
            <w:r>
              <w:rPr>
                <w:color w:val="231F20"/>
                <w:sz w:val="24"/>
              </w:rPr>
              <w:t>六、病人逃逸：</w:t>
            </w:r>
          </w:p>
          <w:p>
            <w:pPr>
              <w:pStyle w:val="TableParagraph"/>
              <w:spacing w:line="230" w:lineRule="auto" w:before="3"/>
              <w:ind w:left="866" w:right="91" w:hanging="567"/>
              <w:jc w:val="both"/>
              <w:rPr>
                <w:sz w:val="24"/>
              </w:rPr>
            </w:pPr>
            <w:r>
              <w:rPr>
                <w:color w:val="231F20"/>
                <w:w w:val="65"/>
                <w:sz w:val="24"/>
              </w:rPr>
              <w:t>（ </w:t>
            </w:r>
            <w:r>
              <w:rPr>
                <w:color w:val="231F20"/>
                <w:sz w:val="24"/>
              </w:rPr>
              <w:t>— ) 隔離治療處分仍具效力，指定隔離機構不可逕行辦理出院，應立即通報所轄衛生局，由衛生局聯絡警察機關協助處理(如為跨轄區之個案，亦應通報個案管理單位之衛生局)。</w:t>
            </w:r>
          </w:p>
          <w:p>
            <w:pPr>
              <w:pStyle w:val="TableParagraph"/>
              <w:spacing w:line="230" w:lineRule="auto"/>
              <w:ind w:left="866" w:right="85" w:hanging="567"/>
              <w:jc w:val="both"/>
              <w:rPr>
                <w:sz w:val="24"/>
              </w:rPr>
            </w:pPr>
            <w:r>
              <w:rPr>
                <w:color w:val="231F20"/>
                <w:w w:val="65"/>
                <w:sz w:val="24"/>
              </w:rPr>
              <w:t>（ </w:t>
            </w:r>
            <w:r>
              <w:rPr>
                <w:color w:val="231F20"/>
                <w:sz w:val="24"/>
              </w:rPr>
              <w:t>二 ) 衛生局接獲通報後，不可逕行辦理解除隔離，應通報疾管署所轄區管制中心， 並主動聯絡個案家屬，儘可能確認個案行蹤，俾利於病人尋獲後逕行辦理移送作業，並於 TB 系統維護病人逃逸及尋獲期間。</w:t>
            </w:r>
          </w:p>
          <w:p>
            <w:pPr>
              <w:pStyle w:val="TableParagraph"/>
              <w:spacing w:line="387" w:lineRule="exact"/>
              <w:ind w:left="300"/>
              <w:jc w:val="both"/>
              <w:rPr>
                <w:sz w:val="24"/>
              </w:rPr>
            </w:pPr>
            <w:r>
              <w:rPr>
                <w:color w:val="231F20"/>
                <w:w w:val="70"/>
                <w:sz w:val="24"/>
              </w:rPr>
              <w:t>（ </w:t>
            </w:r>
            <w:r>
              <w:rPr>
                <w:color w:val="231F20"/>
                <w:sz w:val="24"/>
              </w:rPr>
              <w:t>三 ) 違者處新臺幣 6~30 萬元罰鍰。</w:t>
            </w:r>
          </w:p>
        </w:tc>
        <w:tc>
          <w:tcPr>
            <w:tcW w:w="3053" w:type="dxa"/>
          </w:tcPr>
          <w:p>
            <w:pPr>
              <w:pStyle w:val="TableParagraph"/>
              <w:rPr>
                <w:sz w:val="32"/>
              </w:rPr>
            </w:pPr>
          </w:p>
          <w:p>
            <w:pPr>
              <w:pStyle w:val="TableParagraph"/>
              <w:spacing w:before="6"/>
              <w:rPr>
                <w:sz w:val="38"/>
              </w:rPr>
            </w:pPr>
          </w:p>
          <w:p>
            <w:pPr>
              <w:pStyle w:val="TableParagraph"/>
              <w:numPr>
                <w:ilvl w:val="0"/>
                <w:numId w:val="187"/>
              </w:numPr>
              <w:tabs>
                <w:tab w:pos="357" w:val="left" w:leader="none"/>
              </w:tabs>
              <w:spacing w:line="409" w:lineRule="exact" w:before="0" w:after="0"/>
              <w:ind w:left="356" w:right="0" w:hanging="245"/>
              <w:jc w:val="left"/>
              <w:rPr>
                <w:sz w:val="24"/>
              </w:rPr>
            </w:pPr>
            <w:r>
              <w:rPr>
                <w:color w:val="231F20"/>
                <w:spacing w:val="6"/>
                <w:w w:val="105"/>
                <w:sz w:val="24"/>
              </w:rPr>
              <w:t>傳染病防治法 </w:t>
            </w:r>
            <w:r>
              <w:rPr>
                <w:color w:val="231F20"/>
                <w:w w:val="105"/>
                <w:sz w:val="24"/>
              </w:rPr>
              <w:t>§45</w:t>
            </w:r>
            <w:r>
              <w:rPr>
                <w:color w:val="231F20"/>
                <w:spacing w:val="-19"/>
                <w:w w:val="105"/>
                <w:sz w:val="24"/>
              </w:rPr>
              <w:t>. </w:t>
            </w:r>
            <w:r>
              <w:rPr>
                <w:color w:val="231F20"/>
                <w:w w:val="340"/>
                <w:sz w:val="24"/>
              </w:rPr>
              <w:t>I</w:t>
            </w:r>
            <w:r>
              <w:rPr>
                <w:color w:val="231F20"/>
                <w:w w:val="105"/>
                <w:sz w:val="24"/>
              </w:rPr>
              <w:t>、</w:t>
            </w:r>
          </w:p>
          <w:p>
            <w:pPr>
              <w:pStyle w:val="TableParagraph"/>
              <w:spacing w:line="400" w:lineRule="exact"/>
              <w:ind w:left="356"/>
              <w:rPr>
                <w:sz w:val="24"/>
              </w:rPr>
            </w:pPr>
            <w:r>
              <w:rPr>
                <w:color w:val="231F20"/>
                <w:w w:val="115"/>
                <w:sz w:val="24"/>
              </w:rPr>
              <w:t>§67. </w:t>
            </w:r>
            <w:r>
              <w:rPr>
                <w:color w:val="231F20"/>
                <w:w w:val="220"/>
                <w:sz w:val="24"/>
              </w:rPr>
              <w:t>I(3)</w:t>
            </w:r>
          </w:p>
          <w:p>
            <w:pPr>
              <w:pStyle w:val="TableParagraph"/>
              <w:numPr>
                <w:ilvl w:val="0"/>
                <w:numId w:val="187"/>
              </w:numPr>
              <w:tabs>
                <w:tab w:pos="357" w:val="left" w:leader="none"/>
              </w:tabs>
              <w:spacing w:line="400" w:lineRule="exact" w:before="0" w:after="0"/>
              <w:ind w:left="356" w:right="0" w:hanging="245"/>
              <w:jc w:val="left"/>
              <w:rPr>
                <w:sz w:val="24"/>
              </w:rPr>
            </w:pPr>
            <w:r>
              <w:rPr>
                <w:color w:val="231F20"/>
                <w:spacing w:val="-2"/>
                <w:sz w:val="24"/>
              </w:rPr>
              <w:t>行政罰法第 </w:t>
            </w:r>
            <w:r>
              <w:rPr>
                <w:color w:val="231F20"/>
                <w:sz w:val="24"/>
              </w:rPr>
              <w:t>18</w:t>
            </w:r>
            <w:r>
              <w:rPr>
                <w:color w:val="231F20"/>
                <w:spacing w:val="-3"/>
                <w:sz w:val="24"/>
              </w:rPr>
              <w:t> 條</w:t>
            </w:r>
          </w:p>
          <w:p>
            <w:pPr>
              <w:pStyle w:val="TableParagraph"/>
              <w:numPr>
                <w:ilvl w:val="0"/>
                <w:numId w:val="187"/>
              </w:numPr>
              <w:tabs>
                <w:tab w:pos="357" w:val="left" w:leader="none"/>
              </w:tabs>
              <w:spacing w:line="230" w:lineRule="auto" w:before="2" w:after="0"/>
              <w:ind w:left="356" w:right="93" w:hanging="244"/>
              <w:jc w:val="left"/>
              <w:rPr>
                <w:sz w:val="24"/>
              </w:rPr>
            </w:pPr>
            <w:r>
              <w:rPr>
                <w:color w:val="231F20"/>
                <w:sz w:val="24"/>
              </w:rPr>
              <w:t>101 年 8 月 27</w:t>
            </w:r>
            <w:r>
              <w:rPr>
                <w:color w:val="231F20"/>
                <w:spacing w:val="-2"/>
                <w:sz w:val="24"/>
              </w:rPr>
              <w:t> 日衛署疾</w:t>
            </w:r>
            <w:r>
              <w:rPr>
                <w:color w:val="231F20"/>
                <w:spacing w:val="39"/>
                <w:sz w:val="24"/>
              </w:rPr>
              <w:t>管核字第 </w:t>
            </w:r>
            <w:r>
              <w:rPr>
                <w:color w:val="231F20"/>
                <w:sz w:val="24"/>
              </w:rPr>
              <w:t>1010301076</w:t>
            </w:r>
          </w:p>
          <w:p>
            <w:pPr>
              <w:pStyle w:val="TableParagraph"/>
              <w:spacing w:line="404" w:lineRule="exact"/>
              <w:ind w:left="356"/>
              <w:rPr>
                <w:sz w:val="24"/>
              </w:rPr>
            </w:pPr>
            <w:r>
              <w:rPr>
                <w:color w:val="231F20"/>
                <w:sz w:val="24"/>
              </w:rPr>
              <w:t>號函</w:t>
            </w:r>
          </w:p>
        </w:tc>
      </w:tr>
      <w:tr>
        <w:trPr>
          <w:trHeight w:val="2450" w:hRule="atLeast"/>
        </w:trPr>
        <w:tc>
          <w:tcPr>
            <w:tcW w:w="1202" w:type="dxa"/>
            <w:vMerge/>
            <w:tcBorders>
              <w:top w:val="nil"/>
            </w:tcBorders>
          </w:tcPr>
          <w:p>
            <w:pPr>
              <w:rPr>
                <w:sz w:val="2"/>
                <w:szCs w:val="2"/>
              </w:rPr>
            </w:pPr>
          </w:p>
        </w:tc>
        <w:tc>
          <w:tcPr>
            <w:tcW w:w="5138" w:type="dxa"/>
          </w:tcPr>
          <w:p>
            <w:pPr>
              <w:pStyle w:val="TableParagraph"/>
              <w:spacing w:line="409" w:lineRule="exact" w:before="25"/>
              <w:ind w:left="112"/>
              <w:rPr>
                <w:sz w:val="24"/>
              </w:rPr>
            </w:pPr>
            <w:r>
              <w:rPr>
                <w:color w:val="231F20"/>
                <w:sz w:val="24"/>
              </w:rPr>
              <w:t>七、病人死亡：</w:t>
            </w:r>
          </w:p>
          <w:p>
            <w:pPr>
              <w:pStyle w:val="TableParagraph"/>
              <w:spacing w:line="230" w:lineRule="auto" w:before="3"/>
              <w:ind w:left="866" w:right="89" w:hanging="567"/>
              <w:rPr>
                <w:sz w:val="24"/>
              </w:rPr>
            </w:pPr>
            <w:r>
              <w:rPr>
                <w:color w:val="231F20"/>
                <w:w w:val="65"/>
                <w:sz w:val="24"/>
              </w:rPr>
              <w:t>（ </w:t>
            </w:r>
            <w:r>
              <w:rPr>
                <w:color w:val="231F20"/>
                <w:sz w:val="24"/>
              </w:rPr>
              <w:t>— ) 死亡即解除隔離治療，故免開立「法定傳染病解除隔離治療通知書」。</w:t>
            </w:r>
          </w:p>
          <w:p>
            <w:pPr>
              <w:pStyle w:val="TableParagraph"/>
              <w:spacing w:line="230" w:lineRule="auto"/>
              <w:ind w:left="866" w:right="90" w:hanging="567"/>
              <w:rPr>
                <w:sz w:val="24"/>
              </w:rPr>
            </w:pPr>
            <w:r>
              <w:rPr>
                <w:color w:val="231F20"/>
                <w:w w:val="65"/>
                <w:sz w:val="24"/>
              </w:rPr>
              <w:t>（ </w:t>
            </w:r>
            <w:r>
              <w:rPr>
                <w:color w:val="231F20"/>
                <w:sz w:val="24"/>
              </w:rPr>
              <w:t>二 ) 隔離治療機構以蓋有隔離治療機構關防之死亡證明書，作為隔離費用申請之證</w:t>
            </w:r>
          </w:p>
          <w:p>
            <w:pPr>
              <w:pStyle w:val="TableParagraph"/>
              <w:spacing w:line="392" w:lineRule="exact"/>
              <w:ind w:left="866"/>
              <w:rPr>
                <w:sz w:val="24"/>
              </w:rPr>
            </w:pPr>
            <w:r>
              <w:rPr>
                <w:color w:val="231F20"/>
                <w:sz w:val="24"/>
              </w:rPr>
              <w:t>明文件。</w:t>
            </w:r>
          </w:p>
        </w:tc>
        <w:tc>
          <w:tcPr>
            <w:tcW w:w="3053" w:type="dxa"/>
          </w:tcPr>
          <w:p>
            <w:pPr>
              <w:pStyle w:val="TableParagraph"/>
              <w:rPr>
                <w:sz w:val="32"/>
              </w:rPr>
            </w:pPr>
          </w:p>
          <w:p>
            <w:pPr>
              <w:pStyle w:val="TableParagraph"/>
              <w:spacing w:before="15"/>
              <w:rPr>
                <w:sz w:val="26"/>
              </w:rPr>
            </w:pPr>
          </w:p>
          <w:p>
            <w:pPr>
              <w:pStyle w:val="TableParagraph"/>
              <w:ind w:left="113"/>
              <w:rPr>
                <w:sz w:val="24"/>
              </w:rPr>
            </w:pPr>
            <w:r>
              <w:rPr>
                <w:color w:val="231F20"/>
                <w:sz w:val="24"/>
              </w:rPr>
              <w:t>民法 §6</w:t>
            </w:r>
          </w:p>
        </w:tc>
      </w:tr>
      <w:tr>
        <w:trPr>
          <w:trHeight w:val="3650" w:hRule="atLeast"/>
        </w:trPr>
        <w:tc>
          <w:tcPr>
            <w:tcW w:w="1202" w:type="dxa"/>
            <w:vMerge w:val="restart"/>
          </w:tcPr>
          <w:p>
            <w:pPr>
              <w:pStyle w:val="TableParagraph"/>
              <w:rPr>
                <w:sz w:val="32"/>
              </w:rPr>
            </w:pPr>
          </w:p>
          <w:p>
            <w:pPr>
              <w:pStyle w:val="TableParagraph"/>
              <w:rPr>
                <w:sz w:val="32"/>
              </w:rPr>
            </w:pPr>
          </w:p>
          <w:p>
            <w:pPr>
              <w:pStyle w:val="TableParagraph"/>
              <w:rPr>
                <w:sz w:val="32"/>
              </w:rPr>
            </w:pPr>
          </w:p>
          <w:p>
            <w:pPr>
              <w:pStyle w:val="TableParagraph"/>
              <w:spacing w:before="3"/>
              <w:rPr>
                <w:sz w:val="45"/>
              </w:rPr>
            </w:pPr>
          </w:p>
          <w:p>
            <w:pPr>
              <w:pStyle w:val="TableParagraph"/>
              <w:ind w:left="113"/>
              <w:rPr>
                <w:sz w:val="24"/>
              </w:rPr>
            </w:pPr>
            <w:r>
              <w:rPr>
                <w:color w:val="231F20"/>
                <w:sz w:val="24"/>
              </w:rPr>
              <w:t>重新鑑定</w:t>
            </w:r>
          </w:p>
        </w:tc>
        <w:tc>
          <w:tcPr>
            <w:tcW w:w="5138" w:type="dxa"/>
          </w:tcPr>
          <w:p>
            <w:pPr>
              <w:pStyle w:val="TableParagraph"/>
              <w:spacing w:line="409" w:lineRule="exact" w:before="25"/>
              <w:ind w:left="113"/>
              <w:jc w:val="both"/>
              <w:rPr>
                <w:sz w:val="24"/>
              </w:rPr>
            </w:pPr>
            <w:r>
              <w:rPr>
                <w:color w:val="231F20"/>
                <w:sz w:val="24"/>
              </w:rPr>
              <w:t>—、隔離治療期間若超過 30 日，至遲每隔 30</w:t>
            </w:r>
          </w:p>
          <w:p>
            <w:pPr>
              <w:pStyle w:val="TableParagraph"/>
              <w:spacing w:line="230" w:lineRule="auto" w:before="3"/>
              <w:ind w:left="623" w:right="82"/>
              <w:jc w:val="both"/>
              <w:rPr>
                <w:sz w:val="24"/>
              </w:rPr>
            </w:pPr>
            <w:r>
              <w:rPr>
                <w:color w:val="231F20"/>
                <w:sz w:val="24"/>
              </w:rPr>
              <w:t>日應另請 2 位以上專科醫師重新鑑定並填</w:t>
            </w:r>
            <w:r>
              <w:rPr>
                <w:color w:val="231F20"/>
                <w:w w:val="105"/>
                <w:sz w:val="24"/>
              </w:rPr>
              <w:t>寫「重新鑑定隔離治療單」(附件 9-1- </w:t>
            </w:r>
            <w:r>
              <w:rPr>
                <w:color w:val="231F20"/>
                <w:w w:val="104"/>
                <w:sz w:val="24"/>
              </w:rPr>
              <w:t>3</w:t>
            </w:r>
            <w:r>
              <w:rPr>
                <w:color w:val="231F20"/>
                <w:w w:val="300"/>
                <w:sz w:val="24"/>
              </w:rPr>
              <w:t>)</w:t>
            </w:r>
            <w:r>
              <w:rPr>
                <w:color w:val="231F20"/>
                <w:sz w:val="24"/>
              </w:rPr>
              <w:t>，如有繼續隔離治療必要，除應重新填寫「法定傳染病隔離治療通知書」(附</w:t>
            </w:r>
            <w:r>
              <w:rPr>
                <w:color w:val="231F20"/>
                <w:w w:val="110"/>
                <w:sz w:val="24"/>
              </w:rPr>
              <w:t>件 9-1-2)，並應再次告知提審權利。</w:t>
            </w:r>
          </w:p>
          <w:p>
            <w:pPr>
              <w:pStyle w:val="TableParagraph"/>
              <w:spacing w:line="230" w:lineRule="auto"/>
              <w:ind w:left="113" w:right="95"/>
              <w:rPr>
                <w:sz w:val="24"/>
              </w:rPr>
            </w:pPr>
            <w:r>
              <w:rPr>
                <w:color w:val="231F20"/>
                <w:sz w:val="24"/>
              </w:rPr>
              <w:t>如預期無法於24 小時內送達隔離治療通知書， 應先開立「提審權利告知書」</w:t>
            </w:r>
            <w:r>
              <w:rPr>
                <w:color w:val="231F20"/>
                <w:w w:val="300"/>
                <w:sz w:val="24"/>
              </w:rPr>
              <w:t>(</w:t>
            </w:r>
            <w:r>
              <w:rPr>
                <w:color w:val="231F20"/>
                <w:sz w:val="24"/>
              </w:rPr>
              <w:t>附件 </w:t>
            </w:r>
            <w:r>
              <w:rPr>
                <w:color w:val="231F20"/>
                <w:w w:val="104"/>
                <w:sz w:val="24"/>
              </w:rPr>
              <w:t>9</w:t>
            </w:r>
            <w:r>
              <w:rPr>
                <w:color w:val="231F20"/>
                <w:w w:val="129"/>
                <w:sz w:val="24"/>
              </w:rPr>
              <w:t>-</w:t>
            </w:r>
            <w:r>
              <w:rPr>
                <w:color w:val="231F20"/>
                <w:w w:val="104"/>
                <w:sz w:val="24"/>
              </w:rPr>
              <w:t>1</w:t>
            </w:r>
            <w:r>
              <w:rPr>
                <w:color w:val="231F20"/>
                <w:w w:val="129"/>
                <w:sz w:val="24"/>
              </w:rPr>
              <w:t>-</w:t>
            </w:r>
            <w:r>
              <w:rPr>
                <w:color w:val="231F20"/>
                <w:w w:val="104"/>
                <w:sz w:val="24"/>
              </w:rPr>
              <w:t>5</w:t>
            </w:r>
            <w:r>
              <w:rPr>
                <w:color w:val="231F20"/>
                <w:w w:val="300"/>
                <w:sz w:val="24"/>
              </w:rPr>
              <w:t>)</w:t>
            </w:r>
          </w:p>
          <w:p>
            <w:pPr>
              <w:pStyle w:val="TableParagraph"/>
              <w:spacing w:line="391" w:lineRule="exact"/>
              <w:ind w:left="113"/>
              <w:rPr>
                <w:sz w:val="24"/>
              </w:rPr>
            </w:pPr>
            <w:r>
              <w:rPr>
                <w:color w:val="231F20"/>
                <w:sz w:val="24"/>
              </w:rPr>
              <w:t>予本人及其指定親友。</w:t>
            </w:r>
          </w:p>
        </w:tc>
        <w:tc>
          <w:tcPr>
            <w:tcW w:w="3053" w:type="dxa"/>
            <w:vMerge w:val="restart"/>
          </w:tcPr>
          <w:p>
            <w:pPr>
              <w:pStyle w:val="TableParagraph"/>
              <w:rPr>
                <w:sz w:val="32"/>
              </w:rPr>
            </w:pPr>
          </w:p>
          <w:p>
            <w:pPr>
              <w:pStyle w:val="TableParagraph"/>
              <w:rPr>
                <w:sz w:val="32"/>
              </w:rPr>
            </w:pPr>
          </w:p>
          <w:p>
            <w:pPr>
              <w:pStyle w:val="TableParagraph"/>
              <w:rPr>
                <w:sz w:val="32"/>
              </w:rPr>
            </w:pPr>
          </w:p>
          <w:p>
            <w:pPr>
              <w:pStyle w:val="TableParagraph"/>
              <w:spacing w:before="4"/>
              <w:rPr>
                <w:sz w:val="22"/>
              </w:rPr>
            </w:pPr>
          </w:p>
          <w:p>
            <w:pPr>
              <w:pStyle w:val="TableParagraph"/>
              <w:spacing w:line="458" w:lineRule="auto" w:before="1"/>
              <w:ind w:left="113" w:right="619"/>
              <w:rPr>
                <w:sz w:val="24"/>
              </w:rPr>
            </w:pPr>
            <w:r>
              <w:rPr>
                <w:color w:val="231F20"/>
                <w:sz w:val="24"/>
              </w:rPr>
              <w:t>傳染病防治法 §45. 田提審法 §1、2</w:t>
            </w:r>
          </w:p>
        </w:tc>
      </w:tr>
      <w:tr>
        <w:trPr>
          <w:trHeight w:val="1651" w:hRule="atLeast"/>
        </w:trPr>
        <w:tc>
          <w:tcPr>
            <w:tcW w:w="1202" w:type="dxa"/>
            <w:vMerge/>
            <w:tcBorders>
              <w:top w:val="nil"/>
            </w:tcBorders>
          </w:tcPr>
          <w:p>
            <w:pPr>
              <w:rPr>
                <w:sz w:val="2"/>
                <w:szCs w:val="2"/>
              </w:rPr>
            </w:pPr>
          </w:p>
        </w:tc>
        <w:tc>
          <w:tcPr>
            <w:tcW w:w="5138" w:type="dxa"/>
          </w:tcPr>
          <w:p>
            <w:pPr>
              <w:pStyle w:val="TableParagraph"/>
              <w:spacing w:line="230" w:lineRule="auto" w:before="37"/>
              <w:ind w:left="623" w:right="89" w:hanging="511"/>
              <w:jc w:val="both"/>
              <w:rPr>
                <w:sz w:val="24"/>
              </w:rPr>
            </w:pPr>
            <w:r>
              <w:rPr>
                <w:color w:val="231F20"/>
                <w:sz w:val="24"/>
              </w:rPr>
              <w:t>二、重新鑑定應委託非任職於病人隔離治療醫院之醫師辦理，惟如考量各縣市專科醫師人數不足，可以邀請跨轄區專科醫師協助</w:t>
            </w:r>
          </w:p>
          <w:p>
            <w:pPr>
              <w:pStyle w:val="TableParagraph"/>
              <w:spacing w:line="390" w:lineRule="exact"/>
              <w:ind w:left="623"/>
              <w:rPr>
                <w:sz w:val="24"/>
              </w:rPr>
            </w:pPr>
            <w:r>
              <w:rPr>
                <w:color w:val="231F20"/>
                <w:sz w:val="24"/>
              </w:rPr>
              <w:t>辦理。</w:t>
            </w:r>
          </w:p>
        </w:tc>
        <w:tc>
          <w:tcPr>
            <w:tcW w:w="3053" w:type="dxa"/>
            <w:vMerge/>
            <w:tcBorders>
              <w:top w:val="nil"/>
            </w:tcBorders>
          </w:tcPr>
          <w:p>
            <w:pPr>
              <w:rPr>
                <w:sz w:val="2"/>
                <w:szCs w:val="2"/>
              </w:rPr>
            </w:pPr>
          </w:p>
        </w:tc>
      </w:tr>
    </w:tbl>
    <w:p>
      <w:pPr>
        <w:rPr>
          <w:sz w:val="2"/>
          <w:szCs w:val="2"/>
        </w:rPr>
      </w:pPr>
      <w:r>
        <w:rPr/>
        <w:pict>
          <v:group style="position:absolute;margin-left:557.684509pt;margin-top:259.160004pt;width:37.35pt;height:582.550pt;mso-position-horizontal-relative:page;mso-position-vertical-relative:page;z-index:251829248" coordorigin="11154,5183" coordsize="747,11651">
            <v:shape style="position:absolute;left:11283;top:5694;width:438;height:11140" type="#_x0000_t75" stroked="false">
              <v:imagedata r:id="rId96" o:title=""/>
            </v:shape>
            <v:shape style="position:absolute;left:11153;top:5183;width:747;height:812" coordorigin="11154,5183" coordsize="747,812" path="m11900,5183l11536,5183,11514,5185,11454,5219,11188,5502,11154,5589,11162,5635,11454,5958,11514,5992,11536,5995,11900,5995,11900,5183xe" filled="true" fillcolor="#f8971d" stroked="false">
              <v:path arrowok="t"/>
              <v:fill type="solid"/>
            </v:shape>
            <v:shape style="position:absolute;left:11307;top:5450;width:389;height:278" type="#_x0000_t75" stroked="false">
              <v:imagedata r:id="rId97" o:title=""/>
            </v:shape>
            <v:shape style="position:absolute;left:11379;top:6139;width:250;height:1245" type="#_x0000_t75" stroked="false">
              <v:imagedata r:id="rId98" o:title=""/>
            </v:shape>
            <v:shape style="position:absolute;left:11412;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95</w:t>
                    </w:r>
                  </w:p>
                </w:txbxContent>
              </v:textbox>
              <w10:wrap type="none"/>
            </v:shape>
            <w10:wrap type="none"/>
          </v:group>
        </w:pict>
      </w:r>
    </w:p>
    <w:p>
      <w:pPr>
        <w:spacing w:after="0"/>
        <w:rPr>
          <w:sz w:val="2"/>
          <w:szCs w:val="2"/>
        </w:rPr>
        <w:sectPr>
          <w:pgSz w:w="11910" w:h="16840"/>
          <w:pgMar w:top="1200" w:bottom="0" w:left="980" w:right="0"/>
        </w:sectPr>
      </w:pPr>
    </w:p>
    <w:tbl>
      <w:tblPr>
        <w:tblW w:w="0" w:type="auto"/>
        <w:jc w:val="left"/>
        <w:tblInd w:w="395"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02"/>
        <w:gridCol w:w="5138"/>
        <w:gridCol w:w="3053"/>
      </w:tblGrid>
      <w:tr>
        <w:trPr>
          <w:trHeight w:val="451" w:hRule="atLeast"/>
        </w:trPr>
        <w:tc>
          <w:tcPr>
            <w:tcW w:w="1202" w:type="dxa"/>
            <w:shd w:val="clear" w:color="auto" w:fill="E6E7E8"/>
          </w:tcPr>
          <w:p>
            <w:pPr>
              <w:pStyle w:val="TableParagraph"/>
              <w:spacing w:line="432" w:lineRule="exact"/>
              <w:ind w:left="360"/>
              <w:rPr>
                <w:rFonts w:ascii="微軟正黑體" w:eastAsia="微軟正黑體" w:hint="eastAsia"/>
                <w:b/>
                <w:sz w:val="24"/>
              </w:rPr>
            </w:pPr>
            <w:r>
              <w:rPr>
                <w:rFonts w:ascii="微軟正黑體" w:eastAsia="微軟正黑體" w:hint="eastAsia"/>
                <w:b/>
                <w:color w:val="231F20"/>
                <w:w w:val="145"/>
                <w:sz w:val="24"/>
              </w:rPr>
              <w:t>t呈</w:t>
            </w:r>
          </w:p>
        </w:tc>
        <w:tc>
          <w:tcPr>
            <w:tcW w:w="5138" w:type="dxa"/>
            <w:shd w:val="clear" w:color="auto" w:fill="E6E7E8"/>
          </w:tcPr>
          <w:p>
            <w:pPr>
              <w:pStyle w:val="TableParagraph"/>
              <w:spacing w:line="432" w:lineRule="exact"/>
              <w:ind w:left="2308" w:right="2294"/>
              <w:jc w:val="center"/>
              <w:rPr>
                <w:rFonts w:ascii="微軟正黑體" w:eastAsia="微軟正黑體" w:hint="eastAsia"/>
                <w:b/>
                <w:sz w:val="24"/>
              </w:rPr>
            </w:pPr>
            <w:r>
              <w:rPr>
                <w:rFonts w:ascii="微軟正黑體" w:eastAsia="微軟正黑體" w:hint="eastAsia"/>
                <w:b/>
                <w:color w:val="231F20"/>
                <w:sz w:val="24"/>
              </w:rPr>
              <w:t>說明</w:t>
            </w:r>
          </w:p>
        </w:tc>
        <w:tc>
          <w:tcPr>
            <w:tcW w:w="3053" w:type="dxa"/>
            <w:shd w:val="clear" w:color="auto" w:fill="E6E7E8"/>
          </w:tcPr>
          <w:p>
            <w:pPr>
              <w:pStyle w:val="TableParagraph"/>
              <w:spacing w:line="432" w:lineRule="exact"/>
              <w:ind w:right="670"/>
              <w:jc w:val="right"/>
              <w:rPr>
                <w:rFonts w:ascii="微軟正黑體" w:eastAsia="微軟正黑體" w:hint="eastAsia"/>
                <w:b/>
                <w:sz w:val="24"/>
              </w:rPr>
            </w:pPr>
            <w:r>
              <w:rPr>
                <w:rFonts w:ascii="微軟正黑體" w:eastAsia="微軟正黑體" w:hint="eastAsia"/>
                <w:b/>
                <w:color w:val="231F20"/>
                <w:sz w:val="24"/>
              </w:rPr>
              <w:t>相關法條及函釋</w:t>
            </w:r>
          </w:p>
        </w:tc>
      </w:tr>
      <w:tr>
        <w:trPr>
          <w:trHeight w:val="2050" w:hRule="atLeast"/>
        </w:trPr>
        <w:tc>
          <w:tcPr>
            <w:tcW w:w="1202" w:type="dxa"/>
          </w:tcPr>
          <w:p>
            <w:pPr>
              <w:pStyle w:val="TableParagraph"/>
              <w:spacing w:before="9"/>
              <w:rPr>
                <w:sz w:val="36"/>
              </w:rPr>
            </w:pPr>
          </w:p>
          <w:p>
            <w:pPr>
              <w:pStyle w:val="TableParagraph"/>
              <w:spacing w:line="230" w:lineRule="auto"/>
              <w:ind w:left="113" w:right="112"/>
              <w:rPr>
                <w:sz w:val="24"/>
              </w:rPr>
            </w:pPr>
            <w:r>
              <w:rPr>
                <w:color w:val="231F20"/>
                <w:sz w:val="24"/>
              </w:rPr>
              <w:t>解除隔離治療</w:t>
            </w:r>
          </w:p>
        </w:tc>
        <w:tc>
          <w:tcPr>
            <w:tcW w:w="5138" w:type="dxa"/>
          </w:tcPr>
          <w:p>
            <w:pPr>
              <w:pStyle w:val="TableParagraph"/>
              <w:spacing w:line="230" w:lineRule="auto" w:before="36"/>
              <w:ind w:left="112" w:right="36"/>
              <w:jc w:val="both"/>
              <w:rPr>
                <w:sz w:val="24"/>
              </w:rPr>
            </w:pPr>
            <w:r>
              <w:rPr>
                <w:color w:val="231F20"/>
                <w:sz w:val="24"/>
              </w:rPr>
              <w:t>經治療、評估結果，認為無繼續隔離治療必要時，應即解除其隔離治療，並自解除之次日起3 日內作成「法定傳染病解除隔離治療通知書」</w:t>
            </w:r>
            <w:r>
              <w:rPr>
                <w:color w:val="231F20"/>
                <w:w w:val="110"/>
                <w:sz w:val="24"/>
              </w:rPr>
              <w:t>(附件 9-1-4)，送達本人或其家屬，並副知</w:t>
            </w:r>
          </w:p>
          <w:p>
            <w:pPr>
              <w:pStyle w:val="TableParagraph"/>
              <w:spacing w:line="390" w:lineRule="exact"/>
              <w:ind w:left="112"/>
              <w:rPr>
                <w:sz w:val="24"/>
              </w:rPr>
            </w:pPr>
            <w:r>
              <w:rPr>
                <w:color w:val="231F20"/>
                <w:sz w:val="24"/>
              </w:rPr>
              <w:t>隔離治療機構。</w:t>
            </w:r>
          </w:p>
        </w:tc>
        <w:tc>
          <w:tcPr>
            <w:tcW w:w="3053" w:type="dxa"/>
          </w:tcPr>
          <w:p>
            <w:pPr>
              <w:pStyle w:val="TableParagraph"/>
              <w:spacing w:before="7"/>
              <w:rPr>
                <w:sz w:val="47"/>
              </w:rPr>
            </w:pPr>
          </w:p>
          <w:p>
            <w:pPr>
              <w:pStyle w:val="TableParagraph"/>
              <w:ind w:right="675"/>
              <w:jc w:val="right"/>
              <w:rPr>
                <w:sz w:val="24"/>
              </w:rPr>
            </w:pPr>
            <w:r>
              <w:rPr>
                <w:color w:val="231F20"/>
                <w:w w:val="105"/>
                <w:sz w:val="24"/>
              </w:rPr>
              <w:t>傳染病防治法 §45. </w:t>
            </w:r>
            <w:r>
              <w:rPr>
                <w:color w:val="231F20"/>
                <w:w w:val="150"/>
                <w:sz w:val="24"/>
              </w:rPr>
              <w:t>II</w:t>
            </w:r>
          </w:p>
        </w:tc>
      </w:tr>
    </w:tbl>
    <w:p>
      <w:pPr>
        <w:pStyle w:val="BodyText"/>
        <w:spacing w:before="1"/>
        <w:rPr>
          <w:sz w:val="15"/>
        </w:rPr>
      </w:pPr>
      <w:r>
        <w:rPr/>
        <w:pict>
          <v:group style="position:absolute;margin-left:-.000001pt;margin-top:259.160004pt;width:37.35pt;height:582.550pt;mso-position-horizontal-relative:page;mso-position-vertical-relative:page;z-index:251831296" coordorigin="0,5183" coordsize="747,11651">
            <v:shape style="position:absolute;left:178;top:5694;width:438;height:11140" type="#_x0000_t75" stroked="false">
              <v:imagedata r:id="rId99" o:title=""/>
            </v:shape>
            <v:shape style="position:absolute;left:0;top:5183;width:747;height:812" coordorigin="0,5183" coordsize="747,812" path="m365,5183l0,5183,0,5995,365,5995,387,5992,447,5958,713,5676,747,5589,738,5542,447,5219,387,5185,365,5183xe" filled="true" fillcolor="#f8971d" stroked="false">
              <v:path arrowok="t"/>
              <v:fill type="solid"/>
            </v:shape>
            <v:shape style="position:absolute;left:202;top:5450;width:389;height:278" type="#_x0000_t75" stroked="false">
              <v:imagedata r:id="rId100" o:title=""/>
            </v:shape>
            <v:shape style="position:absolute;left:274;top:6139;width:250;height:1245" type="#_x0000_t75" stroked="false">
              <v:imagedata r:id="rId101"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96</w:t>
                    </w:r>
                  </w:p>
                </w:txbxContent>
              </v:textbox>
              <w10:wrap type="none"/>
            </v:shape>
            <w10:wrap type="none"/>
          </v:group>
        </w:pict>
      </w:r>
    </w:p>
    <w:p>
      <w:pPr>
        <w:pStyle w:val="BodyText"/>
        <w:spacing w:line="409" w:lineRule="exact" w:before="71"/>
        <w:ind w:left="391"/>
      </w:pPr>
      <w:r>
        <w:rPr>
          <w:color w:val="231F20"/>
        </w:rPr>
        <w:t>二、相關單位權責分工</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醫療機構</w:t>
      </w:r>
    </w:p>
    <w:p>
      <w:pPr>
        <w:pStyle w:val="ListParagraph"/>
        <w:numPr>
          <w:ilvl w:val="0"/>
          <w:numId w:val="188"/>
        </w:numPr>
        <w:tabs>
          <w:tab w:pos="1351" w:val="left" w:leader="none"/>
        </w:tabs>
        <w:spacing w:line="230" w:lineRule="auto" w:before="3" w:after="0"/>
        <w:ind w:left="1349" w:right="1128" w:hanging="255"/>
        <w:jc w:val="both"/>
        <w:rPr>
          <w:sz w:val="24"/>
        </w:rPr>
      </w:pPr>
      <w:r>
        <w:rPr>
          <w:color w:val="231F20"/>
          <w:sz w:val="24"/>
        </w:rPr>
        <w:t>如為非指定隔離治療機構，應依醫療法等相關法令規定進行轉診(傳染病防治法</w:t>
      </w:r>
      <w:r>
        <w:rPr>
          <w:color w:val="231F20"/>
          <w:spacing w:val="9"/>
          <w:sz w:val="24"/>
        </w:rPr>
        <w:t>施行細則第 </w:t>
      </w:r>
      <w:r>
        <w:rPr>
          <w:color w:val="231F20"/>
          <w:sz w:val="24"/>
        </w:rPr>
        <w:t>9 條)；如為指定隔離治療機構，應配合主管機關指示收治傳染病病</w:t>
      </w:r>
      <w:r>
        <w:rPr>
          <w:color w:val="231F20"/>
          <w:spacing w:val="1"/>
          <w:w w:val="105"/>
          <w:sz w:val="24"/>
        </w:rPr>
        <w:t>人，不得拒絕、規避或妨礙(傳染病防治法第 </w:t>
      </w:r>
      <w:r>
        <w:rPr>
          <w:color w:val="231F20"/>
          <w:w w:val="105"/>
          <w:sz w:val="24"/>
        </w:rPr>
        <w:t>14</w:t>
      </w:r>
      <w:r>
        <w:rPr>
          <w:color w:val="231F20"/>
          <w:spacing w:val="-1"/>
          <w:w w:val="105"/>
          <w:sz w:val="24"/>
        </w:rPr>
        <w:t> 條)；違者處新臺幣 </w:t>
      </w:r>
      <w:r>
        <w:rPr>
          <w:color w:val="231F20"/>
          <w:w w:val="105"/>
          <w:sz w:val="24"/>
        </w:rPr>
        <w:t>30</w:t>
      </w:r>
      <w:r>
        <w:rPr>
          <w:color w:val="231F20"/>
          <w:spacing w:val="-6"/>
          <w:w w:val="105"/>
          <w:sz w:val="24"/>
        </w:rPr>
        <w:t> 萬至</w:t>
      </w:r>
      <w:r>
        <w:rPr>
          <w:color w:val="231F20"/>
          <w:w w:val="110"/>
          <w:sz w:val="24"/>
        </w:rPr>
        <w:t>200</w:t>
      </w:r>
      <w:r>
        <w:rPr>
          <w:color w:val="231F20"/>
          <w:spacing w:val="-7"/>
          <w:w w:val="110"/>
          <w:sz w:val="24"/>
        </w:rPr>
        <w:t> 萬元罰鍰(傳染病防治法第 </w:t>
      </w:r>
      <w:r>
        <w:rPr>
          <w:color w:val="231F20"/>
          <w:w w:val="110"/>
          <w:sz w:val="24"/>
        </w:rPr>
        <w:t>65</w:t>
      </w:r>
      <w:r>
        <w:rPr>
          <w:color w:val="231F20"/>
          <w:spacing w:val="-7"/>
          <w:w w:val="110"/>
          <w:sz w:val="24"/>
        </w:rPr>
        <w:t> 條及行政罰法第 </w:t>
      </w:r>
      <w:r>
        <w:rPr>
          <w:color w:val="231F20"/>
          <w:w w:val="110"/>
          <w:sz w:val="24"/>
        </w:rPr>
        <w:t>18</w:t>
      </w:r>
      <w:r>
        <w:rPr>
          <w:color w:val="231F20"/>
          <w:spacing w:val="-6"/>
          <w:w w:val="110"/>
          <w:sz w:val="24"/>
        </w:rPr>
        <w:t> 條)。</w:t>
      </w:r>
    </w:p>
    <w:p>
      <w:pPr>
        <w:pStyle w:val="ListParagraph"/>
        <w:numPr>
          <w:ilvl w:val="0"/>
          <w:numId w:val="188"/>
        </w:numPr>
        <w:tabs>
          <w:tab w:pos="1350" w:val="left" w:leader="none"/>
        </w:tabs>
        <w:spacing w:line="230" w:lineRule="auto" w:before="0" w:after="0"/>
        <w:ind w:left="1349" w:right="1131" w:hanging="255"/>
        <w:jc w:val="both"/>
        <w:rPr>
          <w:sz w:val="24"/>
        </w:rPr>
      </w:pPr>
      <w:r>
        <w:rPr>
          <w:color w:val="231F20"/>
          <w:sz w:val="24"/>
        </w:rPr>
        <w:t>於病人隔離治療期間，確實執行醫院感染管制作業；如隔離之病人不服指示，隨時聯繫衛生局提供必要協助。</w:t>
      </w:r>
    </w:p>
    <w:p>
      <w:pPr>
        <w:pStyle w:val="ListParagraph"/>
        <w:numPr>
          <w:ilvl w:val="0"/>
          <w:numId w:val="188"/>
        </w:numPr>
        <w:tabs>
          <w:tab w:pos="1350" w:val="left" w:leader="none"/>
        </w:tabs>
        <w:spacing w:line="395" w:lineRule="exact" w:before="0" w:after="0"/>
        <w:ind w:left="1349" w:right="0" w:hanging="256"/>
        <w:jc w:val="both"/>
        <w:rPr>
          <w:sz w:val="24"/>
        </w:rPr>
      </w:pPr>
      <w:r>
        <w:rPr>
          <w:color w:val="231F20"/>
          <w:sz w:val="24"/>
        </w:rPr>
        <w:t>醫療費用之申報：</w:t>
      </w:r>
    </w:p>
    <w:p>
      <w:pPr>
        <w:pStyle w:val="BodyText"/>
        <w:spacing w:line="230" w:lineRule="auto"/>
        <w:ind w:left="1590" w:right="1135" w:hanging="355"/>
        <w:jc w:val="both"/>
      </w:pPr>
      <w:r>
        <w:rPr>
          <w:color w:val="231F20"/>
          <w:w w:val="95"/>
        </w:rPr>
        <w:t>（1</w:t>
      </w:r>
      <w:r>
        <w:rPr>
          <w:color w:val="231F20"/>
          <w:spacing w:val="-1"/>
          <w:w w:val="95"/>
        </w:rPr>
        <w:t>)   病人施行隔離治療之醫療費用，比照全民健唐保險醫療服務給付項目及支付標</w:t>
      </w:r>
      <w:r>
        <w:rPr>
          <w:color w:val="231F20"/>
          <w:spacing w:val="-1"/>
        </w:rPr>
        <w:t>準核付之醫療費用及隔離治療機構之膳食費，由疾病管制署編列預算支應，並委由中央健唐保險署代收代辦，支付對象僅限衛生單位開立「法定傳染病隔離</w:t>
      </w:r>
      <w:r>
        <w:rPr>
          <w:color w:val="231F20"/>
          <w:spacing w:val="-2"/>
        </w:rPr>
        <w:t>治療通知書」之結核病病人(含本國人健保身分、無健保身分及外籍人土)；   </w:t>
      </w:r>
      <w:r>
        <w:rPr>
          <w:color w:val="231F20"/>
          <w:w w:val="105"/>
        </w:rPr>
        <w:t>疾管署支付之經費，醫院不得向病人收取差額費用。</w:t>
      </w:r>
    </w:p>
    <w:p>
      <w:pPr>
        <w:pStyle w:val="BodyText"/>
        <w:spacing w:line="230" w:lineRule="auto"/>
        <w:ind w:left="1590" w:right="1136" w:hanging="355"/>
        <w:jc w:val="both"/>
      </w:pPr>
      <w:r>
        <w:rPr>
          <w:color w:val="231F20"/>
          <w:w w:val="95"/>
        </w:rPr>
        <w:t>（2)   病人無衛生局開立「法定傳染病隔離治療通知書」、衛生局開立隔離治療通知</w:t>
      </w:r>
      <w:r>
        <w:rPr>
          <w:color w:val="231F20"/>
        </w:rPr>
        <w:t>書前及解除隔離治療後，醫院基於感染管制需要而收住隔離病房之費用，由健保支付；至於無健保結核病個案主診斷碼為 A15-A19 者，則由疾管署支付。</w:t>
      </w:r>
    </w:p>
    <w:p>
      <w:pPr>
        <w:pStyle w:val="BodyText"/>
        <w:spacing w:line="230" w:lineRule="auto"/>
        <w:ind w:left="1348" w:right="1133"/>
        <w:jc w:val="both"/>
      </w:pPr>
      <w:r>
        <w:rPr>
          <w:color w:val="231F20"/>
        </w:rPr>
        <w:t>相關費用申報詳細作業規範請參見「衛生福利部法定傳染病醫療服務費用支付作業規範」。(疾管署全球資訊網</w:t>
      </w:r>
      <w:r>
        <w:rPr>
          <w:color w:val="231F20"/>
          <w:w w:val="70"/>
        </w:rPr>
        <w:t>／ </w:t>
      </w:r>
      <w:r>
        <w:rPr>
          <w:color w:val="231F20"/>
        </w:rPr>
        <w:t>傳染病與防疫專題 </w:t>
      </w:r>
      <w:r>
        <w:rPr>
          <w:color w:val="231F20"/>
          <w:w w:val="70"/>
        </w:rPr>
        <w:t>／ </w:t>
      </w:r>
      <w:r>
        <w:rPr>
          <w:color w:val="231F20"/>
        </w:rPr>
        <w:t>傳染病介紹 </w:t>
      </w:r>
      <w:r>
        <w:rPr>
          <w:color w:val="231F20"/>
          <w:w w:val="70"/>
        </w:rPr>
        <w:t>／ </w:t>
      </w:r>
      <w:r>
        <w:rPr>
          <w:color w:val="231F20"/>
        </w:rPr>
        <w:t>第三類法定傳染病 </w:t>
      </w:r>
      <w:r>
        <w:rPr>
          <w:color w:val="231F20"/>
          <w:w w:val="70"/>
        </w:rPr>
        <w:t>／ </w:t>
      </w:r>
      <w:r>
        <w:rPr>
          <w:color w:val="231F20"/>
        </w:rPr>
        <w:t>結核病 </w:t>
      </w:r>
      <w:r>
        <w:rPr>
          <w:color w:val="231F20"/>
          <w:w w:val="70"/>
        </w:rPr>
        <w:t>／ </w:t>
      </w:r>
      <w:r>
        <w:rPr>
          <w:color w:val="231F20"/>
        </w:rPr>
        <w:t>治療照護 </w:t>
      </w:r>
      <w:r>
        <w:rPr>
          <w:color w:val="231F20"/>
          <w:w w:val="70"/>
        </w:rPr>
        <w:t>／ </w:t>
      </w:r>
      <w:r>
        <w:rPr>
          <w:color w:val="231F20"/>
        </w:rPr>
        <w:t>醫療費用補助)</w:t>
      </w:r>
    </w:p>
    <w:p>
      <w:pPr>
        <w:pStyle w:val="BodyText"/>
        <w:spacing w:line="394" w:lineRule="exact"/>
        <w:ind w:left="629"/>
        <w:jc w:val="both"/>
      </w:pPr>
      <w:r>
        <w:rPr>
          <w:color w:val="231F20"/>
          <w:w w:val="65"/>
        </w:rPr>
        <w:t>（ </w:t>
      </w:r>
      <w:r>
        <w:rPr>
          <w:color w:val="231F20"/>
        </w:rPr>
        <w:t>二 ) 衛 生 局 </w:t>
      </w:r>
      <w:r>
        <w:rPr>
          <w:color w:val="231F20"/>
          <w:w w:val="65"/>
        </w:rPr>
        <w:t>／ </w:t>
      </w:r>
      <w:r>
        <w:rPr>
          <w:color w:val="231F20"/>
        </w:rPr>
        <w:t>所</w:t>
      </w:r>
    </w:p>
    <w:p>
      <w:pPr>
        <w:pStyle w:val="ListParagraph"/>
        <w:numPr>
          <w:ilvl w:val="0"/>
          <w:numId w:val="189"/>
        </w:numPr>
        <w:tabs>
          <w:tab w:pos="1349" w:val="left" w:leader="none"/>
        </w:tabs>
        <w:spacing w:line="230" w:lineRule="auto" w:before="0" w:after="0"/>
        <w:ind w:left="1348" w:right="1132" w:hanging="255"/>
        <w:jc w:val="both"/>
        <w:rPr>
          <w:sz w:val="24"/>
        </w:rPr>
      </w:pPr>
      <w:r>
        <w:rPr>
          <w:color w:val="231F20"/>
          <w:sz w:val="24"/>
        </w:rPr>
        <w:t>負責將隔離治療前評估病人之相關紀錄，以及於 TB</w:t>
      </w:r>
      <w:r>
        <w:rPr>
          <w:color w:val="231F20"/>
          <w:spacing w:val="-2"/>
          <w:sz w:val="24"/>
        </w:rPr>
        <w:t> 系統辦理隔離治療行政處分</w:t>
      </w:r>
      <w:r>
        <w:rPr>
          <w:color w:val="231F20"/>
          <w:sz w:val="24"/>
        </w:rPr>
        <w:t>之開立與解除、提審權利告知、隔離治療超過 30</w:t>
      </w:r>
      <w:r>
        <w:rPr>
          <w:color w:val="231F20"/>
          <w:spacing w:val="1"/>
          <w:sz w:val="24"/>
        </w:rPr>
        <w:t> 日者之重新鑑定作業與各項相</w:t>
      </w:r>
      <w:r>
        <w:rPr>
          <w:color w:val="231F20"/>
          <w:spacing w:val="-6"/>
          <w:sz w:val="24"/>
        </w:rPr>
        <w:t>關書表之送達，於各項作業完成 </w:t>
      </w:r>
      <w:r>
        <w:rPr>
          <w:color w:val="231F20"/>
          <w:sz w:val="24"/>
        </w:rPr>
        <w:t>1</w:t>
      </w:r>
      <w:r>
        <w:rPr>
          <w:color w:val="231F20"/>
          <w:spacing w:val="-2"/>
          <w:sz w:val="24"/>
        </w:rPr>
        <w:t> 週內將前述簽署文件上傳於</w:t>
      </w:r>
      <w:r>
        <w:rPr>
          <w:color w:val="231F20"/>
          <w:sz w:val="24"/>
        </w:rPr>
        <w:t>TB</w:t>
      </w:r>
      <w:r>
        <w:rPr>
          <w:color w:val="231F20"/>
          <w:spacing w:val="-14"/>
          <w:sz w:val="24"/>
        </w:rPr>
        <w:t> 系統，其中「法</w:t>
      </w:r>
      <w:r>
        <w:rPr>
          <w:color w:val="231F20"/>
          <w:sz w:val="24"/>
        </w:rPr>
        <w:t>定傳染病隔離治療通知書」、「法定傳染病解除隔離治療通知書」、「重新鑑定</w:t>
      </w:r>
      <w:r>
        <w:rPr>
          <w:color w:val="231F20"/>
          <w:spacing w:val="-1"/>
          <w:sz w:val="24"/>
        </w:rPr>
        <w:t>隔離治療單」及「隔離治療建議單」等，將作為隔離治療醫院申請治療費用審核</w:t>
      </w:r>
      <w:r>
        <w:rPr>
          <w:color w:val="231F20"/>
          <w:sz w:val="24"/>
        </w:rPr>
        <w:t>之依據。</w:t>
      </w:r>
    </w:p>
    <w:p>
      <w:pPr>
        <w:pStyle w:val="ListParagraph"/>
        <w:numPr>
          <w:ilvl w:val="0"/>
          <w:numId w:val="189"/>
        </w:numPr>
        <w:tabs>
          <w:tab w:pos="1349" w:val="left" w:leader="none"/>
        </w:tabs>
        <w:spacing w:line="230" w:lineRule="auto" w:before="0" w:after="0"/>
        <w:ind w:left="1348" w:right="1133" w:hanging="255"/>
        <w:jc w:val="both"/>
        <w:rPr>
          <w:sz w:val="24"/>
        </w:rPr>
      </w:pPr>
      <w:r>
        <w:rPr>
          <w:color w:val="231F20"/>
          <w:sz w:val="24"/>
        </w:rPr>
        <w:t>協調指定隔離治療機構收治病人，並安排、聯繫隔離治療移送車輛及隨行人員； </w:t>
      </w:r>
      <w:r>
        <w:rPr>
          <w:color w:val="231F20"/>
          <w:spacing w:val="-2"/>
          <w:w w:val="110"/>
          <w:sz w:val="24"/>
        </w:rPr>
        <w:t>如有特殊需求，請協調管轄區域外相關單位協助(行政執行法第 </w:t>
      </w:r>
      <w:r>
        <w:rPr>
          <w:color w:val="231F20"/>
          <w:w w:val="110"/>
          <w:sz w:val="24"/>
        </w:rPr>
        <w:t>6</w:t>
      </w:r>
      <w:r>
        <w:rPr>
          <w:color w:val="231F20"/>
          <w:spacing w:val="-11"/>
          <w:w w:val="110"/>
          <w:sz w:val="24"/>
        </w:rPr>
        <w:t> 條)。</w:t>
      </w:r>
    </w:p>
    <w:p>
      <w:pPr>
        <w:spacing w:after="0" w:line="230" w:lineRule="auto"/>
        <w:jc w:val="both"/>
        <w:rPr>
          <w:sz w:val="24"/>
        </w:rPr>
        <w:sectPr>
          <w:pgSz w:w="11910" w:h="16840"/>
          <w:pgMar w:top="1200" w:bottom="0" w:left="980" w:right="0"/>
        </w:sectPr>
      </w:pPr>
    </w:p>
    <w:p>
      <w:pPr>
        <w:pStyle w:val="ListParagraph"/>
        <w:numPr>
          <w:ilvl w:val="0"/>
          <w:numId w:val="189"/>
        </w:numPr>
        <w:tabs>
          <w:tab w:pos="1351" w:val="left" w:leader="none"/>
        </w:tabs>
        <w:spacing w:line="230" w:lineRule="auto" w:before="70" w:after="0"/>
        <w:ind w:left="1349" w:right="1137" w:hanging="255"/>
        <w:jc w:val="both"/>
        <w:rPr>
          <w:sz w:val="24"/>
        </w:rPr>
      </w:pPr>
      <w:r>
        <w:rPr>
          <w:color w:val="231F20"/>
          <w:spacing w:val="-1"/>
          <w:sz w:val="24"/>
        </w:rPr>
        <w:t>病人隔離治療期間與指定隔離治療醫院保持聯繫，掌摳病人隔離狀況，做好返回</w:t>
      </w:r>
      <w:r>
        <w:rPr>
          <w:color w:val="231F20"/>
          <w:sz w:val="24"/>
        </w:rPr>
        <w:t>社區治療之準備。</w:t>
      </w:r>
    </w:p>
    <w:p>
      <w:pPr>
        <w:pStyle w:val="ListParagraph"/>
        <w:numPr>
          <w:ilvl w:val="0"/>
          <w:numId w:val="189"/>
        </w:numPr>
        <w:tabs>
          <w:tab w:pos="1350" w:val="left" w:leader="none"/>
        </w:tabs>
        <w:spacing w:line="395" w:lineRule="exact" w:before="0" w:after="0"/>
        <w:ind w:left="1349" w:right="0" w:hanging="256"/>
        <w:jc w:val="both"/>
        <w:rPr>
          <w:sz w:val="24"/>
        </w:rPr>
      </w:pPr>
      <w:r>
        <w:rPr>
          <w:color w:val="231F20"/>
          <w:spacing w:val="-1"/>
          <w:w w:val="110"/>
          <w:sz w:val="24"/>
        </w:rPr>
        <w:t>對於不配合行政處置之個案，依法逕行行政處分(傳染病防治法第 </w:t>
      </w:r>
      <w:r>
        <w:rPr>
          <w:color w:val="231F20"/>
          <w:w w:val="110"/>
          <w:sz w:val="24"/>
        </w:rPr>
        <w:t>67</w:t>
      </w:r>
      <w:r>
        <w:rPr>
          <w:color w:val="231F20"/>
          <w:spacing w:val="-8"/>
          <w:w w:val="110"/>
          <w:sz w:val="24"/>
        </w:rPr>
        <w:t> 條)。</w:t>
      </w:r>
    </w:p>
    <w:p>
      <w:pPr>
        <w:pStyle w:val="ListParagraph"/>
        <w:numPr>
          <w:ilvl w:val="0"/>
          <w:numId w:val="189"/>
        </w:numPr>
        <w:tabs>
          <w:tab w:pos="1351" w:val="left" w:leader="none"/>
        </w:tabs>
        <w:spacing w:line="230" w:lineRule="auto" w:before="3" w:after="0"/>
        <w:ind w:left="1349" w:right="1138" w:hanging="255"/>
        <w:jc w:val="both"/>
        <w:rPr>
          <w:sz w:val="24"/>
        </w:rPr>
      </w:pPr>
      <w:r>
        <w:rPr>
          <w:color w:val="231F20"/>
          <w:spacing w:val="-1"/>
          <w:sz w:val="24"/>
        </w:rPr>
        <w:t>跨單位隔離治療分工：行政機關為發揮共同—體之行政機能，應於其權限範圍內</w:t>
      </w:r>
      <w:r>
        <w:rPr>
          <w:color w:val="231F20"/>
          <w:spacing w:val="-2"/>
          <w:w w:val="110"/>
          <w:sz w:val="24"/>
        </w:rPr>
        <w:t>互相協助(行政程序法第 </w:t>
      </w:r>
      <w:r>
        <w:rPr>
          <w:color w:val="231F20"/>
          <w:w w:val="110"/>
          <w:sz w:val="24"/>
        </w:rPr>
        <w:t>19</w:t>
      </w:r>
      <w:r>
        <w:rPr>
          <w:color w:val="231F20"/>
          <w:spacing w:val="-6"/>
          <w:w w:val="110"/>
          <w:sz w:val="24"/>
        </w:rPr>
        <w:t> 條、行政執行法第 </w:t>
      </w:r>
      <w:r>
        <w:rPr>
          <w:color w:val="231F20"/>
          <w:w w:val="110"/>
          <w:sz w:val="24"/>
        </w:rPr>
        <w:t>6</w:t>
      </w:r>
      <w:r>
        <w:rPr>
          <w:color w:val="231F20"/>
          <w:spacing w:val="-5"/>
          <w:w w:val="110"/>
          <w:sz w:val="24"/>
        </w:rPr>
        <w:t> 條)。</w:t>
      </w:r>
    </w:p>
    <w:p>
      <w:pPr>
        <w:pStyle w:val="BodyText"/>
        <w:spacing w:line="230" w:lineRule="auto"/>
        <w:ind w:left="1590" w:right="1134" w:hanging="355"/>
        <w:jc w:val="both"/>
      </w:pPr>
      <w:r>
        <w:rPr>
          <w:color w:val="231F20"/>
          <w:w w:val="95"/>
        </w:rPr>
        <w:t>（1)   個案非身處管理地且有立即隔離治療之必要，得就近徵求現處地衛生局協助執</w:t>
      </w:r>
      <w:r>
        <w:rPr>
          <w:color w:val="231F20"/>
        </w:rPr>
        <w:t>行隔離治療簽署相關文件及移送治療作業；前述作業衍生之費用由個案管理單位衛生局支應。</w:t>
      </w:r>
    </w:p>
    <w:p>
      <w:pPr>
        <w:pStyle w:val="BodyText"/>
        <w:spacing w:line="230" w:lineRule="auto"/>
        <w:ind w:left="1590" w:right="1135" w:hanging="355"/>
        <w:jc w:val="both"/>
      </w:pPr>
      <w:r>
        <w:rPr>
          <w:color w:val="231F20"/>
          <w:w w:val="32"/>
        </w:rPr>
        <w:t>（</w:t>
      </w:r>
      <w:r>
        <w:rPr>
          <w:color w:val="231F20"/>
          <w:w w:val="104"/>
        </w:rPr>
        <w:t>2</w:t>
      </w:r>
      <w:r>
        <w:rPr>
          <w:color w:val="231F20"/>
          <w:w w:val="96"/>
        </w:rPr>
        <w:t>)</w:t>
      </w:r>
      <w:r>
        <w:rPr>
          <w:color w:val="231F20"/>
        </w:rPr>
        <w:t> 衛生局執行隔離治療相關作業時可與所轄警察 </w:t>
      </w:r>
      <w:r>
        <w:rPr>
          <w:color w:val="231F20"/>
          <w:w w:val="41"/>
        </w:rPr>
        <w:t>／</w:t>
      </w:r>
      <w:r>
        <w:rPr>
          <w:color w:val="231F20"/>
        </w:rPr>
        <w:t> 消防 </w:t>
      </w:r>
      <w:r>
        <w:rPr>
          <w:color w:val="231F20"/>
          <w:w w:val="41"/>
        </w:rPr>
        <w:t>／</w:t>
      </w:r>
      <w:r>
        <w:rPr>
          <w:color w:val="231F20"/>
        </w:rPr>
        <w:t> 社政等相關單位，採合作方式辦理，以達作業順遂。</w:t>
      </w:r>
    </w:p>
    <w:p>
      <w:pPr>
        <w:pStyle w:val="ListParagraph"/>
        <w:numPr>
          <w:ilvl w:val="0"/>
          <w:numId w:val="189"/>
        </w:numPr>
        <w:tabs>
          <w:tab w:pos="1349" w:val="left" w:leader="none"/>
        </w:tabs>
        <w:spacing w:line="395" w:lineRule="exact" w:before="0" w:after="0"/>
        <w:ind w:left="1348" w:right="0" w:hanging="256"/>
        <w:jc w:val="both"/>
        <w:rPr>
          <w:sz w:val="24"/>
        </w:rPr>
      </w:pPr>
      <w:r>
        <w:rPr/>
        <w:pict>
          <v:group style="position:absolute;margin-left:557.684509pt;margin-top:2.553226pt;width:37.35pt;height:582.550pt;mso-position-horizontal-relative:page;mso-position-vertical-relative:paragraph;z-index:251833344" coordorigin="11154,51" coordsize="747,11651">
            <v:shape style="position:absolute;left:11283;top:562;width:438;height:11140" type="#_x0000_t75" stroked="false">
              <v:imagedata r:id="rId96" o:title=""/>
            </v:shape>
            <v:shape style="position:absolute;left:11153;top:51;width:747;height:812" coordorigin="11154,51" coordsize="747,812" path="m11900,51l11536,51,11514,53,11454,87,11188,369,11154,457,11162,503,11454,826,11514,860,11536,862,11900,862,11900,51xe" filled="true" fillcolor="#f8971d" stroked="false">
              <v:path arrowok="t"/>
              <v:fill type="solid"/>
            </v:shape>
            <v:shape style="position:absolute;left:11307;top:318;width:389;height:278" type="#_x0000_t75" stroked="false">
              <v:imagedata r:id="rId97" o:title=""/>
            </v:shape>
            <v:shape style="position:absolute;left:11379;top:1007;width:250;height:1245" type="#_x0000_t75" stroked="false">
              <v:imagedata r:id="rId98" o:title=""/>
            </v:shape>
            <v:shape style="position:absolute;left:11412;top:11139;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97</w:t>
                    </w:r>
                  </w:p>
                </w:txbxContent>
              </v:textbox>
              <w10:wrap type="none"/>
            </v:shape>
            <w10:wrap type="none"/>
          </v:group>
        </w:pict>
      </w:r>
      <w:r>
        <w:rPr>
          <w:color w:val="231F20"/>
          <w:sz w:val="24"/>
        </w:rPr>
        <w:t>特殊個案：</w:t>
      </w:r>
    </w:p>
    <w:p>
      <w:pPr>
        <w:pStyle w:val="BodyText"/>
        <w:spacing w:line="400" w:lineRule="exact"/>
        <w:ind w:left="1236"/>
        <w:jc w:val="both"/>
      </w:pPr>
      <w:r>
        <w:rPr>
          <w:color w:val="231F20"/>
          <w:w w:val="95"/>
        </w:rPr>
        <w:t>（1) </w:t>
      </w:r>
      <w:r>
        <w:rPr>
          <w:color w:val="231F20"/>
          <w:w w:val="110"/>
        </w:rPr>
        <w:t>遊民可商請社政機關(單位)共同處理(社會救助法第 17 條)。</w:t>
      </w:r>
    </w:p>
    <w:p>
      <w:pPr>
        <w:pStyle w:val="BodyText"/>
        <w:spacing w:line="230" w:lineRule="auto"/>
        <w:ind w:left="1590" w:right="1136" w:hanging="355"/>
        <w:jc w:val="both"/>
      </w:pPr>
      <w:r>
        <w:rPr>
          <w:color w:val="231F20"/>
          <w:w w:val="95"/>
        </w:rPr>
        <w:t>（2</w:t>
      </w:r>
      <w:r>
        <w:rPr>
          <w:color w:val="231F20"/>
          <w:spacing w:val="-1"/>
          <w:w w:val="95"/>
        </w:rPr>
        <w:t>)  宣告為無行為能力或未成年者，則應與其法定代理人、監護人或保護人共同處</w:t>
      </w:r>
      <w:r>
        <w:rPr>
          <w:color w:val="231F20"/>
          <w:spacing w:val="-3"/>
          <w:w w:val="110"/>
        </w:rPr>
        <w:t>理(民法第 </w:t>
      </w:r>
      <w:r>
        <w:rPr>
          <w:color w:val="231F20"/>
          <w:w w:val="110"/>
        </w:rPr>
        <w:t>14</w:t>
      </w:r>
      <w:r>
        <w:rPr>
          <w:color w:val="231F20"/>
          <w:spacing w:val="-5"/>
          <w:w w:val="110"/>
        </w:rPr>
        <w:t> 條、精神衛生法第 </w:t>
      </w:r>
      <w:r>
        <w:rPr>
          <w:color w:val="231F20"/>
          <w:w w:val="110"/>
        </w:rPr>
        <w:t>19</w:t>
      </w:r>
      <w:r>
        <w:rPr>
          <w:color w:val="231F20"/>
          <w:spacing w:val="-5"/>
          <w:w w:val="110"/>
        </w:rPr>
        <w:t> 條)。</w:t>
      </w:r>
    </w:p>
    <w:p>
      <w:pPr>
        <w:pStyle w:val="ListParagraph"/>
        <w:numPr>
          <w:ilvl w:val="0"/>
          <w:numId w:val="189"/>
        </w:numPr>
        <w:tabs>
          <w:tab w:pos="1350" w:val="left" w:leader="none"/>
        </w:tabs>
        <w:spacing w:line="230" w:lineRule="auto" w:before="0" w:after="0"/>
        <w:ind w:left="1348" w:right="1138" w:hanging="255"/>
        <w:jc w:val="both"/>
        <w:rPr>
          <w:sz w:val="24"/>
        </w:rPr>
      </w:pPr>
      <w:r>
        <w:rPr>
          <w:color w:val="231F20"/>
          <w:spacing w:val="-1"/>
          <w:sz w:val="24"/>
        </w:rPr>
        <w:t>因施行隔離治療所致相關非醫療費用(如救護車、維護病人及工作人員安全之保</w:t>
      </w:r>
      <w:r>
        <w:rPr>
          <w:color w:val="231F20"/>
          <w:w w:val="105"/>
          <w:sz w:val="24"/>
        </w:rPr>
        <w:t>全等)，由各縣市自行編列預算支應。</w:t>
      </w:r>
    </w:p>
    <w:p>
      <w:pPr>
        <w:pStyle w:val="ListParagraph"/>
        <w:numPr>
          <w:ilvl w:val="0"/>
          <w:numId w:val="189"/>
        </w:numPr>
        <w:tabs>
          <w:tab w:pos="1349" w:val="left" w:leader="none"/>
        </w:tabs>
        <w:spacing w:line="230" w:lineRule="auto" w:before="0" w:after="0"/>
        <w:ind w:left="1348" w:right="1133" w:hanging="255"/>
        <w:jc w:val="both"/>
        <w:rPr>
          <w:sz w:val="24"/>
        </w:rPr>
      </w:pPr>
      <w:r>
        <w:rPr>
          <w:color w:val="231F20"/>
          <w:spacing w:val="-5"/>
          <w:w w:val="105"/>
          <w:sz w:val="24"/>
        </w:rPr>
        <w:t>地方衛生局每年 </w:t>
      </w:r>
      <w:r>
        <w:rPr>
          <w:color w:val="231F20"/>
          <w:w w:val="105"/>
          <w:sz w:val="24"/>
        </w:rPr>
        <w:t>1</w:t>
      </w:r>
      <w:r>
        <w:rPr>
          <w:color w:val="231F20"/>
          <w:spacing w:val="-1"/>
          <w:w w:val="105"/>
          <w:sz w:val="24"/>
        </w:rPr>
        <w:t> 月初提報外單位(警政</w:t>
      </w:r>
      <w:r>
        <w:rPr>
          <w:color w:val="231F20"/>
          <w:spacing w:val="-9"/>
          <w:w w:val="70"/>
          <w:sz w:val="24"/>
        </w:rPr>
        <w:t>／ </w:t>
      </w:r>
      <w:r>
        <w:rPr>
          <w:color w:val="231F20"/>
          <w:w w:val="105"/>
          <w:sz w:val="24"/>
        </w:rPr>
        <w:t>消防人員)協助隔離治療或困難個案</w:t>
      </w:r>
      <w:r>
        <w:rPr>
          <w:color w:val="231F20"/>
          <w:spacing w:val="-1"/>
          <w:sz w:val="24"/>
        </w:rPr>
        <w:t>有功人員名單予疾病管制署，由疾病管制署彙整後函文建議相關單位，予協助結</w:t>
      </w:r>
      <w:r>
        <w:rPr>
          <w:color w:val="231F20"/>
          <w:w w:val="110"/>
          <w:sz w:val="24"/>
        </w:rPr>
        <w:t>核病防治有功人員敘獎。</w:t>
      </w:r>
    </w:p>
    <w:p>
      <w:pPr>
        <w:pStyle w:val="BodyText"/>
        <w:spacing w:before="11"/>
        <w:rPr>
          <w:sz w:val="19"/>
        </w:rPr>
      </w:pPr>
    </w:p>
    <w:p>
      <w:pPr>
        <w:pStyle w:val="Heading2"/>
        <w:spacing w:before="1"/>
        <w:ind w:left="152"/>
      </w:pPr>
      <w:r>
        <w:rPr>
          <w:color w:val="231F20"/>
        </w:rPr>
        <w:t>伍、訴願及行政訴訟</w:t>
      </w:r>
    </w:p>
    <w:p>
      <w:pPr>
        <w:pStyle w:val="BodyText"/>
        <w:spacing w:line="230" w:lineRule="auto" w:before="6"/>
        <w:ind w:left="634" w:right="1076"/>
      </w:pPr>
      <w:r>
        <w:rPr>
          <w:color w:val="231F20"/>
        </w:rPr>
        <w:t>經衛生局施以隔離治療行政處分之病人或其利害關係人，如對該項行政處分認為違法或</w:t>
      </w:r>
      <w:r>
        <w:rPr>
          <w:color w:val="231F20"/>
          <w:spacing w:val="-23"/>
        </w:rPr>
        <w:t>不當，致損害其權利或利益者，得依「訢願法」或「行政訢訟法」，提起訢願或行政訢訟。</w:t>
      </w:r>
    </w:p>
    <w:p>
      <w:pPr>
        <w:pStyle w:val="BodyText"/>
        <w:spacing w:before="3"/>
        <w:rPr>
          <w:sz w:val="20"/>
        </w:rPr>
      </w:pPr>
    </w:p>
    <w:p>
      <w:pPr>
        <w:pStyle w:val="Heading2"/>
        <w:spacing w:line="240" w:lineRule="auto"/>
        <w:ind w:left="152"/>
      </w:pPr>
      <w:r>
        <w:rPr/>
        <w:pict>
          <v:shape style="position:absolute;margin-left:56.668499pt;margin-top:20.033239pt;width:482.05pt;height:187.35pt;mso-position-horizontal-relative:page;mso-position-vertical-relative:paragraph;z-index:25183436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679"/>
                    <w:gridCol w:w="7941"/>
                  </w:tblGrid>
                  <w:tr>
                    <w:trPr>
                      <w:trHeight w:val="451" w:hRule="atLeast"/>
                    </w:trPr>
                    <w:tc>
                      <w:tcPr>
                        <w:tcW w:w="1679" w:type="dxa"/>
                        <w:shd w:val="clear" w:color="auto" w:fill="E6E7E8"/>
                      </w:tcPr>
                      <w:p>
                        <w:pPr>
                          <w:pStyle w:val="TableParagraph"/>
                          <w:spacing w:line="431" w:lineRule="exact"/>
                          <w:ind w:left="338" w:right="325"/>
                          <w:jc w:val="center"/>
                          <w:rPr>
                            <w:rFonts w:ascii="微軟正黑體" w:eastAsia="微軟正黑體" w:hint="eastAsia"/>
                            <w:b/>
                            <w:sz w:val="24"/>
                          </w:rPr>
                        </w:pPr>
                        <w:r>
                          <w:rPr>
                            <w:rFonts w:ascii="微軟正黑體" w:eastAsia="微軟正黑體" w:hint="eastAsia"/>
                            <w:b/>
                            <w:color w:val="231F20"/>
                            <w:sz w:val="24"/>
                          </w:rPr>
                          <w:t>主責單位</w:t>
                        </w:r>
                      </w:p>
                    </w:tc>
                    <w:tc>
                      <w:tcPr>
                        <w:tcW w:w="7941" w:type="dxa"/>
                        <w:shd w:val="clear" w:color="auto" w:fill="E6E7E8"/>
                      </w:tcPr>
                      <w:p>
                        <w:pPr>
                          <w:pStyle w:val="TableParagraph"/>
                          <w:spacing w:line="431" w:lineRule="exact"/>
                          <w:ind w:left="3469" w:right="3456"/>
                          <w:jc w:val="center"/>
                          <w:rPr>
                            <w:rFonts w:ascii="微軟正黑體" w:eastAsia="微軟正黑體" w:hint="eastAsia"/>
                            <w:b/>
                            <w:sz w:val="24"/>
                          </w:rPr>
                        </w:pPr>
                        <w:r>
                          <w:rPr>
                            <w:rFonts w:ascii="微軟正黑體" w:eastAsia="微軟正黑體" w:hint="eastAsia"/>
                            <w:b/>
                            <w:color w:val="231F20"/>
                            <w:sz w:val="24"/>
                          </w:rPr>
                          <w:t>工作項目</w:t>
                        </w:r>
                      </w:p>
                    </w:tc>
                  </w:tr>
                  <w:tr>
                    <w:trPr>
                      <w:trHeight w:val="3250" w:hRule="atLeast"/>
                    </w:trPr>
                    <w:tc>
                      <w:tcPr>
                        <w:tcW w:w="1679" w:type="dxa"/>
                      </w:tcPr>
                      <w:p>
                        <w:pPr>
                          <w:pStyle w:val="TableParagraph"/>
                          <w:rPr>
                            <w:rFonts w:ascii="微軟正黑體"/>
                            <w:b/>
                            <w:sz w:val="32"/>
                          </w:rPr>
                        </w:pPr>
                      </w:p>
                      <w:p>
                        <w:pPr>
                          <w:pStyle w:val="TableParagraph"/>
                          <w:spacing w:before="15"/>
                          <w:rPr>
                            <w:rFonts w:ascii="微軟正黑體"/>
                            <w:b/>
                            <w:sz w:val="45"/>
                          </w:rPr>
                        </w:pPr>
                      </w:p>
                      <w:p>
                        <w:pPr>
                          <w:pStyle w:val="TableParagraph"/>
                          <w:ind w:left="338" w:right="325"/>
                          <w:jc w:val="center"/>
                          <w:rPr>
                            <w:sz w:val="24"/>
                          </w:rPr>
                        </w:pPr>
                        <w:r>
                          <w:rPr>
                            <w:color w:val="231F20"/>
                            <w:sz w:val="24"/>
                          </w:rPr>
                          <w:t>衛生所</w:t>
                        </w:r>
                      </w:p>
                    </w:tc>
                    <w:tc>
                      <w:tcPr>
                        <w:tcW w:w="7941" w:type="dxa"/>
                      </w:tcPr>
                      <w:p>
                        <w:pPr>
                          <w:pStyle w:val="TableParagraph"/>
                          <w:numPr>
                            <w:ilvl w:val="0"/>
                            <w:numId w:val="190"/>
                          </w:numPr>
                          <w:tabs>
                            <w:tab w:pos="357" w:val="left" w:leader="none"/>
                          </w:tabs>
                          <w:spacing w:line="230" w:lineRule="auto" w:before="43" w:after="0"/>
                          <w:ind w:left="356" w:right="98" w:hanging="244"/>
                          <w:jc w:val="left"/>
                          <w:rPr>
                            <w:sz w:val="24"/>
                          </w:rPr>
                        </w:pPr>
                        <w:r>
                          <w:rPr>
                            <w:color w:val="231F20"/>
                            <w:spacing w:val="-1"/>
                            <w:w w:val="105"/>
                            <w:sz w:val="24"/>
                          </w:rPr>
                          <w:t>發現社區內不合作(困難)結核病個案，予以衛教、勸導；依傳染病防</w:t>
                        </w:r>
                        <w:r>
                          <w:rPr>
                            <w:color w:val="231F20"/>
                            <w:spacing w:val="-3"/>
                            <w:w w:val="105"/>
                            <w:sz w:val="24"/>
                          </w:rPr>
                          <w:t>治法第 </w:t>
                        </w:r>
                        <w:r>
                          <w:rPr>
                            <w:color w:val="231F20"/>
                            <w:w w:val="105"/>
                            <w:sz w:val="24"/>
                          </w:rPr>
                          <w:t>36</w:t>
                        </w:r>
                        <w:r>
                          <w:rPr>
                            <w:color w:val="231F20"/>
                            <w:spacing w:val="-3"/>
                            <w:w w:val="105"/>
                            <w:sz w:val="24"/>
                          </w:rPr>
                          <w:t> 條請其配合。</w:t>
                        </w:r>
                      </w:p>
                      <w:p>
                        <w:pPr>
                          <w:pStyle w:val="TableParagraph"/>
                          <w:numPr>
                            <w:ilvl w:val="0"/>
                            <w:numId w:val="190"/>
                          </w:numPr>
                          <w:tabs>
                            <w:tab w:pos="357" w:val="left" w:leader="none"/>
                          </w:tabs>
                          <w:spacing w:line="230" w:lineRule="auto" w:before="0" w:after="0"/>
                          <w:ind w:left="356" w:right="96" w:hanging="244"/>
                          <w:jc w:val="left"/>
                          <w:rPr>
                            <w:sz w:val="24"/>
                          </w:rPr>
                        </w:pPr>
                        <w:r>
                          <w:rPr>
                            <w:color w:val="231F20"/>
                            <w:spacing w:val="-1"/>
                            <w:sz w:val="24"/>
                          </w:rPr>
                          <w:t>經採最少限制之介入措施，病人仍無法配合防治措施者，列舉病人不合</w:t>
                        </w:r>
                        <w:r>
                          <w:rPr>
                            <w:color w:val="231F20"/>
                            <w:sz w:val="24"/>
                          </w:rPr>
                          <w:t>作事證並作完整紀錄，於 TB 系統申請主管(衛生局)協助。</w:t>
                        </w:r>
                      </w:p>
                      <w:p>
                        <w:pPr>
                          <w:pStyle w:val="TableParagraph"/>
                          <w:numPr>
                            <w:ilvl w:val="0"/>
                            <w:numId w:val="190"/>
                          </w:numPr>
                          <w:tabs>
                            <w:tab w:pos="357" w:val="left" w:leader="none"/>
                          </w:tabs>
                          <w:spacing w:line="230" w:lineRule="auto" w:before="0" w:after="0"/>
                          <w:ind w:left="356" w:right="95" w:hanging="244"/>
                          <w:jc w:val="left"/>
                          <w:rPr>
                            <w:sz w:val="24"/>
                          </w:rPr>
                        </w:pPr>
                        <w:r>
                          <w:rPr>
                            <w:color w:val="231F20"/>
                            <w:spacing w:val="-1"/>
                            <w:sz w:val="24"/>
                          </w:rPr>
                          <w:t>病人隔離治療期間與指定隔離治療醫院保持聯繫，掌摳病人隔離狀況， </w:t>
                        </w:r>
                        <w:r>
                          <w:rPr>
                            <w:color w:val="231F20"/>
                            <w:sz w:val="24"/>
                          </w:rPr>
                          <w:t>做好返回社區治療之準備。</w:t>
                        </w:r>
                      </w:p>
                      <w:p>
                        <w:pPr>
                          <w:pStyle w:val="TableParagraph"/>
                          <w:numPr>
                            <w:ilvl w:val="0"/>
                            <w:numId w:val="190"/>
                          </w:numPr>
                          <w:tabs>
                            <w:tab w:pos="357" w:val="left" w:leader="none"/>
                          </w:tabs>
                          <w:spacing w:line="395" w:lineRule="exact" w:before="0" w:after="0"/>
                          <w:ind w:left="356" w:right="0" w:hanging="245"/>
                          <w:jc w:val="left"/>
                          <w:rPr>
                            <w:sz w:val="24"/>
                          </w:rPr>
                        </w:pPr>
                        <w:r>
                          <w:rPr>
                            <w:color w:val="231F20"/>
                            <w:sz w:val="24"/>
                          </w:rPr>
                          <w:t>與社政、警消單位合作，協助處理隔離治療期間發生之問題(如：病人</w:t>
                        </w:r>
                      </w:p>
                      <w:p>
                        <w:pPr>
                          <w:pStyle w:val="TableParagraph"/>
                          <w:spacing w:line="391" w:lineRule="exact"/>
                          <w:ind w:left="356"/>
                          <w:rPr>
                            <w:sz w:val="24"/>
                          </w:rPr>
                        </w:pPr>
                        <w:r>
                          <w:rPr>
                            <w:color w:val="231F20"/>
                            <w:w w:val="105"/>
                            <w:sz w:val="24"/>
                          </w:rPr>
                          <w:t>逃逸、跨縣市隔離等)。</w:t>
                        </w:r>
                      </w:p>
                    </w:tc>
                  </w:tr>
                </w:tbl>
                <w:p>
                  <w:pPr>
                    <w:pStyle w:val="BodyText"/>
                  </w:pPr>
                </w:p>
              </w:txbxContent>
            </v:textbox>
            <w10:wrap type="none"/>
          </v:shape>
        </w:pict>
      </w:r>
      <w:r>
        <w:rPr>
          <w:color w:val="231F20"/>
        </w:rPr>
        <w:t>陞、工作項目分層負責表</w:t>
      </w:r>
    </w:p>
    <w:p>
      <w:pPr>
        <w:spacing w:after="0" w:line="240" w:lineRule="auto"/>
        <w:sectPr>
          <w:pgSz w:w="11910" w:h="16840"/>
          <w:pgMar w:top="1060" w:bottom="0" w:left="980" w:right="0"/>
        </w:sectPr>
      </w:pP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679"/>
        <w:gridCol w:w="7941"/>
      </w:tblGrid>
      <w:tr>
        <w:trPr>
          <w:trHeight w:val="451" w:hRule="atLeast"/>
        </w:trPr>
        <w:tc>
          <w:tcPr>
            <w:tcW w:w="1679" w:type="dxa"/>
            <w:shd w:val="clear" w:color="auto" w:fill="E6E7E8"/>
          </w:tcPr>
          <w:p>
            <w:pPr>
              <w:pStyle w:val="TableParagraph"/>
              <w:spacing w:line="432" w:lineRule="exact"/>
              <w:ind w:left="338" w:right="325"/>
              <w:jc w:val="center"/>
              <w:rPr>
                <w:rFonts w:ascii="微軟正黑體" w:eastAsia="微軟正黑體" w:hint="eastAsia"/>
                <w:b/>
                <w:sz w:val="24"/>
              </w:rPr>
            </w:pPr>
            <w:r>
              <w:rPr>
                <w:rFonts w:ascii="微軟正黑體" w:eastAsia="微軟正黑體" w:hint="eastAsia"/>
                <w:b/>
                <w:color w:val="231F20"/>
                <w:sz w:val="24"/>
              </w:rPr>
              <w:t>主責單位</w:t>
            </w:r>
          </w:p>
        </w:tc>
        <w:tc>
          <w:tcPr>
            <w:tcW w:w="7941" w:type="dxa"/>
            <w:shd w:val="clear" w:color="auto" w:fill="E6E7E8"/>
          </w:tcPr>
          <w:p>
            <w:pPr>
              <w:pStyle w:val="TableParagraph"/>
              <w:spacing w:line="432" w:lineRule="exact"/>
              <w:ind w:left="3469" w:right="3456"/>
              <w:jc w:val="center"/>
              <w:rPr>
                <w:rFonts w:ascii="微軟正黑體" w:eastAsia="微軟正黑體" w:hint="eastAsia"/>
                <w:b/>
                <w:sz w:val="24"/>
              </w:rPr>
            </w:pPr>
            <w:r>
              <w:rPr>
                <w:rFonts w:ascii="微軟正黑體" w:eastAsia="微軟正黑體" w:hint="eastAsia"/>
                <w:b/>
                <w:color w:val="231F20"/>
                <w:sz w:val="24"/>
              </w:rPr>
              <w:t>工作項目</w:t>
            </w:r>
          </w:p>
        </w:tc>
      </w:tr>
      <w:tr>
        <w:trPr>
          <w:trHeight w:val="7248" w:hRule="atLeast"/>
        </w:trPr>
        <w:tc>
          <w:tcPr>
            <w:tcW w:w="1679" w:type="dxa"/>
          </w:tcPr>
          <w:p>
            <w:pPr>
              <w:pStyle w:val="TableParagraph"/>
              <w:rPr>
                <w:rFonts w:ascii="微軟正黑體"/>
                <w:b/>
                <w:sz w:val="32"/>
              </w:rPr>
            </w:pPr>
          </w:p>
          <w:p>
            <w:pPr>
              <w:pStyle w:val="TableParagraph"/>
              <w:rPr>
                <w:rFonts w:ascii="微軟正黑體"/>
                <w:b/>
                <w:sz w:val="32"/>
              </w:rPr>
            </w:pPr>
          </w:p>
          <w:p>
            <w:pPr>
              <w:pStyle w:val="TableParagraph"/>
              <w:rPr>
                <w:rFonts w:ascii="微軟正黑體"/>
                <w:b/>
                <w:sz w:val="32"/>
              </w:rPr>
            </w:pPr>
          </w:p>
          <w:p>
            <w:pPr>
              <w:pStyle w:val="TableParagraph"/>
              <w:rPr>
                <w:rFonts w:ascii="微軟正黑體"/>
                <w:b/>
                <w:sz w:val="32"/>
              </w:rPr>
            </w:pPr>
          </w:p>
          <w:p>
            <w:pPr>
              <w:pStyle w:val="TableParagraph"/>
              <w:rPr>
                <w:rFonts w:ascii="微軟正黑體"/>
                <w:b/>
                <w:sz w:val="32"/>
              </w:rPr>
            </w:pPr>
          </w:p>
          <w:p>
            <w:pPr>
              <w:pStyle w:val="TableParagraph"/>
              <w:spacing w:before="3"/>
              <w:rPr>
                <w:rFonts w:ascii="微軟正黑體"/>
                <w:b/>
                <w:sz w:val="26"/>
              </w:rPr>
            </w:pPr>
          </w:p>
          <w:p>
            <w:pPr>
              <w:pStyle w:val="TableParagraph"/>
              <w:ind w:left="338" w:right="325"/>
              <w:jc w:val="center"/>
              <w:rPr>
                <w:sz w:val="24"/>
              </w:rPr>
            </w:pPr>
            <w:r>
              <w:rPr>
                <w:color w:val="231F20"/>
                <w:sz w:val="24"/>
              </w:rPr>
              <w:t>衛生局</w:t>
            </w:r>
          </w:p>
        </w:tc>
        <w:tc>
          <w:tcPr>
            <w:tcW w:w="7941" w:type="dxa"/>
          </w:tcPr>
          <w:p>
            <w:pPr>
              <w:pStyle w:val="TableParagraph"/>
              <w:numPr>
                <w:ilvl w:val="0"/>
                <w:numId w:val="191"/>
              </w:numPr>
              <w:tabs>
                <w:tab w:pos="357" w:val="left" w:leader="none"/>
              </w:tabs>
              <w:spacing w:line="225" w:lineRule="auto" w:before="15" w:after="0"/>
              <w:ind w:left="356" w:right="272" w:hanging="244"/>
              <w:jc w:val="both"/>
              <w:rPr>
                <w:sz w:val="24"/>
              </w:rPr>
            </w:pPr>
            <w:r>
              <w:rPr>
                <w:color w:val="231F20"/>
                <w:spacing w:val="8"/>
                <w:sz w:val="24"/>
              </w:rPr>
              <w:t>接獲衛生所於 </w:t>
            </w:r>
            <w:r>
              <w:rPr>
                <w:color w:val="231F20"/>
                <w:spacing w:val="3"/>
                <w:sz w:val="24"/>
              </w:rPr>
              <w:t>TB</w:t>
            </w:r>
            <w:r>
              <w:rPr>
                <w:color w:val="231F20"/>
                <w:spacing w:val="5"/>
                <w:sz w:val="24"/>
              </w:rPr>
              <w:t> 系統提報不合作(困難)個案，</w:t>
            </w:r>
            <w:r>
              <w:rPr>
                <w:color w:val="231F20"/>
                <w:spacing w:val="3"/>
                <w:sz w:val="24"/>
              </w:rPr>
              <w:t>3</w:t>
            </w:r>
            <w:r>
              <w:rPr>
                <w:color w:val="231F20"/>
                <w:spacing w:val="7"/>
                <w:sz w:val="24"/>
              </w:rPr>
              <w:t> 日內受理並儘速</w:t>
            </w:r>
            <w:r>
              <w:rPr>
                <w:color w:val="231F20"/>
                <w:sz w:val="24"/>
              </w:rPr>
              <w:t>介入處理，必要時評估提送轄內結核病診療諮詢小組病例口冊，確認</w:t>
            </w:r>
            <w:r>
              <w:rPr>
                <w:color w:val="231F20"/>
                <w:spacing w:val="4"/>
                <w:sz w:val="24"/>
              </w:rPr>
              <w:t>個案需專業的醫療處置，需轉介至 </w:t>
            </w:r>
            <w:r>
              <w:rPr>
                <w:color w:val="231F20"/>
                <w:sz w:val="24"/>
              </w:rPr>
              <w:t>TMTC</w:t>
            </w:r>
            <w:r>
              <w:rPr>
                <w:color w:val="231F20"/>
                <w:spacing w:val="9"/>
                <w:sz w:val="24"/>
              </w:rPr>
              <w:t> 團隊評估(請參閱第六章</w:t>
            </w:r>
          </w:p>
          <w:p>
            <w:pPr>
              <w:pStyle w:val="TableParagraph"/>
              <w:spacing w:line="409" w:lineRule="exact" w:before="4"/>
              <w:ind w:left="356"/>
              <w:rPr>
                <w:sz w:val="24"/>
              </w:rPr>
            </w:pPr>
            <w:r>
              <w:rPr>
                <w:color w:val="231F20"/>
                <w:w w:val="110"/>
                <w:sz w:val="24"/>
              </w:rPr>
              <w:t>「結核病個案管理」)。</w:t>
            </w:r>
          </w:p>
          <w:p>
            <w:pPr>
              <w:pStyle w:val="TableParagraph"/>
              <w:numPr>
                <w:ilvl w:val="0"/>
                <w:numId w:val="191"/>
              </w:numPr>
              <w:tabs>
                <w:tab w:pos="357" w:val="left" w:leader="none"/>
              </w:tabs>
              <w:spacing w:line="400" w:lineRule="exact" w:before="0" w:after="0"/>
              <w:ind w:left="356" w:right="0" w:hanging="245"/>
              <w:jc w:val="left"/>
              <w:rPr>
                <w:sz w:val="24"/>
              </w:rPr>
            </w:pPr>
            <w:r>
              <w:rPr>
                <w:color w:val="231F20"/>
                <w:sz w:val="24"/>
              </w:rPr>
              <w:t>結核病隔離治療行政處分前評估。</w:t>
            </w:r>
          </w:p>
          <w:p>
            <w:pPr>
              <w:pStyle w:val="TableParagraph"/>
              <w:numPr>
                <w:ilvl w:val="0"/>
                <w:numId w:val="191"/>
              </w:numPr>
              <w:tabs>
                <w:tab w:pos="357" w:val="left" w:leader="none"/>
              </w:tabs>
              <w:spacing w:line="386" w:lineRule="exact" w:before="0" w:after="0"/>
              <w:ind w:left="356" w:right="0" w:hanging="245"/>
              <w:jc w:val="left"/>
              <w:rPr>
                <w:sz w:val="24"/>
              </w:rPr>
            </w:pPr>
            <w:r>
              <w:rPr>
                <w:color w:val="231F20"/>
                <w:sz w:val="24"/>
              </w:rPr>
              <w:t>協調指定隔離治療機構收治病人，安排移送車輛及隨行人員。</w:t>
            </w:r>
          </w:p>
          <w:p>
            <w:pPr>
              <w:pStyle w:val="TableParagraph"/>
              <w:numPr>
                <w:ilvl w:val="0"/>
                <w:numId w:val="191"/>
              </w:numPr>
              <w:tabs>
                <w:tab w:pos="357" w:val="left" w:leader="none"/>
              </w:tabs>
              <w:spacing w:line="386" w:lineRule="exact" w:before="0" w:after="0"/>
              <w:ind w:left="356" w:right="0" w:hanging="245"/>
              <w:jc w:val="left"/>
              <w:rPr>
                <w:sz w:val="24"/>
              </w:rPr>
            </w:pPr>
            <w:r>
              <w:rPr>
                <w:color w:val="231F20"/>
                <w:spacing w:val="3"/>
                <w:sz w:val="24"/>
              </w:rPr>
              <w:t>TB</w:t>
            </w:r>
            <w:r>
              <w:rPr>
                <w:color w:val="231F20"/>
                <w:spacing w:val="4"/>
                <w:sz w:val="24"/>
              </w:rPr>
              <w:t> 系統辦理個案隔離治療行政處分，作成「法定傳染病隔離治療通</w:t>
            </w:r>
          </w:p>
          <w:p>
            <w:pPr>
              <w:pStyle w:val="TableParagraph"/>
              <w:spacing w:line="400" w:lineRule="exact"/>
              <w:ind w:left="356"/>
              <w:rPr>
                <w:sz w:val="24"/>
              </w:rPr>
            </w:pPr>
            <w:r>
              <w:rPr>
                <w:color w:val="231F20"/>
                <w:w w:val="105"/>
                <w:sz w:val="24"/>
              </w:rPr>
              <w:t>知書」(含提審權利告知書)送達本人或其家屬。</w:t>
            </w:r>
          </w:p>
          <w:p>
            <w:pPr>
              <w:pStyle w:val="TableParagraph"/>
              <w:numPr>
                <w:ilvl w:val="0"/>
                <w:numId w:val="191"/>
              </w:numPr>
              <w:tabs>
                <w:tab w:pos="357" w:val="left" w:leader="none"/>
              </w:tabs>
              <w:spacing w:line="230" w:lineRule="auto" w:before="3" w:after="0"/>
              <w:ind w:left="356" w:right="334" w:hanging="244"/>
              <w:jc w:val="left"/>
              <w:rPr>
                <w:sz w:val="24"/>
              </w:rPr>
            </w:pPr>
            <w:r>
              <w:rPr>
                <w:color w:val="231F20"/>
                <w:spacing w:val="-1"/>
                <w:sz w:val="24"/>
              </w:rPr>
              <w:t>執行隔離治療病人移送作業；與社政、警消單位合作，協助處理隔離</w:t>
            </w:r>
            <w:r>
              <w:rPr>
                <w:color w:val="231F20"/>
                <w:sz w:val="24"/>
              </w:rPr>
              <w:t>治療期間發生之問題。</w:t>
            </w:r>
          </w:p>
          <w:p>
            <w:pPr>
              <w:pStyle w:val="TableParagraph"/>
              <w:numPr>
                <w:ilvl w:val="0"/>
                <w:numId w:val="191"/>
              </w:numPr>
              <w:tabs>
                <w:tab w:pos="357" w:val="left" w:leader="none"/>
              </w:tabs>
              <w:spacing w:line="381" w:lineRule="exact" w:before="0" w:after="0"/>
              <w:ind w:left="356" w:right="0" w:hanging="245"/>
              <w:jc w:val="left"/>
              <w:rPr>
                <w:sz w:val="24"/>
              </w:rPr>
            </w:pPr>
            <w:r>
              <w:rPr>
                <w:color w:val="231F20"/>
                <w:sz w:val="24"/>
              </w:rPr>
              <w:t>對於不配合隔離治療處置個案，依法裁罰。</w:t>
            </w:r>
          </w:p>
          <w:p>
            <w:pPr>
              <w:pStyle w:val="TableParagraph"/>
              <w:numPr>
                <w:ilvl w:val="0"/>
                <w:numId w:val="191"/>
              </w:numPr>
              <w:tabs>
                <w:tab w:pos="357" w:val="left" w:leader="none"/>
              </w:tabs>
              <w:spacing w:line="393" w:lineRule="exact" w:before="0" w:after="0"/>
              <w:ind w:left="356" w:right="0" w:hanging="245"/>
              <w:jc w:val="left"/>
              <w:rPr>
                <w:sz w:val="24"/>
              </w:rPr>
            </w:pPr>
            <w:r>
              <w:rPr>
                <w:color w:val="231F20"/>
                <w:spacing w:val="3"/>
                <w:sz w:val="24"/>
              </w:rPr>
              <w:t>辦理隔離治療超過 </w:t>
            </w:r>
            <w:r>
              <w:rPr>
                <w:color w:val="231F20"/>
                <w:sz w:val="24"/>
              </w:rPr>
              <w:t>30</w:t>
            </w:r>
            <w:r>
              <w:rPr>
                <w:color w:val="231F20"/>
                <w:spacing w:val="4"/>
                <w:sz w:val="24"/>
              </w:rPr>
              <w:t> 日者之重新鑑定程序，如需繼續隔離治療，重</w:t>
            </w:r>
          </w:p>
          <w:p>
            <w:pPr>
              <w:pStyle w:val="TableParagraph"/>
              <w:spacing w:line="220" w:lineRule="auto" w:before="20"/>
              <w:ind w:left="356" w:right="331"/>
              <w:rPr>
                <w:sz w:val="24"/>
              </w:rPr>
            </w:pPr>
            <w:r>
              <w:rPr>
                <w:color w:val="231F20"/>
                <w:w w:val="105"/>
                <w:sz w:val="24"/>
              </w:rPr>
              <w:t>新填寫「法定傳染病隔離治療通知書」(含提審權利告知書)送達本人或其家屬。</w:t>
            </w:r>
          </w:p>
          <w:p>
            <w:pPr>
              <w:pStyle w:val="TableParagraph"/>
              <w:numPr>
                <w:ilvl w:val="0"/>
                <w:numId w:val="191"/>
              </w:numPr>
              <w:tabs>
                <w:tab w:pos="357" w:val="left" w:leader="none"/>
              </w:tabs>
              <w:spacing w:line="230" w:lineRule="auto" w:before="6" w:after="0"/>
              <w:ind w:left="356" w:right="334" w:hanging="244"/>
              <w:jc w:val="left"/>
              <w:rPr>
                <w:sz w:val="24"/>
              </w:rPr>
            </w:pPr>
            <w:r>
              <w:rPr>
                <w:color w:val="231F20"/>
                <w:spacing w:val="-1"/>
                <w:sz w:val="24"/>
              </w:rPr>
              <w:t>解除隔離治療處置，作成「法定傳染病解除隔離治療通知書」送達本</w:t>
            </w:r>
            <w:r>
              <w:rPr>
                <w:color w:val="231F20"/>
                <w:sz w:val="24"/>
              </w:rPr>
              <w:t>人或其家屬，並副知隔離治療機構。</w:t>
            </w:r>
          </w:p>
          <w:p>
            <w:pPr>
              <w:pStyle w:val="TableParagraph"/>
              <w:numPr>
                <w:ilvl w:val="0"/>
                <w:numId w:val="191"/>
              </w:numPr>
              <w:tabs>
                <w:tab w:pos="357" w:val="left" w:leader="none"/>
              </w:tabs>
              <w:spacing w:line="395" w:lineRule="exact" w:before="0" w:after="0"/>
              <w:ind w:left="356" w:right="0" w:hanging="245"/>
              <w:jc w:val="left"/>
              <w:rPr>
                <w:sz w:val="24"/>
              </w:rPr>
            </w:pPr>
            <w:r>
              <w:rPr>
                <w:color w:val="231F20"/>
                <w:sz w:val="24"/>
              </w:rPr>
              <w:t>編列隔離治療移送相關經費之預算。</w:t>
            </w:r>
          </w:p>
          <w:p>
            <w:pPr>
              <w:pStyle w:val="TableParagraph"/>
              <w:numPr>
                <w:ilvl w:val="0"/>
                <w:numId w:val="191"/>
              </w:numPr>
              <w:tabs>
                <w:tab w:pos="357" w:val="left" w:leader="none"/>
              </w:tabs>
              <w:spacing w:line="409" w:lineRule="exact" w:before="0" w:after="0"/>
              <w:ind w:left="356" w:right="0" w:hanging="245"/>
              <w:jc w:val="left"/>
              <w:rPr>
                <w:sz w:val="24"/>
              </w:rPr>
            </w:pPr>
            <w:r>
              <w:rPr>
                <w:color w:val="231F20"/>
                <w:sz w:val="24"/>
              </w:rPr>
              <w:t>每年提報外單位協助隔離治療有功人員名單予疾管署各區管制中心。</w:t>
            </w:r>
          </w:p>
        </w:tc>
      </w:tr>
      <w:tr>
        <w:trPr>
          <w:trHeight w:val="2050" w:hRule="atLeast"/>
        </w:trPr>
        <w:tc>
          <w:tcPr>
            <w:tcW w:w="1679" w:type="dxa"/>
          </w:tcPr>
          <w:p>
            <w:pPr>
              <w:pStyle w:val="TableParagraph"/>
              <w:spacing w:before="11"/>
              <w:rPr>
                <w:rFonts w:ascii="微軟正黑體"/>
                <w:b/>
                <w:sz w:val="34"/>
              </w:rPr>
            </w:pPr>
          </w:p>
          <w:p>
            <w:pPr>
              <w:pStyle w:val="TableParagraph"/>
              <w:spacing w:line="230" w:lineRule="auto"/>
              <w:ind w:left="119" w:right="103" w:firstLine="279"/>
              <w:rPr>
                <w:sz w:val="24"/>
              </w:rPr>
            </w:pPr>
            <w:r>
              <w:rPr>
                <w:color w:val="231F20"/>
                <w:sz w:val="24"/>
              </w:rPr>
              <w:t>疾 管 署 </w:t>
            </w:r>
            <w:r>
              <w:rPr>
                <w:color w:val="231F20"/>
                <w:w w:val="70"/>
                <w:sz w:val="24"/>
              </w:rPr>
              <w:t>／ </w:t>
            </w:r>
            <w:r>
              <w:rPr>
                <w:color w:val="231F20"/>
                <w:sz w:val="24"/>
              </w:rPr>
              <w:t>各區管制中心</w:t>
            </w:r>
          </w:p>
        </w:tc>
        <w:tc>
          <w:tcPr>
            <w:tcW w:w="7941" w:type="dxa"/>
          </w:tcPr>
          <w:p>
            <w:pPr>
              <w:pStyle w:val="TableParagraph"/>
              <w:numPr>
                <w:ilvl w:val="0"/>
                <w:numId w:val="192"/>
              </w:numPr>
              <w:tabs>
                <w:tab w:pos="357" w:val="left" w:leader="none"/>
              </w:tabs>
              <w:spacing w:line="230" w:lineRule="auto" w:before="36" w:after="0"/>
              <w:ind w:left="356" w:right="92" w:hanging="244"/>
              <w:jc w:val="left"/>
              <w:rPr>
                <w:sz w:val="24"/>
              </w:rPr>
            </w:pPr>
            <w:r>
              <w:rPr>
                <w:color w:val="231F20"/>
                <w:spacing w:val="2"/>
                <w:sz w:val="24"/>
              </w:rPr>
              <w:t>督導地方衛生局辦理隔離治療相關行政作業及 </w:t>
            </w:r>
            <w:r>
              <w:rPr>
                <w:color w:val="231F20"/>
                <w:sz w:val="24"/>
              </w:rPr>
              <w:t>TB</w:t>
            </w:r>
            <w:r>
              <w:rPr>
                <w:color w:val="231F20"/>
                <w:spacing w:val="-3"/>
                <w:sz w:val="24"/>
              </w:rPr>
              <w:t> 系統資料維護之完整</w:t>
            </w:r>
            <w:r>
              <w:rPr>
                <w:color w:val="231F20"/>
                <w:sz w:val="24"/>
              </w:rPr>
              <w:t>及正確性，必要時提供協助。</w:t>
            </w:r>
          </w:p>
          <w:p>
            <w:pPr>
              <w:pStyle w:val="TableParagraph"/>
              <w:numPr>
                <w:ilvl w:val="0"/>
                <w:numId w:val="192"/>
              </w:numPr>
              <w:tabs>
                <w:tab w:pos="357" w:val="left" w:leader="none"/>
              </w:tabs>
              <w:spacing w:line="395" w:lineRule="exact" w:before="0" w:after="0"/>
              <w:ind w:left="356" w:right="0" w:hanging="245"/>
              <w:jc w:val="left"/>
              <w:rPr>
                <w:sz w:val="24"/>
              </w:rPr>
            </w:pPr>
            <w:r>
              <w:rPr>
                <w:color w:val="231F20"/>
                <w:sz w:val="24"/>
              </w:rPr>
              <w:t>協助處理所轄及跨轄隔離治療個案，其隔離治療期間發生之問題。</w:t>
            </w:r>
          </w:p>
          <w:p>
            <w:pPr>
              <w:pStyle w:val="TableParagraph"/>
              <w:numPr>
                <w:ilvl w:val="0"/>
                <w:numId w:val="192"/>
              </w:numPr>
              <w:tabs>
                <w:tab w:pos="357" w:val="left" w:leader="none"/>
              </w:tabs>
              <w:spacing w:line="400" w:lineRule="exact" w:before="0" w:after="0"/>
              <w:ind w:left="356" w:right="0" w:hanging="245"/>
              <w:jc w:val="left"/>
              <w:rPr>
                <w:sz w:val="24"/>
              </w:rPr>
            </w:pPr>
            <w:r>
              <w:rPr>
                <w:color w:val="231F20"/>
                <w:sz w:val="24"/>
              </w:rPr>
              <w:t>掌摳所轄隔離治療病人狀況，以確保隔離治療處分受到監督。</w:t>
            </w:r>
          </w:p>
          <w:p>
            <w:pPr>
              <w:pStyle w:val="TableParagraph"/>
              <w:numPr>
                <w:ilvl w:val="0"/>
                <w:numId w:val="192"/>
              </w:numPr>
              <w:tabs>
                <w:tab w:pos="357" w:val="left" w:leader="none"/>
              </w:tabs>
              <w:spacing w:line="398" w:lineRule="exact" w:before="0" w:after="0"/>
              <w:ind w:left="356" w:right="0" w:hanging="245"/>
              <w:jc w:val="left"/>
              <w:rPr>
                <w:sz w:val="24"/>
              </w:rPr>
            </w:pPr>
            <w:r>
              <w:rPr>
                <w:color w:val="231F20"/>
                <w:sz w:val="24"/>
              </w:rPr>
              <w:t>每年彙整衛生局提報之外單位協助隔離治療有功人員名單予慢性組。</w:t>
            </w:r>
          </w:p>
        </w:tc>
      </w:tr>
      <w:tr>
        <w:trPr>
          <w:trHeight w:val="1251" w:hRule="atLeast"/>
        </w:trPr>
        <w:tc>
          <w:tcPr>
            <w:tcW w:w="1679" w:type="dxa"/>
          </w:tcPr>
          <w:p>
            <w:pPr>
              <w:pStyle w:val="TableParagraph"/>
              <w:spacing w:line="230" w:lineRule="auto" w:before="236"/>
              <w:ind w:left="479" w:right="326" w:hanging="80"/>
              <w:rPr>
                <w:sz w:val="24"/>
              </w:rPr>
            </w:pPr>
            <w:r>
              <w:rPr>
                <w:color w:val="231F20"/>
                <w:w w:val="95"/>
                <w:sz w:val="24"/>
              </w:rPr>
              <w:t>疾管署 </w:t>
            </w:r>
            <w:r>
              <w:rPr>
                <w:color w:val="231F20"/>
                <w:w w:val="70"/>
                <w:sz w:val="24"/>
              </w:rPr>
              <w:t>／ </w:t>
            </w:r>
            <w:r>
              <w:rPr>
                <w:color w:val="231F20"/>
                <w:sz w:val="24"/>
              </w:rPr>
              <w:t>慢性組</w:t>
            </w:r>
          </w:p>
        </w:tc>
        <w:tc>
          <w:tcPr>
            <w:tcW w:w="7941" w:type="dxa"/>
          </w:tcPr>
          <w:p>
            <w:pPr>
              <w:pStyle w:val="TableParagraph"/>
              <w:numPr>
                <w:ilvl w:val="0"/>
                <w:numId w:val="193"/>
              </w:numPr>
              <w:tabs>
                <w:tab w:pos="357" w:val="left" w:leader="none"/>
              </w:tabs>
              <w:spacing w:line="409" w:lineRule="exact" w:before="25" w:after="0"/>
              <w:ind w:left="356" w:right="0" w:hanging="245"/>
              <w:jc w:val="left"/>
              <w:rPr>
                <w:sz w:val="24"/>
              </w:rPr>
            </w:pPr>
            <w:r>
              <w:rPr>
                <w:color w:val="231F20"/>
                <w:sz w:val="24"/>
              </w:rPr>
              <w:t>制定隔離治療相關政策。</w:t>
            </w:r>
          </w:p>
          <w:p>
            <w:pPr>
              <w:pStyle w:val="TableParagraph"/>
              <w:numPr>
                <w:ilvl w:val="0"/>
                <w:numId w:val="193"/>
              </w:numPr>
              <w:tabs>
                <w:tab w:pos="357" w:val="left" w:leader="none"/>
              </w:tabs>
              <w:spacing w:line="400" w:lineRule="exact" w:before="0" w:after="0"/>
              <w:ind w:left="356" w:right="0" w:hanging="245"/>
              <w:jc w:val="left"/>
              <w:rPr>
                <w:sz w:val="24"/>
              </w:rPr>
            </w:pPr>
            <w:r>
              <w:rPr>
                <w:color w:val="231F20"/>
                <w:sz w:val="24"/>
              </w:rPr>
              <w:t>編列及支應結核病病人經衛生局施行隔離治療者之醫療費用。</w:t>
            </w:r>
          </w:p>
          <w:p>
            <w:pPr>
              <w:pStyle w:val="TableParagraph"/>
              <w:numPr>
                <w:ilvl w:val="0"/>
                <w:numId w:val="193"/>
              </w:numPr>
              <w:tabs>
                <w:tab w:pos="357" w:val="left" w:leader="none"/>
              </w:tabs>
              <w:spacing w:line="398" w:lineRule="exact" w:before="0" w:after="0"/>
              <w:ind w:left="356" w:right="0" w:hanging="245"/>
              <w:jc w:val="left"/>
              <w:rPr>
                <w:sz w:val="24"/>
              </w:rPr>
            </w:pPr>
            <w:r>
              <w:rPr>
                <w:color w:val="231F20"/>
                <w:sz w:val="24"/>
              </w:rPr>
              <w:t>每年函請相關單位辦理協助隔離治療有功人員敘獎作業。</w:t>
            </w:r>
          </w:p>
        </w:tc>
      </w:tr>
    </w:tbl>
    <w:p>
      <w:pPr>
        <w:rPr>
          <w:sz w:val="2"/>
          <w:szCs w:val="2"/>
        </w:rPr>
      </w:pPr>
      <w:r>
        <w:rPr/>
        <w:pict>
          <v:group style="position:absolute;margin-left:-.000001pt;margin-top:259.160004pt;width:37.35pt;height:582.550pt;mso-position-horizontal-relative:page;mso-position-vertical-relative:page;z-index:251836416" coordorigin="0,5183" coordsize="747,11651">
            <v:shape style="position:absolute;left:178;top:5694;width:438;height:11140" type="#_x0000_t75" stroked="false">
              <v:imagedata r:id="rId99" o:title=""/>
            </v:shape>
            <v:shape style="position:absolute;left:0;top:5183;width:747;height:812" coordorigin="0,5183" coordsize="747,812" path="m365,5183l0,5183,0,5995,365,5995,387,5992,447,5958,713,5676,747,5589,738,5542,447,5219,387,5185,365,5183xe" filled="true" fillcolor="#f8971d" stroked="false">
              <v:path arrowok="t"/>
              <v:fill type="solid"/>
            </v:shape>
            <v:shape style="position:absolute;left:202;top:5450;width:389;height:278" type="#_x0000_t75" stroked="false">
              <v:imagedata r:id="rId100" o:title=""/>
            </v:shape>
            <v:shape style="position:absolute;left:274;top:6139;width:250;height:1245" type="#_x0000_t75" stroked="false">
              <v:imagedata r:id="rId101" o:title=""/>
            </v:shape>
            <v:shape style="position:absolute;left:311;top:16271;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98</w:t>
                    </w:r>
                  </w:p>
                </w:txbxContent>
              </v:textbox>
              <w10:wrap type="none"/>
            </v:shape>
            <w10:wrap type="none"/>
          </v:group>
        </w:pict>
      </w:r>
    </w:p>
    <w:p>
      <w:pPr>
        <w:spacing w:after="0"/>
        <w:rPr>
          <w:sz w:val="2"/>
          <w:szCs w:val="2"/>
        </w:rPr>
        <w:sectPr>
          <w:pgSz w:w="11910" w:h="16840"/>
          <w:pgMar w:top="1200" w:bottom="0" w:left="980" w:right="0"/>
        </w:sectPr>
      </w:pPr>
    </w:p>
    <w:p>
      <w:pPr>
        <w:pStyle w:val="Heading1"/>
        <w:ind w:left="2691"/>
      </w:pPr>
      <w:bookmarkStart w:name="_TOC_250000" w:id="6"/>
      <w:bookmarkEnd w:id="6"/>
      <w:r>
        <w:rPr>
          <w:color w:val="231F20"/>
        </w:rPr>
        <w:t>第十章 抗藥性結核病照護與管理</w:t>
      </w:r>
    </w:p>
    <w:p>
      <w:pPr>
        <w:spacing w:line="436" w:lineRule="exact" w:before="284"/>
        <w:ind w:left="153" w:right="0" w:firstLine="0"/>
        <w:jc w:val="left"/>
        <w:rPr>
          <w:rFonts w:ascii="微軟正黑體" w:eastAsia="微軟正黑體" w:hint="eastAsia"/>
          <w:b/>
          <w:sz w:val="24"/>
        </w:rPr>
      </w:pPr>
      <w:r>
        <w:rPr>
          <w:rFonts w:ascii="微軟正黑體" w:eastAsia="微軟正黑體" w:hint="eastAsia"/>
          <w:b/>
          <w:color w:val="231F20"/>
          <w:sz w:val="24"/>
        </w:rPr>
        <w:t>壹、目的</w:t>
      </w:r>
    </w:p>
    <w:p>
      <w:pPr>
        <w:pStyle w:val="BodyText"/>
        <w:spacing w:line="404" w:lineRule="exact"/>
        <w:ind w:left="391"/>
      </w:pPr>
      <w:r>
        <w:rPr>
          <w:color w:val="231F20"/>
        </w:rPr>
        <w:t>—、瞭解抗藥性結核病之監測、檢驗及通報流程。</w:t>
      </w:r>
    </w:p>
    <w:p>
      <w:pPr>
        <w:pStyle w:val="BodyText"/>
        <w:spacing w:line="230" w:lineRule="auto" w:before="2"/>
        <w:ind w:left="878" w:right="1134" w:hanging="488"/>
      </w:pPr>
      <w:r>
        <w:rPr>
          <w:color w:val="231F20"/>
        </w:rPr>
        <w:t>二、結合抗藥性結核病之公共衛生管理、檢驗及臨床醫療照護相輔相成，以提供抗藥性結核病病人持續、完整、以病人為中心的照護與管理。</w:t>
      </w:r>
    </w:p>
    <w:p>
      <w:pPr>
        <w:pStyle w:val="BodyText"/>
        <w:spacing w:before="3"/>
        <w:rPr>
          <w:sz w:val="20"/>
        </w:rPr>
      </w:pPr>
    </w:p>
    <w:p>
      <w:pPr>
        <w:pStyle w:val="Heading2"/>
      </w:pPr>
      <w:r>
        <w:rPr>
          <w:color w:val="231F20"/>
        </w:rPr>
        <w:t>貳、法源依據</w:t>
      </w:r>
    </w:p>
    <w:p>
      <w:pPr>
        <w:pStyle w:val="BodyText"/>
        <w:spacing w:line="413" w:lineRule="exact"/>
        <w:ind w:left="635"/>
        <w:jc w:val="both"/>
      </w:pPr>
      <w:r>
        <w:rPr>
          <w:color w:val="231F20"/>
          <w:w w:val="105"/>
        </w:rPr>
        <w:t>傳染病防治法第 7 條、第 26 條、第 39 條、第 43-46 條及第 48 條。</w:t>
      </w:r>
    </w:p>
    <w:p>
      <w:pPr>
        <w:pStyle w:val="BodyText"/>
        <w:spacing w:before="17"/>
        <w:rPr>
          <w:sz w:val="19"/>
        </w:rPr>
      </w:pPr>
    </w:p>
    <w:p>
      <w:pPr>
        <w:pStyle w:val="Heading2"/>
      </w:pPr>
      <w:r>
        <w:rPr>
          <w:color w:val="231F20"/>
        </w:rPr>
        <w:t>參、抗藥性結核病簡介</w:t>
      </w:r>
    </w:p>
    <w:p>
      <w:pPr>
        <w:pStyle w:val="BodyText"/>
        <w:spacing w:line="230" w:lineRule="auto" w:before="6"/>
        <w:ind w:left="635" w:right="1125"/>
        <w:jc w:val="both"/>
      </w:pPr>
      <w:r>
        <w:rPr/>
        <w:pict>
          <v:group style="position:absolute;margin-left:557.684509pt;margin-top:8.461852pt;width:37.35pt;height:555.550pt;mso-position-horizontal-relative:page;mso-position-vertical-relative:paragraph;z-index:251838464" coordorigin="11154,169" coordsize="747,11111">
            <v:shape style="position:absolute;left:11283;top:680;width:439;height:10600" type="#_x0000_t75" stroked="false">
              <v:imagedata r:id="rId102" o:title=""/>
            </v:shape>
            <v:shape style="position:absolute;left:11153;top:169;width:747;height:812" coordorigin="11154,169" coordsize="747,812" path="m11900,169l11536,169,11514,171,11454,205,11188,488,11154,575,11162,621,11454,944,11514,978,11536,981,11900,981,11900,169xe" filled="true" fillcolor="#bd7cb5" stroked="false">
              <v:path arrowok="t"/>
              <v:fill type="solid"/>
            </v:shape>
            <v:shape style="position:absolute;left:11321;top:436;width:374;height:278" type="#_x0000_t75" stroked="false">
              <v:imagedata r:id="rId103" o:title=""/>
            </v:shape>
            <v:shape style="position:absolute;left:11378;top:1116;width:250;height:3599" type="#_x0000_t75" stroked="false">
              <v:imagedata r:id="rId104" o:title=""/>
            </v:shape>
            <v:shape style="position:absolute;left:11412;top:10717;width:198;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99</w:t>
                    </w:r>
                  </w:p>
                </w:txbxContent>
              </v:textbox>
              <w10:wrap type="none"/>
            </v:shape>
            <w10:wrap type="none"/>
          </v:group>
        </w:pict>
      </w:r>
      <w:r>
        <w:rPr>
          <w:color w:val="231F20"/>
        </w:rPr>
        <w:t>抗藥性結核病</w:t>
      </w:r>
      <w:r>
        <w:rPr>
          <w:color w:val="231F20"/>
          <w:w w:val="300"/>
        </w:rPr>
        <w:t>(</w:t>
      </w:r>
      <w:r>
        <w:rPr>
          <w:color w:val="231F20"/>
          <w:w w:val="104"/>
        </w:rPr>
        <w:t>D</w:t>
      </w:r>
      <w:r>
        <w:rPr>
          <w:color w:val="231F20"/>
          <w:w w:val="111"/>
        </w:rPr>
        <w:t>r</w:t>
      </w:r>
      <w:r>
        <w:rPr>
          <w:color w:val="231F20"/>
          <w:w w:val="109"/>
        </w:rPr>
        <w:t>u</w:t>
      </w:r>
      <w:r>
        <w:rPr>
          <w:color w:val="231F20"/>
          <w:w w:val="113"/>
        </w:rPr>
        <w:t>g</w:t>
      </w:r>
      <w:r>
        <w:rPr>
          <w:color w:val="231F20"/>
          <w:w w:val="129"/>
        </w:rPr>
        <w:t>-</w:t>
      </w:r>
      <w:r>
        <w:rPr>
          <w:color w:val="231F20"/>
          <w:w w:val="111"/>
        </w:rPr>
        <w:t>r</w:t>
      </w:r>
      <w:r>
        <w:rPr>
          <w:color w:val="231F20"/>
          <w:w w:val="101"/>
        </w:rPr>
        <w:t>e</w:t>
      </w:r>
      <w:r>
        <w:rPr>
          <w:color w:val="231F20"/>
          <w:w w:val="91"/>
        </w:rPr>
        <w:t>s</w:t>
      </w:r>
      <w:r>
        <w:rPr>
          <w:color w:val="231F20"/>
          <w:w w:val="116"/>
        </w:rPr>
        <w:t>i</w:t>
      </w:r>
      <w:r>
        <w:rPr>
          <w:color w:val="231F20"/>
          <w:w w:val="91"/>
        </w:rPr>
        <w:t>s</w:t>
      </w:r>
      <w:r>
        <w:rPr>
          <w:color w:val="231F20"/>
          <w:w w:val="130"/>
        </w:rPr>
        <w:t>t</w:t>
      </w:r>
      <w:r>
        <w:rPr>
          <w:color w:val="231F20"/>
          <w:w w:val="98"/>
        </w:rPr>
        <w:t>a</w:t>
      </w:r>
      <w:r>
        <w:rPr>
          <w:color w:val="231F20"/>
          <w:w w:val="109"/>
        </w:rPr>
        <w:t>n</w:t>
      </w:r>
      <w:r>
        <w:rPr>
          <w:color w:val="231F20"/>
          <w:w w:val="130"/>
        </w:rPr>
        <w:t>t</w:t>
      </w:r>
      <w:r>
        <w:rPr>
          <w:color w:val="231F20"/>
        </w:rPr>
        <w:t> </w:t>
      </w:r>
      <w:r>
        <w:rPr>
          <w:color w:val="231F20"/>
          <w:w w:val="91"/>
        </w:rPr>
        <w:t>T</w:t>
      </w:r>
      <w:r>
        <w:rPr>
          <w:color w:val="231F20"/>
          <w:w w:val="92"/>
        </w:rPr>
        <w:t>B</w:t>
      </w:r>
      <w:r>
        <w:rPr>
          <w:color w:val="231F20"/>
        </w:rPr>
        <w:t>，</w:t>
      </w:r>
      <w:r>
        <w:rPr>
          <w:color w:val="231F20"/>
          <w:w w:val="104"/>
        </w:rPr>
        <w:t>D</w:t>
      </w:r>
      <w:r>
        <w:rPr>
          <w:color w:val="231F20"/>
          <w:w w:val="88"/>
        </w:rPr>
        <w:t>R</w:t>
      </w:r>
      <w:r>
        <w:rPr>
          <w:color w:val="231F20"/>
          <w:w w:val="129"/>
        </w:rPr>
        <w:t>-</w:t>
      </w:r>
      <w:r>
        <w:rPr>
          <w:color w:val="231F20"/>
          <w:w w:val="91"/>
        </w:rPr>
        <w:t>T</w:t>
      </w:r>
      <w:r>
        <w:rPr>
          <w:color w:val="231F20"/>
          <w:w w:val="92"/>
        </w:rPr>
        <w:t>B</w:t>
      </w:r>
      <w:r>
        <w:rPr>
          <w:color w:val="231F20"/>
          <w:w w:val="300"/>
        </w:rPr>
        <w:t>)</w:t>
      </w:r>
      <w:r>
        <w:rPr>
          <w:color w:val="231F20"/>
        </w:rPr>
        <w:t>與結核病相同，是由結核蔥群所引起的疾病，但 DR-TB 是因為結核蔥群突變等因素產生抗藥性，變成抗藥性結核病。絕大多數的結核病病人在合併多種藥物且按規服藥下都可以治癒，但少數病人因為不當的結核病治療過程(如不規律服藥或不適當的處方)，可能產生具抗藥性的結核蔥群，我們稱之為「過去曾經接受治療 </w:t>
      </w:r>
      <w:r>
        <w:rPr>
          <w:color w:val="231F20"/>
          <w:w w:val="32"/>
        </w:rPr>
        <w:t>（</w:t>
      </w:r>
      <w:r>
        <w:rPr>
          <w:color w:val="231F20"/>
          <w:w w:val="98"/>
        </w:rPr>
        <w:t>a</w:t>
      </w:r>
      <w:r>
        <w:rPr>
          <w:color w:val="231F20"/>
          <w:w w:val="99"/>
        </w:rPr>
        <w:t>c</w:t>
      </w:r>
      <w:r>
        <w:rPr>
          <w:color w:val="231F20"/>
          <w:w w:val="113"/>
        </w:rPr>
        <w:t>q</w:t>
      </w:r>
      <w:r>
        <w:rPr>
          <w:color w:val="231F20"/>
          <w:w w:val="109"/>
        </w:rPr>
        <w:t>u</w:t>
      </w:r>
      <w:r>
        <w:rPr>
          <w:color w:val="231F20"/>
          <w:w w:val="116"/>
        </w:rPr>
        <w:t>i</w:t>
      </w:r>
      <w:r>
        <w:rPr>
          <w:color w:val="231F20"/>
          <w:w w:val="111"/>
        </w:rPr>
        <w:t>r</w:t>
      </w:r>
      <w:r>
        <w:rPr>
          <w:color w:val="231F20"/>
          <w:w w:val="101"/>
        </w:rPr>
        <w:t>e</w:t>
      </w:r>
      <w:r>
        <w:rPr>
          <w:color w:val="231F20"/>
          <w:w w:val="113"/>
        </w:rPr>
        <w:t>d</w:t>
      </w:r>
      <w:r>
        <w:rPr>
          <w:color w:val="231F20"/>
          <w:w w:val="96"/>
        </w:rPr>
        <w:t>)</w:t>
      </w:r>
      <w:r>
        <w:rPr>
          <w:color w:val="231F20"/>
        </w:rPr>
        <w:t> 」的抗藥性結核病病人。另有部分的抗藥性結核病病人，從來沒有接受過結核病藥物的治療，感染到具抗藥性的結核蔥群，我們稱之為</w:t>
      </w:r>
    </w:p>
    <w:p>
      <w:pPr>
        <w:pStyle w:val="BodyText"/>
        <w:spacing w:line="230" w:lineRule="auto"/>
        <w:ind w:left="635" w:right="1135"/>
        <w:jc w:val="both"/>
      </w:pPr>
      <w:r>
        <w:rPr>
          <w:color w:val="231F20"/>
        </w:rPr>
        <w:t>「新診斷 </w:t>
      </w:r>
      <w:r>
        <w:rPr>
          <w:color w:val="231F20"/>
          <w:w w:val="32"/>
        </w:rPr>
        <w:t>（</w:t>
      </w:r>
      <w:r>
        <w:rPr>
          <w:color w:val="231F20"/>
          <w:w w:val="113"/>
        </w:rPr>
        <w:t>p</w:t>
      </w:r>
      <w:r>
        <w:rPr>
          <w:color w:val="231F20"/>
          <w:w w:val="111"/>
        </w:rPr>
        <w:t>r</w:t>
      </w:r>
      <w:r>
        <w:rPr>
          <w:color w:val="231F20"/>
          <w:w w:val="116"/>
        </w:rPr>
        <w:t>i</w:t>
      </w:r>
      <w:r>
        <w:rPr>
          <w:color w:val="231F20"/>
          <w:w w:val="111"/>
        </w:rPr>
        <w:t>m</w:t>
      </w:r>
      <w:r>
        <w:rPr>
          <w:color w:val="231F20"/>
          <w:w w:val="98"/>
        </w:rPr>
        <w:t>a</w:t>
      </w:r>
      <w:r>
        <w:rPr>
          <w:color w:val="231F20"/>
          <w:w w:val="111"/>
        </w:rPr>
        <w:t>r</w:t>
      </w:r>
      <w:r>
        <w:rPr>
          <w:color w:val="231F20"/>
          <w:w w:val="103"/>
        </w:rPr>
        <w:t>y</w:t>
      </w:r>
      <w:r>
        <w:rPr>
          <w:color w:val="231F20"/>
          <w:w w:val="96"/>
        </w:rPr>
        <w:t>)</w:t>
      </w:r>
      <w:r>
        <w:rPr>
          <w:color w:val="231F20"/>
        </w:rPr>
        <w:t> 」抗藥性結核病病人。在臺灣，因為落實都治計畫，減少了過去曾經接受治療的抗藥性結核病病人的產生，目前抗藥性結核病病人以「新診斷」的占比較高。</w:t>
      </w:r>
    </w:p>
    <w:p>
      <w:pPr>
        <w:pStyle w:val="BodyText"/>
        <w:spacing w:line="230" w:lineRule="auto"/>
        <w:ind w:left="635" w:right="1135"/>
        <w:jc w:val="both"/>
      </w:pPr>
      <w:r>
        <w:rPr>
          <w:color w:val="231F20"/>
          <w:w w:val="104"/>
        </w:rPr>
        <w:t>2021</w:t>
      </w:r>
      <w:r>
        <w:rPr>
          <w:color w:val="231F20"/>
        </w:rPr>
        <w:t> 年世界衛生組織 </w:t>
      </w:r>
      <w:r>
        <w:rPr>
          <w:color w:val="231F20"/>
          <w:w w:val="32"/>
        </w:rPr>
        <w:t>（</w:t>
      </w:r>
      <w:r>
        <w:rPr>
          <w:color w:val="231F20"/>
          <w:w w:val="106"/>
        </w:rPr>
        <w:t>W</w:t>
      </w:r>
      <w:r>
        <w:rPr>
          <w:color w:val="231F20"/>
          <w:w w:val="105"/>
        </w:rPr>
        <w:t>H</w:t>
      </w:r>
      <w:r>
        <w:rPr>
          <w:color w:val="231F20"/>
          <w:w w:val="104"/>
        </w:rPr>
        <w:t>O</w:t>
      </w:r>
      <w:r>
        <w:rPr>
          <w:color w:val="231F20"/>
          <w:w w:val="96"/>
        </w:rPr>
        <w:t>)</w:t>
      </w:r>
      <w:r>
        <w:rPr>
          <w:color w:val="231F20"/>
        </w:rPr>
        <w:t> 針對前驅廣泛抗藥性結核病</w:t>
      </w:r>
      <w:r>
        <w:rPr>
          <w:color w:val="231F20"/>
          <w:w w:val="300"/>
        </w:rPr>
        <w:t>(</w:t>
      </w:r>
      <w:r>
        <w:rPr>
          <w:color w:val="231F20"/>
          <w:w w:val="90"/>
        </w:rPr>
        <w:t>P</w:t>
      </w:r>
      <w:r>
        <w:rPr>
          <w:color w:val="231F20"/>
          <w:w w:val="111"/>
        </w:rPr>
        <w:t>r</w:t>
      </w:r>
      <w:r>
        <w:rPr>
          <w:color w:val="231F20"/>
          <w:w w:val="101"/>
        </w:rPr>
        <w:t>e</w:t>
      </w:r>
      <w:r>
        <w:rPr>
          <w:color w:val="231F20"/>
          <w:w w:val="129"/>
        </w:rPr>
        <w:t>-</w:t>
      </w:r>
      <w:r>
        <w:rPr>
          <w:color w:val="231F20"/>
          <w:w w:val="101"/>
        </w:rPr>
        <w:t>e</w:t>
      </w:r>
      <w:r>
        <w:rPr>
          <w:color w:val="231F20"/>
          <w:w w:val="97"/>
        </w:rPr>
        <w:t>x</w:t>
      </w:r>
      <w:r>
        <w:rPr>
          <w:color w:val="231F20"/>
          <w:w w:val="130"/>
        </w:rPr>
        <w:t>t</w:t>
      </w:r>
      <w:r>
        <w:rPr>
          <w:color w:val="231F20"/>
          <w:w w:val="101"/>
        </w:rPr>
        <w:t>e</w:t>
      </w:r>
      <w:r>
        <w:rPr>
          <w:color w:val="231F20"/>
          <w:w w:val="109"/>
        </w:rPr>
        <w:t>n</w:t>
      </w:r>
      <w:r>
        <w:rPr>
          <w:color w:val="231F20"/>
          <w:w w:val="91"/>
        </w:rPr>
        <w:t>s</w:t>
      </w:r>
      <w:r>
        <w:rPr>
          <w:color w:val="231F20"/>
          <w:w w:val="116"/>
        </w:rPr>
        <w:t>i</w:t>
      </w:r>
      <w:r>
        <w:rPr>
          <w:color w:val="231F20"/>
          <w:w w:val="102"/>
        </w:rPr>
        <w:t>v</w:t>
      </w:r>
      <w:r>
        <w:rPr>
          <w:color w:val="231F20"/>
          <w:w w:val="101"/>
        </w:rPr>
        <w:t>e</w:t>
      </w:r>
      <w:r>
        <w:rPr>
          <w:color w:val="231F20"/>
          <w:w w:val="116"/>
        </w:rPr>
        <w:t>l</w:t>
      </w:r>
      <w:r>
        <w:rPr>
          <w:color w:val="231F20"/>
          <w:w w:val="103"/>
        </w:rPr>
        <w:t>y</w:t>
      </w:r>
      <w:r>
        <w:rPr>
          <w:color w:val="231F20"/>
        </w:rPr>
        <w:t> </w:t>
      </w:r>
      <w:r>
        <w:rPr>
          <w:color w:val="231F20"/>
          <w:w w:val="113"/>
        </w:rPr>
        <w:t>d</w:t>
      </w:r>
      <w:r>
        <w:rPr>
          <w:color w:val="231F20"/>
          <w:w w:val="111"/>
        </w:rPr>
        <w:t>r</w:t>
      </w:r>
      <w:r>
        <w:rPr>
          <w:color w:val="231F20"/>
          <w:w w:val="109"/>
        </w:rPr>
        <w:t>u</w:t>
      </w:r>
      <w:r>
        <w:rPr>
          <w:color w:val="231F20"/>
          <w:w w:val="113"/>
        </w:rPr>
        <w:t>g</w:t>
      </w:r>
      <w:r>
        <w:rPr>
          <w:color w:val="231F20"/>
          <w:w w:val="129"/>
        </w:rPr>
        <w:t>- </w:t>
      </w:r>
      <w:r>
        <w:rPr>
          <w:color w:val="231F20"/>
          <w:w w:val="111"/>
        </w:rPr>
        <w:t>r</w:t>
      </w:r>
      <w:r>
        <w:rPr>
          <w:color w:val="231F20"/>
          <w:w w:val="101"/>
        </w:rPr>
        <w:t>e</w:t>
      </w:r>
      <w:r>
        <w:rPr>
          <w:color w:val="231F20"/>
          <w:w w:val="91"/>
        </w:rPr>
        <w:t>s</w:t>
      </w:r>
      <w:r>
        <w:rPr>
          <w:color w:val="231F20"/>
          <w:w w:val="116"/>
        </w:rPr>
        <w:t>i</w:t>
      </w:r>
      <w:r>
        <w:rPr>
          <w:color w:val="231F20"/>
          <w:w w:val="91"/>
        </w:rPr>
        <w:t>s</w:t>
      </w:r>
      <w:r>
        <w:rPr>
          <w:color w:val="231F20"/>
          <w:w w:val="130"/>
        </w:rPr>
        <w:t>t</w:t>
      </w:r>
      <w:r>
        <w:rPr>
          <w:color w:val="231F20"/>
          <w:w w:val="98"/>
        </w:rPr>
        <w:t>a</w:t>
      </w:r>
      <w:r>
        <w:rPr>
          <w:color w:val="231F20"/>
          <w:w w:val="109"/>
        </w:rPr>
        <w:t>n</w:t>
      </w:r>
      <w:r>
        <w:rPr>
          <w:color w:val="231F20"/>
          <w:w w:val="130"/>
        </w:rPr>
        <w:t>t</w:t>
      </w:r>
      <w:r>
        <w:rPr>
          <w:color w:val="231F20"/>
        </w:rPr>
        <w:t> </w:t>
      </w:r>
      <w:r>
        <w:rPr>
          <w:color w:val="231F20"/>
          <w:w w:val="91"/>
        </w:rPr>
        <w:t>T</w:t>
      </w:r>
      <w:r>
        <w:rPr>
          <w:color w:val="231F20"/>
          <w:w w:val="92"/>
        </w:rPr>
        <w:t>B</w:t>
      </w:r>
      <w:r>
        <w:rPr>
          <w:color w:val="231F20"/>
        </w:rPr>
        <w:t>，</w:t>
      </w:r>
      <w:r>
        <w:rPr>
          <w:color w:val="231F20"/>
          <w:w w:val="90"/>
        </w:rPr>
        <w:t>P</w:t>
      </w:r>
      <w:r>
        <w:rPr>
          <w:color w:val="231F20"/>
          <w:w w:val="111"/>
        </w:rPr>
        <w:t>r</w:t>
      </w:r>
      <w:r>
        <w:rPr>
          <w:color w:val="231F20"/>
          <w:w w:val="101"/>
        </w:rPr>
        <w:t>e</w:t>
      </w:r>
      <w:r>
        <w:rPr>
          <w:color w:val="231F20"/>
          <w:w w:val="129"/>
        </w:rPr>
        <w:t>-</w:t>
      </w:r>
      <w:r>
        <w:rPr>
          <w:color w:val="231F20"/>
          <w:w w:val="94"/>
        </w:rPr>
        <w:t>X</w:t>
      </w:r>
      <w:r>
        <w:rPr>
          <w:color w:val="231F20"/>
          <w:w w:val="104"/>
        </w:rPr>
        <w:t>D</w:t>
      </w:r>
      <w:r>
        <w:rPr>
          <w:color w:val="231F20"/>
          <w:w w:val="88"/>
        </w:rPr>
        <w:t>R</w:t>
      </w:r>
      <w:r>
        <w:rPr>
          <w:color w:val="231F20"/>
          <w:w w:val="129"/>
        </w:rPr>
        <w:t>-</w:t>
      </w:r>
      <w:r>
        <w:rPr>
          <w:color w:val="231F20"/>
          <w:w w:val="91"/>
        </w:rPr>
        <w:t>T</w:t>
      </w:r>
      <w:r>
        <w:rPr>
          <w:color w:val="231F20"/>
          <w:w w:val="92"/>
        </w:rPr>
        <w:t>B</w:t>
      </w:r>
      <w:r>
        <w:rPr>
          <w:color w:val="231F20"/>
          <w:w w:val="107"/>
        </w:rPr>
        <w:t>)及廣泛抗藥性結核病</w:t>
      </w:r>
      <w:r>
        <w:rPr>
          <w:color w:val="231F20"/>
        </w:rPr>
        <w:t> </w:t>
      </w:r>
      <w:r>
        <w:rPr>
          <w:color w:val="231F20"/>
          <w:w w:val="32"/>
        </w:rPr>
        <w:t>（</w:t>
      </w:r>
      <w:r>
        <w:rPr>
          <w:color w:val="231F20"/>
          <w:w w:val="81"/>
        </w:rPr>
        <w:t>E</w:t>
      </w:r>
      <w:r>
        <w:rPr>
          <w:color w:val="231F20"/>
          <w:w w:val="97"/>
        </w:rPr>
        <w:t>x</w:t>
      </w:r>
      <w:r>
        <w:rPr>
          <w:color w:val="231F20"/>
          <w:w w:val="130"/>
        </w:rPr>
        <w:t>t</w:t>
      </w:r>
      <w:r>
        <w:rPr>
          <w:color w:val="231F20"/>
          <w:w w:val="101"/>
        </w:rPr>
        <w:t>e</w:t>
      </w:r>
      <w:r>
        <w:rPr>
          <w:color w:val="231F20"/>
          <w:w w:val="109"/>
        </w:rPr>
        <w:t>n</w:t>
      </w:r>
      <w:r>
        <w:rPr>
          <w:color w:val="231F20"/>
          <w:w w:val="91"/>
        </w:rPr>
        <w:t>s</w:t>
      </w:r>
      <w:r>
        <w:rPr>
          <w:color w:val="231F20"/>
          <w:w w:val="116"/>
        </w:rPr>
        <w:t>i</w:t>
      </w:r>
      <w:r>
        <w:rPr>
          <w:color w:val="231F20"/>
          <w:w w:val="102"/>
        </w:rPr>
        <w:t>v</w:t>
      </w:r>
      <w:r>
        <w:rPr>
          <w:color w:val="231F20"/>
          <w:w w:val="101"/>
        </w:rPr>
        <w:t>e</w:t>
      </w:r>
      <w:r>
        <w:rPr>
          <w:color w:val="231F20"/>
          <w:w w:val="116"/>
        </w:rPr>
        <w:t>l</w:t>
      </w:r>
      <w:r>
        <w:rPr>
          <w:color w:val="231F20"/>
          <w:w w:val="103"/>
        </w:rPr>
        <w:t>y</w:t>
      </w:r>
      <w:r>
        <w:rPr>
          <w:color w:val="231F20"/>
        </w:rPr>
        <w:t> </w:t>
      </w:r>
      <w:r>
        <w:rPr>
          <w:color w:val="231F20"/>
          <w:w w:val="113"/>
        </w:rPr>
        <w:t>d</w:t>
      </w:r>
      <w:r>
        <w:rPr>
          <w:color w:val="231F20"/>
          <w:w w:val="111"/>
        </w:rPr>
        <w:t>r</w:t>
      </w:r>
      <w:r>
        <w:rPr>
          <w:color w:val="231F20"/>
          <w:w w:val="109"/>
        </w:rPr>
        <w:t>u</w:t>
      </w:r>
      <w:r>
        <w:rPr>
          <w:color w:val="231F20"/>
          <w:w w:val="113"/>
        </w:rPr>
        <w:t>g</w:t>
      </w:r>
      <w:r>
        <w:rPr>
          <w:color w:val="231F20"/>
          <w:w w:val="129"/>
        </w:rPr>
        <w:t>-</w:t>
      </w:r>
      <w:r>
        <w:rPr>
          <w:color w:val="231F20"/>
          <w:w w:val="111"/>
        </w:rPr>
        <w:t>r</w:t>
      </w:r>
      <w:r>
        <w:rPr>
          <w:color w:val="231F20"/>
          <w:w w:val="101"/>
        </w:rPr>
        <w:t>e</w:t>
      </w:r>
      <w:r>
        <w:rPr>
          <w:color w:val="231F20"/>
          <w:w w:val="91"/>
        </w:rPr>
        <w:t>s</w:t>
      </w:r>
      <w:r>
        <w:rPr>
          <w:color w:val="231F20"/>
          <w:w w:val="116"/>
        </w:rPr>
        <w:t>i</w:t>
      </w:r>
      <w:r>
        <w:rPr>
          <w:color w:val="231F20"/>
          <w:w w:val="91"/>
        </w:rPr>
        <w:t>s</w:t>
      </w:r>
      <w:r>
        <w:rPr>
          <w:color w:val="231F20"/>
          <w:w w:val="130"/>
        </w:rPr>
        <w:t>t</w:t>
      </w:r>
      <w:r>
        <w:rPr>
          <w:color w:val="231F20"/>
          <w:w w:val="98"/>
        </w:rPr>
        <w:t>a</w:t>
      </w:r>
      <w:r>
        <w:rPr>
          <w:color w:val="231F20"/>
          <w:w w:val="109"/>
        </w:rPr>
        <w:t>n</w:t>
      </w:r>
      <w:r>
        <w:rPr>
          <w:color w:val="231F20"/>
          <w:w w:val="130"/>
        </w:rPr>
        <w:t>t</w:t>
      </w:r>
      <w:r>
        <w:rPr>
          <w:color w:val="231F20"/>
        </w:rPr>
        <w:t> </w:t>
      </w:r>
      <w:r>
        <w:rPr>
          <w:color w:val="231F20"/>
          <w:w w:val="91"/>
        </w:rPr>
        <w:t>T</w:t>
      </w:r>
      <w:r>
        <w:rPr>
          <w:color w:val="231F20"/>
          <w:w w:val="92"/>
        </w:rPr>
        <w:t>B</w:t>
      </w:r>
      <w:r>
        <w:rPr>
          <w:color w:val="231F20"/>
        </w:rPr>
        <w:t>， XDR-TB) 重新定義，故針對 DR-TB 依藥物感受性試驗結果，進行分類如下：</w:t>
      </w:r>
    </w:p>
    <w:p>
      <w:pPr>
        <w:pStyle w:val="BodyText"/>
        <w:spacing w:line="394" w:lineRule="exact"/>
        <w:ind w:left="391"/>
      </w:pPr>
      <w:r>
        <w:rPr>
          <w:color w:val="231F20"/>
        </w:rPr>
        <w:t>—、單—抗藥性結核病 （Mono-resistant TB)：對 1 種抗結核藥抗藥。</w:t>
      </w:r>
    </w:p>
    <w:p>
      <w:pPr>
        <w:pStyle w:val="BodyText"/>
        <w:spacing w:line="230" w:lineRule="auto"/>
        <w:ind w:left="878" w:right="1132" w:hanging="488"/>
      </w:pPr>
      <w:r>
        <w:rPr>
          <w:color w:val="231F20"/>
        </w:rPr>
        <w:t>二、多種抗藥性結核病 </w:t>
      </w:r>
      <w:r>
        <w:rPr>
          <w:color w:val="231F20"/>
          <w:w w:val="32"/>
        </w:rPr>
        <w:t>（</w:t>
      </w:r>
      <w:r>
        <w:rPr>
          <w:color w:val="231F20"/>
          <w:w w:val="90"/>
        </w:rPr>
        <w:t>P</w:t>
      </w:r>
      <w:r>
        <w:rPr>
          <w:color w:val="231F20"/>
          <w:w w:val="113"/>
        </w:rPr>
        <w:t>o</w:t>
      </w:r>
      <w:r>
        <w:rPr>
          <w:color w:val="231F20"/>
          <w:w w:val="116"/>
        </w:rPr>
        <w:t>l</w:t>
      </w:r>
      <w:r>
        <w:rPr>
          <w:color w:val="231F20"/>
          <w:w w:val="103"/>
        </w:rPr>
        <w:t>y</w:t>
      </w:r>
      <w:r>
        <w:rPr>
          <w:color w:val="231F20"/>
          <w:w w:val="129"/>
        </w:rPr>
        <w:t>-</w:t>
      </w:r>
      <w:r>
        <w:rPr>
          <w:color w:val="231F20"/>
          <w:w w:val="111"/>
        </w:rPr>
        <w:t>r</w:t>
      </w:r>
      <w:r>
        <w:rPr>
          <w:color w:val="231F20"/>
          <w:w w:val="101"/>
        </w:rPr>
        <w:t>e</w:t>
      </w:r>
      <w:r>
        <w:rPr>
          <w:color w:val="231F20"/>
          <w:w w:val="91"/>
        </w:rPr>
        <w:t>s</w:t>
      </w:r>
      <w:r>
        <w:rPr>
          <w:color w:val="231F20"/>
          <w:w w:val="116"/>
        </w:rPr>
        <w:t>i</w:t>
      </w:r>
      <w:r>
        <w:rPr>
          <w:color w:val="231F20"/>
          <w:w w:val="91"/>
        </w:rPr>
        <w:t>s</w:t>
      </w:r>
      <w:r>
        <w:rPr>
          <w:color w:val="231F20"/>
          <w:w w:val="130"/>
        </w:rPr>
        <w:t>t</w:t>
      </w:r>
      <w:r>
        <w:rPr>
          <w:color w:val="231F20"/>
          <w:w w:val="98"/>
        </w:rPr>
        <w:t>a</w:t>
      </w:r>
      <w:r>
        <w:rPr>
          <w:color w:val="231F20"/>
          <w:w w:val="109"/>
        </w:rPr>
        <w:t>n</w:t>
      </w:r>
      <w:r>
        <w:rPr>
          <w:color w:val="231F20"/>
          <w:w w:val="130"/>
        </w:rPr>
        <w:t>t</w:t>
      </w:r>
      <w:r>
        <w:rPr>
          <w:color w:val="231F20"/>
        </w:rPr>
        <w:t> </w:t>
      </w:r>
      <w:r>
        <w:rPr>
          <w:color w:val="231F20"/>
          <w:w w:val="91"/>
        </w:rPr>
        <w:t>T</w:t>
      </w:r>
      <w:r>
        <w:rPr>
          <w:color w:val="231F20"/>
          <w:w w:val="92"/>
        </w:rPr>
        <w:t>B</w:t>
      </w:r>
      <w:r>
        <w:rPr>
          <w:color w:val="231F20"/>
          <w:w w:val="96"/>
        </w:rPr>
        <w:t>)</w:t>
      </w:r>
      <w:r>
        <w:rPr>
          <w:color w:val="231F20"/>
        </w:rPr>
        <w:t>：對 </w:t>
      </w:r>
      <w:r>
        <w:rPr>
          <w:color w:val="231F20"/>
          <w:w w:val="104"/>
        </w:rPr>
        <w:t>2</w:t>
      </w:r>
      <w:r>
        <w:rPr>
          <w:color w:val="231F20"/>
        </w:rPr>
        <w:t> 種或 </w:t>
      </w:r>
      <w:r>
        <w:rPr>
          <w:color w:val="231F20"/>
          <w:w w:val="104"/>
        </w:rPr>
        <w:t>2</w:t>
      </w:r>
      <w:r>
        <w:rPr>
          <w:color w:val="231F20"/>
        </w:rPr>
        <w:t> 種以上抗結核藥抗藥，但非同時</w:t>
      </w:r>
      <w:r>
        <w:rPr>
          <w:color w:val="231F20"/>
          <w:w w:val="105"/>
        </w:rPr>
        <w:t>對 isoniazid 及 rifampin 抗藥。</w:t>
      </w:r>
    </w:p>
    <w:p>
      <w:pPr>
        <w:pStyle w:val="BodyText"/>
        <w:spacing w:line="230" w:lineRule="auto"/>
        <w:ind w:left="878" w:right="1136" w:hanging="488"/>
      </w:pPr>
      <w:r>
        <w:rPr>
          <w:color w:val="231F20"/>
        </w:rPr>
        <w:t>三、</w:t>
      </w:r>
      <w:r>
        <w:rPr>
          <w:color w:val="231F20"/>
          <w:w w:val="106"/>
        </w:rPr>
        <w:t>Rifampin</w:t>
      </w:r>
      <w:r>
        <w:rPr>
          <w:color w:val="231F20"/>
        </w:rPr>
        <w:t> 抗藥性結核病 </w:t>
      </w:r>
      <w:r>
        <w:rPr>
          <w:color w:val="231F20"/>
          <w:w w:val="32"/>
        </w:rPr>
        <w:t>（</w:t>
      </w:r>
      <w:r>
        <w:rPr>
          <w:color w:val="231F20"/>
          <w:w w:val="88"/>
        </w:rPr>
        <w:t>R</w:t>
      </w:r>
      <w:r>
        <w:rPr>
          <w:color w:val="231F20"/>
          <w:w w:val="116"/>
        </w:rPr>
        <w:t>i</w:t>
      </w:r>
      <w:r>
        <w:rPr>
          <w:color w:val="231F20"/>
          <w:w w:val="119"/>
        </w:rPr>
        <w:t>f</w:t>
      </w:r>
      <w:r>
        <w:rPr>
          <w:color w:val="231F20"/>
          <w:w w:val="98"/>
        </w:rPr>
        <w:t>a</w:t>
      </w:r>
      <w:r>
        <w:rPr>
          <w:color w:val="231F20"/>
          <w:w w:val="113"/>
        </w:rPr>
        <w:t>mpin-r</w:t>
      </w:r>
      <w:r>
        <w:rPr>
          <w:color w:val="231F20"/>
          <w:w w:val="101"/>
        </w:rPr>
        <w:t>e</w:t>
      </w:r>
      <w:r>
        <w:rPr>
          <w:color w:val="231F20"/>
          <w:w w:val="105"/>
        </w:rPr>
        <w:t>sistant</w:t>
      </w:r>
      <w:r>
        <w:rPr>
          <w:color w:val="231F20"/>
        </w:rPr>
        <w:t> </w:t>
      </w:r>
      <w:r>
        <w:rPr>
          <w:color w:val="231F20"/>
          <w:w w:val="91"/>
        </w:rPr>
        <w:t>T</w:t>
      </w:r>
      <w:r>
        <w:rPr>
          <w:color w:val="231F20"/>
          <w:w w:val="89"/>
        </w:rPr>
        <w:t>B,</w:t>
      </w:r>
      <w:r>
        <w:rPr>
          <w:color w:val="231F20"/>
        </w:rPr>
        <w:t> </w:t>
      </w:r>
      <w:r>
        <w:rPr>
          <w:color w:val="231F20"/>
          <w:w w:val="88"/>
        </w:rPr>
        <w:t>R</w:t>
      </w:r>
      <w:r>
        <w:rPr>
          <w:color w:val="231F20"/>
          <w:w w:val="97"/>
        </w:rPr>
        <w:t>R-TB)：</w:t>
      </w:r>
      <w:r>
        <w:rPr>
          <w:color w:val="231F20"/>
        </w:rPr>
        <w:t>至少對 </w:t>
      </w:r>
      <w:r>
        <w:rPr>
          <w:color w:val="231F20"/>
          <w:w w:val="110"/>
        </w:rPr>
        <w:t>rifampin</w:t>
      </w:r>
      <w:r>
        <w:rPr>
          <w:color w:val="231F20"/>
        </w:rPr>
        <w:t> 抗藥，</w:t>
      </w:r>
      <w:r>
        <w:rPr>
          <w:color w:val="231F20"/>
          <w:w w:val="105"/>
        </w:rPr>
        <w:t>但非同時對 isoniazid 抗藥。</w:t>
      </w:r>
    </w:p>
    <w:p>
      <w:pPr>
        <w:pStyle w:val="BodyText"/>
        <w:spacing w:line="230" w:lineRule="auto"/>
        <w:ind w:left="878" w:right="1136" w:hanging="488"/>
      </w:pPr>
      <w:r>
        <w:rPr>
          <w:color w:val="231F20"/>
        </w:rPr>
        <w:t>匹、多重抗藥性結核病</w:t>
      </w:r>
      <w:r>
        <w:rPr>
          <w:color w:val="231F20"/>
          <w:w w:val="300"/>
        </w:rPr>
        <w:t>(</w:t>
      </w:r>
      <w:r>
        <w:rPr>
          <w:color w:val="231F20"/>
          <w:w w:val="115"/>
        </w:rPr>
        <w:t>M</w:t>
      </w:r>
      <w:r>
        <w:rPr>
          <w:color w:val="231F20"/>
          <w:w w:val="109"/>
        </w:rPr>
        <w:t>u</w:t>
      </w:r>
      <w:r>
        <w:rPr>
          <w:color w:val="231F20"/>
          <w:w w:val="116"/>
        </w:rPr>
        <w:t>l</w:t>
      </w:r>
      <w:r>
        <w:rPr>
          <w:color w:val="231F20"/>
          <w:w w:val="130"/>
        </w:rPr>
        <w:t>t</w:t>
      </w:r>
      <w:r>
        <w:rPr>
          <w:color w:val="231F20"/>
          <w:w w:val="116"/>
        </w:rPr>
        <w:t>i</w:t>
      </w:r>
      <w:r>
        <w:rPr>
          <w:color w:val="231F20"/>
          <w:w w:val="113"/>
        </w:rPr>
        <w:t>d</w:t>
      </w:r>
      <w:r>
        <w:rPr>
          <w:color w:val="231F20"/>
          <w:w w:val="111"/>
        </w:rPr>
        <w:t>r</w:t>
      </w:r>
      <w:r>
        <w:rPr>
          <w:color w:val="231F20"/>
          <w:w w:val="109"/>
        </w:rPr>
        <w:t>u</w:t>
      </w:r>
      <w:r>
        <w:rPr>
          <w:color w:val="231F20"/>
          <w:w w:val="113"/>
        </w:rPr>
        <w:t>g</w:t>
      </w:r>
      <w:r>
        <w:rPr>
          <w:color w:val="231F20"/>
          <w:w w:val="129"/>
        </w:rPr>
        <w:t>-</w:t>
      </w:r>
      <w:r>
        <w:rPr>
          <w:color w:val="231F20"/>
          <w:w w:val="111"/>
        </w:rPr>
        <w:t>r</w:t>
      </w:r>
      <w:r>
        <w:rPr>
          <w:color w:val="231F20"/>
          <w:w w:val="101"/>
        </w:rPr>
        <w:t>e</w:t>
      </w:r>
      <w:r>
        <w:rPr>
          <w:color w:val="231F20"/>
          <w:w w:val="91"/>
        </w:rPr>
        <w:t>s</w:t>
      </w:r>
      <w:r>
        <w:rPr>
          <w:color w:val="231F20"/>
          <w:w w:val="116"/>
        </w:rPr>
        <w:t>i</w:t>
      </w:r>
      <w:r>
        <w:rPr>
          <w:color w:val="231F20"/>
          <w:w w:val="91"/>
        </w:rPr>
        <w:t>s</w:t>
      </w:r>
      <w:r>
        <w:rPr>
          <w:color w:val="231F20"/>
          <w:w w:val="130"/>
        </w:rPr>
        <w:t>t</w:t>
      </w:r>
      <w:r>
        <w:rPr>
          <w:color w:val="231F20"/>
          <w:w w:val="98"/>
        </w:rPr>
        <w:t>a</w:t>
      </w:r>
      <w:r>
        <w:rPr>
          <w:color w:val="231F20"/>
          <w:w w:val="109"/>
        </w:rPr>
        <w:t>n</w:t>
      </w:r>
      <w:r>
        <w:rPr>
          <w:color w:val="231F20"/>
          <w:w w:val="130"/>
        </w:rPr>
        <w:t>t</w:t>
      </w:r>
      <w:r>
        <w:rPr>
          <w:color w:val="231F20"/>
        </w:rPr>
        <w:t> </w:t>
      </w:r>
      <w:r>
        <w:rPr>
          <w:color w:val="231F20"/>
          <w:w w:val="91"/>
        </w:rPr>
        <w:t>T</w:t>
      </w:r>
      <w:r>
        <w:rPr>
          <w:color w:val="231F20"/>
          <w:w w:val="92"/>
        </w:rPr>
        <w:t>B</w:t>
      </w:r>
      <w:r>
        <w:rPr>
          <w:color w:val="231F20"/>
          <w:w w:val="82"/>
        </w:rPr>
        <w:t>,</w:t>
      </w:r>
      <w:r>
        <w:rPr>
          <w:color w:val="231F20"/>
        </w:rPr>
        <w:t> </w:t>
      </w:r>
      <w:r>
        <w:rPr>
          <w:color w:val="231F20"/>
          <w:w w:val="115"/>
        </w:rPr>
        <w:t>M</w:t>
      </w:r>
      <w:r>
        <w:rPr>
          <w:color w:val="231F20"/>
          <w:w w:val="104"/>
        </w:rPr>
        <w:t>D</w:t>
      </w:r>
      <w:r>
        <w:rPr>
          <w:color w:val="231F20"/>
          <w:w w:val="88"/>
        </w:rPr>
        <w:t>R</w:t>
      </w:r>
      <w:r>
        <w:rPr>
          <w:color w:val="231F20"/>
          <w:w w:val="129"/>
        </w:rPr>
        <w:t>-</w:t>
      </w:r>
      <w:r>
        <w:rPr>
          <w:color w:val="231F20"/>
          <w:w w:val="91"/>
        </w:rPr>
        <w:t>T</w:t>
      </w:r>
      <w:r>
        <w:rPr>
          <w:color w:val="231F20"/>
          <w:w w:val="92"/>
        </w:rPr>
        <w:t>B</w:t>
      </w:r>
      <w:r>
        <w:rPr>
          <w:color w:val="231F20"/>
          <w:w w:val="300"/>
        </w:rPr>
        <w:t>)</w:t>
      </w:r>
      <w:r>
        <w:rPr>
          <w:color w:val="231F20"/>
        </w:rPr>
        <w:t>：至少對 </w:t>
      </w:r>
      <w:r>
        <w:rPr>
          <w:color w:val="231F20"/>
          <w:w w:val="116"/>
        </w:rPr>
        <w:t>i</w:t>
      </w:r>
      <w:r>
        <w:rPr>
          <w:color w:val="231F20"/>
          <w:w w:val="91"/>
        </w:rPr>
        <w:t>s</w:t>
      </w:r>
      <w:r>
        <w:rPr>
          <w:color w:val="231F20"/>
          <w:w w:val="113"/>
        </w:rPr>
        <w:t>o</w:t>
      </w:r>
      <w:r>
        <w:rPr>
          <w:color w:val="231F20"/>
          <w:w w:val="109"/>
        </w:rPr>
        <w:t>n</w:t>
      </w:r>
      <w:r>
        <w:rPr>
          <w:color w:val="231F20"/>
          <w:w w:val="116"/>
        </w:rPr>
        <w:t>i</w:t>
      </w:r>
      <w:r>
        <w:rPr>
          <w:color w:val="231F20"/>
          <w:w w:val="98"/>
        </w:rPr>
        <w:t>a</w:t>
      </w:r>
      <w:r>
        <w:rPr>
          <w:color w:val="231F20"/>
          <w:w w:val="97"/>
        </w:rPr>
        <w:t>z</w:t>
      </w:r>
      <w:r>
        <w:rPr>
          <w:color w:val="231F20"/>
          <w:w w:val="116"/>
        </w:rPr>
        <w:t>i</w:t>
      </w:r>
      <w:r>
        <w:rPr>
          <w:color w:val="231F20"/>
          <w:w w:val="113"/>
        </w:rPr>
        <w:t>d</w:t>
      </w:r>
      <w:r>
        <w:rPr>
          <w:color w:val="231F20"/>
        </w:rPr>
        <w:t>  及 </w:t>
      </w:r>
      <w:r>
        <w:rPr>
          <w:color w:val="231F20"/>
          <w:w w:val="105"/>
        </w:rPr>
        <w:t>rifampin 抗藥。</w:t>
      </w:r>
    </w:p>
    <w:p>
      <w:pPr>
        <w:pStyle w:val="BodyText"/>
        <w:spacing w:line="230" w:lineRule="auto"/>
        <w:ind w:left="878" w:right="1076" w:hanging="488"/>
      </w:pPr>
      <w:r>
        <w:rPr>
          <w:color w:val="231F20"/>
        </w:rPr>
        <w:t>五、前驅廣泛抗藥性結核 病</w:t>
      </w:r>
      <w:r>
        <w:rPr>
          <w:color w:val="231F20"/>
          <w:w w:val="300"/>
        </w:rPr>
        <w:t>(</w:t>
      </w:r>
      <w:r>
        <w:rPr>
          <w:color w:val="231F20"/>
          <w:w w:val="90"/>
        </w:rPr>
        <w:t>P</w:t>
      </w:r>
      <w:r>
        <w:rPr>
          <w:color w:val="231F20"/>
          <w:w w:val="111"/>
        </w:rPr>
        <w:t>r</w:t>
      </w:r>
      <w:r>
        <w:rPr>
          <w:color w:val="231F20"/>
          <w:w w:val="101"/>
        </w:rPr>
        <w:t>e</w:t>
      </w:r>
      <w:r>
        <w:rPr>
          <w:color w:val="231F20"/>
          <w:w w:val="129"/>
        </w:rPr>
        <w:t>-</w:t>
      </w:r>
      <w:r>
        <w:rPr>
          <w:color w:val="231F20"/>
          <w:w w:val="101"/>
        </w:rPr>
        <w:t>e</w:t>
      </w:r>
      <w:r>
        <w:rPr>
          <w:color w:val="231F20"/>
          <w:w w:val="97"/>
        </w:rPr>
        <w:t>x</w:t>
      </w:r>
      <w:r>
        <w:rPr>
          <w:color w:val="231F20"/>
          <w:w w:val="130"/>
        </w:rPr>
        <w:t>t</w:t>
      </w:r>
      <w:r>
        <w:rPr>
          <w:color w:val="231F20"/>
          <w:w w:val="101"/>
        </w:rPr>
        <w:t>e</w:t>
      </w:r>
      <w:r>
        <w:rPr>
          <w:color w:val="231F20"/>
          <w:w w:val="109"/>
        </w:rPr>
        <w:t>n</w:t>
      </w:r>
      <w:r>
        <w:rPr>
          <w:color w:val="231F20"/>
          <w:w w:val="91"/>
        </w:rPr>
        <w:t>s</w:t>
      </w:r>
      <w:r>
        <w:rPr>
          <w:color w:val="231F20"/>
          <w:w w:val="116"/>
        </w:rPr>
        <w:t>i</w:t>
      </w:r>
      <w:r>
        <w:rPr>
          <w:color w:val="231F20"/>
          <w:w w:val="102"/>
        </w:rPr>
        <w:t>v</w:t>
      </w:r>
      <w:r>
        <w:rPr>
          <w:color w:val="231F20"/>
          <w:w w:val="101"/>
        </w:rPr>
        <w:t>e</w:t>
      </w:r>
      <w:r>
        <w:rPr>
          <w:color w:val="231F20"/>
          <w:w w:val="116"/>
        </w:rPr>
        <w:t>l</w:t>
      </w:r>
      <w:r>
        <w:rPr>
          <w:color w:val="231F20"/>
          <w:w w:val="103"/>
        </w:rPr>
        <w:t>y</w:t>
      </w:r>
      <w:r>
        <w:rPr>
          <w:color w:val="231F20"/>
        </w:rPr>
        <w:t> </w:t>
      </w:r>
      <w:r>
        <w:rPr>
          <w:color w:val="231F20"/>
          <w:w w:val="113"/>
        </w:rPr>
        <w:t>d</w:t>
      </w:r>
      <w:r>
        <w:rPr>
          <w:color w:val="231F20"/>
          <w:w w:val="111"/>
        </w:rPr>
        <w:t>r</w:t>
      </w:r>
      <w:r>
        <w:rPr>
          <w:color w:val="231F20"/>
          <w:w w:val="109"/>
        </w:rPr>
        <w:t>u</w:t>
      </w:r>
      <w:r>
        <w:rPr>
          <w:color w:val="231F20"/>
          <w:w w:val="113"/>
        </w:rPr>
        <w:t>g</w:t>
      </w:r>
      <w:r>
        <w:rPr>
          <w:color w:val="231F20"/>
          <w:w w:val="129"/>
        </w:rPr>
        <w:t>-</w:t>
      </w:r>
      <w:r>
        <w:rPr>
          <w:color w:val="231F20"/>
          <w:w w:val="111"/>
        </w:rPr>
        <w:t>r</w:t>
      </w:r>
      <w:r>
        <w:rPr>
          <w:color w:val="231F20"/>
          <w:w w:val="101"/>
        </w:rPr>
        <w:t>e</w:t>
      </w:r>
      <w:r>
        <w:rPr>
          <w:color w:val="231F20"/>
          <w:w w:val="91"/>
        </w:rPr>
        <w:t>s</w:t>
      </w:r>
      <w:r>
        <w:rPr>
          <w:color w:val="231F20"/>
          <w:w w:val="116"/>
        </w:rPr>
        <w:t>i</w:t>
      </w:r>
      <w:r>
        <w:rPr>
          <w:color w:val="231F20"/>
          <w:w w:val="91"/>
        </w:rPr>
        <w:t>s</w:t>
      </w:r>
      <w:r>
        <w:rPr>
          <w:color w:val="231F20"/>
          <w:w w:val="130"/>
        </w:rPr>
        <w:t>t</w:t>
      </w:r>
      <w:r>
        <w:rPr>
          <w:color w:val="231F20"/>
          <w:w w:val="98"/>
        </w:rPr>
        <w:t>a</w:t>
      </w:r>
      <w:r>
        <w:rPr>
          <w:color w:val="231F20"/>
          <w:w w:val="109"/>
        </w:rPr>
        <w:t>n</w:t>
      </w:r>
      <w:r>
        <w:rPr>
          <w:color w:val="231F20"/>
          <w:w w:val="130"/>
        </w:rPr>
        <w:t>t</w:t>
      </w:r>
      <w:r>
        <w:rPr>
          <w:color w:val="231F20"/>
        </w:rPr>
        <w:t> </w:t>
      </w:r>
      <w:r>
        <w:rPr>
          <w:color w:val="231F20"/>
          <w:w w:val="91"/>
        </w:rPr>
        <w:t>T</w:t>
      </w:r>
      <w:r>
        <w:rPr>
          <w:color w:val="231F20"/>
          <w:w w:val="92"/>
        </w:rPr>
        <w:t>B</w:t>
      </w:r>
      <w:r>
        <w:rPr>
          <w:color w:val="231F20"/>
          <w:w w:val="82"/>
        </w:rPr>
        <w:t>,</w:t>
      </w:r>
      <w:r>
        <w:rPr>
          <w:color w:val="231F20"/>
        </w:rPr>
        <w:t> </w:t>
      </w:r>
      <w:r>
        <w:rPr>
          <w:color w:val="231F20"/>
          <w:w w:val="90"/>
        </w:rPr>
        <w:t>P</w:t>
      </w:r>
      <w:r>
        <w:rPr>
          <w:color w:val="231F20"/>
          <w:w w:val="111"/>
        </w:rPr>
        <w:t>r</w:t>
      </w:r>
      <w:r>
        <w:rPr>
          <w:color w:val="231F20"/>
          <w:w w:val="101"/>
        </w:rPr>
        <w:t>e</w:t>
      </w:r>
      <w:r>
        <w:rPr>
          <w:color w:val="231F20"/>
          <w:w w:val="129"/>
        </w:rPr>
        <w:t>-</w:t>
      </w:r>
      <w:r>
        <w:rPr>
          <w:color w:val="231F20"/>
          <w:w w:val="94"/>
        </w:rPr>
        <w:t>X</w:t>
      </w:r>
      <w:r>
        <w:rPr>
          <w:color w:val="231F20"/>
          <w:w w:val="104"/>
        </w:rPr>
        <w:t>D</w:t>
      </w:r>
      <w:r>
        <w:rPr>
          <w:color w:val="231F20"/>
          <w:w w:val="88"/>
        </w:rPr>
        <w:t>R</w:t>
      </w:r>
      <w:r>
        <w:rPr>
          <w:color w:val="231F20"/>
          <w:w w:val="129"/>
        </w:rPr>
        <w:t>-</w:t>
      </w:r>
      <w:r>
        <w:rPr>
          <w:color w:val="231F20"/>
          <w:w w:val="91"/>
        </w:rPr>
        <w:t>T</w:t>
      </w:r>
      <w:r>
        <w:rPr>
          <w:color w:val="231F20"/>
          <w:w w:val="92"/>
        </w:rPr>
        <w:t>B</w:t>
      </w:r>
      <w:r>
        <w:rPr>
          <w:color w:val="231F20"/>
          <w:w w:val="300"/>
        </w:rPr>
        <w:t>)</w:t>
      </w:r>
      <w:r>
        <w:rPr>
          <w:color w:val="231F20"/>
        </w:rPr>
        <w:t>： RR-TB 或MDR-TB 且對任— fluoroquinolone （levofloxacin 或moxifloxacin) 抗藥。</w:t>
      </w:r>
    </w:p>
    <w:p>
      <w:pPr>
        <w:pStyle w:val="BodyText"/>
        <w:spacing w:line="230" w:lineRule="auto"/>
        <w:ind w:left="878" w:right="1135" w:hanging="488"/>
      </w:pPr>
      <w:r>
        <w:rPr>
          <w:color w:val="231F20"/>
        </w:rPr>
        <w:t>六、廣泛抗藥性結核病 </w:t>
      </w:r>
      <w:r>
        <w:rPr>
          <w:color w:val="231F20"/>
          <w:w w:val="32"/>
        </w:rPr>
        <w:t>（</w:t>
      </w:r>
      <w:r>
        <w:rPr>
          <w:color w:val="231F20"/>
          <w:w w:val="81"/>
        </w:rPr>
        <w:t>E</w:t>
      </w:r>
      <w:r>
        <w:rPr>
          <w:color w:val="231F20"/>
          <w:w w:val="97"/>
        </w:rPr>
        <w:t>x</w:t>
      </w:r>
      <w:r>
        <w:rPr>
          <w:color w:val="231F20"/>
          <w:w w:val="130"/>
        </w:rPr>
        <w:t>t</w:t>
      </w:r>
      <w:r>
        <w:rPr>
          <w:color w:val="231F20"/>
          <w:w w:val="101"/>
        </w:rPr>
        <w:t>e</w:t>
      </w:r>
      <w:r>
        <w:rPr>
          <w:color w:val="231F20"/>
          <w:w w:val="109"/>
        </w:rPr>
        <w:t>n</w:t>
      </w:r>
      <w:r>
        <w:rPr>
          <w:color w:val="231F20"/>
          <w:w w:val="91"/>
        </w:rPr>
        <w:t>s</w:t>
      </w:r>
      <w:r>
        <w:rPr>
          <w:color w:val="231F20"/>
          <w:w w:val="116"/>
        </w:rPr>
        <w:t>i</w:t>
      </w:r>
      <w:r>
        <w:rPr>
          <w:color w:val="231F20"/>
          <w:w w:val="102"/>
        </w:rPr>
        <w:t>v</w:t>
      </w:r>
      <w:r>
        <w:rPr>
          <w:color w:val="231F20"/>
          <w:w w:val="101"/>
        </w:rPr>
        <w:t>e</w:t>
      </w:r>
      <w:r>
        <w:rPr>
          <w:color w:val="231F20"/>
          <w:w w:val="116"/>
        </w:rPr>
        <w:t>l</w:t>
      </w:r>
      <w:r>
        <w:rPr>
          <w:color w:val="231F20"/>
          <w:w w:val="103"/>
        </w:rPr>
        <w:t>y</w:t>
      </w:r>
      <w:r>
        <w:rPr>
          <w:color w:val="231F20"/>
        </w:rPr>
        <w:t> </w:t>
      </w:r>
      <w:r>
        <w:rPr>
          <w:color w:val="231F20"/>
          <w:w w:val="113"/>
        </w:rPr>
        <w:t>d</w:t>
      </w:r>
      <w:r>
        <w:rPr>
          <w:color w:val="231F20"/>
          <w:w w:val="111"/>
        </w:rPr>
        <w:t>r</w:t>
      </w:r>
      <w:r>
        <w:rPr>
          <w:color w:val="231F20"/>
          <w:w w:val="109"/>
        </w:rPr>
        <w:t>u</w:t>
      </w:r>
      <w:r>
        <w:rPr>
          <w:color w:val="231F20"/>
          <w:w w:val="113"/>
        </w:rPr>
        <w:t>g</w:t>
      </w:r>
      <w:r>
        <w:rPr>
          <w:color w:val="231F20"/>
          <w:w w:val="129"/>
        </w:rPr>
        <w:t>-</w:t>
      </w:r>
      <w:r>
        <w:rPr>
          <w:color w:val="231F20"/>
          <w:w w:val="111"/>
        </w:rPr>
        <w:t>r</w:t>
      </w:r>
      <w:r>
        <w:rPr>
          <w:color w:val="231F20"/>
          <w:w w:val="101"/>
        </w:rPr>
        <w:t>e</w:t>
      </w:r>
      <w:r>
        <w:rPr>
          <w:color w:val="231F20"/>
          <w:w w:val="91"/>
        </w:rPr>
        <w:t>s</w:t>
      </w:r>
      <w:r>
        <w:rPr>
          <w:color w:val="231F20"/>
          <w:w w:val="116"/>
        </w:rPr>
        <w:t>i</w:t>
      </w:r>
      <w:r>
        <w:rPr>
          <w:color w:val="231F20"/>
          <w:w w:val="91"/>
        </w:rPr>
        <w:t>s</w:t>
      </w:r>
      <w:r>
        <w:rPr>
          <w:color w:val="231F20"/>
          <w:w w:val="130"/>
        </w:rPr>
        <w:t>t</w:t>
      </w:r>
      <w:r>
        <w:rPr>
          <w:color w:val="231F20"/>
          <w:w w:val="98"/>
        </w:rPr>
        <w:t>a</w:t>
      </w:r>
      <w:r>
        <w:rPr>
          <w:color w:val="231F20"/>
          <w:w w:val="109"/>
        </w:rPr>
        <w:t>n</w:t>
      </w:r>
      <w:r>
        <w:rPr>
          <w:color w:val="231F20"/>
          <w:w w:val="130"/>
        </w:rPr>
        <w:t>t</w:t>
      </w:r>
      <w:r>
        <w:rPr>
          <w:color w:val="231F20"/>
        </w:rPr>
        <w:t> </w:t>
      </w:r>
      <w:r>
        <w:rPr>
          <w:color w:val="231F20"/>
          <w:w w:val="91"/>
        </w:rPr>
        <w:t>T</w:t>
      </w:r>
      <w:r>
        <w:rPr>
          <w:color w:val="231F20"/>
          <w:w w:val="92"/>
        </w:rPr>
        <w:t>B</w:t>
      </w:r>
      <w:r>
        <w:rPr>
          <w:color w:val="231F20"/>
          <w:w w:val="82"/>
        </w:rPr>
        <w:t>,</w:t>
      </w:r>
      <w:r>
        <w:rPr>
          <w:color w:val="231F20"/>
        </w:rPr>
        <w:t> </w:t>
      </w:r>
      <w:r>
        <w:rPr>
          <w:color w:val="231F20"/>
          <w:w w:val="94"/>
        </w:rPr>
        <w:t>X</w:t>
      </w:r>
      <w:r>
        <w:rPr>
          <w:color w:val="231F20"/>
          <w:w w:val="104"/>
        </w:rPr>
        <w:t>D</w:t>
      </w:r>
      <w:r>
        <w:rPr>
          <w:color w:val="231F20"/>
          <w:w w:val="88"/>
        </w:rPr>
        <w:t>R</w:t>
      </w:r>
      <w:r>
        <w:rPr>
          <w:color w:val="231F20"/>
          <w:w w:val="129"/>
        </w:rPr>
        <w:t>-</w:t>
      </w:r>
      <w:r>
        <w:rPr>
          <w:color w:val="231F20"/>
          <w:w w:val="91"/>
        </w:rPr>
        <w:t>T</w:t>
      </w:r>
      <w:r>
        <w:rPr>
          <w:color w:val="231F20"/>
          <w:w w:val="92"/>
        </w:rPr>
        <w:t>B</w:t>
      </w:r>
      <w:r>
        <w:rPr>
          <w:color w:val="231F20"/>
          <w:w w:val="96"/>
        </w:rPr>
        <w:t>)</w:t>
      </w:r>
      <w:r>
        <w:rPr>
          <w:color w:val="231F20"/>
        </w:rPr>
        <w:t>：符合 </w:t>
      </w:r>
      <w:r>
        <w:rPr>
          <w:color w:val="231F20"/>
          <w:w w:val="90"/>
        </w:rPr>
        <w:t>P</w:t>
      </w:r>
      <w:r>
        <w:rPr>
          <w:color w:val="231F20"/>
          <w:w w:val="111"/>
        </w:rPr>
        <w:t>r</w:t>
      </w:r>
      <w:r>
        <w:rPr>
          <w:color w:val="231F20"/>
          <w:w w:val="101"/>
        </w:rPr>
        <w:t>e</w:t>
      </w:r>
      <w:r>
        <w:rPr>
          <w:color w:val="231F20"/>
          <w:w w:val="129"/>
        </w:rPr>
        <w:t>-</w:t>
      </w:r>
      <w:r>
        <w:rPr>
          <w:color w:val="231F20"/>
          <w:w w:val="94"/>
        </w:rPr>
        <w:t>X</w:t>
      </w:r>
      <w:r>
        <w:rPr>
          <w:color w:val="231F20"/>
          <w:w w:val="104"/>
        </w:rPr>
        <w:t>D</w:t>
      </w:r>
      <w:r>
        <w:rPr>
          <w:color w:val="231F20"/>
          <w:w w:val="88"/>
        </w:rPr>
        <w:t>R</w:t>
      </w:r>
      <w:r>
        <w:rPr>
          <w:color w:val="231F20"/>
          <w:w w:val="129"/>
        </w:rPr>
        <w:t>-</w:t>
      </w:r>
      <w:r>
        <w:rPr>
          <w:color w:val="231F20"/>
          <w:w w:val="91"/>
        </w:rPr>
        <w:t>T</w:t>
      </w:r>
      <w:r>
        <w:rPr>
          <w:color w:val="231F20"/>
          <w:w w:val="92"/>
        </w:rPr>
        <w:t>B</w:t>
      </w:r>
      <w:r>
        <w:rPr>
          <w:color w:val="231F20"/>
        </w:rPr>
        <w:t> 定義，且對 linezolid 或 bedaquiline 抗藥。</w:t>
      </w:r>
    </w:p>
    <w:p>
      <w:pPr>
        <w:spacing w:after="0" w:line="230" w:lineRule="auto"/>
        <w:sectPr>
          <w:pgSz w:w="11910" w:h="16840"/>
          <w:pgMar w:top="1060" w:bottom="0" w:left="980" w:right="0"/>
        </w:sectPr>
      </w:pPr>
    </w:p>
    <w:p>
      <w:pPr>
        <w:pStyle w:val="Heading2"/>
        <w:spacing w:before="27"/>
      </w:pPr>
      <w:r>
        <w:rPr/>
        <w:pict>
          <v:group style="position:absolute;margin-left:-.000001pt;margin-top:286.162994pt;width:37.35pt;height:555.550pt;mso-position-horizontal-relative:page;mso-position-vertical-relative:page;z-index:251848704"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100</w:t>
                    </w:r>
                  </w:p>
                </w:txbxContent>
              </v:textbox>
              <w10:wrap type="none"/>
            </v:shape>
            <w10:wrap type="none"/>
          </v:group>
        </w:pict>
      </w:r>
      <w:r>
        <w:rPr>
          <w:color w:val="231F20"/>
          <w:w w:val="105"/>
        </w:rPr>
        <w:t>肆、抗藥性結核病（DR-TB)病人發現、送驗及註記t呈</w:t>
      </w:r>
    </w:p>
    <w:p>
      <w:pPr>
        <w:pStyle w:val="BodyText"/>
        <w:spacing w:line="404" w:lineRule="exact"/>
        <w:ind w:left="391"/>
        <w:jc w:val="both"/>
      </w:pPr>
      <w:r>
        <w:rPr>
          <w:color w:val="231F20"/>
        </w:rPr>
        <w:t>—、DR-TB 發現與送驗作業流程</w:t>
      </w:r>
    </w:p>
    <w:p>
      <w:pPr>
        <w:pStyle w:val="BodyText"/>
        <w:spacing w:line="230" w:lineRule="auto" w:before="3"/>
        <w:ind w:left="878" w:right="1132" w:hanging="1"/>
        <w:jc w:val="both"/>
      </w:pPr>
      <w:r>
        <w:rPr>
          <w:color w:val="231F20"/>
          <w:spacing w:val="4"/>
        </w:rPr>
        <w:t>為監測抗藥性結核病病人，以及早發現、診斷及治療並阻斷後續傳播問題，</w:t>
      </w:r>
      <w:r>
        <w:rPr>
          <w:color w:val="231F20"/>
        </w:rPr>
        <w:t>DR-TB </w:t>
      </w:r>
      <w:r>
        <w:rPr>
          <w:color w:val="231F20"/>
          <w:spacing w:val="-1"/>
        </w:rPr>
        <w:t>病人的診斷方式可用傳統或分子藥敏檢測 </w:t>
      </w:r>
      <w:r>
        <w:rPr>
          <w:color w:val="231F20"/>
        </w:rPr>
        <w:t>2</w:t>
      </w:r>
      <w:r>
        <w:rPr>
          <w:color w:val="231F20"/>
          <w:spacing w:val="-2"/>
        </w:rPr>
        <w:t> 種方式確認，醫療院所可視臨床需求進行快速分子檢測、衛生局 </w:t>
      </w:r>
      <w:r>
        <w:rPr>
          <w:color w:val="231F20"/>
          <w:w w:val="70"/>
        </w:rPr>
        <w:t>（ </w:t>
      </w:r>
      <w:r>
        <w:rPr>
          <w:color w:val="231F20"/>
          <w:spacing w:val="-8"/>
        </w:rPr>
        <w:t>所 ) 經訪視發現，或至結核病追蹤管理系統 </w:t>
      </w:r>
      <w:r>
        <w:rPr>
          <w:color w:val="231F20"/>
          <w:w w:val="70"/>
        </w:rPr>
        <w:t>（ </w:t>
      </w:r>
      <w:r>
        <w:rPr>
          <w:color w:val="231F20"/>
          <w:spacing w:val="-9"/>
        </w:rPr>
        <w:t>下稱 </w:t>
      </w:r>
      <w:r>
        <w:rPr>
          <w:color w:val="231F20"/>
        </w:rPr>
        <w:t>TB</w:t>
      </w:r>
      <w:r>
        <w:rPr>
          <w:color w:val="231F20"/>
          <w:spacing w:val="-12"/>
        </w:rPr>
        <w:t> 系統 ) 査詢符合抗藥性結核病高風險族群，或病例口冊委員建議者，應通知醫療院所或由衛</w:t>
      </w:r>
      <w:r>
        <w:rPr>
          <w:color w:val="231F20"/>
          <w:spacing w:val="-10"/>
        </w:rPr>
        <w:t>生所 </w:t>
      </w:r>
      <w:r>
        <w:rPr>
          <w:color w:val="231F20"/>
        </w:rPr>
        <w:t>7</w:t>
      </w:r>
      <w:r>
        <w:rPr>
          <w:color w:val="231F20"/>
          <w:spacing w:val="-2"/>
        </w:rPr>
        <w:t> 日內送驗快速分子檢測，縮短檢驗時效以及早發現、診斷及治療。另，經疾管署認可通過之「多重抗藥性結核病認可實驗室」所執行傳統—線藥敏檢測結果若同時</w:t>
      </w:r>
      <w:r>
        <w:rPr>
          <w:color w:val="231F20"/>
          <w:spacing w:val="41"/>
        </w:rPr>
        <w:t>具</w:t>
      </w:r>
      <w:r>
        <w:rPr>
          <w:color w:val="231F20"/>
        </w:rPr>
        <w:t>RMP</w:t>
      </w:r>
      <w:r>
        <w:rPr>
          <w:color w:val="231F20"/>
          <w:spacing w:val="-3"/>
        </w:rPr>
        <w:t> 及</w:t>
      </w:r>
      <w:r>
        <w:rPr>
          <w:color w:val="231F20"/>
        </w:rPr>
        <w:t>INH</w:t>
      </w:r>
      <w:r>
        <w:rPr>
          <w:color w:val="231F20"/>
          <w:spacing w:val="-11"/>
        </w:rPr>
        <w:t> 抗藥者，不須再經疾管署分枝桿蔥實驗室複判，本署各區管制中心</w:t>
      </w:r>
      <w:r>
        <w:rPr>
          <w:color w:val="231F20"/>
          <w:w w:val="70"/>
        </w:rPr>
        <w:t>（ </w:t>
      </w:r>
      <w:r>
        <w:rPr>
          <w:color w:val="231F20"/>
        </w:rPr>
        <w:t>以</w:t>
      </w:r>
      <w:r>
        <w:rPr>
          <w:color w:val="231F20"/>
          <w:spacing w:val="-4"/>
        </w:rPr>
        <w:t>下稱區管中心 ) 依其檢驗結果進行 </w:t>
      </w:r>
      <w:r>
        <w:rPr>
          <w:color w:val="231F20"/>
        </w:rPr>
        <w:t>DR-TB</w:t>
      </w:r>
      <w:r>
        <w:rPr>
          <w:color w:val="231F20"/>
          <w:spacing w:val="-3"/>
        </w:rPr>
        <w:t> 身分註記。</w:t>
      </w:r>
    </w:p>
    <w:p>
      <w:pPr>
        <w:pStyle w:val="BodyText"/>
        <w:spacing w:line="230" w:lineRule="auto"/>
        <w:ind w:left="878" w:right="1134" w:hanging="1"/>
        <w:jc w:val="both"/>
      </w:pPr>
      <w:r>
        <w:rPr>
          <w:color w:val="231F20"/>
          <w:spacing w:val="-2"/>
        </w:rPr>
        <w:t>經—線藥敏檢測結果確認為 </w:t>
      </w:r>
      <w:r>
        <w:rPr>
          <w:color w:val="231F20"/>
        </w:rPr>
        <w:t>RR-TB、MDR-TB</w:t>
      </w:r>
      <w:r>
        <w:rPr>
          <w:color w:val="231F20"/>
          <w:spacing w:val="-1"/>
        </w:rPr>
        <w:t>、任三種—線藥物抗藥或其他經疾管署</w:t>
      </w:r>
      <w:r>
        <w:rPr>
          <w:color w:val="231F20"/>
          <w:spacing w:val="-2"/>
        </w:rPr>
        <w:t>認定對象者，則須將原始蔥株 </w:t>
      </w:r>
      <w:r>
        <w:rPr>
          <w:color w:val="231F20"/>
          <w:w w:val="70"/>
        </w:rPr>
        <w:t>（ </w:t>
      </w:r>
      <w:r>
        <w:rPr>
          <w:color w:val="231F20"/>
          <w:spacing w:val="-2"/>
        </w:rPr>
        <w:t>或分子偵測抗藥後續培養長出的蔥株 ) 送疾管署分枝</w:t>
      </w:r>
      <w:r>
        <w:rPr>
          <w:color w:val="231F20"/>
        </w:rPr>
        <w:t>桿蔥實驗室，由其協助執行—、二線藥敏分子檢測，並將蔥株轉送抗藥性結核病醫療</w:t>
      </w:r>
      <w:r>
        <w:rPr>
          <w:color w:val="231F20"/>
          <w:spacing w:val="-2"/>
        </w:rPr>
        <w:t>照護體系 </w:t>
      </w:r>
      <w:r>
        <w:rPr>
          <w:color w:val="231F20"/>
          <w:w w:val="70"/>
        </w:rPr>
        <w:t>（ </w:t>
      </w:r>
      <w:r>
        <w:rPr>
          <w:color w:val="231F20"/>
          <w:spacing w:val="-4"/>
        </w:rPr>
        <w:t>下稱 TMTC</w:t>
      </w:r>
      <w:r>
        <w:rPr>
          <w:color w:val="231F20"/>
          <w:spacing w:val="-6"/>
        </w:rPr>
        <w:t> 團隊 ) 實驗室執行傳統二線藥敏試驗。</w:t>
      </w:r>
    </w:p>
    <w:p>
      <w:pPr>
        <w:pStyle w:val="BodyText"/>
        <w:spacing w:before="8"/>
        <w:rPr>
          <w:sz w:val="21"/>
        </w:rPr>
      </w:pPr>
    </w:p>
    <w:p>
      <w:pPr>
        <w:pStyle w:val="BodyText"/>
        <w:spacing w:after="4"/>
        <w:ind w:left="878"/>
        <w:jc w:val="both"/>
      </w:pPr>
      <w:r>
        <w:rPr>
          <w:color w:val="231F20"/>
        </w:rPr>
        <w:t>圖 10-1、抗藥性結核病病人發現與送驗流程</w:t>
      </w:r>
    </w:p>
    <w:p>
      <w:pPr>
        <w:pStyle w:val="BodyText"/>
        <w:ind w:left="857"/>
        <w:rPr>
          <w:sz w:val="20"/>
        </w:rPr>
      </w:pPr>
      <w:r>
        <w:rPr>
          <w:sz w:val="20"/>
        </w:rPr>
        <w:pict>
          <v:group style="width:445.85pt;height:325.7pt;mso-position-horizontal-relative:char;mso-position-vertical-relative:line" coordorigin="0,0" coordsize="8917,6514">
            <v:shape style="position:absolute;left:4214;top:1184;width:115;height:615" coordorigin="4215,1184" coordsize="115,615" path="m4263,1684l4215,1684,4272,1799,4319,1704,4263,1704,4263,1684xm4281,1184l4263,1184,4263,1704,4281,1704,4281,1184xm4329,1684l4281,1684,4281,1704,4319,1704,4329,1684xe" filled="true" fillcolor="#93b266" stroked="false">
              <v:path arrowok="t"/>
              <v:fill type="solid"/>
            </v:shape>
            <v:shape style="position:absolute;left:2755;top:541;width:615;height:115" coordorigin="2755,541" coordsize="615,115" path="m2870,541l2755,598,2870,656,2870,608,2850,608,2850,589,2870,589,2870,541xm2870,589l2850,589,2850,608,2870,608,2870,589xm3370,589l2870,589,2870,608,3370,608,3370,589xe" filled="true" fillcolor="#93b266" stroked="false">
              <v:path arrowok="t"/>
              <v:fill type="solid"/>
            </v:shape>
            <v:shape style="position:absolute;left:48;top:0;width:2718;height:2848" coordorigin="48,0" coordsize="2718,2848" path="m2766,0l48,0,48,2847,2766,2847,2766,2837,66,2837,57,2828,66,2828,66,19,57,19,66,9,2766,9,2766,0xm66,2828l57,2828,66,2837,66,2828xm2746,2828l66,2828,66,2837,2746,2837,2746,2828xm2746,9l2746,2837,2755,2828,2766,2828,2766,19,2755,19,2746,9xm2766,2828l2755,2828,2746,2837,2766,2837,2766,2828xm66,9l57,19,66,19,66,9xm2746,9l66,9,66,19,2746,19,2746,9xm2766,9l2746,9,2755,19,2766,19,2766,9xe" filled="true" fillcolor="#93b266" stroked="false">
              <v:path arrowok="t"/>
              <v:fill type="solid"/>
            </v:shape>
            <v:shape style="position:absolute;left:3109;top:1788;width:5808;height:845" coordorigin="3109,1789" coordsize="5808,845" path="m8916,1789l3109,1789,3109,2633,8916,2633,8916,2624,3127,2624,3118,2614,3127,2614,3127,1808,3118,1808,3127,1799,8916,1799,8916,1789xm3127,2614l3118,2614,3127,2624,3127,2614xm8897,2614l3127,2614,3127,2624,8897,2624,8897,2614xm8897,1799l8897,2624,8906,2614,8916,2614,8916,1808,8906,1808,8897,1799xm8916,2614l8906,2614,8897,2624,8916,2624,8916,2614xm3127,1799l3118,1808,3127,1808,3127,1799xm8897,1799l3127,1799,3127,1808,8897,1808,8897,1799xm8916,1799l8897,1799,8906,1808,8916,1808,8916,1799xe" filled="true" fillcolor="#93b266" stroked="false">
              <v:path arrowok="t"/>
              <v:fill type="solid"/>
            </v:shape>
            <v:rect style="position:absolute;left:3098;top:9;width:2652;height:1179" filled="true" fillcolor="#ffffff" stroked="false">
              <v:fill type="solid"/>
            </v:rect>
            <v:shape style="position:absolute;left:3089;top:0;width:2670;height:1199" coordorigin="3090,0" coordsize="2670,1199" path="m5759,0l3090,0,3090,1198,5759,1198,5759,1188,3109,1188,3099,1179,3109,1179,3109,19,3099,19,3109,9,5759,9,5759,0xm3109,1179l3099,1179,3109,1188,3109,1179xm5741,1179l3109,1179,3109,1188,5741,1188,5741,1179xm5741,9l5741,1188,5750,1179,5759,1179,5759,19,5750,19,5741,9xm5759,1179l5750,1179,5741,1188,5759,1188,5759,1179xm3109,9l3099,19,3109,19,3109,9xm5741,9l3109,9,3109,19,5741,19,5741,9xm5759,9l5741,9,5750,19,5759,19,5759,9xe" filled="true" fillcolor="#93b266" stroked="false">
              <v:path arrowok="t"/>
              <v:fill type="solid"/>
            </v:shape>
            <v:shape style="position:absolute;left:5988;top:0;width:2929;height:1199" coordorigin="5988,0" coordsize="2929,1199" path="m8916,0l5988,0,5988,1198,8916,1198,8916,1188,6008,1188,5998,1179,6008,1179,6008,19,5998,19,6008,9,8916,9,8916,0xm6008,1179l5998,1179,6008,1188,6008,1179xm8897,1179l6008,1179,6008,1188,8897,1188,8897,1179xm8897,9l8897,1188,8906,1179,8916,1179,8916,19,8906,19,8897,9xm8916,1179l8906,1179,8897,1188,8916,1188,8916,1179xm6008,9l5998,19,6008,19,6008,9xm8897,9l6008,9,6008,19,8897,19,8897,9xm8916,9l8897,9,8906,19,8916,19,8916,9xe" filled="true" fillcolor="#93b266" stroked="false">
              <v:path arrowok="t"/>
              <v:fill type="solid"/>
            </v:shape>
            <v:shape style="position:absolute;left:0;top:3164;width:8869;height:880" coordorigin="0,3164" coordsize="8869,880" path="m8868,3164l0,3164,0,4044,8868,4044,8868,4035,19,4035,9,4026,19,4026,19,3183,9,3183,19,3173,8868,3173,8868,3164xm19,4026l9,4026,19,4035,19,4026xm8849,4026l19,4026,19,4035,8849,4035,8849,4026xm8849,3173l8849,4035,8859,4026,8868,4026,8868,3183,8859,3183,8849,3173xm8868,4026l8859,4026,8849,4035,8868,4035,8868,4026xm19,3173l9,3183,19,3183,19,3173xm8849,3173l19,3173,19,3183,8849,3183,8849,3173xm8868,3173l8849,3173,8859,3183,8868,3183,8868,3173xe" filled="true" fillcolor="#93b266" stroked="false">
              <v:path arrowok="t"/>
              <v:fill type="solid"/>
            </v:shape>
            <v:shape style="position:absolute;left:2880;top:1183;width:1402;height:1990" coordorigin="2880,1183" coordsize="1402,1990" path="m2928,3059l2880,3059,2937,3173,2985,3078,2928,3078,2928,3059xm4263,1468l2928,1468,2928,3078,2948,3078,2948,1488,2937,1488,2948,1478,4263,1478,4263,1468xm2995,3059l2948,3059,2948,3078,2985,3078,2995,3059xm2948,1478l2937,1488,2948,1488,2948,1478xm4282,1468l4272,1468,4263,1478,2948,1478,2948,1488,4282,1488,4282,1468xm4282,1183l4263,1183,4263,1478,4272,1468,4282,1468,4282,1183xe" filled="true" fillcolor="#93b266" stroked="false">
              <v:path arrowok="t"/>
              <v:fill type="solid"/>
            </v:shape>
            <v:shape style="position:absolute;left:7151;top:1183;width:115;height:616" coordorigin="7152,1183" coordsize="115,616" path="m7200,1684l7152,1684,7209,1799,7257,1703,7200,1703,7200,1684xm7218,1183l7200,1183,7200,1703,7218,1703,7218,1183xm7266,1684l7218,1684,7218,1703,7257,1703,7266,1684xe" filled="true" fillcolor="#93b266" stroked="false">
              <v:path arrowok="t"/>
              <v:fill type="solid"/>
            </v:shape>
            <v:shape style="position:absolute;left:5170;top:2623;width:115;height:550" coordorigin="5170,2624" coordsize="115,550" path="m5218,3059l5170,3060,5227,3173,5275,3078,5218,3078,5218,3059xm5236,3059l5218,3059,5218,3078,5236,3078,5236,3059xm5284,3059l5236,3059,5236,3078,5275,3078,5284,3059xm5236,2624l5217,2624,5218,3059,5236,3059,5236,2624xe" filled="true" fillcolor="#93b266" stroked="false">
              <v:path arrowok="t"/>
              <v:fill type="solid"/>
            </v:shape>
            <v:shape style="position:absolute;left:0;top:4401;width:8869;height:883" coordorigin="0,4401" coordsize="8869,883" path="m8868,4401l0,4401,0,5283,8868,5283,8868,5273,19,5273,9,5264,19,5264,19,4420,9,4420,19,4410,8868,4410,8868,4401xm19,5264l9,5264,19,5273,19,5264xm8849,5264l19,5264,19,5273,8849,5273,8849,5264xm8849,4410l8849,5273,8859,5264,8868,5264,8868,4420,8859,4420,8849,4410xm8868,5264l8859,5264,8849,5273,8868,5273,8868,5264xm19,4410l9,4420,19,4420,19,4410xm8849,4410l19,4410,19,4420,8849,4420,8849,4410xm8868,4410l8849,4410,8859,4420,8868,4420,8868,4410xe" filled="true" fillcolor="#93b266" stroked="false">
              <v:path arrowok="t"/>
              <v:fill type="solid"/>
            </v:shape>
            <v:shape style="position:absolute;left:4090;top:4034;width:115;height:376" type="#_x0000_t75" stroked="false">
              <v:imagedata r:id="rId108" o:title=""/>
            </v:shape>
            <v:shape style="position:absolute;left:0;top:5639;width:8869;height:875" coordorigin="0,5639" coordsize="8869,875" path="m8868,5639l0,5639,0,6513,8868,6513,8868,6503,19,6503,9,6494,19,6494,19,5659,9,5659,19,5649,8868,5649,8868,5639xm19,6494l9,6494,19,6503,19,6494xm8849,6494l19,6494,19,6503,8849,6503,8849,6494xm8849,5649l8849,6503,8859,6494,8868,6494,8868,5659,8859,5659,8849,5649xm8868,6494l8859,6494,8849,6503,8868,6503,8868,6494xm19,5649l9,5659,19,5659,19,5649xm8849,5649l19,5649,19,5659,8849,5659,8849,5649xm8868,5649l8849,5649,8859,5659,8868,5659,8868,5649xe" filled="true" fillcolor="#93b266" stroked="false">
              <v:path arrowok="t"/>
              <v:fill type="solid"/>
            </v:shape>
            <v:shape style="position:absolute;left:4089;top:5273;width:115;height:377" type="#_x0000_t75" stroked="false">
              <v:imagedata r:id="rId109" o:title=""/>
            </v:shape>
            <v:shape style="position:absolute;left:203;top:115;width:2426;height:2363" type="#_x0000_t202" filled="false" stroked="false">
              <v:textbox inset="0,0,0,0">
                <w:txbxContent>
                  <w:p>
                    <w:pPr>
                      <w:spacing w:line="206" w:lineRule="auto" w:before="9"/>
                      <w:ind w:left="0" w:right="18" w:firstLine="0"/>
                      <w:jc w:val="left"/>
                      <w:rPr>
                        <w:sz w:val="23"/>
                      </w:rPr>
                    </w:pPr>
                    <w:r>
                      <w:rPr>
                        <w:color w:val="231F20"/>
                        <w:sz w:val="23"/>
                      </w:rPr>
                      <w:t>「多重抗藥性結核病認</w:t>
                    </w:r>
                    <w:r>
                      <w:rPr>
                        <w:color w:val="231F20"/>
                        <w:spacing w:val="-15"/>
                        <w:sz w:val="23"/>
                      </w:rPr>
                      <w:t>可實驗室」傳統—線藥敏</w:t>
                    </w:r>
                    <w:r>
                      <w:rPr>
                        <w:color w:val="231F20"/>
                        <w:spacing w:val="-1"/>
                        <w:sz w:val="23"/>
                      </w:rPr>
                      <w:t>同時檢出 </w:t>
                    </w:r>
                    <w:r>
                      <w:rPr>
                        <w:color w:val="231F20"/>
                        <w:sz w:val="23"/>
                      </w:rPr>
                      <w:t>RMP</w:t>
                    </w:r>
                    <w:r>
                      <w:rPr>
                        <w:color w:val="231F20"/>
                        <w:spacing w:val="-5"/>
                        <w:sz w:val="23"/>
                      </w:rPr>
                      <w:t> 及 </w:t>
                    </w:r>
                    <w:r>
                      <w:rPr>
                        <w:color w:val="231F20"/>
                        <w:sz w:val="23"/>
                      </w:rPr>
                      <w:t>INH 抗藥、RMP</w:t>
                    </w:r>
                    <w:r>
                      <w:rPr>
                        <w:color w:val="231F20"/>
                        <w:spacing w:val="-5"/>
                        <w:sz w:val="23"/>
                      </w:rPr>
                      <w:t> 抗藥或其他</w:t>
                    </w:r>
                    <w:r>
                      <w:rPr>
                        <w:color w:val="231F20"/>
                        <w:spacing w:val="-5"/>
                        <w:w w:val="95"/>
                        <w:sz w:val="23"/>
                      </w:rPr>
                      <w:t>抗藥（MDR-TB</w:t>
                    </w:r>
                    <w:r>
                      <w:rPr>
                        <w:color w:val="231F20"/>
                        <w:spacing w:val="-10"/>
                        <w:w w:val="95"/>
                        <w:sz w:val="23"/>
                      </w:rPr>
                      <w:t> 可逕予判</w:t>
                    </w:r>
                    <w:r>
                      <w:rPr>
                        <w:color w:val="231F20"/>
                        <w:spacing w:val="-15"/>
                        <w:sz w:val="23"/>
                      </w:rPr>
                      <w:t>定，不須疾管署分枝桿蔥</w:t>
                    </w:r>
                  </w:p>
                  <w:p>
                    <w:pPr>
                      <w:spacing w:line="288" w:lineRule="exact" w:before="0"/>
                      <w:ind w:left="0" w:right="0" w:firstLine="0"/>
                      <w:jc w:val="left"/>
                      <w:rPr>
                        <w:sz w:val="23"/>
                      </w:rPr>
                    </w:pPr>
                    <w:r>
                      <w:rPr>
                        <w:color w:val="231F20"/>
                        <w:sz w:val="23"/>
                      </w:rPr>
                      <w:t>實驗室複判)</w:t>
                    </w:r>
                  </w:p>
                </w:txbxContent>
              </v:textbox>
              <w10:wrap type="none"/>
            </v:shape>
            <v:shape style="position:absolute;left:3245;top:115;width:2309;height:991" type="#_x0000_t202" filled="false" stroked="false">
              <v:textbox inset="0,0,0,0">
                <w:txbxContent>
                  <w:p>
                    <w:pPr>
                      <w:spacing w:line="342" w:lineRule="exact" w:before="0"/>
                      <w:ind w:left="0" w:right="0" w:firstLine="0"/>
                      <w:jc w:val="left"/>
                      <w:rPr>
                        <w:sz w:val="23"/>
                      </w:rPr>
                    </w:pPr>
                    <w:r>
                      <w:rPr>
                        <w:color w:val="231F20"/>
                        <w:w w:val="95"/>
                        <w:sz w:val="23"/>
                      </w:rPr>
                      <w:t>醫療院所透過分子檢測</w:t>
                    </w:r>
                  </w:p>
                  <w:p>
                    <w:pPr>
                      <w:spacing w:line="343" w:lineRule="exact" w:before="0"/>
                      <w:ind w:left="0" w:right="0" w:firstLine="0"/>
                      <w:jc w:val="left"/>
                      <w:rPr>
                        <w:sz w:val="23"/>
                      </w:rPr>
                    </w:pPr>
                    <w:r>
                      <w:rPr>
                        <w:color w:val="231F20"/>
                        <w:w w:val="95"/>
                        <w:sz w:val="23"/>
                      </w:rPr>
                      <w:t>（</w:t>
                    </w:r>
                    <w:r>
                      <w:rPr>
                        <w:color w:val="231F20"/>
                        <w:spacing w:val="57"/>
                        <w:w w:val="95"/>
                        <w:sz w:val="23"/>
                      </w:rPr>
                      <w:t>如</w:t>
                    </w:r>
                    <w:r>
                      <w:rPr>
                        <w:color w:val="231F20"/>
                        <w:w w:val="95"/>
                        <w:sz w:val="23"/>
                      </w:rPr>
                      <w:t>Xpert)</w:t>
                    </w:r>
                    <w:r>
                      <w:rPr>
                        <w:color w:val="231F20"/>
                        <w:spacing w:val="-6"/>
                        <w:w w:val="95"/>
                        <w:sz w:val="23"/>
                      </w:rPr>
                      <w:t>偵測到 </w:t>
                    </w:r>
                    <w:r>
                      <w:rPr>
                        <w:color w:val="231F20"/>
                        <w:w w:val="95"/>
                        <w:sz w:val="23"/>
                      </w:rPr>
                      <w:t>RMP</w:t>
                    </w:r>
                  </w:p>
                  <w:p>
                    <w:pPr>
                      <w:spacing w:line="305" w:lineRule="exact" w:before="0"/>
                      <w:ind w:left="0" w:right="0" w:firstLine="0"/>
                      <w:jc w:val="left"/>
                      <w:rPr>
                        <w:sz w:val="23"/>
                      </w:rPr>
                    </w:pPr>
                    <w:r>
                      <w:rPr>
                        <w:color w:val="231F20"/>
                        <w:sz w:val="23"/>
                      </w:rPr>
                      <w:t>抗藥</w:t>
                    </w:r>
                  </w:p>
                </w:txbxContent>
              </v:textbox>
              <w10:wrap type="none"/>
            </v:shape>
            <v:shape style="position:absolute;left:6144;top:115;width:2538;height:991" type="#_x0000_t202" filled="false" stroked="false">
              <v:textbox inset="0,0,0,0">
                <w:txbxContent>
                  <w:p>
                    <w:pPr>
                      <w:spacing w:line="206" w:lineRule="auto" w:before="9"/>
                      <w:ind w:left="0" w:right="4" w:firstLine="0"/>
                      <w:jc w:val="left"/>
                      <w:rPr>
                        <w:sz w:val="23"/>
                      </w:rPr>
                    </w:pPr>
                    <w:r>
                      <w:rPr>
                        <w:color w:val="231F20"/>
                        <w:w w:val="95"/>
                        <w:sz w:val="23"/>
                      </w:rPr>
                      <w:t>醫療院所或衛生局（所)發</w:t>
                    </w:r>
                    <w:r>
                      <w:rPr>
                        <w:color w:val="231F20"/>
                        <w:sz w:val="23"/>
                      </w:rPr>
                      <w:t>現符合快速分子檢測對象</w:t>
                    </w:r>
                  </w:p>
                  <w:p>
                    <w:pPr>
                      <w:spacing w:line="293" w:lineRule="exact" w:before="0"/>
                      <w:ind w:left="0" w:right="0" w:firstLine="0"/>
                      <w:jc w:val="left"/>
                      <w:rPr>
                        <w:sz w:val="23"/>
                      </w:rPr>
                    </w:pPr>
                    <w:r>
                      <w:rPr>
                        <w:color w:val="231F20"/>
                        <w:sz w:val="23"/>
                      </w:rPr>
                      <w:t>或病例口冊委員建議者</w:t>
                    </w:r>
                  </w:p>
                </w:txbxContent>
              </v:textbox>
              <w10:wrap type="none"/>
            </v:shape>
            <v:shape style="position:absolute;left:3264;top:1905;width:5513;height:648" type="#_x0000_t202" filled="false" stroked="false">
              <v:textbox inset="0,0,0,0">
                <w:txbxContent>
                  <w:p>
                    <w:pPr>
                      <w:spacing w:line="342" w:lineRule="exact" w:before="0"/>
                      <w:ind w:left="0" w:right="0" w:firstLine="0"/>
                      <w:jc w:val="left"/>
                      <w:rPr>
                        <w:sz w:val="23"/>
                      </w:rPr>
                    </w:pPr>
                    <w:r>
                      <w:rPr>
                        <w:color w:val="231F20"/>
                        <w:w w:val="95"/>
                        <w:sz w:val="23"/>
                      </w:rPr>
                      <w:t>將痰檢體送至指定實驗室檢驗，如快速分子檢測結果為</w:t>
                    </w:r>
                  </w:p>
                  <w:p>
                    <w:pPr>
                      <w:spacing w:line="305" w:lineRule="exact" w:before="0"/>
                      <w:ind w:left="0" w:right="0" w:firstLine="0"/>
                      <w:jc w:val="left"/>
                      <w:rPr>
                        <w:sz w:val="23"/>
                      </w:rPr>
                    </w:pPr>
                    <w:r>
                      <w:rPr>
                        <w:color w:val="231F20"/>
                        <w:sz w:val="23"/>
                      </w:rPr>
                      <w:t>RMP 抗藥或同時 RMP 及 INH 抗藥</w:t>
                    </w:r>
                  </w:p>
                </w:txbxContent>
              </v:textbox>
              <w10:wrap type="none"/>
            </v:shape>
            <v:shape style="position:absolute;left:155;top:3279;width:8576;height:648" type="#_x0000_t202" filled="false" stroked="false">
              <v:textbox inset="0,0,0,0">
                <w:txbxContent>
                  <w:p>
                    <w:pPr>
                      <w:spacing w:line="342" w:lineRule="exact" w:before="0"/>
                      <w:ind w:left="0" w:right="0" w:firstLine="0"/>
                      <w:jc w:val="left"/>
                      <w:rPr>
                        <w:sz w:val="23"/>
                      </w:rPr>
                    </w:pPr>
                    <w:r>
                      <w:rPr>
                        <w:color w:val="231F20"/>
                        <w:w w:val="95"/>
                        <w:sz w:val="23"/>
                      </w:rPr>
                      <w:t>多重抗藥性結核病認可實驗室／指定實驗室將檢驗結果登打或自動介接至疾管署「實驗</w:t>
                    </w:r>
                  </w:p>
                  <w:p>
                    <w:pPr>
                      <w:spacing w:line="305" w:lineRule="exact" w:before="0"/>
                      <w:ind w:left="0" w:right="0" w:firstLine="0"/>
                      <w:jc w:val="left"/>
                      <w:rPr>
                        <w:sz w:val="23"/>
                      </w:rPr>
                    </w:pPr>
                    <w:r>
                      <w:rPr>
                        <w:color w:val="231F20"/>
                        <w:sz w:val="23"/>
                      </w:rPr>
                      <w:t>室資訊管理系統」；檢驗結果將自動介接至「TB 追管系統」中</w:t>
                    </w:r>
                  </w:p>
                </w:txbxContent>
              </v:textbox>
              <w10:wrap type="none"/>
            </v:shape>
            <v:shape style="position:absolute;left:155;top:4516;width:8553;height:647" type="#_x0000_t202" filled="false" stroked="false">
              <v:textbox inset="0,0,0,0">
                <w:txbxContent>
                  <w:p>
                    <w:pPr>
                      <w:spacing w:line="342" w:lineRule="exact" w:before="0"/>
                      <w:ind w:left="0" w:right="0" w:firstLine="0"/>
                      <w:jc w:val="left"/>
                      <w:rPr>
                        <w:sz w:val="23"/>
                      </w:rPr>
                    </w:pPr>
                    <w:r>
                      <w:rPr>
                        <w:color w:val="231F20"/>
                        <w:w w:val="95"/>
                        <w:sz w:val="23"/>
                      </w:rPr>
                      <w:t>衛生局（所)通知醫療院所或醫療院所將原始蔥株（或分子偵測抗藥後續培養長出的蔥株)</w:t>
                    </w:r>
                  </w:p>
                  <w:p>
                    <w:pPr>
                      <w:spacing w:line="305" w:lineRule="exact" w:before="0"/>
                      <w:ind w:left="0" w:right="0" w:firstLine="0"/>
                      <w:jc w:val="left"/>
                      <w:rPr>
                        <w:sz w:val="23"/>
                      </w:rPr>
                    </w:pPr>
                    <w:r>
                      <w:rPr>
                        <w:color w:val="231F20"/>
                        <w:sz w:val="23"/>
                      </w:rPr>
                      <w:t>送疾管署分枝桿蔥實驗室</w:t>
                    </w:r>
                  </w:p>
                </w:txbxContent>
              </v:textbox>
              <w10:wrap type="none"/>
            </v:shape>
            <v:shape style="position:absolute;left:155;top:5755;width:8537;height:648" type="#_x0000_t202" filled="false" stroked="false">
              <v:textbox inset="0,0,0,0">
                <w:txbxContent>
                  <w:p>
                    <w:pPr>
                      <w:spacing w:line="342" w:lineRule="exact" w:before="0"/>
                      <w:ind w:left="0" w:right="0" w:firstLine="0"/>
                      <w:jc w:val="left"/>
                      <w:rPr>
                        <w:sz w:val="23"/>
                      </w:rPr>
                    </w:pPr>
                    <w:r>
                      <w:rPr>
                        <w:color w:val="231F20"/>
                        <w:sz w:val="23"/>
                      </w:rPr>
                      <w:t>疾管署分枝桿蔥實驗室執行—、二線藥敏分子檢測，並協助將蔥株轉送TMTC 團隊實</w:t>
                    </w:r>
                  </w:p>
                  <w:p>
                    <w:pPr>
                      <w:spacing w:line="305" w:lineRule="exact" w:before="0"/>
                      <w:ind w:left="0" w:right="0" w:firstLine="0"/>
                      <w:jc w:val="left"/>
                      <w:rPr>
                        <w:sz w:val="23"/>
                      </w:rPr>
                    </w:pPr>
                    <w:r>
                      <w:rPr>
                        <w:color w:val="231F20"/>
                        <w:sz w:val="23"/>
                      </w:rPr>
                      <w:t>驗室執行傳統二線藥敏試驗代檢</w:t>
                    </w:r>
                  </w:p>
                </w:txbxContent>
              </v:textbox>
              <w10:wrap type="none"/>
            </v:shape>
          </v:group>
        </w:pict>
      </w:r>
      <w:r>
        <w:rPr>
          <w:sz w:val="20"/>
        </w:rPr>
      </w:r>
    </w:p>
    <w:p>
      <w:pPr>
        <w:spacing w:after="0"/>
        <w:rPr>
          <w:sz w:val="20"/>
        </w:rPr>
        <w:sectPr>
          <w:pgSz w:w="11910" w:h="16840"/>
          <w:pgMar w:top="1060" w:bottom="0" w:left="980" w:right="0"/>
        </w:sectPr>
      </w:pPr>
    </w:p>
    <w:p>
      <w:pPr>
        <w:pStyle w:val="BodyText"/>
        <w:spacing w:line="409" w:lineRule="exact" w:before="59"/>
        <w:ind w:left="391"/>
      </w:pPr>
      <w:r>
        <w:rPr>
          <w:color w:val="231F20"/>
        </w:rPr>
        <w:t>二、符合快速分子檢測對象</w:t>
      </w:r>
    </w:p>
    <w:p>
      <w:pPr>
        <w:pStyle w:val="BodyText"/>
        <w:spacing w:line="228" w:lineRule="auto" w:before="5"/>
        <w:ind w:left="878" w:right="1124"/>
        <w:jc w:val="both"/>
      </w:pPr>
      <w:r>
        <w:rPr/>
        <w:pict>
          <v:group style="position:absolute;margin-left:557.684509pt;margin-top:209.741394pt;width:37.35pt;height:555.550pt;mso-position-horizontal-relative:page;mso-position-vertical-relative:paragraph;z-index:251865088" coordorigin="11154,4195" coordsize="747,11111">
            <v:shape style="position:absolute;left:11283;top:4706;width:439;height:10600" type="#_x0000_t75" stroked="false">
              <v:imagedata r:id="rId102" o:title=""/>
            </v:shape>
            <v:shape style="position:absolute;left:11153;top:4194;width:747;height:812" coordorigin="11154,4195" coordsize="747,812" path="m11900,4195l11536,4195,11514,4197,11454,4231,11188,4513,11154,4600,11162,4647,11454,4970,11514,5004,11536,5006,11900,5006,11900,4195xe" filled="true" fillcolor="#bd7cb5" stroked="false">
              <v:path arrowok="t"/>
              <v:fill type="solid"/>
            </v:shape>
            <v:shape style="position:absolute;left:11321;top:4461;width:374;height:278" type="#_x0000_t75" stroked="false">
              <v:imagedata r:id="rId103" o:title=""/>
            </v:shape>
            <v:shape style="position:absolute;left:11378;top:5142;width:250;height:3599" type="#_x0000_t75" stroked="false">
              <v:imagedata r:id="rId104" o:title=""/>
            </v:shape>
            <v:shape style="position:absolute;left:11368;top:14743;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101</w:t>
                    </w:r>
                  </w:p>
                </w:txbxContent>
              </v:textbox>
              <w10:wrap type="none"/>
            </v:shape>
            <w10:wrap type="none"/>
          </v:group>
        </w:pict>
      </w:r>
      <w:r>
        <w:rPr>
          <w:color w:val="231F20"/>
          <w:spacing w:val="-1"/>
        </w:rPr>
        <w:t>針對抗藥性結核病高風險族群，為迅速診斷 </w:t>
      </w:r>
      <w:r>
        <w:rPr>
          <w:color w:val="231F20"/>
        </w:rPr>
        <w:t>RR-TB</w:t>
      </w:r>
      <w:r>
        <w:rPr>
          <w:color w:val="231F20"/>
          <w:spacing w:val="-8"/>
        </w:rPr>
        <w:t> 及 </w:t>
      </w:r>
      <w:r>
        <w:rPr>
          <w:color w:val="231F20"/>
        </w:rPr>
        <w:t>MDR-TB</w:t>
      </w:r>
      <w:r>
        <w:rPr>
          <w:color w:val="231F20"/>
          <w:spacing w:val="-5"/>
        </w:rPr>
        <w:t> 並及早納入 </w:t>
      </w:r>
      <w:r>
        <w:rPr>
          <w:color w:val="231F20"/>
          <w:spacing w:val="-3"/>
        </w:rPr>
        <w:t>TMTC</w:t>
      </w:r>
      <w:r>
        <w:rPr>
          <w:color w:val="231F20"/>
          <w:spacing w:val="-6"/>
        </w:rPr>
        <w:t> 團</w:t>
      </w:r>
      <w:r>
        <w:rPr>
          <w:color w:val="231F20"/>
          <w:spacing w:val="2"/>
        </w:rPr>
        <w:t>隊治療，可透過快速分子檢測服務，醫療院所 </w:t>
      </w:r>
      <w:r>
        <w:rPr>
          <w:color w:val="231F20"/>
          <w:w w:val="70"/>
        </w:rPr>
        <w:t>／ </w:t>
      </w:r>
      <w:r>
        <w:rPr>
          <w:color w:val="231F20"/>
          <w:spacing w:val="3"/>
        </w:rPr>
        <w:t>公衛管理人員 </w:t>
      </w:r>
      <w:r>
        <w:rPr>
          <w:color w:val="231F20"/>
        </w:rPr>
        <w:t>7</w:t>
      </w:r>
      <w:r>
        <w:rPr>
          <w:color w:val="231F20"/>
          <w:spacing w:val="2"/>
        </w:rPr>
        <w:t> 日內依疾管署規定</w:t>
      </w:r>
      <w:r>
        <w:rPr>
          <w:color w:val="231F20"/>
          <w:spacing w:val="4"/>
        </w:rPr>
        <w:t>之送驗流程送至指定實驗室檢驗，並於送驗後 </w:t>
      </w:r>
      <w:r>
        <w:rPr>
          <w:color w:val="231F20"/>
        </w:rPr>
        <w:t>3</w:t>
      </w:r>
      <w:r>
        <w:rPr>
          <w:color w:val="231F20"/>
          <w:spacing w:val="3"/>
        </w:rPr>
        <w:t> 日內追蹤檢驗結果。抗藥性結核病</w:t>
      </w:r>
      <w:r>
        <w:rPr>
          <w:color w:val="231F20"/>
          <w:spacing w:val="1"/>
        </w:rPr>
        <w:t>高風險對象痰檢體快速分子抗藥性檢測送驗流程 </w:t>
      </w:r>
      <w:r>
        <w:rPr>
          <w:color w:val="231F20"/>
          <w:w w:val="70"/>
        </w:rPr>
        <w:t>（ </w:t>
      </w:r>
      <w:r>
        <w:rPr>
          <w:color w:val="231F20"/>
          <w:spacing w:val="-10"/>
        </w:rPr>
        <w:t>圖 </w:t>
      </w:r>
      <w:r>
        <w:rPr>
          <w:color w:val="231F20"/>
        </w:rPr>
        <w:t>10-2</w:t>
      </w:r>
      <w:r>
        <w:rPr>
          <w:color w:val="231F20"/>
          <w:spacing w:val="1"/>
        </w:rPr>
        <w:t>)，痰檢體送至指定實驗室</w:t>
      </w:r>
      <w:r>
        <w:rPr>
          <w:color w:val="231F20"/>
        </w:rPr>
        <w:t>後，原則會先以 GeneXpert 進行 RMP 的分子抗藥性檢測，如確認為 RMP 抗藥，將</w:t>
      </w:r>
      <w:r>
        <w:rPr>
          <w:color w:val="231F20"/>
          <w:spacing w:val="-3"/>
        </w:rPr>
        <w:t>再進行 GenoType</w:t>
      </w:r>
      <w:r>
        <w:rPr>
          <w:color w:val="231F20"/>
          <w:spacing w:val="-4"/>
        </w:rPr>
        <w:t> 其他—線 </w:t>
      </w:r>
      <w:r>
        <w:rPr>
          <w:color w:val="231F20"/>
          <w:w w:val="70"/>
        </w:rPr>
        <w:t>（ </w:t>
      </w:r>
      <w:r>
        <w:rPr>
          <w:color w:val="231F20"/>
          <w:spacing w:val="-8"/>
        </w:rPr>
        <w:t>如 </w:t>
      </w:r>
      <w:r>
        <w:rPr>
          <w:color w:val="231F20"/>
        </w:rPr>
        <w:t>INH</w:t>
      </w:r>
      <w:r>
        <w:rPr>
          <w:color w:val="231F20"/>
          <w:spacing w:val="-2"/>
        </w:rPr>
        <w:t>) 及二線藥物之快速分子藥敏檢測。惟 </w:t>
      </w:r>
      <w:r>
        <w:rPr>
          <w:color w:val="231F20"/>
          <w:spacing w:val="2"/>
          <w:w w:val="70"/>
        </w:rPr>
        <w:t>「 </w:t>
      </w:r>
      <w:r>
        <w:rPr>
          <w:color w:val="231F20"/>
          <w:spacing w:val="4"/>
        </w:rPr>
        <w:t>通報結</w:t>
      </w:r>
      <w:r>
        <w:rPr>
          <w:color w:val="231F20"/>
          <w:spacing w:val="-4"/>
        </w:rPr>
        <w:t>核病之畜牧場人員 </w:t>
      </w:r>
      <w:r>
        <w:rPr>
          <w:color w:val="231F20"/>
        </w:rPr>
        <w:t>J、</w:t>
      </w:r>
      <w:r>
        <w:rPr>
          <w:color w:val="231F20"/>
          <w:spacing w:val="-33"/>
          <w:w w:val="70"/>
        </w:rPr>
        <w:t>「</w:t>
      </w:r>
      <w:r>
        <w:rPr>
          <w:color w:val="231F20"/>
          <w:sz w:val="25"/>
        </w:rPr>
        <w:t>M</w:t>
      </w:r>
      <w:r>
        <w:rPr>
          <w:color w:val="231F20"/>
          <w:spacing w:val="-10"/>
          <w:sz w:val="25"/>
        </w:rPr>
        <w:t>. </w:t>
      </w:r>
      <w:r>
        <w:rPr>
          <w:color w:val="231F20"/>
          <w:sz w:val="25"/>
        </w:rPr>
        <w:t>bovis </w:t>
      </w:r>
      <w:r>
        <w:rPr>
          <w:color w:val="231F20"/>
          <w:spacing w:val="-2"/>
        </w:rPr>
        <w:t>結核個案或動物之接觸者轉為個案者 </w:t>
      </w:r>
      <w:r>
        <w:rPr>
          <w:color w:val="231F20"/>
        </w:rPr>
        <w:t>J</w:t>
      </w:r>
      <w:r>
        <w:rPr>
          <w:color w:val="231F20"/>
          <w:spacing w:val="-6"/>
        </w:rPr>
        <w:t>、「 潛伏結核</w:t>
      </w:r>
      <w:r>
        <w:rPr>
          <w:color w:val="231F20"/>
          <w:spacing w:val="7"/>
        </w:rPr>
        <w:t>感染 </w:t>
      </w:r>
      <w:r>
        <w:rPr>
          <w:color w:val="231F20"/>
          <w:w w:val="32"/>
        </w:rPr>
        <w:t>（</w:t>
      </w:r>
      <w:r>
        <w:rPr>
          <w:color w:val="231F20"/>
          <w:spacing w:val="-15"/>
          <w:w w:val="90"/>
        </w:rPr>
        <w:t>L</w:t>
      </w:r>
      <w:r>
        <w:rPr>
          <w:color w:val="231F20"/>
          <w:w w:val="91"/>
        </w:rPr>
        <w:t>T</w:t>
      </w:r>
      <w:r>
        <w:rPr>
          <w:color w:val="231F20"/>
          <w:spacing w:val="-1"/>
          <w:w w:val="92"/>
        </w:rPr>
        <w:t>B</w:t>
      </w:r>
      <w:r>
        <w:rPr>
          <w:color w:val="231F20"/>
          <w:spacing w:val="-1"/>
          <w:w w:val="102"/>
        </w:rPr>
        <w:t>I</w:t>
      </w:r>
      <w:r>
        <w:rPr>
          <w:color w:val="231F20"/>
          <w:w w:val="96"/>
        </w:rPr>
        <w:t>)</w:t>
      </w:r>
      <w:r>
        <w:rPr>
          <w:color w:val="231F20"/>
          <w:spacing w:val="7"/>
        </w:rPr>
        <w:t> 治療個案結核病發病者 </w:t>
      </w:r>
      <w:r>
        <w:rPr>
          <w:color w:val="231F20"/>
        </w:rPr>
        <w:t>J</w:t>
      </w:r>
      <w:r>
        <w:rPr>
          <w:color w:val="231F20"/>
          <w:spacing w:val="3"/>
        </w:rPr>
        <w:t> 之送驗對象逕以 </w:t>
      </w:r>
      <w:r>
        <w:rPr>
          <w:color w:val="231F20"/>
          <w:w w:val="94"/>
        </w:rPr>
        <w:t>G</w:t>
      </w:r>
      <w:r>
        <w:rPr>
          <w:color w:val="231F20"/>
          <w:spacing w:val="-1"/>
          <w:w w:val="101"/>
        </w:rPr>
        <w:t>e</w:t>
      </w:r>
      <w:r>
        <w:rPr>
          <w:color w:val="231F20"/>
          <w:spacing w:val="-1"/>
          <w:w w:val="109"/>
        </w:rPr>
        <w:t>n</w:t>
      </w:r>
      <w:r>
        <w:rPr>
          <w:color w:val="231F20"/>
          <w:w w:val="113"/>
        </w:rPr>
        <w:t>o</w:t>
      </w:r>
      <w:r>
        <w:rPr>
          <w:color w:val="231F20"/>
          <w:spacing w:val="-15"/>
          <w:w w:val="91"/>
        </w:rPr>
        <w:t>T</w:t>
      </w:r>
      <w:r>
        <w:rPr>
          <w:color w:val="231F20"/>
          <w:w w:val="103"/>
        </w:rPr>
        <w:t>y</w:t>
      </w:r>
      <w:r>
        <w:rPr>
          <w:color w:val="231F20"/>
          <w:spacing w:val="-1"/>
          <w:w w:val="113"/>
        </w:rPr>
        <w:t>p</w:t>
      </w:r>
      <w:r>
        <w:rPr>
          <w:color w:val="231F20"/>
          <w:w w:val="101"/>
        </w:rPr>
        <w:t>e</w:t>
      </w:r>
      <w:r>
        <w:rPr>
          <w:color w:val="231F20"/>
        </w:rPr>
        <w:t> </w:t>
      </w:r>
      <w:r>
        <w:rPr>
          <w:color w:val="231F20"/>
          <w:spacing w:val="-1"/>
          <w:w w:val="115"/>
        </w:rPr>
        <w:t>M</w:t>
      </w:r>
      <w:r>
        <w:rPr>
          <w:color w:val="231F20"/>
          <w:w w:val="91"/>
        </w:rPr>
        <w:t>T</w:t>
      </w:r>
      <w:r>
        <w:rPr>
          <w:color w:val="231F20"/>
          <w:spacing w:val="-1"/>
          <w:w w:val="92"/>
        </w:rPr>
        <w:t>B</w:t>
      </w:r>
      <w:r>
        <w:rPr>
          <w:color w:val="231F20"/>
          <w:w w:val="104"/>
        </w:rPr>
        <w:t>D</w:t>
      </w:r>
      <w:r>
        <w:rPr>
          <w:color w:val="231F20"/>
          <w:spacing w:val="-34"/>
          <w:w w:val="88"/>
        </w:rPr>
        <w:t>R</w:t>
      </w:r>
      <w:r>
        <w:rPr>
          <w:color w:val="231F20"/>
          <w:spacing w:val="-1"/>
          <w:w w:val="102"/>
          <w:sz w:val="25"/>
        </w:rPr>
        <w:t>plu</w:t>
      </w:r>
      <w:r>
        <w:rPr>
          <w:color w:val="231F20"/>
          <w:w w:val="102"/>
          <w:sz w:val="25"/>
        </w:rPr>
        <w:t>s</w:t>
      </w:r>
      <w:r>
        <w:rPr>
          <w:color w:val="231F20"/>
          <w:sz w:val="25"/>
        </w:rPr>
        <w:t> </w:t>
      </w:r>
      <w:r>
        <w:rPr>
          <w:color w:val="231F20"/>
          <w:spacing w:val="10"/>
        </w:rPr>
        <w:t>進行 </w:t>
      </w:r>
      <w:r>
        <w:rPr>
          <w:color w:val="231F20"/>
        </w:rPr>
        <w:t>RMP、INH 之分子抗藥性檢測，如任—抗藥者，再以 </w:t>
      </w:r>
      <w:r>
        <w:rPr>
          <w:color w:val="231F20"/>
          <w:spacing w:val="-3"/>
        </w:rPr>
        <w:t>GenoType </w:t>
      </w:r>
      <w:r>
        <w:rPr>
          <w:color w:val="231F20"/>
          <w:spacing w:val="-6"/>
        </w:rPr>
        <w:t>MTBDR</w:t>
      </w:r>
      <w:r>
        <w:rPr>
          <w:color w:val="231F20"/>
          <w:spacing w:val="-6"/>
          <w:sz w:val="25"/>
        </w:rPr>
        <w:t>sl </w:t>
      </w:r>
      <w:r>
        <w:rPr>
          <w:color w:val="231F20"/>
          <w:spacing w:val="2"/>
        </w:rPr>
        <w:t>，就 </w:t>
      </w:r>
      <w:r>
        <w:rPr>
          <w:color w:val="231F20"/>
          <w:spacing w:val="-4"/>
        </w:rPr>
        <w:t>FLQ </w:t>
      </w:r>
      <w:r>
        <w:rPr>
          <w:color w:val="231F20"/>
          <w:spacing w:val="1"/>
        </w:rPr>
        <w:t>及二線藥針劑進行分子抗藥性檢測 </w:t>
      </w:r>
      <w:r>
        <w:rPr>
          <w:color w:val="231F20"/>
          <w:w w:val="70"/>
        </w:rPr>
        <w:t>（ </w:t>
      </w:r>
      <w:r>
        <w:rPr>
          <w:color w:val="231F20"/>
          <w:spacing w:val="-11"/>
        </w:rPr>
        <w:t>表 </w:t>
      </w:r>
      <w:r>
        <w:rPr>
          <w:color w:val="231F20"/>
        </w:rPr>
        <w:t>10-1</w:t>
      </w:r>
      <w:r>
        <w:rPr>
          <w:color w:val="231F20"/>
          <w:spacing w:val="2"/>
        </w:rPr>
        <w:t>)。個案通報時若未及送驗痰檢體但已有</w:t>
      </w:r>
      <w:r>
        <w:rPr>
          <w:color w:val="231F20"/>
        </w:rPr>
        <w:t>培養陽性且經鑑定為結核蔥群之蔥株，可將蔥株送本署分枝桿蔥實驗室進行後續分子抗藥性檢測，惟送驗當時若個案已使用抗結核藥物 4</w:t>
      </w:r>
      <w:r>
        <w:rPr>
          <w:color w:val="231F20"/>
          <w:spacing w:val="-14"/>
        </w:rPr>
        <w:t> 週 </w:t>
      </w:r>
      <w:r>
        <w:rPr>
          <w:color w:val="231F20"/>
          <w:w w:val="70"/>
        </w:rPr>
        <w:t>（ </w:t>
      </w:r>
      <w:r>
        <w:rPr>
          <w:color w:val="231F20"/>
          <w:spacing w:val="-5"/>
        </w:rPr>
        <w:t>含 ) 以上，可能已產生新抗</w:t>
      </w:r>
      <w:r>
        <w:rPr>
          <w:color w:val="231F20"/>
        </w:rPr>
        <w:t>藥，請務必重新取新鮮痰檢體送驗指定實驗室。</w:t>
      </w:r>
    </w:p>
    <w:p>
      <w:pPr>
        <w:pStyle w:val="BodyText"/>
        <w:spacing w:before="9"/>
        <w:rPr>
          <w:sz w:val="21"/>
        </w:rPr>
      </w:pPr>
    </w:p>
    <w:p>
      <w:pPr>
        <w:pStyle w:val="BodyText"/>
        <w:ind w:left="878"/>
        <w:jc w:val="both"/>
      </w:pPr>
      <w:r>
        <w:rPr/>
        <w:pict>
          <v:group style="position:absolute;margin-left:97.187889pt;margin-top:26.431206pt;width:436.25pt;height:324.1pt;mso-position-horizontal-relative:page;mso-position-vertical-relative:paragraph;z-index:-251453440;mso-wrap-distance-left:0;mso-wrap-distance-right:0" coordorigin="1944,529" coordsize="8725,6482">
            <v:shape style="position:absolute;left:1946;top:528;width:8723;height:6482" type="#_x0000_t75" stroked="false">
              <v:imagedata r:id="rId110" o:title=""/>
            </v:shape>
            <v:shape style="position:absolute;left:2793;top:585;width:2784;height:1784" type="#_x0000_t202" filled="false" stroked="false">
              <v:textbox inset="0,0,0,0">
                <w:txbxContent>
                  <w:p>
                    <w:pPr>
                      <w:spacing w:line="380" w:lineRule="exact" w:before="0"/>
                      <w:ind w:left="12" w:right="37" w:firstLine="0"/>
                      <w:jc w:val="center"/>
                      <w:rPr>
                        <w:rFonts w:ascii="微軟正黑體" w:eastAsia="微軟正黑體" w:hint="eastAsia"/>
                        <w:b/>
                        <w:sz w:val="24"/>
                      </w:rPr>
                    </w:pPr>
                    <w:r>
                      <w:rPr>
                        <w:rFonts w:ascii="微軟正黑體" w:eastAsia="微軟正黑體" w:hint="eastAsia"/>
                        <w:b/>
                        <w:color w:val="231F20"/>
                        <w:sz w:val="24"/>
                      </w:rPr>
                      <w:t>個案選定</w:t>
                    </w:r>
                  </w:p>
                  <w:p>
                    <w:pPr>
                      <w:spacing w:before="275"/>
                      <w:ind w:left="4" w:right="37" w:firstLine="0"/>
                      <w:jc w:val="center"/>
                      <w:rPr>
                        <w:rFonts w:ascii="微軟正黑體" w:eastAsia="微軟正黑體" w:hint="eastAsia"/>
                        <w:b/>
                        <w:sz w:val="24"/>
                      </w:rPr>
                    </w:pPr>
                    <w:r>
                      <w:rPr>
                        <w:rFonts w:ascii="微軟正黑體" w:eastAsia="微軟正黑體" w:hint="eastAsia"/>
                        <w:b/>
                        <w:color w:val="231F20"/>
                        <w:sz w:val="24"/>
                      </w:rPr>
                      <w:t>痰檢體收集、貼條碼</w:t>
                    </w:r>
                  </w:p>
                  <w:p>
                    <w:pPr>
                      <w:spacing w:line="240" w:lineRule="auto" w:before="13"/>
                      <w:rPr>
                        <w:rFonts w:ascii="微軟正黑體"/>
                        <w:b/>
                        <w:sz w:val="16"/>
                      </w:rPr>
                    </w:pPr>
                  </w:p>
                  <w:p>
                    <w:pPr>
                      <w:spacing w:line="380" w:lineRule="exact" w:before="0"/>
                      <w:ind w:left="19" w:right="37" w:firstLine="0"/>
                      <w:jc w:val="center"/>
                      <w:rPr>
                        <w:rFonts w:ascii="微軟正黑體" w:eastAsia="微軟正黑體" w:hint="eastAsia"/>
                        <w:b/>
                        <w:sz w:val="24"/>
                      </w:rPr>
                    </w:pPr>
                    <w:r>
                      <w:rPr>
                        <w:rFonts w:ascii="微軟正黑體" w:eastAsia="微軟正黑體" w:hint="eastAsia"/>
                        <w:b/>
                        <w:color w:val="231F20"/>
                        <w:w w:val="95"/>
                        <w:sz w:val="24"/>
                      </w:rPr>
                      <w:t>各結核病臨床</w:t>
                    </w:r>
                    <w:r>
                      <w:rPr>
                        <w:rFonts w:ascii="微軟正黑體" w:eastAsia="微軟正黑體" w:hint="eastAsia"/>
                        <w:b/>
                        <w:color w:val="231F20"/>
                        <w:w w:val="75"/>
                        <w:sz w:val="24"/>
                      </w:rPr>
                      <w:t>／</w:t>
                    </w:r>
                    <w:r>
                      <w:rPr>
                        <w:rFonts w:ascii="微軟正黑體" w:eastAsia="微軟正黑體" w:hint="eastAsia"/>
                        <w:b/>
                        <w:color w:val="231F20"/>
                        <w:w w:val="95"/>
                        <w:sz w:val="24"/>
                      </w:rPr>
                      <w:t>代檢實驗室</w:t>
                    </w:r>
                  </w:p>
                </w:txbxContent>
              </v:textbox>
              <w10:wrap type="none"/>
            </v:shape>
            <v:shape style="position:absolute;left:6631;top:1539;width:3839;height:746" type="#_x0000_t202" filled="false" stroked="false">
              <v:textbox inset="0,0,0,0">
                <w:txbxContent>
                  <w:p>
                    <w:pPr>
                      <w:numPr>
                        <w:ilvl w:val="0"/>
                        <w:numId w:val="194"/>
                      </w:numPr>
                      <w:tabs>
                        <w:tab w:pos="319" w:val="left" w:leader="none"/>
                      </w:tabs>
                      <w:spacing w:line="269" w:lineRule="exact" w:before="0"/>
                      <w:ind w:left="318" w:right="0" w:hanging="319"/>
                      <w:jc w:val="left"/>
                      <w:rPr>
                        <w:sz w:val="20"/>
                      </w:rPr>
                    </w:pPr>
                    <w:r>
                      <w:rPr>
                        <w:color w:val="231F20"/>
                        <w:spacing w:val="6"/>
                        <w:sz w:val="20"/>
                      </w:rPr>
                      <w:t>檢體寄送應遵循生物安全檢體包裝規定</w:t>
                    </w:r>
                  </w:p>
                  <w:p>
                    <w:pPr>
                      <w:numPr>
                        <w:ilvl w:val="0"/>
                        <w:numId w:val="194"/>
                      </w:numPr>
                      <w:tabs>
                        <w:tab w:pos="319" w:val="left" w:leader="none"/>
                      </w:tabs>
                      <w:spacing w:line="165" w:lineRule="auto" w:before="20"/>
                      <w:ind w:left="317" w:right="18" w:hanging="318"/>
                      <w:jc w:val="left"/>
                      <w:rPr>
                        <w:sz w:val="20"/>
                      </w:rPr>
                    </w:pPr>
                    <w:r>
                      <w:rPr>
                        <w:color w:val="231F20"/>
                        <w:spacing w:val="4"/>
                        <w:sz w:val="20"/>
                      </w:rPr>
                      <w:t>檢附防疫檢體送驗單，並註記送驗項目</w:t>
                    </w:r>
                    <w:r>
                      <w:rPr>
                        <w:color w:val="231F20"/>
                        <w:spacing w:val="6"/>
                        <w:sz w:val="20"/>
                      </w:rPr>
                      <w:t>為痰檢體快速分子抗藥性檢測</w:t>
                    </w:r>
                  </w:p>
                </w:txbxContent>
              </v:textbox>
              <w10:wrap type="none"/>
            </v:shape>
            <v:shape style="position:absolute;left:3330;top:2771;width:2005;height:685" type="#_x0000_t202" filled="false" stroked="false">
              <v:textbox inset="0,0,0,0">
                <w:txbxContent>
                  <w:p>
                    <w:pPr>
                      <w:spacing w:line="342" w:lineRule="exact" w:before="0"/>
                      <w:ind w:left="0" w:right="0" w:firstLine="0"/>
                      <w:jc w:val="left"/>
                      <w:rPr>
                        <w:rFonts w:ascii="微軟正黑體" w:eastAsia="微軟正黑體" w:hint="eastAsia"/>
                        <w:b/>
                        <w:sz w:val="24"/>
                      </w:rPr>
                    </w:pPr>
                    <w:r>
                      <w:rPr>
                        <w:rFonts w:ascii="微軟正黑體" w:eastAsia="微軟正黑體" w:hint="eastAsia"/>
                        <w:b/>
                        <w:color w:val="231F20"/>
                        <w:sz w:val="24"/>
                      </w:rPr>
                      <w:t>痰檢體消化去汙</w:t>
                    </w:r>
                  </w:p>
                  <w:p>
                    <w:pPr>
                      <w:spacing w:line="342" w:lineRule="exact" w:before="0"/>
                      <w:ind w:left="1024" w:right="0" w:firstLine="0"/>
                      <w:jc w:val="left"/>
                      <w:rPr>
                        <w:rFonts w:ascii="微軟正黑體" w:eastAsia="微軟正黑體" w:hint="eastAsia"/>
                        <w:b/>
                        <w:sz w:val="24"/>
                      </w:rPr>
                    </w:pPr>
                    <w:r>
                      <w:rPr>
                        <w:rFonts w:ascii="微軟正黑體" w:eastAsia="微軟正黑體" w:hint="eastAsia"/>
                        <w:b/>
                        <w:color w:val="231F20"/>
                        <w:sz w:val="24"/>
                      </w:rPr>
                      <w:t>同一檢體</w:t>
                    </w:r>
                  </w:p>
                </w:txbxContent>
              </v:textbox>
              <w10:wrap type="none"/>
            </v:shape>
            <v:shape style="position:absolute;left:6631;top:2593;width:3315;height:546" type="#_x0000_t202" filled="false" stroked="false">
              <v:textbox inset="0,0,0,0">
                <w:txbxContent>
                  <w:p>
                    <w:pPr>
                      <w:spacing w:line="289" w:lineRule="exact" w:before="0"/>
                      <w:ind w:left="0" w:right="0" w:firstLine="0"/>
                      <w:jc w:val="left"/>
                      <w:rPr>
                        <w:sz w:val="20"/>
                      </w:rPr>
                    </w:pPr>
                    <w:r>
                      <w:rPr>
                        <w:color w:val="231F20"/>
                        <w:sz w:val="20"/>
                      </w:rPr>
                      <w:t>依疾病管制署公布之結核蔥檢驗方法</w:t>
                    </w:r>
                  </w:p>
                  <w:p>
                    <w:pPr>
                      <w:spacing w:line="256" w:lineRule="exact" w:before="0"/>
                      <w:ind w:left="0" w:right="0" w:firstLine="0"/>
                      <w:jc w:val="left"/>
                      <w:rPr>
                        <w:sz w:val="20"/>
                      </w:rPr>
                    </w:pPr>
                    <w:r>
                      <w:rPr>
                        <w:color w:val="231F20"/>
                        <w:sz w:val="20"/>
                      </w:rPr>
                      <w:t>（必須使用NaOH／NALC 去汙法)</w:t>
                    </w:r>
                  </w:p>
                </w:txbxContent>
              </v:textbox>
              <w10:wrap type="none"/>
            </v:shape>
            <v:shape style="position:absolute;left:1943;top:3614;width:1896;height:807" type="#_x0000_t202" filled="false" stroked="false">
              <v:textbox inset="0,0,0,0">
                <w:txbxContent>
                  <w:p>
                    <w:pPr>
                      <w:spacing w:line="380" w:lineRule="exact" w:before="0"/>
                      <w:ind w:left="0" w:right="104" w:firstLine="0"/>
                      <w:jc w:val="right"/>
                      <w:rPr>
                        <w:rFonts w:ascii="微軟正黑體" w:eastAsia="微軟正黑體" w:hint="eastAsia"/>
                        <w:b/>
                        <w:sz w:val="24"/>
                      </w:rPr>
                    </w:pPr>
                    <w:r>
                      <w:rPr>
                        <w:rFonts w:ascii="微軟正黑體" w:eastAsia="微軟正黑體" w:hint="eastAsia"/>
                        <w:b/>
                        <w:color w:val="231F20"/>
                        <w:w w:val="95"/>
                        <w:sz w:val="24"/>
                      </w:rPr>
                      <w:t>臨床</w:t>
                    </w:r>
                    <w:r>
                      <w:rPr>
                        <w:rFonts w:ascii="微軟正黑體" w:eastAsia="微軟正黑體" w:hint="eastAsia"/>
                        <w:b/>
                        <w:color w:val="231F20"/>
                        <w:w w:val="75"/>
                        <w:sz w:val="24"/>
                      </w:rPr>
                      <w:t>／</w:t>
                    </w:r>
                    <w:r>
                      <w:rPr>
                        <w:rFonts w:ascii="微軟正黑體" w:eastAsia="微軟正黑體" w:hint="eastAsia"/>
                        <w:b/>
                        <w:color w:val="231F20"/>
                        <w:spacing w:val="-4"/>
                        <w:w w:val="95"/>
                        <w:sz w:val="24"/>
                      </w:rPr>
                      <w:t>代檢實驗室</w:t>
                    </w:r>
                  </w:p>
                  <w:p>
                    <w:pPr>
                      <w:spacing w:line="380" w:lineRule="exact" w:before="46"/>
                      <w:ind w:left="0" w:right="18" w:firstLine="0"/>
                      <w:jc w:val="right"/>
                      <w:rPr>
                        <w:rFonts w:ascii="微軟正黑體" w:eastAsia="微軟正黑體" w:hint="eastAsia"/>
                        <w:b/>
                        <w:sz w:val="24"/>
                      </w:rPr>
                    </w:pPr>
                    <w:r>
                      <w:rPr>
                        <w:rFonts w:ascii="微軟正黑體" w:eastAsia="微軟正黑體" w:hint="eastAsia"/>
                        <w:b/>
                        <w:color w:val="231F20"/>
                        <w:sz w:val="24"/>
                      </w:rPr>
                      <w:t>進行塗片與培養</w:t>
                    </w:r>
                  </w:p>
                </w:txbxContent>
              </v:textbox>
              <w10:wrap type="none"/>
            </v:shape>
            <v:shape style="position:absolute;left:4258;top:3620;width:1940;height:1282" type="#_x0000_t202" filled="false" stroked="false">
              <v:textbox inset="0,0,0,0">
                <w:txbxContent>
                  <w:p>
                    <w:pPr>
                      <w:spacing w:line="341" w:lineRule="exact" w:before="0"/>
                      <w:ind w:left="416" w:right="0" w:firstLine="0"/>
                      <w:jc w:val="left"/>
                      <w:rPr>
                        <w:rFonts w:ascii="微軟正黑體" w:eastAsia="微軟正黑體" w:hint="eastAsia"/>
                        <w:b/>
                        <w:sz w:val="24"/>
                      </w:rPr>
                    </w:pPr>
                    <w:r>
                      <w:rPr>
                        <w:rFonts w:ascii="微軟正黑體" w:eastAsia="微軟正黑體" w:hint="eastAsia"/>
                        <w:b/>
                        <w:color w:val="231F20"/>
                        <w:sz w:val="24"/>
                      </w:rPr>
                      <w:t>三軍總醫院</w:t>
                    </w:r>
                  </w:p>
                  <w:p>
                    <w:pPr>
                      <w:spacing w:line="163" w:lineRule="auto" w:before="63"/>
                      <w:ind w:left="0" w:right="18" w:firstLine="0"/>
                      <w:jc w:val="left"/>
                      <w:rPr>
                        <w:rFonts w:ascii="微軟正黑體" w:eastAsia="微軟正黑體" w:hint="eastAsia"/>
                        <w:b/>
                        <w:sz w:val="24"/>
                      </w:rPr>
                    </w:pPr>
                    <w:r>
                      <w:rPr>
                        <w:rFonts w:ascii="微軟正黑體" w:eastAsia="微軟正黑體" w:hint="eastAsia"/>
                        <w:b/>
                        <w:color w:val="231F20"/>
                        <w:spacing w:val="-3"/>
                        <w:sz w:val="24"/>
                      </w:rPr>
                      <w:t>已消化去汙之剩餘</w:t>
                    </w:r>
                    <w:r>
                      <w:rPr>
                        <w:rFonts w:ascii="微軟正黑體" w:eastAsia="微軟正黑體" w:hint="eastAsia"/>
                        <w:b/>
                        <w:color w:val="231F20"/>
                        <w:spacing w:val="1"/>
                        <w:sz w:val="24"/>
                      </w:rPr>
                      <w:t>痰檢體至少</w:t>
                    </w:r>
                    <w:r>
                      <w:rPr>
                        <w:rFonts w:ascii="微軟正黑體" w:eastAsia="微軟正黑體" w:hint="eastAsia"/>
                        <w:b/>
                        <w:color w:val="231F20"/>
                        <w:sz w:val="24"/>
                      </w:rPr>
                      <w:t>1ml</w:t>
                    </w:r>
                  </w:p>
                  <w:p>
                    <w:pPr>
                      <w:spacing w:line="278" w:lineRule="exact" w:before="0"/>
                      <w:ind w:left="0" w:right="0" w:firstLine="0"/>
                      <w:jc w:val="left"/>
                      <w:rPr>
                        <w:rFonts w:ascii="微軟正黑體" w:eastAsia="微軟正黑體" w:hint="eastAsia"/>
                        <w:b/>
                        <w:sz w:val="24"/>
                      </w:rPr>
                    </w:pPr>
                    <w:r>
                      <w:rPr>
                        <w:rFonts w:ascii="微軟正黑體" w:eastAsia="微軟正黑體" w:hint="eastAsia"/>
                        <w:b/>
                        <w:color w:val="231F20"/>
                        <w:w w:val="65"/>
                        <w:sz w:val="24"/>
                      </w:rPr>
                      <w:t>（</w:t>
                    </w:r>
                    <w:r>
                      <w:rPr>
                        <w:rFonts w:ascii="微軟正黑體" w:eastAsia="微軟正黑體" w:hint="eastAsia"/>
                        <w:b/>
                        <w:color w:val="231F20"/>
                        <w:sz w:val="24"/>
                      </w:rPr>
                      <w:t>不須加熱處理</w:t>
                    </w:r>
                    <w:r>
                      <w:rPr>
                        <w:rFonts w:ascii="微軟正黑體" w:eastAsia="微軟正黑體" w:hint="eastAsia"/>
                        <w:b/>
                        <w:color w:val="231F20"/>
                        <w:w w:val="65"/>
                        <w:sz w:val="24"/>
                      </w:rPr>
                      <w:t>）</w:t>
                    </w:r>
                  </w:p>
                </w:txbxContent>
              </v:textbox>
              <w10:wrap type="none"/>
            </v:shape>
            <v:shape style="position:absolute;left:2142;top:4892;width:1700;height:619" type="#_x0000_t202" filled="false" stroked="false">
              <v:textbox inset="0,0,0,0">
                <w:txbxContent>
                  <w:p>
                    <w:pPr>
                      <w:spacing w:line="163" w:lineRule="auto" w:before="41"/>
                      <w:ind w:left="0" w:right="18" w:firstLine="0"/>
                      <w:jc w:val="left"/>
                      <w:rPr>
                        <w:rFonts w:ascii="微軟正黑體" w:eastAsia="微軟正黑體" w:hint="eastAsia"/>
                        <w:b/>
                        <w:sz w:val="24"/>
                      </w:rPr>
                    </w:pPr>
                    <w:r>
                      <w:rPr>
                        <w:rFonts w:ascii="微軟正黑體" w:eastAsia="微軟正黑體" w:hint="eastAsia"/>
                        <w:b/>
                        <w:color w:val="231F20"/>
                        <w:sz w:val="24"/>
                      </w:rPr>
                      <w:t>陽性菌株進行鑑定及抗藥性試驗</w:t>
                    </w:r>
                  </w:p>
                </w:txbxContent>
              </v:textbox>
              <w10:wrap type="none"/>
            </v:shape>
            <v:shape style="position:absolute;left:4530;top:5331;width:1460;height:320" type="#_x0000_t202" filled="false" stroked="false">
              <v:textbox inset="0,0,0,0">
                <w:txbxContent>
                  <w:p>
                    <w:pPr>
                      <w:spacing w:line="319" w:lineRule="exact" w:before="0"/>
                      <w:ind w:left="0" w:right="0" w:firstLine="0"/>
                      <w:jc w:val="left"/>
                      <w:rPr>
                        <w:rFonts w:ascii="微軟正黑體" w:eastAsia="微軟正黑體" w:hint="eastAsia"/>
                        <w:b/>
                        <w:sz w:val="24"/>
                      </w:rPr>
                    </w:pPr>
                    <w:r>
                      <w:rPr>
                        <w:rFonts w:ascii="微軟正黑體" w:eastAsia="微軟正黑體" w:hint="eastAsia"/>
                        <w:b/>
                        <w:color w:val="231F20"/>
                        <w:sz w:val="24"/>
                      </w:rPr>
                      <w:t>進行分子檢測</w:t>
                    </w:r>
                  </w:p>
                </w:txbxContent>
              </v:textbox>
              <w10:wrap type="none"/>
            </v:shape>
            <v:shape style="position:absolute;left:7033;top:3432;width:3469;height:2515" type="#_x0000_t202" filled="false" stroked="false">
              <v:textbox inset="0,0,0,0">
                <w:txbxContent>
                  <w:p>
                    <w:pPr>
                      <w:numPr>
                        <w:ilvl w:val="0"/>
                        <w:numId w:val="195"/>
                      </w:numPr>
                      <w:tabs>
                        <w:tab w:pos="323" w:val="left" w:leader="none"/>
                      </w:tabs>
                      <w:spacing w:line="172" w:lineRule="auto" w:before="42"/>
                      <w:ind w:left="323" w:right="36" w:hanging="323"/>
                      <w:jc w:val="left"/>
                      <w:rPr>
                        <w:sz w:val="20"/>
                      </w:rPr>
                    </w:pPr>
                    <w:r>
                      <w:rPr>
                        <w:color w:val="231F20"/>
                        <w:spacing w:val="1"/>
                        <w:sz w:val="20"/>
                      </w:rPr>
                      <w:t>結核病臨床</w:t>
                    </w:r>
                    <w:r>
                      <w:rPr>
                        <w:color w:val="231F20"/>
                        <w:spacing w:val="4"/>
                        <w:w w:val="65"/>
                        <w:sz w:val="20"/>
                      </w:rPr>
                      <w:t>／</w:t>
                    </w:r>
                    <w:r>
                      <w:rPr>
                        <w:color w:val="231F20"/>
                        <w:sz w:val="20"/>
                      </w:rPr>
                      <w:t>代檢實驗室將含至少</w:t>
                    </w:r>
                    <w:r>
                      <w:rPr>
                        <w:color w:val="231F20"/>
                        <w:spacing w:val="-17"/>
                        <w:sz w:val="20"/>
                      </w:rPr>
                      <w:t>1 </w:t>
                    </w:r>
                    <w:r>
                      <w:rPr>
                        <w:color w:val="231F20"/>
                        <w:sz w:val="20"/>
                      </w:rPr>
                      <w:t>mL</w:t>
                    </w:r>
                    <w:r>
                      <w:rPr>
                        <w:color w:val="231F20"/>
                        <w:spacing w:val="4"/>
                        <w:sz w:val="20"/>
                      </w:rPr>
                      <w:t> 消化去汙痰檢體</w:t>
                    </w:r>
                    <w:r>
                      <w:rPr>
                        <w:color w:val="231F20"/>
                        <w:w w:val="65"/>
                        <w:sz w:val="20"/>
                      </w:rPr>
                      <w:t>（</w:t>
                    </w:r>
                    <w:r>
                      <w:rPr>
                        <w:color w:val="231F20"/>
                        <w:spacing w:val="-4"/>
                        <w:sz w:val="20"/>
                      </w:rPr>
                      <w:t>不冊痰塗片陽</w:t>
                    </w:r>
                    <w:r>
                      <w:rPr>
                        <w:color w:val="231F20"/>
                        <w:spacing w:val="-2"/>
                        <w:sz w:val="20"/>
                      </w:rPr>
                      <w:t>性與否)之原始</w:t>
                    </w:r>
                    <w:r>
                      <w:rPr>
                        <w:color w:val="231F20"/>
                        <w:sz w:val="20"/>
                      </w:rPr>
                      <w:t>50</w:t>
                    </w:r>
                    <w:r>
                      <w:rPr>
                        <w:color w:val="231F20"/>
                        <w:spacing w:val="12"/>
                        <w:sz w:val="20"/>
                      </w:rPr>
                      <w:t>  </w:t>
                    </w:r>
                    <w:r>
                      <w:rPr>
                        <w:color w:val="231F20"/>
                        <w:sz w:val="20"/>
                      </w:rPr>
                      <w:t>mL離心管，遵 循生物安全檢體包裝規定送三軍總</w:t>
                    </w:r>
                    <w:r>
                      <w:rPr>
                        <w:color w:val="231F20"/>
                        <w:spacing w:val="4"/>
                        <w:w w:val="95"/>
                        <w:sz w:val="20"/>
                      </w:rPr>
                      <w:t>醫院 </w:t>
                    </w:r>
                    <w:r>
                      <w:rPr>
                        <w:color w:val="231F20"/>
                        <w:w w:val="95"/>
                        <w:sz w:val="20"/>
                      </w:rPr>
                      <w:t>（</w:t>
                    </w:r>
                    <w:r>
                      <w:rPr>
                        <w:color w:val="231F20"/>
                        <w:spacing w:val="2"/>
                        <w:w w:val="95"/>
                        <w:sz w:val="20"/>
                      </w:rPr>
                      <w:t>並同防疫檢體送驗單影本， </w:t>
                    </w:r>
                    <w:r>
                      <w:rPr>
                        <w:color w:val="231F20"/>
                        <w:spacing w:val="4"/>
                        <w:sz w:val="20"/>
                      </w:rPr>
                      <w:t>需註記痰塗片結果、送驗項目)</w:t>
                    </w:r>
                  </w:p>
                  <w:p>
                    <w:pPr>
                      <w:numPr>
                        <w:ilvl w:val="0"/>
                        <w:numId w:val="195"/>
                      </w:numPr>
                      <w:tabs>
                        <w:tab w:pos="323" w:val="left" w:leader="none"/>
                      </w:tabs>
                      <w:spacing w:line="172" w:lineRule="auto" w:before="0"/>
                      <w:ind w:left="323" w:right="18" w:hanging="323"/>
                      <w:jc w:val="both"/>
                      <w:rPr>
                        <w:sz w:val="20"/>
                      </w:rPr>
                    </w:pPr>
                    <w:r>
                      <w:rPr>
                        <w:color w:val="231F20"/>
                        <w:spacing w:val="6"/>
                        <w:sz w:val="20"/>
                      </w:rPr>
                      <w:t>寄送地址：114臺北市內湖區成功</w:t>
                    </w:r>
                    <w:r>
                      <w:rPr>
                        <w:color w:val="231F20"/>
                        <w:spacing w:val="6"/>
                        <w:w w:val="95"/>
                        <w:sz w:val="20"/>
                      </w:rPr>
                      <w:t>路二段</w:t>
                    </w:r>
                    <w:r>
                      <w:rPr>
                        <w:color w:val="231F20"/>
                        <w:spacing w:val="5"/>
                        <w:w w:val="95"/>
                        <w:sz w:val="20"/>
                      </w:rPr>
                      <w:t>325</w:t>
                    </w:r>
                    <w:r>
                      <w:rPr>
                        <w:color w:val="231F20"/>
                        <w:spacing w:val="12"/>
                        <w:w w:val="95"/>
                        <w:sz w:val="20"/>
                      </w:rPr>
                      <w:t>號</w:t>
                    </w:r>
                    <w:r>
                      <w:rPr>
                        <w:color w:val="231F20"/>
                        <w:spacing w:val="12"/>
                        <w:w w:val="70"/>
                        <w:sz w:val="20"/>
                      </w:rPr>
                      <w:t>（</w:t>
                    </w:r>
                    <w:r>
                      <w:rPr>
                        <w:color w:val="231F20"/>
                        <w:spacing w:val="3"/>
                        <w:w w:val="95"/>
                        <w:sz w:val="20"/>
                      </w:rPr>
                      <w:t>醫療大樓三樓臨床病</w:t>
                    </w:r>
                    <w:r>
                      <w:rPr>
                        <w:color w:val="231F20"/>
                        <w:spacing w:val="6"/>
                        <w:sz w:val="20"/>
                      </w:rPr>
                      <w:t>理科)賴小姐收</w:t>
                    </w:r>
                  </w:p>
                  <w:p>
                    <w:pPr>
                      <w:numPr>
                        <w:ilvl w:val="0"/>
                        <w:numId w:val="195"/>
                      </w:numPr>
                      <w:tabs>
                        <w:tab w:pos="324" w:val="left" w:leader="none"/>
                      </w:tabs>
                      <w:spacing w:line="221" w:lineRule="exact" w:before="0"/>
                      <w:ind w:left="323" w:right="0" w:hanging="324"/>
                      <w:jc w:val="both"/>
                      <w:rPr>
                        <w:sz w:val="20"/>
                      </w:rPr>
                    </w:pPr>
                    <w:r>
                      <w:rPr>
                        <w:color w:val="231F20"/>
                        <w:spacing w:val="6"/>
                        <w:sz w:val="20"/>
                      </w:rPr>
                      <w:t>寄送方式：黑貓宅急便</w:t>
                    </w:r>
                    <w:r>
                      <w:rPr>
                        <w:color w:val="231F20"/>
                        <w:spacing w:val="14"/>
                        <w:w w:val="65"/>
                        <w:sz w:val="20"/>
                      </w:rPr>
                      <w:t>（</w:t>
                    </w:r>
                    <w:r>
                      <w:rPr>
                        <w:color w:val="231F20"/>
                        <w:spacing w:val="6"/>
                        <w:sz w:val="20"/>
                      </w:rPr>
                      <w:t>檢體貨到</w:t>
                    </w:r>
                  </w:p>
                </w:txbxContent>
              </v:textbox>
              <w10:wrap type="none"/>
            </v:shape>
            <v:shape style="position:absolute;left:2258;top:6082;width:3490;height:320" type="#_x0000_t202" filled="false" stroked="false">
              <v:textbox inset="0,0,0,0">
                <w:txbxContent>
                  <w:p>
                    <w:pPr>
                      <w:tabs>
                        <w:tab w:pos="2510" w:val="left" w:leader="none"/>
                      </w:tabs>
                      <w:spacing w:line="319" w:lineRule="exact" w:before="0"/>
                      <w:ind w:left="0" w:right="0" w:firstLine="0"/>
                      <w:jc w:val="left"/>
                      <w:rPr>
                        <w:rFonts w:ascii="微軟正黑體" w:eastAsia="微軟正黑體" w:hint="eastAsia"/>
                        <w:b/>
                        <w:sz w:val="24"/>
                      </w:rPr>
                    </w:pPr>
                    <w:r>
                      <w:rPr>
                        <w:rFonts w:ascii="微軟正黑體" w:eastAsia="微軟正黑體" w:hint="eastAsia"/>
                        <w:b/>
                        <w:color w:val="231F20"/>
                        <w:sz w:val="24"/>
                      </w:rPr>
                      <w:t>報告登錄系統</w:t>
                      <w:tab/>
                      <w:t>報告回復</w:t>
                    </w:r>
                  </w:p>
                </w:txbxContent>
              </v:textbox>
              <w10:wrap type="none"/>
            </v:shape>
            <v:shape style="position:absolute;left:7033;top:5931;width:825;height:516" type="#_x0000_t202" filled="false" stroked="false">
              <v:textbox inset="0,0,0,0">
                <w:txbxContent>
                  <w:p>
                    <w:pPr>
                      <w:spacing w:line="274" w:lineRule="exact" w:before="0"/>
                      <w:ind w:left="323" w:right="0" w:firstLine="0"/>
                      <w:jc w:val="left"/>
                      <w:rPr>
                        <w:sz w:val="20"/>
                      </w:rPr>
                    </w:pPr>
                    <w:r>
                      <w:rPr>
                        <w:color w:val="231F20"/>
                        <w:sz w:val="20"/>
                      </w:rPr>
                      <w:t>付款)</w:t>
                    </w:r>
                  </w:p>
                  <w:p>
                    <w:pPr>
                      <w:spacing w:line="241" w:lineRule="exact" w:before="0"/>
                      <w:ind w:left="0" w:right="0" w:firstLine="0"/>
                      <w:jc w:val="left"/>
                      <w:rPr>
                        <w:sz w:val="20"/>
                      </w:rPr>
                    </w:pPr>
                    <w:r>
                      <w:rPr>
                        <w:color w:val="231F20"/>
                        <w:sz w:val="20"/>
                      </w:rPr>
                      <w:t>4.</w:t>
                    </w:r>
                  </w:p>
                </w:txbxContent>
              </v:textbox>
              <w10:wrap type="none"/>
            </v:shape>
            <v:shape style="position:absolute;left:7357;top:6181;width:3109;height:266" type="#_x0000_t202" filled="false" stroked="false">
              <v:textbox inset="0,0,0,0">
                <w:txbxContent>
                  <w:p>
                    <w:pPr>
                      <w:spacing w:line="266" w:lineRule="exact" w:before="0"/>
                      <w:ind w:left="0" w:right="0" w:firstLine="0"/>
                      <w:jc w:val="left"/>
                      <w:rPr>
                        <w:sz w:val="20"/>
                      </w:rPr>
                    </w:pPr>
                    <w:r>
                      <w:rPr>
                        <w:color w:val="231F20"/>
                        <w:sz w:val="20"/>
                      </w:rPr>
                      <w:t>聯絡窗口：三軍總醫院臨床病理科</w:t>
                    </w:r>
                  </w:p>
                </w:txbxContent>
              </v:textbox>
              <w10:wrap type="none"/>
            </v:shape>
            <v:shape style="position:absolute;left:7145;top:6431;width:2465;height:516" type="#_x0000_t202" filled="false" stroked="false">
              <v:textbox inset="0,0,0,0">
                <w:txbxContent>
                  <w:p>
                    <w:pPr>
                      <w:spacing w:line="274" w:lineRule="exact" w:before="0"/>
                      <w:ind w:left="210" w:right="0" w:firstLine="0"/>
                      <w:jc w:val="left"/>
                      <w:rPr>
                        <w:sz w:val="20"/>
                      </w:rPr>
                    </w:pPr>
                    <w:r>
                      <w:rPr>
                        <w:color w:val="231F20"/>
                        <w:sz w:val="20"/>
                      </w:rPr>
                      <w:t>分子診斷中心</w:t>
                    </w:r>
                  </w:p>
                  <w:p>
                    <w:pPr>
                      <w:spacing w:line="241" w:lineRule="exact" w:before="0"/>
                      <w:ind w:left="0" w:right="0" w:firstLine="0"/>
                      <w:jc w:val="left"/>
                      <w:rPr>
                        <w:sz w:val="20"/>
                      </w:rPr>
                    </w:pPr>
                    <w:r>
                      <w:rPr>
                        <w:color w:val="231F20"/>
                        <w:w w:val="70"/>
                        <w:sz w:val="20"/>
                      </w:rPr>
                      <w:t>（ </w:t>
                    </w:r>
                    <w:r>
                      <w:rPr>
                        <w:color w:val="231F20"/>
                        <w:sz w:val="20"/>
                      </w:rPr>
                      <w:t>02 ) 87923311 轉 88121</w:t>
                    </w:r>
                  </w:p>
                </w:txbxContent>
              </v:textbox>
              <w10:wrap type="none"/>
            </v:shape>
            <w10:wrap type="topAndBottom"/>
          </v:group>
        </w:pict>
      </w:r>
      <w:r>
        <w:rPr>
          <w:color w:val="231F20"/>
        </w:rPr>
        <w:t>圖 10-2、抗藥性結核病高風險對象痰檢體快速分子抗藥性檢測送驗流程</w:t>
      </w:r>
    </w:p>
    <w:p>
      <w:pPr>
        <w:spacing w:after="0"/>
        <w:jc w:val="both"/>
        <w:sectPr>
          <w:pgSz w:w="11910" w:h="16840"/>
          <w:pgMar w:top="1060" w:bottom="0" w:left="980" w:right="0"/>
        </w:sectPr>
      </w:pPr>
    </w:p>
    <w:p>
      <w:pPr>
        <w:pStyle w:val="BodyText"/>
        <w:spacing w:before="60"/>
        <w:ind w:left="878"/>
        <w:jc w:val="both"/>
      </w:pPr>
      <w:r>
        <w:rPr/>
        <w:pict>
          <v:group style="position:absolute;margin-left:-.000001pt;margin-top:286.162994pt;width:37.35pt;height:555.550pt;mso-position-horizontal-relative:page;mso-position-vertical-relative:page;z-index:251867136"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102</w:t>
                    </w:r>
                  </w:p>
                </w:txbxContent>
              </v:textbox>
              <w10:wrap type="none"/>
            </v:shape>
            <w10:wrap type="none"/>
          </v:group>
        </w:pict>
      </w:r>
      <w:r>
        <w:rPr/>
        <w:pict>
          <v:shape style="position:absolute;margin-left:92.932999pt;margin-top:21.535555pt;width:445.8pt;height:450.4pt;mso-position-horizontal-relative:page;mso-position-vertical-relative:paragraph;z-index:25186816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758"/>
                    <w:gridCol w:w="4709"/>
                    <w:gridCol w:w="3427"/>
                  </w:tblGrid>
                  <w:tr>
                    <w:trPr>
                      <w:trHeight w:val="451" w:hRule="atLeast"/>
                    </w:trPr>
                    <w:tc>
                      <w:tcPr>
                        <w:tcW w:w="758" w:type="dxa"/>
                        <w:shd w:val="clear" w:color="auto" w:fill="E6E7E8"/>
                      </w:tcPr>
                      <w:p>
                        <w:pPr>
                          <w:pStyle w:val="TableParagraph"/>
                          <w:spacing w:line="431" w:lineRule="exact"/>
                          <w:ind w:left="118" w:right="104"/>
                          <w:jc w:val="center"/>
                          <w:rPr>
                            <w:rFonts w:ascii="微軟正黑體" w:eastAsia="微軟正黑體" w:hint="eastAsia"/>
                            <w:b/>
                            <w:sz w:val="24"/>
                          </w:rPr>
                        </w:pPr>
                        <w:r>
                          <w:rPr>
                            <w:rFonts w:ascii="微軟正黑體" w:eastAsia="微軟正黑體" w:hint="eastAsia"/>
                            <w:b/>
                            <w:color w:val="231F20"/>
                            <w:sz w:val="24"/>
                          </w:rPr>
                          <w:t>序號</w:t>
                        </w:r>
                      </w:p>
                    </w:tc>
                    <w:tc>
                      <w:tcPr>
                        <w:tcW w:w="4709" w:type="dxa"/>
                        <w:shd w:val="clear" w:color="auto" w:fill="E6E7E8"/>
                      </w:tcPr>
                      <w:p>
                        <w:pPr>
                          <w:pStyle w:val="TableParagraph"/>
                          <w:spacing w:line="431" w:lineRule="exact"/>
                          <w:ind w:left="2094" w:right="2080"/>
                          <w:jc w:val="center"/>
                          <w:rPr>
                            <w:rFonts w:ascii="微軟正黑體" w:eastAsia="微軟正黑體" w:hint="eastAsia"/>
                            <w:b/>
                            <w:sz w:val="24"/>
                          </w:rPr>
                        </w:pPr>
                        <w:r>
                          <w:rPr>
                            <w:rFonts w:ascii="微軟正黑體" w:eastAsia="微軟正黑體" w:hint="eastAsia"/>
                            <w:b/>
                            <w:color w:val="231F20"/>
                            <w:sz w:val="24"/>
                          </w:rPr>
                          <w:t>對象</w:t>
                        </w:r>
                      </w:p>
                    </w:tc>
                    <w:tc>
                      <w:tcPr>
                        <w:tcW w:w="3427" w:type="dxa"/>
                        <w:shd w:val="clear" w:color="auto" w:fill="E6E7E8"/>
                      </w:tcPr>
                      <w:p>
                        <w:pPr>
                          <w:pStyle w:val="TableParagraph"/>
                          <w:spacing w:line="431" w:lineRule="exact"/>
                          <w:ind w:left="1213" w:right="1199"/>
                          <w:jc w:val="center"/>
                          <w:rPr>
                            <w:rFonts w:ascii="微軟正黑體" w:eastAsia="微軟正黑體" w:hint="eastAsia"/>
                            <w:b/>
                            <w:sz w:val="24"/>
                          </w:rPr>
                        </w:pPr>
                        <w:r>
                          <w:rPr>
                            <w:rFonts w:ascii="微軟正黑體" w:eastAsia="微軟正黑體" w:hint="eastAsia"/>
                            <w:b/>
                            <w:color w:val="231F20"/>
                            <w:sz w:val="24"/>
                          </w:rPr>
                          <w:t>檢測方式</w:t>
                        </w:r>
                      </w:p>
                    </w:tc>
                  </w:tr>
                  <w:tr>
                    <w:trPr>
                      <w:trHeight w:val="851" w:hRule="atLeast"/>
                    </w:trPr>
                    <w:tc>
                      <w:tcPr>
                        <w:tcW w:w="758" w:type="dxa"/>
                      </w:tcPr>
                      <w:p>
                        <w:pPr>
                          <w:pStyle w:val="TableParagraph"/>
                          <w:spacing w:before="231"/>
                          <w:ind w:left="118" w:right="104"/>
                          <w:jc w:val="center"/>
                          <w:rPr>
                            <w:sz w:val="24"/>
                          </w:rPr>
                        </w:pPr>
                        <w:r>
                          <w:rPr>
                            <w:color w:val="231F20"/>
                            <w:sz w:val="24"/>
                          </w:rPr>
                          <w:t>1.</w:t>
                        </w:r>
                      </w:p>
                    </w:tc>
                    <w:tc>
                      <w:tcPr>
                        <w:tcW w:w="4709" w:type="dxa"/>
                      </w:tcPr>
                      <w:p>
                        <w:pPr>
                          <w:pStyle w:val="TableParagraph"/>
                          <w:spacing w:line="409" w:lineRule="exact" w:before="31"/>
                          <w:ind w:left="112"/>
                          <w:rPr>
                            <w:sz w:val="24"/>
                          </w:rPr>
                        </w:pPr>
                        <w:r>
                          <w:rPr>
                            <w:color w:val="231F20"/>
                            <w:w w:val="105"/>
                            <w:sz w:val="24"/>
                          </w:rPr>
                          <w:t>結核病再治個案(失落、失敗、復發，重</w:t>
                        </w:r>
                      </w:p>
                      <w:p>
                        <w:pPr>
                          <w:pStyle w:val="TableParagraph"/>
                          <w:spacing w:line="391" w:lineRule="exact"/>
                          <w:ind w:left="112"/>
                          <w:rPr>
                            <w:sz w:val="24"/>
                          </w:rPr>
                        </w:pPr>
                        <w:r>
                          <w:rPr>
                            <w:color w:val="231F20"/>
                            <w:w w:val="105"/>
                            <w:sz w:val="24"/>
                          </w:rPr>
                          <w:t>開非復發且曾經使用抗結核藥物4 週以上)</w:t>
                        </w:r>
                      </w:p>
                    </w:tc>
                    <w:tc>
                      <w:tcPr>
                        <w:tcW w:w="3427" w:type="dxa"/>
                        <w:vMerge w:val="restart"/>
                      </w:tcPr>
                      <w:p>
                        <w:pPr>
                          <w:pStyle w:val="TableParagraph"/>
                          <w:rPr>
                            <w:sz w:val="32"/>
                          </w:rPr>
                        </w:pPr>
                      </w:p>
                      <w:p>
                        <w:pPr>
                          <w:pStyle w:val="TableParagraph"/>
                          <w:rPr>
                            <w:sz w:val="32"/>
                          </w:rPr>
                        </w:pPr>
                      </w:p>
                      <w:p>
                        <w:pPr>
                          <w:pStyle w:val="TableParagraph"/>
                          <w:spacing w:before="14"/>
                          <w:rPr>
                            <w:sz w:val="20"/>
                          </w:rPr>
                        </w:pPr>
                      </w:p>
                      <w:p>
                        <w:pPr>
                          <w:pStyle w:val="TableParagraph"/>
                          <w:numPr>
                            <w:ilvl w:val="0"/>
                            <w:numId w:val="196"/>
                          </w:numPr>
                          <w:tabs>
                            <w:tab w:pos="368" w:val="left" w:leader="none"/>
                          </w:tabs>
                          <w:spacing w:line="230" w:lineRule="auto" w:before="0" w:after="0"/>
                          <w:ind w:left="367" w:right="95" w:hanging="255"/>
                          <w:jc w:val="left"/>
                          <w:rPr>
                            <w:sz w:val="24"/>
                          </w:rPr>
                        </w:pPr>
                        <w:r>
                          <w:rPr>
                            <w:color w:val="231F20"/>
                            <w:sz w:val="24"/>
                          </w:rPr>
                          <w:t>以 GeneXpert， 就 RMP</w:t>
                        </w:r>
                        <w:r>
                          <w:rPr>
                            <w:color w:val="231F20"/>
                            <w:spacing w:val="9"/>
                            <w:sz w:val="24"/>
                          </w:rPr>
                          <w:t> 進行檢測</w:t>
                        </w:r>
                      </w:p>
                      <w:p>
                        <w:pPr>
                          <w:pStyle w:val="TableParagraph"/>
                          <w:numPr>
                            <w:ilvl w:val="0"/>
                            <w:numId w:val="196"/>
                          </w:numPr>
                          <w:tabs>
                            <w:tab w:pos="369" w:val="left" w:leader="none"/>
                          </w:tabs>
                          <w:spacing w:line="395" w:lineRule="exact" w:before="0" w:after="0"/>
                          <w:ind w:left="368" w:right="0" w:hanging="257"/>
                          <w:jc w:val="left"/>
                          <w:rPr>
                            <w:sz w:val="24"/>
                          </w:rPr>
                        </w:pPr>
                        <w:r>
                          <w:rPr>
                            <w:color w:val="231F20"/>
                            <w:spacing w:val="-4"/>
                            <w:sz w:val="24"/>
                          </w:rPr>
                          <w:t>如為 </w:t>
                        </w:r>
                        <w:r>
                          <w:rPr>
                            <w:rFonts w:ascii="微軟正黑體" w:eastAsia="微軟正黑體" w:hint="eastAsia"/>
                            <w:b/>
                            <w:color w:val="231F20"/>
                            <w:sz w:val="24"/>
                          </w:rPr>
                          <w:t>RMP</w:t>
                        </w:r>
                        <w:r>
                          <w:rPr>
                            <w:rFonts w:ascii="微軟正黑體" w:eastAsia="微軟正黑體" w:hint="eastAsia"/>
                            <w:b/>
                            <w:color w:val="231F20"/>
                            <w:spacing w:val="-1"/>
                            <w:sz w:val="24"/>
                          </w:rPr>
                          <w:t> 抗藥</w:t>
                        </w:r>
                        <w:r>
                          <w:rPr>
                            <w:color w:val="231F20"/>
                            <w:sz w:val="24"/>
                          </w:rPr>
                          <w:t>：</w:t>
                        </w:r>
                      </w:p>
                      <w:p>
                        <w:pPr>
                          <w:pStyle w:val="TableParagraph"/>
                          <w:spacing w:line="225" w:lineRule="auto" w:before="8"/>
                          <w:ind w:left="622" w:right="20" w:hanging="340"/>
                          <w:rPr>
                            <w:sz w:val="24"/>
                          </w:rPr>
                        </w:pPr>
                        <w:r>
                          <w:rPr>
                            <w:color w:val="231F20"/>
                            <w:sz w:val="24"/>
                          </w:rPr>
                          <w:t>（1) 以 GenoType MTBDR</w:t>
                        </w:r>
                        <w:r>
                          <w:rPr>
                            <w:color w:val="231F20"/>
                            <w:sz w:val="25"/>
                          </w:rPr>
                          <w:t>plus </w:t>
                        </w:r>
                        <w:r>
                          <w:rPr>
                            <w:color w:val="231F20"/>
                            <w:sz w:val="24"/>
                          </w:rPr>
                          <w:t>，就 RMP 及INH 進行檢測，及</w:t>
                        </w:r>
                      </w:p>
                      <w:p>
                        <w:pPr>
                          <w:pStyle w:val="TableParagraph"/>
                          <w:spacing w:line="225" w:lineRule="auto"/>
                          <w:ind w:left="622" w:right="51" w:hanging="340"/>
                          <w:rPr>
                            <w:sz w:val="24"/>
                          </w:rPr>
                        </w:pPr>
                        <w:r>
                          <w:rPr>
                            <w:color w:val="231F20"/>
                            <w:w w:val="95"/>
                            <w:sz w:val="24"/>
                          </w:rPr>
                          <w:t>（2) GenoType </w:t>
                        </w:r>
                        <w:r>
                          <w:rPr>
                            <w:color w:val="231F20"/>
                            <w:spacing w:val="-6"/>
                            <w:w w:val="95"/>
                            <w:sz w:val="24"/>
                          </w:rPr>
                          <w:t>MTBDR</w:t>
                        </w:r>
                        <w:r>
                          <w:rPr>
                            <w:color w:val="231F20"/>
                            <w:spacing w:val="-6"/>
                            <w:w w:val="95"/>
                            <w:sz w:val="25"/>
                          </w:rPr>
                          <w:t>sl </w:t>
                        </w:r>
                        <w:r>
                          <w:rPr>
                            <w:color w:val="231F20"/>
                            <w:spacing w:val="-12"/>
                            <w:w w:val="95"/>
                            <w:sz w:val="24"/>
                          </w:rPr>
                          <w:t>，就</w:t>
                        </w:r>
                        <w:r>
                          <w:rPr>
                            <w:color w:val="231F20"/>
                            <w:spacing w:val="-3"/>
                            <w:sz w:val="24"/>
                          </w:rPr>
                          <w:t>FLQ</w:t>
                        </w:r>
                        <w:r>
                          <w:rPr>
                            <w:color w:val="231F20"/>
                            <w:spacing w:val="-5"/>
                            <w:sz w:val="24"/>
                          </w:rPr>
                          <w:t> 及二線針劑進行檢測</w:t>
                        </w:r>
                      </w:p>
                    </w:tc>
                  </w:tr>
                  <w:tr>
                    <w:trPr>
                      <w:trHeight w:val="851" w:hRule="atLeast"/>
                    </w:trPr>
                    <w:tc>
                      <w:tcPr>
                        <w:tcW w:w="758" w:type="dxa"/>
                      </w:tcPr>
                      <w:p>
                        <w:pPr>
                          <w:pStyle w:val="TableParagraph"/>
                          <w:spacing w:before="231"/>
                          <w:ind w:left="118" w:right="104"/>
                          <w:jc w:val="center"/>
                          <w:rPr>
                            <w:sz w:val="24"/>
                          </w:rPr>
                        </w:pPr>
                        <w:r>
                          <w:rPr>
                            <w:color w:val="231F20"/>
                            <w:sz w:val="24"/>
                          </w:rPr>
                          <w:t>2.</w:t>
                        </w:r>
                      </w:p>
                    </w:tc>
                    <w:tc>
                      <w:tcPr>
                        <w:tcW w:w="4709" w:type="dxa"/>
                      </w:tcPr>
                      <w:p>
                        <w:pPr>
                          <w:pStyle w:val="TableParagraph"/>
                          <w:spacing w:line="409" w:lineRule="exact" w:before="31"/>
                          <w:ind w:left="112"/>
                          <w:rPr>
                            <w:sz w:val="24"/>
                          </w:rPr>
                        </w:pPr>
                        <w:r>
                          <w:rPr>
                            <w:color w:val="231F20"/>
                            <w:sz w:val="24"/>
                          </w:rPr>
                          <w:t>RMP 抗藥及多重抗藥性結核病個案之接觸</w:t>
                        </w:r>
                      </w:p>
                      <w:p>
                        <w:pPr>
                          <w:pStyle w:val="TableParagraph"/>
                          <w:spacing w:line="391" w:lineRule="exact"/>
                          <w:ind w:left="112"/>
                          <w:rPr>
                            <w:sz w:val="24"/>
                          </w:rPr>
                        </w:pPr>
                        <w:r>
                          <w:rPr>
                            <w:color w:val="231F20"/>
                            <w:sz w:val="24"/>
                          </w:rPr>
                          <w:t>者轉為個案者</w:t>
                        </w:r>
                      </w:p>
                    </w:tc>
                    <w:tc>
                      <w:tcPr>
                        <w:tcW w:w="3427" w:type="dxa"/>
                        <w:vMerge/>
                        <w:tcBorders>
                          <w:top w:val="nil"/>
                        </w:tcBorders>
                      </w:tcPr>
                      <w:p>
                        <w:pPr>
                          <w:rPr>
                            <w:sz w:val="2"/>
                            <w:szCs w:val="2"/>
                          </w:rPr>
                        </w:pPr>
                      </w:p>
                    </w:tc>
                  </w:tr>
                  <w:tr>
                    <w:trPr>
                      <w:trHeight w:val="451" w:hRule="atLeast"/>
                    </w:trPr>
                    <w:tc>
                      <w:tcPr>
                        <w:tcW w:w="758" w:type="dxa"/>
                      </w:tcPr>
                      <w:p>
                        <w:pPr>
                          <w:pStyle w:val="TableParagraph"/>
                          <w:spacing w:line="400" w:lineRule="exact" w:before="31"/>
                          <w:ind w:left="118" w:right="104"/>
                          <w:jc w:val="center"/>
                          <w:rPr>
                            <w:sz w:val="24"/>
                          </w:rPr>
                        </w:pPr>
                        <w:r>
                          <w:rPr>
                            <w:color w:val="231F20"/>
                            <w:sz w:val="24"/>
                          </w:rPr>
                          <w:t>3.</w:t>
                        </w:r>
                      </w:p>
                    </w:tc>
                    <w:tc>
                      <w:tcPr>
                        <w:tcW w:w="4709" w:type="dxa"/>
                      </w:tcPr>
                      <w:p>
                        <w:pPr>
                          <w:pStyle w:val="TableParagraph"/>
                          <w:spacing w:line="400" w:lineRule="exact" w:before="31"/>
                          <w:ind w:left="113"/>
                          <w:rPr>
                            <w:sz w:val="24"/>
                          </w:rPr>
                        </w:pPr>
                        <w:r>
                          <w:rPr>
                            <w:color w:val="231F20"/>
                            <w:sz w:val="24"/>
                          </w:rPr>
                          <w:t>經分子快速檢測為 RMP 抗藥之結核病個案</w:t>
                        </w:r>
                      </w:p>
                    </w:tc>
                    <w:tc>
                      <w:tcPr>
                        <w:tcW w:w="3427" w:type="dxa"/>
                        <w:vMerge/>
                        <w:tcBorders>
                          <w:top w:val="nil"/>
                        </w:tcBorders>
                      </w:tcPr>
                      <w:p>
                        <w:pPr>
                          <w:rPr>
                            <w:sz w:val="2"/>
                            <w:szCs w:val="2"/>
                          </w:rPr>
                        </w:pPr>
                      </w:p>
                    </w:tc>
                  </w:tr>
                  <w:tr>
                    <w:trPr>
                      <w:trHeight w:val="851" w:hRule="atLeast"/>
                    </w:trPr>
                    <w:tc>
                      <w:tcPr>
                        <w:tcW w:w="758" w:type="dxa"/>
                      </w:tcPr>
                      <w:p>
                        <w:pPr>
                          <w:pStyle w:val="TableParagraph"/>
                          <w:spacing w:before="231"/>
                          <w:ind w:left="118" w:right="104"/>
                          <w:jc w:val="center"/>
                          <w:rPr>
                            <w:sz w:val="24"/>
                          </w:rPr>
                        </w:pPr>
                        <w:r>
                          <w:rPr>
                            <w:color w:val="231F20"/>
                            <w:sz w:val="24"/>
                          </w:rPr>
                          <w:t>4.</w:t>
                        </w:r>
                      </w:p>
                    </w:tc>
                    <w:tc>
                      <w:tcPr>
                        <w:tcW w:w="4709" w:type="dxa"/>
                      </w:tcPr>
                      <w:p>
                        <w:pPr>
                          <w:pStyle w:val="TableParagraph"/>
                          <w:spacing w:line="409" w:lineRule="exact" w:before="31"/>
                          <w:ind w:left="112"/>
                          <w:rPr>
                            <w:sz w:val="24"/>
                          </w:rPr>
                        </w:pPr>
                        <w:r>
                          <w:rPr>
                            <w:color w:val="231F20"/>
                            <w:sz w:val="24"/>
                          </w:rPr>
                          <w:t>本署指定之抗藥性結核病高風險地區之新</w:t>
                        </w:r>
                      </w:p>
                      <w:p>
                        <w:pPr>
                          <w:pStyle w:val="TableParagraph"/>
                          <w:spacing w:line="391" w:lineRule="exact"/>
                          <w:ind w:left="112"/>
                          <w:rPr>
                            <w:sz w:val="24"/>
                          </w:rPr>
                        </w:pPr>
                        <w:r>
                          <w:rPr>
                            <w:color w:val="231F20"/>
                            <w:sz w:val="24"/>
                          </w:rPr>
                          <w:t>發生個案</w:t>
                        </w:r>
                      </w:p>
                    </w:tc>
                    <w:tc>
                      <w:tcPr>
                        <w:tcW w:w="3427" w:type="dxa"/>
                        <w:vMerge/>
                        <w:tcBorders>
                          <w:top w:val="nil"/>
                        </w:tcBorders>
                      </w:tcPr>
                      <w:p>
                        <w:pPr>
                          <w:rPr>
                            <w:sz w:val="2"/>
                            <w:szCs w:val="2"/>
                          </w:rPr>
                        </w:pPr>
                      </w:p>
                    </w:tc>
                  </w:tr>
                  <w:tr>
                    <w:trPr>
                      <w:trHeight w:val="1651" w:hRule="atLeast"/>
                    </w:trPr>
                    <w:tc>
                      <w:tcPr>
                        <w:tcW w:w="758" w:type="dxa"/>
                      </w:tcPr>
                      <w:p>
                        <w:pPr>
                          <w:pStyle w:val="TableParagraph"/>
                          <w:spacing w:before="4"/>
                          <w:rPr>
                            <w:sz w:val="36"/>
                          </w:rPr>
                        </w:pPr>
                      </w:p>
                      <w:p>
                        <w:pPr>
                          <w:pStyle w:val="TableParagraph"/>
                          <w:ind w:left="118" w:right="104"/>
                          <w:jc w:val="center"/>
                          <w:rPr>
                            <w:sz w:val="24"/>
                          </w:rPr>
                        </w:pPr>
                        <w:r>
                          <w:rPr>
                            <w:color w:val="231F20"/>
                            <w:sz w:val="24"/>
                          </w:rPr>
                          <w:t>5.</w:t>
                        </w:r>
                      </w:p>
                    </w:tc>
                    <w:tc>
                      <w:tcPr>
                        <w:tcW w:w="4709" w:type="dxa"/>
                      </w:tcPr>
                      <w:p>
                        <w:pPr>
                          <w:pStyle w:val="TableParagraph"/>
                          <w:spacing w:line="230" w:lineRule="auto" w:before="43"/>
                          <w:ind w:left="112" w:right="88"/>
                          <w:jc w:val="both"/>
                          <w:rPr>
                            <w:sz w:val="24"/>
                          </w:rPr>
                        </w:pPr>
                        <w:r>
                          <w:rPr>
                            <w:color w:val="231F20"/>
                            <w:spacing w:val="-1"/>
                            <w:sz w:val="24"/>
                          </w:rPr>
                          <w:t>個案於民國 </w:t>
                        </w:r>
                        <w:r>
                          <w:rPr>
                            <w:color w:val="231F20"/>
                            <w:sz w:val="24"/>
                          </w:rPr>
                          <w:t>80</w:t>
                        </w:r>
                        <w:r>
                          <w:rPr>
                            <w:color w:val="231F20"/>
                            <w:spacing w:val="-1"/>
                            <w:sz w:val="24"/>
                          </w:rPr>
                          <w:t> 年後，曾經停留在世界衛生</w:t>
                        </w:r>
                        <w:r>
                          <w:rPr>
                            <w:color w:val="231F20"/>
                            <w:spacing w:val="9"/>
                            <w:sz w:val="24"/>
                          </w:rPr>
                          <w:t>組織公布之結核病或多重抗藥性結核病高</w:t>
                        </w:r>
                        <w:r>
                          <w:rPr>
                            <w:color w:val="231F20"/>
                            <w:spacing w:val="7"/>
                            <w:sz w:val="24"/>
                          </w:rPr>
                          <w:t>負擔國家，且停留天數於—年內累積達 </w:t>
                        </w:r>
                        <w:r>
                          <w:rPr>
                            <w:color w:val="231F20"/>
                            <w:sz w:val="24"/>
                          </w:rPr>
                          <w:t>1</w:t>
                        </w:r>
                      </w:p>
                      <w:p>
                        <w:pPr>
                          <w:pStyle w:val="TableParagraph"/>
                          <w:spacing w:line="385" w:lineRule="exact"/>
                          <w:ind w:left="112"/>
                          <w:jc w:val="both"/>
                          <w:rPr>
                            <w:sz w:val="24"/>
                          </w:rPr>
                        </w:pPr>
                        <w:r>
                          <w:rPr>
                            <w:color w:val="231F20"/>
                            <w:spacing w:val="-4"/>
                            <w:w w:val="105"/>
                            <w:sz w:val="24"/>
                          </w:rPr>
                          <w:t>個月</w:t>
                        </w:r>
                        <w:r>
                          <w:rPr>
                            <w:color w:val="231F20"/>
                            <w:w w:val="105"/>
                            <w:sz w:val="24"/>
                          </w:rPr>
                          <w:t>(30</w:t>
                        </w:r>
                        <w:r>
                          <w:rPr>
                            <w:color w:val="231F20"/>
                            <w:spacing w:val="9"/>
                            <w:w w:val="105"/>
                            <w:sz w:val="24"/>
                          </w:rPr>
                          <w:t> 天)以上者</w:t>
                        </w:r>
                        <w:r>
                          <w:rPr>
                            <w:color w:val="231F20"/>
                            <w:w w:val="65"/>
                            <w:sz w:val="24"/>
                          </w:rPr>
                          <w:t>（</w:t>
                        </w:r>
                        <w:r>
                          <w:rPr>
                            <w:color w:val="231F20"/>
                            <w:spacing w:val="41"/>
                            <w:w w:val="65"/>
                            <w:sz w:val="24"/>
                          </w:rPr>
                          <w:t> </w:t>
                        </w:r>
                        <w:r>
                          <w:rPr>
                            <w:color w:val="231F20"/>
                            <w:spacing w:val="6"/>
                            <w:w w:val="105"/>
                            <w:sz w:val="24"/>
                          </w:rPr>
                          <w:t>非限於通報前—年)</w:t>
                        </w:r>
                      </w:p>
                    </w:tc>
                    <w:tc>
                      <w:tcPr>
                        <w:tcW w:w="3427" w:type="dxa"/>
                        <w:vMerge/>
                        <w:tcBorders>
                          <w:top w:val="nil"/>
                        </w:tcBorders>
                      </w:tcPr>
                      <w:p>
                        <w:pPr>
                          <w:rPr>
                            <w:sz w:val="2"/>
                            <w:szCs w:val="2"/>
                          </w:rPr>
                        </w:pPr>
                      </w:p>
                    </w:tc>
                  </w:tr>
                  <w:tr>
                    <w:trPr>
                      <w:trHeight w:val="451" w:hRule="atLeast"/>
                    </w:trPr>
                    <w:tc>
                      <w:tcPr>
                        <w:tcW w:w="758" w:type="dxa"/>
                      </w:tcPr>
                      <w:p>
                        <w:pPr>
                          <w:pStyle w:val="TableParagraph"/>
                          <w:spacing w:line="400" w:lineRule="exact" w:before="31"/>
                          <w:ind w:left="118" w:right="104"/>
                          <w:jc w:val="center"/>
                          <w:rPr>
                            <w:sz w:val="24"/>
                          </w:rPr>
                        </w:pPr>
                        <w:r>
                          <w:rPr>
                            <w:color w:val="231F20"/>
                            <w:sz w:val="24"/>
                          </w:rPr>
                          <w:t>6.</w:t>
                        </w:r>
                      </w:p>
                    </w:tc>
                    <w:tc>
                      <w:tcPr>
                        <w:tcW w:w="4709" w:type="dxa"/>
                      </w:tcPr>
                      <w:p>
                        <w:pPr>
                          <w:pStyle w:val="TableParagraph"/>
                          <w:spacing w:line="400" w:lineRule="exact" w:before="31"/>
                          <w:ind w:left="113"/>
                          <w:rPr>
                            <w:sz w:val="24"/>
                          </w:rPr>
                        </w:pPr>
                        <w:r>
                          <w:rPr>
                            <w:color w:val="231F20"/>
                            <w:sz w:val="24"/>
                          </w:rPr>
                          <w:t>治療 2 個月之痰培養仍為陽性者</w:t>
                        </w:r>
                      </w:p>
                    </w:tc>
                    <w:tc>
                      <w:tcPr>
                        <w:tcW w:w="3427" w:type="dxa"/>
                        <w:vMerge/>
                        <w:tcBorders>
                          <w:top w:val="nil"/>
                        </w:tcBorders>
                      </w:tcPr>
                      <w:p>
                        <w:pPr>
                          <w:rPr>
                            <w:sz w:val="2"/>
                            <w:szCs w:val="2"/>
                          </w:rPr>
                        </w:pPr>
                      </w:p>
                    </w:tc>
                  </w:tr>
                  <w:tr>
                    <w:trPr>
                      <w:trHeight w:val="451" w:hRule="atLeast"/>
                    </w:trPr>
                    <w:tc>
                      <w:tcPr>
                        <w:tcW w:w="758" w:type="dxa"/>
                      </w:tcPr>
                      <w:p>
                        <w:pPr>
                          <w:pStyle w:val="TableParagraph"/>
                          <w:spacing w:line="400" w:lineRule="exact" w:before="31"/>
                          <w:ind w:left="118" w:right="104"/>
                          <w:jc w:val="center"/>
                          <w:rPr>
                            <w:sz w:val="24"/>
                          </w:rPr>
                        </w:pPr>
                        <w:r>
                          <w:rPr>
                            <w:color w:val="231F20"/>
                            <w:sz w:val="24"/>
                          </w:rPr>
                          <w:t>7.</w:t>
                        </w:r>
                      </w:p>
                    </w:tc>
                    <w:tc>
                      <w:tcPr>
                        <w:tcW w:w="4709" w:type="dxa"/>
                      </w:tcPr>
                      <w:p>
                        <w:pPr>
                          <w:pStyle w:val="TableParagraph"/>
                          <w:spacing w:line="400" w:lineRule="exact" w:before="31"/>
                          <w:ind w:left="113"/>
                          <w:rPr>
                            <w:sz w:val="24"/>
                          </w:rPr>
                        </w:pPr>
                        <w:r>
                          <w:rPr>
                            <w:color w:val="231F20"/>
                            <w:sz w:val="24"/>
                          </w:rPr>
                          <w:t>INH 抗藥，擬申請二線藥者</w:t>
                        </w:r>
                      </w:p>
                    </w:tc>
                    <w:tc>
                      <w:tcPr>
                        <w:tcW w:w="3427" w:type="dxa"/>
                        <w:vMerge/>
                        <w:tcBorders>
                          <w:top w:val="nil"/>
                        </w:tcBorders>
                      </w:tcPr>
                      <w:p>
                        <w:pPr>
                          <w:rPr>
                            <w:sz w:val="2"/>
                            <w:szCs w:val="2"/>
                          </w:rPr>
                        </w:pPr>
                      </w:p>
                    </w:tc>
                  </w:tr>
                  <w:tr>
                    <w:trPr>
                      <w:trHeight w:val="451" w:hRule="atLeast"/>
                    </w:trPr>
                    <w:tc>
                      <w:tcPr>
                        <w:tcW w:w="758" w:type="dxa"/>
                      </w:tcPr>
                      <w:p>
                        <w:pPr>
                          <w:pStyle w:val="TableParagraph"/>
                          <w:spacing w:line="400" w:lineRule="exact" w:before="31"/>
                          <w:ind w:left="118" w:right="104"/>
                          <w:jc w:val="center"/>
                          <w:rPr>
                            <w:sz w:val="24"/>
                          </w:rPr>
                        </w:pPr>
                        <w:r>
                          <w:rPr>
                            <w:color w:val="231F20"/>
                            <w:sz w:val="24"/>
                          </w:rPr>
                          <w:t>8.</w:t>
                        </w:r>
                      </w:p>
                    </w:tc>
                    <w:tc>
                      <w:tcPr>
                        <w:tcW w:w="4709" w:type="dxa"/>
                      </w:tcPr>
                      <w:p>
                        <w:pPr>
                          <w:pStyle w:val="TableParagraph"/>
                          <w:spacing w:line="400" w:lineRule="exact" w:before="31"/>
                          <w:ind w:left="113"/>
                          <w:rPr>
                            <w:sz w:val="24"/>
                          </w:rPr>
                        </w:pPr>
                        <w:r>
                          <w:rPr>
                            <w:color w:val="231F20"/>
                            <w:sz w:val="24"/>
                          </w:rPr>
                          <w:t>因藥物副作用，擬申請二線藥者</w:t>
                        </w:r>
                      </w:p>
                    </w:tc>
                    <w:tc>
                      <w:tcPr>
                        <w:tcW w:w="3427" w:type="dxa"/>
                        <w:vMerge/>
                        <w:tcBorders>
                          <w:top w:val="nil"/>
                        </w:tcBorders>
                      </w:tcPr>
                      <w:p>
                        <w:pPr>
                          <w:rPr>
                            <w:sz w:val="2"/>
                            <w:szCs w:val="2"/>
                          </w:rPr>
                        </w:pPr>
                      </w:p>
                    </w:tc>
                  </w:tr>
                  <w:tr>
                    <w:trPr>
                      <w:trHeight w:val="647" w:hRule="atLeast"/>
                    </w:trPr>
                    <w:tc>
                      <w:tcPr>
                        <w:tcW w:w="758" w:type="dxa"/>
                      </w:tcPr>
                      <w:p>
                        <w:pPr>
                          <w:pStyle w:val="TableParagraph"/>
                          <w:spacing w:before="129"/>
                          <w:ind w:left="118" w:right="104"/>
                          <w:jc w:val="center"/>
                          <w:rPr>
                            <w:sz w:val="24"/>
                          </w:rPr>
                        </w:pPr>
                        <w:r>
                          <w:rPr>
                            <w:color w:val="231F20"/>
                            <w:sz w:val="24"/>
                          </w:rPr>
                          <w:t>9.</w:t>
                        </w:r>
                      </w:p>
                    </w:tc>
                    <w:tc>
                      <w:tcPr>
                        <w:tcW w:w="4709" w:type="dxa"/>
                      </w:tcPr>
                      <w:p>
                        <w:pPr>
                          <w:pStyle w:val="TableParagraph"/>
                          <w:spacing w:before="129"/>
                          <w:ind w:left="113"/>
                          <w:rPr>
                            <w:sz w:val="24"/>
                          </w:rPr>
                        </w:pPr>
                        <w:r>
                          <w:rPr>
                            <w:color w:val="231F20"/>
                            <w:sz w:val="24"/>
                          </w:rPr>
                          <w:t>通報結核病之畜牧場人員</w:t>
                        </w:r>
                      </w:p>
                    </w:tc>
                    <w:tc>
                      <w:tcPr>
                        <w:tcW w:w="3427" w:type="dxa"/>
                        <w:vMerge w:val="restart"/>
                      </w:tcPr>
                      <w:p>
                        <w:pPr>
                          <w:pStyle w:val="TableParagraph"/>
                          <w:numPr>
                            <w:ilvl w:val="0"/>
                            <w:numId w:val="197"/>
                          </w:numPr>
                          <w:tabs>
                            <w:tab w:pos="369" w:val="left" w:leader="none"/>
                          </w:tabs>
                          <w:spacing w:line="228" w:lineRule="auto" w:before="199" w:after="0"/>
                          <w:ind w:left="367" w:right="36" w:hanging="256"/>
                          <w:jc w:val="left"/>
                          <w:rPr>
                            <w:sz w:val="24"/>
                          </w:rPr>
                        </w:pPr>
                        <w:r>
                          <w:rPr>
                            <w:color w:val="231F20"/>
                            <w:spacing w:val="49"/>
                            <w:sz w:val="24"/>
                          </w:rPr>
                          <w:t>以</w:t>
                        </w:r>
                        <w:r>
                          <w:rPr>
                            <w:color w:val="231F20"/>
                            <w:spacing w:val="-5"/>
                            <w:sz w:val="24"/>
                          </w:rPr>
                          <w:t>GenoType</w:t>
                        </w:r>
                        <w:r>
                          <w:rPr>
                            <w:color w:val="231F20"/>
                            <w:spacing w:val="17"/>
                            <w:sz w:val="24"/>
                          </w:rPr>
                          <w:t> </w:t>
                        </w:r>
                        <w:r>
                          <w:rPr>
                            <w:color w:val="231F20"/>
                            <w:spacing w:val="-7"/>
                            <w:sz w:val="24"/>
                          </w:rPr>
                          <w:t>MTBDR</w:t>
                        </w:r>
                        <w:r>
                          <w:rPr>
                            <w:color w:val="231F20"/>
                            <w:spacing w:val="-7"/>
                            <w:sz w:val="25"/>
                          </w:rPr>
                          <w:t>plus</w:t>
                        </w:r>
                        <w:r>
                          <w:rPr>
                            <w:color w:val="231F20"/>
                            <w:spacing w:val="-21"/>
                            <w:sz w:val="25"/>
                          </w:rPr>
                          <w:t> </w:t>
                        </w:r>
                        <w:r>
                          <w:rPr>
                            <w:color w:val="231F20"/>
                            <w:sz w:val="24"/>
                          </w:rPr>
                          <w:t>， </w:t>
                        </w:r>
                        <w:r>
                          <w:rPr>
                            <w:color w:val="231F20"/>
                            <w:spacing w:val="57"/>
                            <w:sz w:val="24"/>
                          </w:rPr>
                          <w:t>就</w:t>
                        </w:r>
                        <w:r>
                          <w:rPr>
                            <w:color w:val="231F20"/>
                            <w:sz w:val="24"/>
                          </w:rPr>
                          <w:t>RMP</w:t>
                        </w:r>
                        <w:r>
                          <w:rPr>
                            <w:color w:val="231F20"/>
                            <w:spacing w:val="-6"/>
                            <w:sz w:val="24"/>
                          </w:rPr>
                          <w:t> 及 </w:t>
                        </w:r>
                        <w:r>
                          <w:rPr>
                            <w:color w:val="231F20"/>
                            <w:sz w:val="24"/>
                          </w:rPr>
                          <w:t>INH</w:t>
                        </w:r>
                        <w:r>
                          <w:rPr>
                            <w:color w:val="231F20"/>
                            <w:spacing w:val="-5"/>
                            <w:sz w:val="24"/>
                          </w:rPr>
                          <w:t> 進行檢測</w:t>
                        </w:r>
                      </w:p>
                      <w:p>
                        <w:pPr>
                          <w:pStyle w:val="TableParagraph"/>
                          <w:numPr>
                            <w:ilvl w:val="0"/>
                            <w:numId w:val="197"/>
                          </w:numPr>
                          <w:tabs>
                            <w:tab w:pos="368" w:val="left" w:leader="none"/>
                          </w:tabs>
                          <w:spacing w:line="225" w:lineRule="auto" w:before="4" w:after="0"/>
                          <w:ind w:left="367" w:right="340" w:hanging="255"/>
                          <w:jc w:val="left"/>
                          <w:rPr>
                            <w:sz w:val="24"/>
                          </w:rPr>
                        </w:pPr>
                        <w:r>
                          <w:rPr>
                            <w:color w:val="231F20"/>
                            <w:sz w:val="24"/>
                          </w:rPr>
                          <w:t>如任—抗藥者，再以GenoType</w:t>
                        </w:r>
                        <w:r>
                          <w:rPr>
                            <w:color w:val="231F20"/>
                            <w:spacing w:val="-2"/>
                            <w:sz w:val="24"/>
                          </w:rPr>
                          <w:t> </w:t>
                        </w:r>
                        <w:r>
                          <w:rPr>
                            <w:color w:val="231F20"/>
                            <w:spacing w:val="-6"/>
                            <w:sz w:val="24"/>
                          </w:rPr>
                          <w:t>MTBDR</w:t>
                        </w:r>
                        <w:r>
                          <w:rPr>
                            <w:color w:val="231F20"/>
                            <w:spacing w:val="-6"/>
                            <w:sz w:val="25"/>
                          </w:rPr>
                          <w:t>sl</w:t>
                        </w:r>
                        <w:r>
                          <w:rPr>
                            <w:color w:val="231F20"/>
                            <w:spacing w:val="-33"/>
                            <w:sz w:val="25"/>
                          </w:rPr>
                          <w:t> </w:t>
                        </w:r>
                        <w:r>
                          <w:rPr>
                            <w:color w:val="231F20"/>
                            <w:spacing w:val="-6"/>
                            <w:sz w:val="24"/>
                          </w:rPr>
                          <w:t>，就</w:t>
                        </w:r>
                        <w:r>
                          <w:rPr>
                            <w:color w:val="231F20"/>
                            <w:spacing w:val="-3"/>
                            <w:sz w:val="24"/>
                          </w:rPr>
                          <w:t>FLQ</w:t>
                        </w:r>
                        <w:r>
                          <w:rPr>
                            <w:color w:val="231F20"/>
                            <w:spacing w:val="-5"/>
                            <w:sz w:val="24"/>
                          </w:rPr>
                          <w:t> 及二線針劑進行檢測</w:t>
                        </w:r>
                      </w:p>
                    </w:tc>
                  </w:tr>
                  <w:tr>
                    <w:trPr>
                      <w:trHeight w:val="851" w:hRule="atLeast"/>
                    </w:trPr>
                    <w:tc>
                      <w:tcPr>
                        <w:tcW w:w="758" w:type="dxa"/>
                      </w:tcPr>
                      <w:p>
                        <w:pPr>
                          <w:pStyle w:val="TableParagraph"/>
                          <w:spacing w:before="231"/>
                          <w:ind w:left="118" w:right="104"/>
                          <w:jc w:val="center"/>
                          <w:rPr>
                            <w:sz w:val="24"/>
                          </w:rPr>
                        </w:pPr>
                        <w:r>
                          <w:rPr>
                            <w:color w:val="231F20"/>
                            <w:sz w:val="24"/>
                          </w:rPr>
                          <w:t>10.</w:t>
                        </w:r>
                      </w:p>
                    </w:tc>
                    <w:tc>
                      <w:tcPr>
                        <w:tcW w:w="4709" w:type="dxa"/>
                      </w:tcPr>
                      <w:p>
                        <w:pPr>
                          <w:pStyle w:val="TableParagraph"/>
                          <w:spacing w:line="423" w:lineRule="exact" w:before="19"/>
                          <w:ind w:left="78"/>
                          <w:rPr>
                            <w:sz w:val="24"/>
                          </w:rPr>
                        </w:pPr>
                        <w:r>
                          <w:rPr>
                            <w:color w:val="231F20"/>
                            <w:sz w:val="25"/>
                          </w:rPr>
                          <w:t>M. bovis </w:t>
                        </w:r>
                        <w:r>
                          <w:rPr>
                            <w:color w:val="231F20"/>
                            <w:sz w:val="24"/>
                          </w:rPr>
                          <w:t>結核個案或動物之接觸者轉為個</w:t>
                        </w:r>
                      </w:p>
                      <w:p>
                        <w:pPr>
                          <w:pStyle w:val="TableParagraph"/>
                          <w:spacing w:line="388" w:lineRule="exact"/>
                          <w:ind w:left="112"/>
                          <w:rPr>
                            <w:sz w:val="24"/>
                          </w:rPr>
                        </w:pPr>
                        <w:r>
                          <w:rPr>
                            <w:color w:val="231F20"/>
                            <w:sz w:val="24"/>
                          </w:rPr>
                          <w:t>案者</w:t>
                        </w:r>
                      </w:p>
                    </w:tc>
                    <w:tc>
                      <w:tcPr>
                        <w:tcW w:w="3427" w:type="dxa"/>
                        <w:vMerge/>
                        <w:tcBorders>
                          <w:top w:val="nil"/>
                        </w:tcBorders>
                      </w:tcPr>
                      <w:p>
                        <w:pPr>
                          <w:rPr>
                            <w:sz w:val="2"/>
                            <w:szCs w:val="2"/>
                          </w:rPr>
                        </w:pPr>
                      </w:p>
                    </w:tc>
                  </w:tr>
                  <w:tr>
                    <w:trPr>
                      <w:trHeight w:val="851" w:hRule="atLeast"/>
                    </w:trPr>
                    <w:tc>
                      <w:tcPr>
                        <w:tcW w:w="758" w:type="dxa"/>
                      </w:tcPr>
                      <w:p>
                        <w:pPr>
                          <w:pStyle w:val="TableParagraph"/>
                          <w:spacing w:before="231"/>
                          <w:ind w:left="118" w:right="104"/>
                          <w:jc w:val="center"/>
                          <w:rPr>
                            <w:sz w:val="24"/>
                          </w:rPr>
                        </w:pPr>
                        <w:r>
                          <w:rPr>
                            <w:color w:val="231F20"/>
                            <w:sz w:val="24"/>
                          </w:rPr>
                          <w:t>11.</w:t>
                        </w:r>
                      </w:p>
                    </w:tc>
                    <w:tc>
                      <w:tcPr>
                        <w:tcW w:w="4709" w:type="dxa"/>
                      </w:tcPr>
                      <w:p>
                        <w:pPr>
                          <w:pStyle w:val="TableParagraph"/>
                          <w:spacing w:line="409" w:lineRule="exact" w:before="31"/>
                          <w:ind w:left="112"/>
                          <w:rPr>
                            <w:sz w:val="24"/>
                          </w:rPr>
                        </w:pPr>
                        <w:r>
                          <w:rPr>
                            <w:color w:val="231F20"/>
                            <w:spacing w:val="11"/>
                            <w:sz w:val="24"/>
                          </w:rPr>
                          <w:t>潛伏結核感染</w:t>
                        </w:r>
                        <w:r>
                          <w:rPr>
                            <w:color w:val="231F20"/>
                            <w:w w:val="300"/>
                            <w:sz w:val="24"/>
                          </w:rPr>
                          <w:t>(</w:t>
                        </w:r>
                        <w:r>
                          <w:rPr>
                            <w:color w:val="231F20"/>
                            <w:spacing w:val="-15"/>
                            <w:w w:val="90"/>
                            <w:sz w:val="24"/>
                          </w:rPr>
                          <w:t>L</w:t>
                        </w:r>
                        <w:r>
                          <w:rPr>
                            <w:color w:val="231F20"/>
                            <w:w w:val="91"/>
                            <w:sz w:val="24"/>
                          </w:rPr>
                          <w:t>T</w:t>
                        </w:r>
                        <w:r>
                          <w:rPr>
                            <w:color w:val="231F20"/>
                            <w:spacing w:val="-1"/>
                            <w:w w:val="92"/>
                            <w:sz w:val="24"/>
                          </w:rPr>
                          <w:t>B</w:t>
                        </w:r>
                        <w:r>
                          <w:rPr>
                            <w:color w:val="231F20"/>
                            <w:spacing w:val="-1"/>
                            <w:w w:val="102"/>
                            <w:sz w:val="24"/>
                          </w:rPr>
                          <w:t>I</w:t>
                        </w:r>
                        <w:r>
                          <w:rPr>
                            <w:color w:val="231F20"/>
                            <w:spacing w:val="14"/>
                            <w:w w:val="108"/>
                            <w:sz w:val="24"/>
                          </w:rPr>
                          <w:t>)治療個案結核病發</w:t>
                        </w:r>
                      </w:p>
                      <w:p>
                        <w:pPr>
                          <w:pStyle w:val="TableParagraph"/>
                          <w:spacing w:line="391" w:lineRule="exact"/>
                          <w:ind w:left="112"/>
                          <w:rPr>
                            <w:sz w:val="24"/>
                          </w:rPr>
                        </w:pPr>
                        <w:r>
                          <w:rPr>
                            <w:color w:val="231F20"/>
                            <w:sz w:val="24"/>
                          </w:rPr>
                          <w:t>病者</w:t>
                        </w:r>
                      </w:p>
                    </w:tc>
                    <w:tc>
                      <w:tcPr>
                        <w:tcW w:w="3427" w:type="dxa"/>
                        <w:vMerge/>
                        <w:tcBorders>
                          <w:top w:val="nil"/>
                        </w:tcBorders>
                      </w:tcPr>
                      <w:p>
                        <w:pPr>
                          <w:rPr>
                            <w:sz w:val="2"/>
                            <w:szCs w:val="2"/>
                          </w:rPr>
                        </w:pPr>
                      </w:p>
                    </w:tc>
                  </w:tr>
                </w:tbl>
                <w:p>
                  <w:pPr>
                    <w:pStyle w:val="BodyText"/>
                  </w:pPr>
                </w:p>
              </w:txbxContent>
            </v:textbox>
            <w10:wrap type="none"/>
          </v:shape>
        </w:pict>
      </w:r>
      <w:r>
        <w:rPr>
          <w:color w:val="231F20"/>
        </w:rPr>
        <w:t>表 10-1、抗藥性結核病個案快速分子檢測對象及檢測方式</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
        <w:rPr>
          <w:sz w:val="31"/>
        </w:rPr>
      </w:pPr>
    </w:p>
    <w:p>
      <w:pPr>
        <w:pStyle w:val="BodyText"/>
        <w:spacing w:line="409" w:lineRule="exact"/>
        <w:ind w:left="391"/>
      </w:pPr>
      <w:r>
        <w:rPr>
          <w:color w:val="231F20"/>
        </w:rPr>
        <w:t>三、抗藥性結核病病人確認及註記</w:t>
      </w:r>
    </w:p>
    <w:p>
      <w:pPr>
        <w:pStyle w:val="BodyText"/>
        <w:spacing w:line="230" w:lineRule="auto" w:before="2"/>
        <w:ind w:left="878" w:right="1132"/>
        <w:jc w:val="both"/>
      </w:pPr>
      <w:r>
        <w:rPr>
          <w:color w:val="231F20"/>
          <w:spacing w:val="3"/>
        </w:rPr>
        <w:t>臨床任—次檢測結果為 </w:t>
      </w:r>
      <w:r>
        <w:rPr>
          <w:color w:val="231F20"/>
        </w:rPr>
        <w:t>RMP 抗藥或疾管署分枝桿蔥實驗室以分子檢測檢出 RMP</w:t>
      </w:r>
      <w:r>
        <w:rPr>
          <w:color w:val="231F20"/>
          <w:spacing w:val="-11"/>
        </w:rPr>
        <w:t> 抗</w:t>
      </w:r>
      <w:r>
        <w:rPr>
          <w:color w:val="231F20"/>
          <w:spacing w:val="1"/>
        </w:rPr>
        <w:t>藥或爭議性突變，即可確認並註記為 </w:t>
      </w:r>
      <w:r>
        <w:rPr>
          <w:color w:val="231F20"/>
        </w:rPr>
        <w:t>RR-TB</w:t>
      </w:r>
      <w:r>
        <w:rPr>
          <w:color w:val="231F20"/>
          <w:spacing w:val="-4"/>
        </w:rPr>
        <w:t>；而 </w:t>
      </w:r>
      <w:r>
        <w:rPr>
          <w:color w:val="231F20"/>
        </w:rPr>
        <w:t>MDR-TB 須經疾管署分枝桿蔥實驗</w:t>
      </w:r>
      <w:r>
        <w:rPr>
          <w:color w:val="231F20"/>
          <w:spacing w:val="-8"/>
        </w:rPr>
        <w:t>室 </w:t>
      </w:r>
      <w:r>
        <w:rPr>
          <w:color w:val="231F20"/>
          <w:spacing w:val="3"/>
          <w:w w:val="70"/>
        </w:rPr>
        <w:t>／ </w:t>
      </w:r>
      <w:r>
        <w:rPr>
          <w:color w:val="231F20"/>
          <w:spacing w:val="-3"/>
        </w:rPr>
        <w:t>認可實驗室 </w:t>
      </w:r>
      <w:r>
        <w:rPr>
          <w:color w:val="231F20"/>
          <w:spacing w:val="3"/>
          <w:w w:val="70"/>
        </w:rPr>
        <w:t>／ </w:t>
      </w:r>
      <w:r>
        <w:rPr>
          <w:color w:val="231F20"/>
          <w:spacing w:val="-1"/>
        </w:rPr>
        <w:t>指定實驗室以分子或傳統培養藥敏發現 </w:t>
      </w:r>
      <w:r>
        <w:rPr>
          <w:color w:val="231F20"/>
        </w:rPr>
        <w:t>INH</w:t>
      </w:r>
      <w:r>
        <w:rPr>
          <w:color w:val="231F20"/>
          <w:spacing w:val="-10"/>
        </w:rPr>
        <w:t> 及 </w:t>
      </w:r>
      <w:r>
        <w:rPr>
          <w:color w:val="231F20"/>
        </w:rPr>
        <w:t>RMP</w:t>
      </w:r>
      <w:r>
        <w:rPr>
          <w:color w:val="231F20"/>
          <w:spacing w:val="-4"/>
        </w:rPr>
        <w:t> 抗藥、疾管署分枝桿蔥實驗室檢出分子 </w:t>
      </w:r>
      <w:r>
        <w:rPr>
          <w:color w:val="231F20"/>
        </w:rPr>
        <w:t>RMP</w:t>
      </w:r>
      <w:r>
        <w:rPr>
          <w:color w:val="231F20"/>
          <w:spacing w:val="-1"/>
        </w:rPr>
        <w:t> 具爭議性突變且同套檢體分子或傳統 </w:t>
      </w:r>
      <w:r>
        <w:rPr>
          <w:color w:val="231F20"/>
        </w:rPr>
        <w:t>INH 抗藥，才可確認為 MDR-TB</w:t>
      </w:r>
      <w:r>
        <w:rPr>
          <w:color w:val="231F20"/>
          <w:spacing w:val="5"/>
        </w:rPr>
        <w:t>。疾管署區管中心須每日至 </w:t>
      </w:r>
      <w:r>
        <w:rPr>
          <w:color w:val="231F20"/>
        </w:rPr>
        <w:t>TB 系統査詢確認是否有符合 RR-TB</w:t>
      </w:r>
      <w:r>
        <w:rPr>
          <w:color w:val="231F20"/>
          <w:spacing w:val="-7"/>
        </w:rPr>
        <w:t> 及MDR-TB</w:t>
      </w:r>
      <w:r>
        <w:rPr>
          <w:color w:val="231F20"/>
          <w:spacing w:val="-3"/>
        </w:rPr>
        <w:t> 對象，於 </w:t>
      </w:r>
      <w:r>
        <w:rPr>
          <w:color w:val="231F20"/>
        </w:rPr>
        <w:t>1</w:t>
      </w:r>
      <w:r>
        <w:rPr>
          <w:color w:val="231F20"/>
          <w:spacing w:val="-2"/>
        </w:rPr>
        <w:t> 個工作日至 </w:t>
      </w:r>
      <w:r>
        <w:rPr>
          <w:color w:val="231F20"/>
        </w:rPr>
        <w:t>TB</w:t>
      </w:r>
      <w:r>
        <w:rPr>
          <w:color w:val="231F20"/>
          <w:spacing w:val="-2"/>
        </w:rPr>
        <w:t> 系統進行 </w:t>
      </w:r>
      <w:r>
        <w:rPr>
          <w:color w:val="231F20"/>
        </w:rPr>
        <w:t>RR-TB</w:t>
      </w:r>
      <w:r>
        <w:rPr>
          <w:color w:val="231F20"/>
          <w:spacing w:val="-6"/>
        </w:rPr>
        <w:t> 及 </w:t>
      </w:r>
      <w:r>
        <w:rPr>
          <w:color w:val="231F20"/>
        </w:rPr>
        <w:t>MDR-TB</w:t>
      </w:r>
      <w:r>
        <w:rPr>
          <w:color w:val="231F20"/>
          <w:spacing w:val="-1"/>
        </w:rPr>
        <w:t> 身分註記，並於— </w:t>
      </w:r>
      <w:r>
        <w:rPr>
          <w:color w:val="231F20"/>
          <w:spacing w:val="-3"/>
        </w:rPr>
        <w:t>週內完成病人分類 </w:t>
      </w:r>
      <w:r>
        <w:rPr>
          <w:color w:val="231F20"/>
          <w:w w:val="70"/>
        </w:rPr>
        <w:t>（ </w:t>
      </w:r>
      <w:r>
        <w:rPr>
          <w:color w:val="231F20"/>
          <w:spacing w:val="-5"/>
        </w:rPr>
        <w:t>含死亡補通報病人 )，衛生局於註記後 </w:t>
      </w:r>
      <w:r>
        <w:rPr>
          <w:color w:val="231F20"/>
        </w:rPr>
        <w:t>1</w:t>
      </w:r>
      <w:r>
        <w:rPr>
          <w:color w:val="231F20"/>
          <w:spacing w:val="-8"/>
        </w:rPr>
        <w:t> 個工作日內完成 </w:t>
      </w:r>
      <w:r>
        <w:rPr>
          <w:color w:val="231F20"/>
        </w:rPr>
        <w:t>TB</w:t>
      </w:r>
      <w:r>
        <w:rPr>
          <w:color w:val="231F20"/>
          <w:spacing w:val="-9"/>
        </w:rPr>
        <w:t> 系統DR </w:t>
      </w:r>
      <w:r>
        <w:rPr>
          <w:color w:val="231F20"/>
        </w:rPr>
        <w:t>-TB</w:t>
      </w:r>
      <w:r>
        <w:rPr>
          <w:color w:val="231F20"/>
          <w:spacing w:val="-4"/>
        </w:rPr>
        <w:t> 登記作業並啟動後續介入措施 </w:t>
      </w:r>
      <w:r>
        <w:rPr>
          <w:color w:val="231F20"/>
          <w:w w:val="70"/>
        </w:rPr>
        <w:t>（ </w:t>
      </w:r>
      <w:r>
        <w:rPr>
          <w:color w:val="231F20"/>
          <w:spacing w:val="-4"/>
        </w:rPr>
        <w:t>圖 </w:t>
      </w:r>
      <w:r>
        <w:rPr>
          <w:color w:val="231F20"/>
        </w:rPr>
        <w:t>10-3)。</w:t>
      </w:r>
    </w:p>
    <w:p>
      <w:pPr>
        <w:spacing w:after="0" w:line="230" w:lineRule="auto"/>
        <w:jc w:val="both"/>
        <w:sectPr>
          <w:pgSz w:w="11910" w:h="16840"/>
          <w:pgMar w:top="1060" w:bottom="0" w:left="980" w:right="0"/>
        </w:sectPr>
      </w:pPr>
    </w:p>
    <w:p>
      <w:pPr>
        <w:pStyle w:val="BodyText"/>
        <w:spacing w:before="59"/>
        <w:ind w:left="878"/>
      </w:pPr>
      <w:r>
        <w:rPr/>
        <w:pict>
          <v:group style="position:absolute;margin-left:92.214996pt;margin-top:25.37738pt;width:445.55pt;height:388.15pt;mso-position-horizontal-relative:page;mso-position-vertical-relative:paragraph;z-index:-266186752" coordorigin="1844,508" coordsize="8911,7763">
            <v:shape style="position:absolute;left:6218;top:7404;width:118;height:366" type="#_x0000_t75" stroked="false">
              <v:imagedata r:id="rId111" o:title=""/>
            </v:shape>
            <v:shape style="position:absolute;left:1844;top:7760;width:8911;height:510" coordorigin="1844,7760" coordsize="8911,510" path="m10755,7760l1844,7760,1844,8270,10755,8270,10755,8260,1863,8260,1854,8251,1863,8251,1863,7780,1854,7780,1863,7770,10755,7770,10755,7760xm1863,8251l1854,8251,1863,8260,1863,8251xm10735,8251l1863,8251,1863,8260,10735,8260,10735,8251xm10735,7770l10735,8260,10746,8251,10755,8251,10755,7780,10746,7780,10735,7770xm10755,8251l10746,8251,10735,8260,10755,8260,10755,8251xm1863,7770l1854,7780,1863,7780,1863,7770xm10735,7770l1863,7770,1863,7780,10735,7780,10735,7770xm10755,7770l10735,7770,10746,7780,10755,7780,10755,7770xe" filled="true" fillcolor="#93b266" stroked="false">
              <v:path arrowok="t"/>
              <v:fill type="solid"/>
            </v:shape>
            <v:rect style="position:absolute;left:1853;top:4832;width:8893;height:2632" filled="true" fillcolor="#ffffff" stroked="false">
              <v:fill type="solid"/>
            </v:rect>
            <v:shape style="position:absolute;left:1844;top:1242;width:8911;height:6233" coordorigin="1844,1242" coordsize="8911,6233" path="m10755,4823l10735,4823,10735,4842,10735,7455,1863,7455,1863,4842,10735,4842,10735,4823,1844,4823,1844,7475,10755,7475,10755,7464,10755,7455,10755,4842,10755,4832,10755,4823m10755,1242l10735,1242,10735,1261,10735,4524,4803,4524,4803,1261,10735,1261,10735,1242,4784,1242,4784,4544,10755,4544,10755,4535,10755,4524,10755,1261,10755,1252,10755,1242e" filled="true" fillcolor="#93b266" stroked="false">
              <v:path arrowok="t"/>
              <v:fill type="solid"/>
            </v:shape>
            <v:shape style="position:absolute;left:7292;top:4534;width:118;height:298" type="#_x0000_t75" stroked="false">
              <v:imagedata r:id="rId112" o:title=""/>
            </v:shape>
            <v:shape style="position:absolute;left:1941;top:507;width:8814;height:4325" coordorigin="1942,508" coordsize="8814,4325" path="m4499,1242l4479,1242,4479,1261,4479,3520,1962,3520,1962,1261,4479,1261,4479,1242,1942,1242,1942,3540,3217,3540,3217,4715,3167,4715,3226,4832,3275,4735,3285,4715,3237,4715,3237,3540,4499,3540,4499,3530,4499,3520,4499,1261,4499,1252,4499,1242m10755,508l10735,508,10735,526,10735,949,1962,949,1962,526,10735,526,10735,508,1942,508,1942,967,10755,967,10755,958,10755,949,10755,526,10755,517,10755,508e" filled="true" fillcolor="#93b266" stroked="false">
              <v:path arrowok="t"/>
              <v:fill type="solid"/>
            </v:shape>
            <v:shape style="position:absolute;left:7292;top:954;width:118;height:298" type="#_x0000_t75" stroked="false">
              <v:imagedata r:id="rId113" o:title=""/>
            </v:shape>
            <v:shape style="position:absolute;left:3097;top:957;width:118;height:298" type="#_x0000_t75" stroked="false">
              <v:imagedata r:id="rId114" o:title=""/>
            </v:shape>
            <v:rect style="position:absolute;left:2028;top:1651;width:2369;height:1774" filled="true" fillcolor="#ffffff" stroked="false">
              <v:fill type="solid"/>
            </v:rect>
            <w10:wrap type="none"/>
          </v:group>
        </w:pict>
      </w:r>
      <w:r>
        <w:rPr>
          <w:color w:val="231F20"/>
        </w:rPr>
        <w:t>圖 10-3、抗藥性結核病病人確認及註記流程</w:t>
      </w:r>
    </w:p>
    <w:p>
      <w:pPr>
        <w:spacing w:before="95"/>
        <w:ind w:left="0" w:right="188" w:firstLine="0"/>
        <w:jc w:val="center"/>
        <w:rPr>
          <w:sz w:val="23"/>
        </w:rPr>
      </w:pPr>
      <w:r>
        <w:rPr>
          <w:color w:val="231F20"/>
          <w:w w:val="105"/>
          <w:sz w:val="23"/>
        </w:rPr>
        <w:t>醫療院所檢測發現為 RR-TB /MOR-TB</w:t>
      </w:r>
    </w:p>
    <w:p>
      <w:pPr>
        <w:pStyle w:val="BodyText"/>
        <w:spacing w:before="10"/>
        <w:rPr>
          <w:sz w:val="16"/>
        </w:rPr>
      </w:pPr>
    </w:p>
    <w:p>
      <w:pPr>
        <w:tabs>
          <w:tab w:pos="3963" w:val="left" w:leader="none"/>
        </w:tabs>
        <w:spacing w:line="377" w:lineRule="exact" w:before="78"/>
        <w:ind w:left="1121" w:right="0" w:firstLine="0"/>
        <w:jc w:val="left"/>
        <w:rPr>
          <w:sz w:val="23"/>
        </w:rPr>
      </w:pPr>
      <w:r>
        <w:rPr>
          <w:color w:val="231F20"/>
          <w:sz w:val="23"/>
        </w:rPr>
        <w:t>RR-TB</w:t>
      </w:r>
      <w:r>
        <w:rPr>
          <w:color w:val="231F20"/>
          <w:spacing w:val="-6"/>
          <w:sz w:val="23"/>
        </w:rPr>
        <w:t> </w:t>
      </w:r>
      <w:r>
        <w:rPr>
          <w:color w:val="231F20"/>
          <w:sz w:val="23"/>
        </w:rPr>
        <w:t>註記依據：</w:t>
        <w:tab/>
        <w:t>MOR-TB</w:t>
      </w:r>
      <w:r>
        <w:rPr>
          <w:color w:val="231F20"/>
          <w:spacing w:val="-3"/>
          <w:sz w:val="23"/>
        </w:rPr>
        <w:t> </w:t>
      </w:r>
      <w:r>
        <w:rPr>
          <w:color w:val="231F20"/>
          <w:sz w:val="23"/>
        </w:rPr>
        <w:t>註記依據：</w:t>
      </w:r>
    </w:p>
    <w:p>
      <w:pPr>
        <w:pStyle w:val="ListParagraph"/>
        <w:numPr>
          <w:ilvl w:val="1"/>
          <w:numId w:val="189"/>
        </w:numPr>
        <w:tabs>
          <w:tab w:pos="4243" w:val="left" w:leader="none"/>
        </w:tabs>
        <w:spacing w:line="353" w:lineRule="exact" w:before="0" w:after="0"/>
        <w:ind w:left="4242" w:right="0" w:hanging="280"/>
        <w:jc w:val="left"/>
        <w:rPr>
          <w:sz w:val="23"/>
        </w:rPr>
      </w:pPr>
      <w:r>
        <w:rPr/>
        <w:pict>
          <v:shape style="position:absolute;margin-left:120.421204pt;margin-top:.430323pt;width:99.65pt;height:85.95pt;mso-position-horizontal-relative:page;mso-position-vertical-relative:paragraph;z-index:251872256" type="#_x0000_t202" filled="false" stroked="false">
            <v:textbox inset="0,0,0,0">
              <w:txbxContent>
                <w:p>
                  <w:pPr>
                    <w:pStyle w:val="BodyText"/>
                    <w:spacing w:line="201" w:lineRule="auto" w:before="16"/>
                    <w:ind w:right="18"/>
                  </w:pPr>
                  <w:r>
                    <w:rPr>
                      <w:color w:val="231F20"/>
                    </w:rPr>
                    <w:t>臨床任—次檢測結果為 RMP 抗藥</w:t>
                  </w:r>
                </w:p>
                <w:p>
                  <w:pPr>
                    <w:pStyle w:val="BodyText"/>
                    <w:spacing w:line="201" w:lineRule="auto"/>
                    <w:ind w:right="18"/>
                  </w:pPr>
                  <w:r>
                    <w:rPr>
                      <w:color w:val="231F20"/>
                    </w:rPr>
                    <w:t>疾管署分枝桿蔥實驗室以分子檢測出</w:t>
                  </w:r>
                </w:p>
                <w:p>
                  <w:pPr>
                    <w:pStyle w:val="BodyText"/>
                    <w:spacing w:line="301" w:lineRule="exact"/>
                  </w:pPr>
                  <w:r>
                    <w:rPr>
                      <w:color w:val="231F20"/>
                    </w:rPr>
                    <w:t>爭議性突變</w:t>
                  </w:r>
                </w:p>
              </w:txbxContent>
            </v:textbox>
            <w10:wrap type="none"/>
          </v:shape>
        </w:pict>
      </w:r>
      <w:r>
        <w:rPr/>
        <w:pict>
          <v:shape style="position:absolute;margin-left:106.253197pt;margin-top:5.36391pt;width:5.8pt;height:41.4pt;mso-position-horizontal-relative:page;mso-position-vertical-relative:paragraph;z-index:251873280" type="#_x0000_t202" filled="false" stroked="false">
            <v:textbox inset="0,0,0,0">
              <w:txbxContent>
                <w:p>
                  <w:pPr>
                    <w:spacing w:line="152" w:lineRule="exact" w:before="0"/>
                    <w:ind w:left="0" w:right="0" w:firstLine="0"/>
                    <w:jc w:val="left"/>
                    <w:rPr>
                      <w:sz w:val="9"/>
                    </w:rPr>
                  </w:pPr>
                  <w:r>
                    <w:rPr>
                      <w:color w:val="231F20"/>
                      <w:w w:val="304"/>
                      <w:sz w:val="9"/>
                    </w:rPr>
                    <w:t>•</w:t>
                  </w:r>
                </w:p>
                <w:p>
                  <w:pPr>
                    <w:pStyle w:val="BodyText"/>
                    <w:rPr>
                      <w:sz w:val="12"/>
                    </w:rPr>
                  </w:pPr>
                </w:p>
                <w:p>
                  <w:pPr>
                    <w:pStyle w:val="BodyText"/>
                    <w:rPr>
                      <w:sz w:val="12"/>
                    </w:rPr>
                  </w:pPr>
                </w:p>
                <w:p>
                  <w:pPr>
                    <w:pStyle w:val="BodyText"/>
                    <w:spacing w:before="3"/>
                    <w:rPr>
                      <w:sz w:val="7"/>
                    </w:rPr>
                  </w:pPr>
                </w:p>
                <w:p>
                  <w:pPr>
                    <w:spacing w:line="132" w:lineRule="exact" w:before="0"/>
                    <w:ind w:left="0" w:right="0" w:firstLine="0"/>
                    <w:jc w:val="left"/>
                    <w:rPr>
                      <w:sz w:val="9"/>
                    </w:rPr>
                  </w:pPr>
                  <w:r>
                    <w:rPr>
                      <w:color w:val="231F20"/>
                      <w:w w:val="304"/>
                      <w:sz w:val="9"/>
                    </w:rPr>
                    <w:t>•</w:t>
                  </w:r>
                </w:p>
              </w:txbxContent>
            </v:textbox>
            <w10:wrap type="none"/>
          </v:shape>
        </w:pict>
      </w:r>
      <w:r>
        <w:rPr>
          <w:color w:val="231F20"/>
          <w:sz w:val="23"/>
        </w:rPr>
        <w:t>多重抗藥性結核病認可實驗室之傳統培養鑑定為</w:t>
      </w:r>
    </w:p>
    <w:p>
      <w:pPr>
        <w:spacing w:line="353" w:lineRule="exact" w:before="0"/>
        <w:ind w:left="4242" w:right="0" w:firstLine="0"/>
        <w:jc w:val="left"/>
        <w:rPr>
          <w:sz w:val="23"/>
        </w:rPr>
      </w:pPr>
      <w:r>
        <w:rPr>
          <w:color w:val="231F20"/>
          <w:sz w:val="23"/>
        </w:rPr>
        <w:t>MTBC 且同時對 INH 及 RMP 抗藥</w:t>
      </w:r>
    </w:p>
    <w:p>
      <w:pPr>
        <w:pStyle w:val="ListParagraph"/>
        <w:numPr>
          <w:ilvl w:val="1"/>
          <w:numId w:val="189"/>
        </w:numPr>
        <w:tabs>
          <w:tab w:pos="4243" w:val="left" w:leader="none"/>
        </w:tabs>
        <w:spacing w:line="353" w:lineRule="exact" w:before="0" w:after="0"/>
        <w:ind w:left="4242" w:right="0" w:hanging="280"/>
        <w:jc w:val="left"/>
        <w:rPr>
          <w:sz w:val="23"/>
        </w:rPr>
      </w:pPr>
      <w:r>
        <w:rPr>
          <w:color w:val="231F20"/>
          <w:spacing w:val="-1"/>
          <w:sz w:val="23"/>
        </w:rPr>
        <w:t>指定實驗室之快速分子檢測檢出 </w:t>
      </w:r>
      <w:r>
        <w:rPr>
          <w:color w:val="231F20"/>
          <w:sz w:val="23"/>
        </w:rPr>
        <w:t>MTBC</w:t>
      </w:r>
      <w:r>
        <w:rPr>
          <w:color w:val="231F20"/>
          <w:spacing w:val="-1"/>
          <w:sz w:val="23"/>
        </w:rPr>
        <w:t> 且同時對</w:t>
      </w:r>
    </w:p>
    <w:p>
      <w:pPr>
        <w:spacing w:line="353" w:lineRule="exact" w:before="0"/>
        <w:ind w:left="4242" w:right="0" w:firstLine="0"/>
        <w:jc w:val="left"/>
        <w:rPr>
          <w:sz w:val="23"/>
        </w:rPr>
      </w:pPr>
      <w:r>
        <w:rPr>
          <w:color w:val="231F20"/>
          <w:w w:val="105"/>
          <w:sz w:val="23"/>
        </w:rPr>
        <w:t>INH 及 RMP 抗藥</w:t>
      </w:r>
    </w:p>
    <w:p>
      <w:pPr>
        <w:pStyle w:val="ListParagraph"/>
        <w:numPr>
          <w:ilvl w:val="1"/>
          <w:numId w:val="189"/>
        </w:numPr>
        <w:tabs>
          <w:tab w:pos="4243" w:val="left" w:leader="none"/>
        </w:tabs>
        <w:spacing w:line="353" w:lineRule="exact" w:before="0" w:after="0"/>
        <w:ind w:left="4242" w:right="0" w:hanging="280"/>
        <w:jc w:val="left"/>
        <w:rPr>
          <w:sz w:val="23"/>
        </w:rPr>
      </w:pPr>
      <w:r>
        <w:rPr>
          <w:color w:val="231F20"/>
          <w:sz w:val="23"/>
        </w:rPr>
        <w:t>疾管署分枝桿蔥實驗室以分子檢測檢出</w:t>
      </w:r>
    </w:p>
    <w:p>
      <w:pPr>
        <w:pStyle w:val="ListParagraph"/>
        <w:numPr>
          <w:ilvl w:val="2"/>
          <w:numId w:val="189"/>
        </w:numPr>
        <w:tabs>
          <w:tab w:pos="4659" w:val="left" w:leader="none"/>
        </w:tabs>
        <w:spacing w:line="353" w:lineRule="exact" w:before="0" w:after="0"/>
        <w:ind w:left="4658" w:right="0" w:hanging="278"/>
        <w:jc w:val="left"/>
        <w:rPr>
          <w:sz w:val="23"/>
        </w:rPr>
      </w:pPr>
      <w:r>
        <w:rPr>
          <w:color w:val="231F20"/>
          <w:w w:val="105"/>
          <w:sz w:val="23"/>
        </w:rPr>
        <w:t>INH</w:t>
      </w:r>
      <w:r>
        <w:rPr>
          <w:color w:val="231F20"/>
          <w:spacing w:val="-7"/>
          <w:w w:val="105"/>
          <w:sz w:val="23"/>
        </w:rPr>
        <w:t> 及 </w:t>
      </w:r>
      <w:r>
        <w:rPr>
          <w:color w:val="231F20"/>
          <w:w w:val="105"/>
          <w:sz w:val="23"/>
        </w:rPr>
        <w:t>RMP</w:t>
      </w:r>
      <w:r>
        <w:rPr>
          <w:color w:val="231F20"/>
          <w:spacing w:val="-4"/>
          <w:w w:val="105"/>
          <w:sz w:val="23"/>
        </w:rPr>
        <w:t> 抗藥</w:t>
      </w:r>
    </w:p>
    <w:p>
      <w:pPr>
        <w:pStyle w:val="ListParagraph"/>
        <w:numPr>
          <w:ilvl w:val="2"/>
          <w:numId w:val="189"/>
        </w:numPr>
        <w:tabs>
          <w:tab w:pos="4659" w:val="left" w:leader="none"/>
        </w:tabs>
        <w:spacing w:line="353" w:lineRule="exact" w:before="0" w:after="0"/>
        <w:ind w:left="4658" w:right="0" w:hanging="278"/>
        <w:jc w:val="left"/>
        <w:rPr>
          <w:sz w:val="23"/>
        </w:rPr>
      </w:pPr>
      <w:r>
        <w:rPr>
          <w:color w:val="231F20"/>
          <w:sz w:val="23"/>
        </w:rPr>
        <w:t>RMP</w:t>
      </w:r>
      <w:r>
        <w:rPr>
          <w:color w:val="231F20"/>
          <w:spacing w:val="-1"/>
          <w:sz w:val="23"/>
        </w:rPr>
        <w:t> 具爭議性突變且同套檢體分子或傳統 </w:t>
      </w:r>
      <w:r>
        <w:rPr>
          <w:color w:val="231F20"/>
          <w:sz w:val="23"/>
        </w:rPr>
        <w:t>INH</w:t>
      </w:r>
    </w:p>
    <w:p>
      <w:pPr>
        <w:spacing w:line="377" w:lineRule="exact" w:before="0"/>
        <w:ind w:left="0" w:right="1134" w:firstLine="0"/>
        <w:jc w:val="center"/>
        <w:rPr>
          <w:sz w:val="23"/>
        </w:rPr>
      </w:pPr>
      <w:r>
        <w:rPr>
          <w:color w:val="231F20"/>
          <w:sz w:val="23"/>
        </w:rPr>
        <w:t>抗藥</w:t>
      </w:r>
    </w:p>
    <w:p>
      <w:pPr>
        <w:pStyle w:val="BodyText"/>
        <w:spacing w:before="2"/>
        <w:rPr>
          <w:sz w:val="16"/>
        </w:rPr>
      </w:pPr>
    </w:p>
    <w:p>
      <w:pPr>
        <w:spacing w:line="377" w:lineRule="exact" w:before="77"/>
        <w:ind w:left="1024" w:right="0" w:firstLine="0"/>
        <w:jc w:val="left"/>
        <w:rPr>
          <w:sz w:val="23"/>
        </w:rPr>
      </w:pPr>
      <w:r>
        <w:rPr/>
        <w:pict>
          <v:group style="position:absolute;margin-left:557.684509pt;margin-top:-8.945167pt;width:37.35pt;height:555.550pt;mso-position-horizontal-relative:page;mso-position-vertical-relative:paragraph;z-index:251870208" coordorigin="11154,-179" coordsize="747,11111">
            <v:shape style="position:absolute;left:11283;top:332;width:439;height:10600" type="#_x0000_t75" stroked="false">
              <v:imagedata r:id="rId102" o:title=""/>
            </v:shape>
            <v:shape style="position:absolute;left:11153;top:-179;width:747;height:812" coordorigin="11154,-179" coordsize="747,812" path="m11900,-179l11536,-179,11514,-177,11454,-143,11188,139,11154,227,11162,273,11454,596,11514,630,11536,632,11900,632,11900,-179xe" filled="true" fillcolor="#bd7cb5" stroked="false">
              <v:path arrowok="t"/>
              <v:fill type="solid"/>
            </v:shape>
            <v:shape style="position:absolute;left:11321;top:88;width:374;height:278" type="#_x0000_t75" stroked="false">
              <v:imagedata r:id="rId103" o:title=""/>
            </v:shape>
            <v:shape style="position:absolute;left:11378;top:768;width:250;height:3599" type="#_x0000_t75" stroked="false">
              <v:imagedata r:id="rId104" o:title=""/>
            </v:shape>
            <v:shape style="position:absolute;left:11368;top:10369;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103</w:t>
                    </w:r>
                  </w:p>
                </w:txbxContent>
              </v:textbox>
              <w10:wrap type="none"/>
            </v:shape>
            <w10:wrap type="none"/>
          </v:group>
        </w:pict>
      </w:r>
      <w:r>
        <w:rPr>
          <w:color w:val="231F20"/>
          <w:sz w:val="23"/>
        </w:rPr>
        <w:t>當疾管署分枝桿蔥實驗室／多重抗藥性結核病認可實驗室／指定實驗室之分子或傳統</w:t>
      </w:r>
    </w:p>
    <w:p>
      <w:pPr>
        <w:spacing w:line="211" w:lineRule="auto" w:before="9"/>
        <w:ind w:left="1023" w:right="1306" w:firstLine="0"/>
        <w:jc w:val="left"/>
        <w:rPr>
          <w:sz w:val="23"/>
        </w:rPr>
      </w:pPr>
      <w:r>
        <w:rPr>
          <w:color w:val="231F20"/>
          <w:sz w:val="23"/>
        </w:rPr>
        <w:t>—線藥敏檢測出 MDR -TB、臨床任—實驗室檢出 RR-TB，疾管署區管中心應於下述時間完成下列事項</w:t>
      </w:r>
    </w:p>
    <w:p>
      <w:pPr>
        <w:pStyle w:val="ListParagraph"/>
        <w:numPr>
          <w:ilvl w:val="0"/>
          <w:numId w:val="198"/>
        </w:numPr>
        <w:tabs>
          <w:tab w:pos="1303" w:val="left" w:leader="none"/>
        </w:tabs>
        <w:spacing w:line="344" w:lineRule="exact" w:before="0" w:after="0"/>
        <w:ind w:left="1302" w:right="0" w:hanging="280"/>
        <w:jc w:val="left"/>
        <w:rPr>
          <w:sz w:val="23"/>
        </w:rPr>
      </w:pPr>
      <w:r>
        <w:rPr>
          <w:color w:val="231F20"/>
          <w:w w:val="105"/>
          <w:sz w:val="23"/>
        </w:rPr>
        <w:t>1</w:t>
      </w:r>
      <w:r>
        <w:rPr>
          <w:color w:val="231F20"/>
          <w:spacing w:val="-5"/>
          <w:w w:val="105"/>
          <w:sz w:val="23"/>
        </w:rPr>
        <w:t> 個工作日內至 </w:t>
      </w:r>
      <w:r>
        <w:rPr>
          <w:color w:val="231F20"/>
          <w:w w:val="105"/>
          <w:sz w:val="23"/>
        </w:rPr>
        <w:t>TB</w:t>
      </w:r>
      <w:r>
        <w:rPr>
          <w:color w:val="231F20"/>
          <w:spacing w:val="-5"/>
          <w:w w:val="105"/>
          <w:sz w:val="23"/>
        </w:rPr>
        <w:t> 追管系統進行 </w:t>
      </w:r>
      <w:r>
        <w:rPr>
          <w:color w:val="231F20"/>
          <w:w w:val="105"/>
          <w:sz w:val="23"/>
        </w:rPr>
        <w:t>RR-TB、MDR-TB</w:t>
      </w:r>
      <w:r>
        <w:rPr>
          <w:color w:val="231F20"/>
          <w:spacing w:val="-4"/>
          <w:w w:val="105"/>
          <w:sz w:val="23"/>
        </w:rPr>
        <w:t> 身分註記</w:t>
      </w:r>
    </w:p>
    <w:p>
      <w:pPr>
        <w:pStyle w:val="ListParagraph"/>
        <w:numPr>
          <w:ilvl w:val="0"/>
          <w:numId w:val="198"/>
        </w:numPr>
        <w:tabs>
          <w:tab w:pos="1303" w:val="left" w:leader="none"/>
        </w:tabs>
        <w:spacing w:line="353" w:lineRule="exact" w:before="0" w:after="0"/>
        <w:ind w:left="1302" w:right="0" w:hanging="280"/>
        <w:jc w:val="left"/>
        <w:rPr>
          <w:sz w:val="23"/>
        </w:rPr>
      </w:pPr>
      <w:r>
        <w:rPr>
          <w:color w:val="231F20"/>
          <w:sz w:val="23"/>
        </w:rPr>
        <w:t>1</w:t>
      </w:r>
      <w:r>
        <w:rPr>
          <w:color w:val="231F20"/>
          <w:spacing w:val="-2"/>
          <w:sz w:val="23"/>
        </w:rPr>
        <w:t> 週內完成病人分類</w:t>
      </w:r>
      <w:r>
        <w:rPr>
          <w:color w:val="231F20"/>
          <w:sz w:val="23"/>
        </w:rPr>
        <w:t>（含死亡補通報病人)</w:t>
      </w:r>
    </w:p>
    <w:p>
      <w:pPr>
        <w:pStyle w:val="ListParagraph"/>
        <w:numPr>
          <w:ilvl w:val="0"/>
          <w:numId w:val="198"/>
        </w:numPr>
        <w:tabs>
          <w:tab w:pos="1303" w:val="left" w:leader="none"/>
        </w:tabs>
        <w:spacing w:line="211" w:lineRule="auto" w:before="10" w:after="0"/>
        <w:ind w:left="1302" w:right="1337" w:hanging="279"/>
        <w:jc w:val="left"/>
        <w:rPr>
          <w:sz w:val="23"/>
        </w:rPr>
      </w:pPr>
      <w:r>
        <w:rPr>
          <w:color w:val="231F20"/>
          <w:spacing w:val="9"/>
          <w:sz w:val="23"/>
        </w:rPr>
        <w:t>接獲 </w:t>
      </w:r>
      <w:r>
        <w:rPr>
          <w:color w:val="231F20"/>
          <w:sz w:val="23"/>
        </w:rPr>
        <w:t>XOR-TB</w:t>
      </w:r>
      <w:r>
        <w:rPr>
          <w:color w:val="231F20"/>
          <w:spacing w:val="4"/>
          <w:sz w:val="23"/>
        </w:rPr>
        <w:t> 檢驗報告時，於 </w:t>
      </w:r>
      <w:r>
        <w:rPr>
          <w:color w:val="231F20"/>
          <w:sz w:val="23"/>
        </w:rPr>
        <w:t>1</w:t>
      </w:r>
      <w:r>
        <w:rPr>
          <w:color w:val="231F20"/>
          <w:spacing w:val="-1"/>
          <w:sz w:val="23"/>
        </w:rPr>
        <w:t> 個工作日內將掃描檔以電子郵件傳送疾管署慢性</w:t>
      </w:r>
      <w:r>
        <w:rPr>
          <w:color w:val="231F20"/>
          <w:sz w:val="23"/>
        </w:rPr>
        <w:t>組並電話確認，再由疾管署慢性組至「TB 追管系統」進行 XOR 身分註記。</w:t>
      </w:r>
    </w:p>
    <w:p>
      <w:pPr>
        <w:pStyle w:val="BodyText"/>
        <w:spacing w:before="14"/>
        <w:rPr>
          <w:sz w:val="18"/>
        </w:rPr>
      </w:pPr>
    </w:p>
    <w:p>
      <w:pPr>
        <w:spacing w:before="78"/>
        <w:ind w:left="2369" w:right="0" w:firstLine="0"/>
        <w:jc w:val="left"/>
        <w:rPr>
          <w:sz w:val="23"/>
        </w:rPr>
      </w:pPr>
      <w:r>
        <w:rPr>
          <w:color w:val="231F20"/>
          <w:sz w:val="23"/>
        </w:rPr>
        <w:t>衛生局於 1 個工作日內完成登記作業並啟動後續介入措施</w:t>
      </w:r>
    </w:p>
    <w:p>
      <w:pPr>
        <w:pStyle w:val="BodyText"/>
        <w:spacing w:before="106"/>
        <w:ind w:left="878"/>
      </w:pPr>
      <w:r>
        <w:rPr>
          <w:color w:val="231F20"/>
        </w:rPr>
        <w:t>註：</w:t>
      </w:r>
    </w:p>
    <w:p>
      <w:pPr>
        <w:pStyle w:val="ListParagraph"/>
        <w:numPr>
          <w:ilvl w:val="0"/>
          <w:numId w:val="199"/>
        </w:numPr>
        <w:tabs>
          <w:tab w:pos="1117" w:val="left" w:leader="none"/>
        </w:tabs>
        <w:spacing w:line="230" w:lineRule="auto" w:before="0" w:after="0"/>
        <w:ind w:left="1116" w:right="1133" w:hanging="233"/>
        <w:jc w:val="left"/>
        <w:rPr>
          <w:sz w:val="24"/>
        </w:rPr>
      </w:pPr>
      <w:r>
        <w:rPr>
          <w:color w:val="231F20"/>
          <w:spacing w:val="3"/>
          <w:sz w:val="24"/>
        </w:rPr>
        <w:t>多重抗藥性結核病認可實驗室係經疾管署審査通過可直接確認及登打 </w:t>
      </w:r>
      <w:r>
        <w:rPr>
          <w:color w:val="231F20"/>
          <w:sz w:val="24"/>
        </w:rPr>
        <w:t>MDR-TB 檢</w:t>
      </w:r>
      <w:r>
        <w:rPr>
          <w:color w:val="231F20"/>
          <w:spacing w:val="-1"/>
          <w:sz w:val="24"/>
        </w:rPr>
        <w:t>驗結果，疾管署區管中心逕進行 </w:t>
      </w:r>
      <w:r>
        <w:rPr>
          <w:color w:val="231F20"/>
          <w:sz w:val="24"/>
        </w:rPr>
        <w:t>MDR-TB</w:t>
      </w:r>
      <w:r>
        <w:rPr>
          <w:color w:val="231F20"/>
          <w:spacing w:val="-1"/>
          <w:sz w:val="24"/>
        </w:rPr>
        <w:t> 註記，以縮短 </w:t>
      </w:r>
      <w:r>
        <w:rPr>
          <w:color w:val="231F20"/>
          <w:sz w:val="24"/>
        </w:rPr>
        <w:t>MDR-TB</w:t>
      </w:r>
      <w:r>
        <w:rPr>
          <w:color w:val="231F20"/>
          <w:spacing w:val="-1"/>
          <w:sz w:val="24"/>
        </w:rPr>
        <w:t> 個案通報時效。</w:t>
      </w:r>
    </w:p>
    <w:p>
      <w:pPr>
        <w:pStyle w:val="ListParagraph"/>
        <w:numPr>
          <w:ilvl w:val="0"/>
          <w:numId w:val="199"/>
        </w:numPr>
        <w:tabs>
          <w:tab w:pos="1117" w:val="left" w:leader="none"/>
        </w:tabs>
        <w:spacing w:line="230" w:lineRule="auto" w:before="0" w:after="0"/>
        <w:ind w:left="1116" w:right="1128" w:hanging="233"/>
        <w:jc w:val="left"/>
        <w:rPr>
          <w:sz w:val="24"/>
        </w:rPr>
      </w:pPr>
      <w:r>
        <w:rPr>
          <w:color w:val="231F20"/>
          <w:spacing w:val="3"/>
          <w:sz w:val="24"/>
        </w:rPr>
        <w:t>未經能力試驗通過為 </w:t>
      </w:r>
      <w:r>
        <w:rPr>
          <w:color w:val="231F20"/>
          <w:sz w:val="24"/>
        </w:rPr>
        <w:t>MDR-TB</w:t>
      </w:r>
      <w:r>
        <w:rPr>
          <w:color w:val="231F20"/>
          <w:spacing w:val="2"/>
          <w:sz w:val="24"/>
        </w:rPr>
        <w:t> 認可檢驗機構之臨床實驗室所執行藥敏試驗，須將</w:t>
      </w:r>
      <w:r>
        <w:rPr>
          <w:color w:val="231F20"/>
          <w:sz w:val="24"/>
        </w:rPr>
        <w:t>原始蔥株送疾管署分枝桿蔥實驗室進行分子檢測確認。</w:t>
      </w:r>
    </w:p>
    <w:p>
      <w:pPr>
        <w:pStyle w:val="ListParagraph"/>
        <w:numPr>
          <w:ilvl w:val="0"/>
          <w:numId w:val="199"/>
        </w:numPr>
        <w:tabs>
          <w:tab w:pos="1119" w:val="left" w:leader="none"/>
        </w:tabs>
        <w:spacing w:line="230" w:lineRule="auto" w:before="0" w:after="0"/>
        <w:ind w:left="1116" w:right="1134" w:hanging="233"/>
        <w:jc w:val="left"/>
        <w:rPr>
          <w:sz w:val="24"/>
        </w:rPr>
      </w:pPr>
      <w:r>
        <w:rPr>
          <w:color w:val="231F20"/>
          <w:spacing w:val="-1"/>
          <w:sz w:val="24"/>
        </w:rPr>
        <w:t>當分子檢測結果 </w:t>
      </w:r>
      <w:r>
        <w:rPr>
          <w:color w:val="231F20"/>
          <w:sz w:val="24"/>
        </w:rPr>
        <w:t>RMP</w:t>
      </w:r>
      <w:r>
        <w:rPr>
          <w:color w:val="231F20"/>
          <w:spacing w:val="-1"/>
          <w:sz w:val="24"/>
        </w:rPr>
        <w:t> 具爭議性位點，但 </w:t>
      </w:r>
      <w:r>
        <w:rPr>
          <w:color w:val="231F20"/>
          <w:sz w:val="24"/>
        </w:rPr>
        <w:t>INH 分子檢測結果無法判定時，請參考同</w:t>
      </w:r>
      <w:r>
        <w:rPr>
          <w:color w:val="231F20"/>
          <w:spacing w:val="-1"/>
          <w:sz w:val="24"/>
        </w:rPr>
        <w:t>套多重抗藥性結核病認可實驗室之 </w:t>
      </w:r>
      <w:r>
        <w:rPr>
          <w:color w:val="231F20"/>
          <w:sz w:val="24"/>
        </w:rPr>
        <w:t>INH</w:t>
      </w:r>
      <w:r>
        <w:rPr>
          <w:color w:val="231F20"/>
          <w:spacing w:val="-2"/>
          <w:sz w:val="24"/>
        </w:rPr>
        <w:t> 傳統藥敏結果判定。</w:t>
      </w:r>
    </w:p>
    <w:p>
      <w:pPr>
        <w:pStyle w:val="BodyText"/>
        <w:spacing w:line="395" w:lineRule="exact"/>
        <w:ind w:left="391"/>
      </w:pPr>
      <w:r>
        <w:rPr>
          <w:color w:val="231F20"/>
        </w:rPr>
        <w:t>匹、取消抗藥性結核病註記</w:t>
      </w:r>
    </w:p>
    <w:p>
      <w:pPr>
        <w:pStyle w:val="BodyText"/>
        <w:spacing w:line="230" w:lineRule="auto"/>
        <w:ind w:left="878" w:right="1127"/>
        <w:jc w:val="both"/>
      </w:pPr>
      <w:r>
        <w:rPr>
          <w:color w:val="231F20"/>
        </w:rPr>
        <w:t>公衛管理人員、醫療院所發現疑似實驗室檢驗報告異常事件，請先透過衛生局召開之結核病診療諮詢小組病例口冊會 </w:t>
      </w:r>
      <w:r>
        <w:rPr>
          <w:color w:val="231F20"/>
          <w:w w:val="70"/>
        </w:rPr>
        <w:t>（ </w:t>
      </w:r>
      <w:r>
        <w:rPr>
          <w:color w:val="231F20"/>
        </w:rPr>
        <w:t>下稱縣市級診療諮詢小組 )，口冊是否提報「實驗室檢驗報告異常案件調査」，如確定為檢體錯置或實驗室異常事件，經再次提報縣市級診療諮詢小組，可逕予取消 DR-TB 抗藥註記。若無法排除或證實實驗室汙染，續依 DR-TB 病人治療及管理或提送疾管署召開之「抗藥性結核病醫療照護體系檢口暨困難治療個案口冊會」口冊 </w:t>
      </w:r>
      <w:r>
        <w:rPr>
          <w:color w:val="231F20"/>
          <w:w w:val="70"/>
        </w:rPr>
        <w:t>（ </w:t>
      </w:r>
      <w:r>
        <w:rPr>
          <w:color w:val="231F20"/>
        </w:rPr>
        <w:t>圖 10-4)，當分子與傳統藥敏結果相異時，可依檢驗結果循圖 10-5 之處理原則進行情境判定，並依情境判定結果進行後續相關處置。</w:t>
      </w:r>
    </w:p>
    <w:p>
      <w:pPr>
        <w:spacing w:after="0" w:line="230" w:lineRule="auto"/>
        <w:jc w:val="both"/>
        <w:sectPr>
          <w:pgSz w:w="11910" w:h="16840"/>
          <w:pgMar w:top="1060" w:bottom="0" w:left="980" w:right="0"/>
        </w:sectPr>
      </w:pPr>
    </w:p>
    <w:p>
      <w:pPr>
        <w:pStyle w:val="BodyText"/>
        <w:spacing w:before="59"/>
        <w:ind w:left="878"/>
      </w:pPr>
      <w:r>
        <w:rPr/>
        <w:pict>
          <v:group style="position:absolute;margin-left:95.751999pt;margin-top:22.16638pt;width:441.55pt;height:427.35pt;mso-position-horizontal-relative:page;mso-position-vertical-relative:paragraph;z-index:-266181632" coordorigin="1915,443" coordsize="8831,8547">
            <v:shape style="position:absolute;left:6135;top:6535;width:359;height:120" type="#_x0000_t75" stroked="false">
              <v:imagedata r:id="rId115" o:title=""/>
            </v:shape>
            <v:shape style="position:absolute;left:4170;top:5943;width:4415;height:1080" coordorigin="4171,5943" coordsize="4415,1080" path="m6146,5943l6126,5943,6126,5964,6126,7003,4190,7003,4190,5964,6126,5964,6126,5943,4171,5943,4171,7023,6146,7023,6146,7014,6146,7003,6146,5964,6146,5953,6146,5943m8585,6077l8566,6077,8566,6098,8566,7003,6505,7003,6505,6098,8566,6098,8566,6077,6485,6077,6485,7023,8585,7023,8585,7014,8585,7003,8585,6098,8585,6088,8585,6077e" filled="true" fillcolor="#93b266" stroked="false">
              <v:path arrowok="t"/>
              <v:fill type="solid"/>
            </v:shape>
            <v:shape style="position:absolute;left:7509;top:5545;width:2127;height:170" coordorigin="7509,5546" coordsize="2127,170" path="m7509,5715l9636,5715m8346,5546l8346,5714e" filled="false" stroked="true" strokeweight="1.015000pt" strokecolor="#93b266">
              <v:path arrowok="t"/>
              <v:stroke dashstyle="solid"/>
            </v:shape>
            <v:shape style="position:absolute;left:8772;top:6077;width:1974;height:947" coordorigin="8772,6077" coordsize="1974,947" path="m10746,6077l8772,6077,8772,7023,10746,7023,10746,7014,8793,7014,8782,7003,8793,7003,8793,6098,8782,6098,8793,6088,10746,6088,10746,6077xm8793,7003l8782,7003,8793,7014,8793,7003xm10725,7003l8793,7003,8793,7014,10725,7014,10725,7003xm10725,6088l10725,7014,10735,7003,10746,7003,10746,6098,10735,6098,10725,6088xm10746,7003l10735,7003,10725,7014,10746,7014,10746,7003xm8793,6088l8782,6098,8793,6098,8793,6088xm10725,6088l8793,6088,8793,6098,10725,6098,10725,6088xm10746,6088l10725,6088,10735,6098,10746,6098,10746,6088xe" filled="true" fillcolor="#93b266" stroked="false">
              <v:path arrowok="t"/>
              <v:fill type="solid"/>
            </v:shape>
            <v:shape style="position:absolute;left:9576;top:5714;width:120;height:374" type="#_x0000_t75" stroked="false">
              <v:imagedata r:id="rId116" o:title=""/>
            </v:shape>
            <v:shape style="position:absolute;left:7449;top:5714;width:120;height:374" type="#_x0000_t75" stroked="false">
              <v:imagedata r:id="rId117" o:title=""/>
            </v:shape>
            <v:shape style="position:absolute;left:1915;top:7013;width:8831;height:1976" coordorigin="1915,7014" coordsize="8831,1976" path="m3926,7646l3906,7646,3906,7666,3906,8969,1935,8969,1935,7666,3906,7666,3906,7646,1915,7646,1915,8990,3926,8990,3926,8980,3926,8969,3926,7666,3926,7655,3926,7646m6146,7646l6126,7646,6126,7666,6126,8969,4356,8969,4356,7666,6126,7666,6126,7646,4335,7646,4335,8990,6146,8990,6146,8980,6146,8969,6146,7666,6146,7655,6146,7646m10746,7646l10725,7646,10725,7666,10725,8969,6505,8969,6505,7666,10725,7666,10725,7646,9518,7646,9563,7556,9573,7536,9522,7536,9522,7014,9502,7014,9503,7536,9453,7536,9508,7646,6485,7646,6485,8990,10746,8990,10746,8980,10746,8969,10746,7666,10746,7655,10746,7646e" filled="true" fillcolor="#93b266" stroked="false">
              <v:path arrowok="t"/>
              <v:fill type="solid"/>
            </v:shape>
            <v:shape style="position:absolute;left:3968;top:8237;width:374;height:120" type="#_x0000_t75" stroked="false">
              <v:imagedata r:id="rId118" o:title=""/>
            </v:shape>
            <v:shape style="position:absolute;left:1915;top:443;width:8831;height:7213" coordorigin="1915,443" coordsize="8831,7213" path="m3642,4386l3592,4386,3591,4071,3572,4071,3572,4386,3523,4386,3583,4505,3633,4405,3642,4386m3926,5969l3906,5969,3906,5988,3906,7003,1935,7003,1935,5988,3906,5988,3906,5969,1915,5969,1915,7023,2817,7023,2762,7133,2812,7133,2811,7655,2831,7655,2832,7133,2882,7133,2871,7113,2827,7023,3926,7023,3926,7014,3926,7003,3926,5988,3926,5978,3926,5969m4402,1413l4353,1413,4352,1100,4332,1100,4333,1413,4283,1413,4344,1533,4392,1434,4402,1413m5295,4524l5276,4524,5276,4545,5276,5122,1935,5122,1935,4545,5276,4545,5276,4524,1915,4524,1915,5142,5295,5142,5295,5132,5295,5122,5295,4545,5295,4535,5295,4524m6146,2628l6126,2628,6126,2649,6126,4002,1935,4002,1935,2649,6126,2649,6126,2628,1915,2628,1915,4022,5594,4022,5540,4131,5590,4131,5590,4456,5903,4456,5903,5953,5923,5953,5923,4456,5923,4436,5609,4436,5609,4131,5659,4131,5649,4111,5605,4022,6146,4022,6146,4012,6146,4002,6146,2649,6146,2638,6146,2628m6146,1538l6126,1538,6126,1558,6126,2160,1935,2160,1935,1558,6126,1558,6126,1538,1915,1538,1915,2180,4334,2180,4335,2484,4285,2484,4345,2603,4395,2504,4405,2484,4354,2484,4354,2180,6146,2180,6146,2171,6146,2160,6146,1558,6146,1548,6146,1538m8509,4370l8459,4370,8459,4057,8439,4057,8440,4370,8390,4370,8450,4490,8499,4390,8509,4370m8512,1409l8462,1409,8460,1096,8441,1096,8441,1409,8392,1409,8452,1528,8502,1429,8512,1409m10746,4524l10725,4524,10725,4545,10725,5535,6505,5535,6505,4545,10725,4545,10725,4524,6485,4524,6485,5555,10746,5555,10746,5546,10746,5535,10746,4545,10746,4535,10746,4524m10746,2628l10725,2628,10725,2649,10725,4002,6505,4002,6505,2649,10725,2649,10725,2628,6485,2628,6485,4022,10746,4022,10746,4012,10746,4002,10746,2649,10746,2638,10746,2628m10746,1538l10725,1538,10725,1558,10725,2160,6505,2160,6505,1558,10725,1558,10725,1538,6485,1538,6485,2180,8440,2180,8440,2484,8391,2484,8451,2603,8500,2504,8511,2484,8460,2484,8459,2180,10746,2180,10746,2171,10746,2160,10746,1558,10746,1548,10746,1538m10746,443l10725,443,10725,462,10725,1055,1935,1055,1935,462,10725,462,10725,443,1915,443,1915,1075,10746,1075,10746,1066,10746,1055,10746,462,10746,453,10746,443e" filled="true" fillcolor="#93b266" stroked="false">
              <v:path arrowok="t"/>
              <v:fill type="solid"/>
            </v:shape>
            <v:line style="position:absolute" from="3374,5535" to="5285,5535" stroked="true" strokeweight="1.016pt" strokecolor="#93b266">
              <v:stroke dashstyle="solid"/>
            </v:line>
            <v:shape style="position:absolute;left:3313;top:5520;width:2031;height:444" coordorigin="3314,5521" coordsize="2031,444" path="m3433,5844l3383,5844,3383,5530,3364,5530,3364,5844,3314,5844,3374,5964,3424,5863,3433,5844m5345,5834l5295,5834,5295,5521,5276,5521,5276,5834,5225,5834,5285,5953,5335,5854,5345,5834e" filled="true" fillcolor="#93b266" stroked="false">
              <v:path arrowok="t"/>
              <v:fill type="solid"/>
            </v:shape>
            <v:line style="position:absolute" from="4180,5132" to="4180,5505" stroked="true" strokeweight=".955pt" strokecolor="#93b266">
              <v:stroke dashstyle="solid"/>
            </v:line>
            <v:shape style="position:absolute;left:6121;top:8238;width:373;height:120" type="#_x0000_t75" stroked="false">
              <v:imagedata r:id="rId119" o:title=""/>
            </v:shape>
            <w10:wrap type="none"/>
          </v:group>
        </w:pict>
      </w:r>
      <w:r>
        <w:rPr>
          <w:color w:val="231F20"/>
        </w:rPr>
        <w:t>圖 10-4、DR-TB 取消註記流程</w:t>
      </w:r>
    </w:p>
    <w:p>
      <w:pPr>
        <w:pStyle w:val="BodyText"/>
        <w:spacing w:before="89"/>
        <w:ind w:right="224"/>
        <w:jc w:val="center"/>
      </w:pPr>
      <w:r>
        <w:rPr>
          <w:color w:val="231F20"/>
        </w:rPr>
        <w:t>對抗藥性結核病病人（RR／MDR／XDR-TB)註記有疑義者</w:t>
      </w:r>
    </w:p>
    <w:p>
      <w:pPr>
        <w:pStyle w:val="BodyText"/>
        <w:rPr>
          <w:sz w:val="20"/>
        </w:rPr>
      </w:pPr>
    </w:p>
    <w:p>
      <w:pPr>
        <w:pStyle w:val="BodyText"/>
        <w:spacing w:before="9"/>
        <w:rPr>
          <w:sz w:val="13"/>
        </w:rPr>
      </w:pPr>
    </w:p>
    <w:p>
      <w:pPr>
        <w:pStyle w:val="BodyText"/>
        <w:tabs>
          <w:tab w:pos="4660" w:val="left" w:leader="none"/>
        </w:tabs>
        <w:spacing w:before="80"/>
        <w:ind w:right="315"/>
        <w:jc w:val="center"/>
      </w:pPr>
      <w:r>
        <w:rPr>
          <w:color w:val="231F20"/>
        </w:rPr>
        <w:t>分子與傳統藥敏結果相異者</w:t>
      </w:r>
      <w:r>
        <w:rPr>
          <w:color w:val="231F20"/>
          <w:spacing w:val="-10"/>
        </w:rPr>
        <w:t> </w:t>
      </w:r>
      <w:r>
        <w:rPr>
          <w:color w:val="231F20"/>
          <w:position w:val="11"/>
          <w:sz w:val="16"/>
        </w:rPr>
        <w:t>1</w:t>
        <w:tab/>
      </w:r>
      <w:r>
        <w:rPr>
          <w:color w:val="231F20"/>
        </w:rPr>
        <w:t>懷疑檢體錯置或實驗室異常</w:t>
      </w:r>
    </w:p>
    <w:p>
      <w:pPr>
        <w:pStyle w:val="BodyText"/>
        <w:rPr>
          <w:sz w:val="20"/>
        </w:rPr>
      </w:pPr>
    </w:p>
    <w:p>
      <w:pPr>
        <w:pStyle w:val="BodyText"/>
        <w:spacing w:before="10"/>
        <w:rPr>
          <w:sz w:val="14"/>
        </w:rPr>
      </w:pPr>
    </w:p>
    <w:p>
      <w:pPr>
        <w:spacing w:after="0"/>
        <w:rPr>
          <w:sz w:val="14"/>
        </w:rPr>
        <w:sectPr>
          <w:pgSz w:w="11910" w:h="16840"/>
          <w:pgMar w:top="1060" w:bottom="0" w:left="980" w:right="0"/>
        </w:sectPr>
      </w:pPr>
    </w:p>
    <w:p>
      <w:pPr>
        <w:pStyle w:val="BodyText"/>
        <w:spacing w:line="228" w:lineRule="auto" w:before="84"/>
        <w:ind w:left="1097"/>
        <w:jc w:val="both"/>
      </w:pPr>
      <w:r>
        <w:rPr>
          <w:color w:val="231F20"/>
          <w:w w:val="95"/>
        </w:rPr>
        <w:t>提送疾管署召開之「抗藥性結核病醫療照護體系檢口暨困難治療個案口冊</w:t>
      </w:r>
      <w:r>
        <w:rPr>
          <w:color w:val="231F20"/>
        </w:rPr>
        <w:t>會議」口冊</w:t>
      </w:r>
    </w:p>
    <w:p>
      <w:pPr>
        <w:pStyle w:val="BodyText"/>
        <w:spacing w:before="70"/>
        <w:ind w:left="706"/>
      </w:pPr>
      <w:r>
        <w:rPr/>
        <w:br w:type="column"/>
      </w:r>
      <w:r>
        <w:rPr>
          <w:color w:val="231F20"/>
        </w:rPr>
        <w:t>提送縣市級診療諮詢小組</w:t>
      </w:r>
    </w:p>
    <w:p>
      <w:pPr>
        <w:spacing w:line="273" w:lineRule="auto" w:before="29"/>
        <w:ind w:left="706" w:right="1365" w:hanging="1"/>
        <w:jc w:val="left"/>
        <w:rPr>
          <w:sz w:val="20"/>
        </w:rPr>
      </w:pPr>
      <w:r>
        <w:rPr>
          <w:color w:val="231F20"/>
          <w:w w:val="95"/>
          <w:sz w:val="20"/>
        </w:rPr>
        <w:t>（至少邀請—位 TMTC 團隊醫師或具診療抗藥</w:t>
      </w:r>
      <w:r>
        <w:rPr>
          <w:color w:val="231F20"/>
          <w:sz w:val="20"/>
        </w:rPr>
        <w:t>性結核病醫師擔任委員)</w:t>
      </w:r>
    </w:p>
    <w:p>
      <w:pPr>
        <w:spacing w:after="0" w:line="273" w:lineRule="auto"/>
        <w:jc w:val="left"/>
        <w:rPr>
          <w:sz w:val="20"/>
        </w:rPr>
        <w:sectPr>
          <w:type w:val="continuous"/>
          <w:pgSz w:w="11910" w:h="16840"/>
          <w:pgMar w:top="720" w:bottom="280" w:left="980" w:right="0"/>
          <w:cols w:num="2" w:equalWidth="0">
            <w:col w:w="4921" w:space="40"/>
            <w:col w:w="5969"/>
          </w:cols>
        </w:sectPr>
      </w:pPr>
    </w:p>
    <w:p>
      <w:pPr>
        <w:pStyle w:val="BodyText"/>
        <w:rPr>
          <w:sz w:val="20"/>
        </w:rPr>
      </w:pPr>
    </w:p>
    <w:p>
      <w:pPr>
        <w:pStyle w:val="BodyText"/>
        <w:spacing w:before="12"/>
        <w:rPr>
          <w:sz w:val="13"/>
        </w:rPr>
      </w:pPr>
    </w:p>
    <w:p>
      <w:pPr>
        <w:spacing w:after="0"/>
        <w:rPr>
          <w:sz w:val="13"/>
        </w:rPr>
        <w:sectPr>
          <w:type w:val="continuous"/>
          <w:pgSz w:w="11910" w:h="16840"/>
          <w:pgMar w:top="720" w:bottom="280" w:left="980" w:right="0"/>
        </w:sectPr>
      </w:pPr>
    </w:p>
    <w:p>
      <w:pPr>
        <w:pStyle w:val="BodyText"/>
        <w:spacing w:before="70"/>
        <w:ind w:left="1668"/>
      </w:pPr>
      <w:r>
        <w:rPr>
          <w:color w:val="231F20"/>
        </w:rPr>
        <w:t>是否取消抗藥註記</w:t>
      </w:r>
    </w:p>
    <w:p>
      <w:pPr>
        <w:pStyle w:val="BodyText"/>
        <w:tabs>
          <w:tab w:pos="3601" w:val="left" w:leader="none"/>
        </w:tabs>
        <w:spacing w:before="48"/>
        <w:ind w:left="2491"/>
      </w:pPr>
      <w:r>
        <w:rPr>
          <w:color w:val="231F20"/>
          <w:position w:val="-2"/>
        </w:rPr>
        <w:t>是</w:t>
        <w:tab/>
      </w:r>
      <w:r>
        <w:rPr>
          <w:color w:val="231F20"/>
        </w:rPr>
        <w:t>否</w:t>
      </w:r>
    </w:p>
    <w:p>
      <w:pPr>
        <w:pStyle w:val="BodyText"/>
        <w:spacing w:line="220" w:lineRule="auto" w:before="93"/>
        <w:ind w:left="1668" w:right="1432"/>
        <w:rPr>
          <w:sz w:val="16"/>
        </w:rPr>
      </w:pPr>
      <w:r>
        <w:rPr/>
        <w:br w:type="column"/>
      </w:r>
      <w:r>
        <w:rPr>
          <w:color w:val="231F20"/>
          <w:w w:val="95"/>
        </w:rPr>
        <w:t>疾管署分枝桿蔥實驗室進行疑似「實</w:t>
      </w:r>
      <w:r>
        <w:rPr>
          <w:color w:val="231F20"/>
        </w:rPr>
        <w:t>驗室檢驗報告異常案件調査」</w:t>
      </w:r>
      <w:r>
        <w:rPr>
          <w:color w:val="231F20"/>
          <w:position w:val="11"/>
          <w:sz w:val="16"/>
        </w:rPr>
        <w:t>2</w:t>
      </w:r>
    </w:p>
    <w:p>
      <w:pPr>
        <w:spacing w:after="0" w:line="220" w:lineRule="auto"/>
        <w:rPr>
          <w:sz w:val="16"/>
        </w:rPr>
        <w:sectPr>
          <w:type w:val="continuous"/>
          <w:pgSz w:w="11910" w:h="16840"/>
          <w:pgMar w:top="720" w:bottom="280" w:left="980" w:right="0"/>
          <w:cols w:num="2" w:equalWidth="0">
            <w:col w:w="3881" w:space="118"/>
            <w:col w:w="6931"/>
          </w:cols>
        </w:sectPr>
      </w:pPr>
    </w:p>
    <w:p>
      <w:pPr>
        <w:pStyle w:val="BodyText"/>
        <w:rPr>
          <w:sz w:val="25"/>
        </w:rPr>
      </w:pPr>
    </w:p>
    <w:p>
      <w:pPr>
        <w:spacing w:after="0"/>
        <w:rPr>
          <w:sz w:val="25"/>
        </w:rPr>
        <w:sectPr>
          <w:type w:val="continuous"/>
          <w:pgSz w:w="11910" w:h="16840"/>
          <w:pgMar w:top="720" w:bottom="280" w:left="980" w:right="0"/>
        </w:sectPr>
      </w:pPr>
    </w:p>
    <w:p>
      <w:pPr>
        <w:pStyle w:val="BodyText"/>
        <w:spacing w:line="228" w:lineRule="auto" w:before="109"/>
        <w:ind w:left="1097"/>
      </w:pPr>
      <w:r>
        <w:rPr>
          <w:color w:val="231F20"/>
          <w:spacing w:val="-3"/>
        </w:rPr>
        <w:t>疾管署慢性組取</w:t>
      </w:r>
      <w:r>
        <w:rPr>
          <w:color w:val="231F20"/>
          <w:spacing w:val="-9"/>
        </w:rPr>
        <w:t>消 </w:t>
      </w:r>
      <w:r>
        <w:rPr>
          <w:color w:val="231F20"/>
        </w:rPr>
        <w:t>OR-TB</w:t>
      </w:r>
      <w:r>
        <w:rPr>
          <w:color w:val="231F20"/>
          <w:spacing w:val="-6"/>
        </w:rPr>
        <w:t> 註記</w:t>
      </w:r>
    </w:p>
    <w:p>
      <w:pPr>
        <w:pStyle w:val="BodyText"/>
        <w:spacing w:line="230" w:lineRule="auto" w:before="81"/>
        <w:ind w:left="542"/>
      </w:pPr>
      <w:r>
        <w:rPr/>
        <w:br w:type="column"/>
      </w:r>
      <w:r>
        <w:rPr>
          <w:color w:val="231F20"/>
        </w:rPr>
        <w:t>續依OR-TB 病人治療及管理</w:t>
      </w:r>
    </w:p>
    <w:p>
      <w:pPr>
        <w:pStyle w:val="BodyText"/>
        <w:spacing w:line="228" w:lineRule="auto" w:before="218"/>
        <w:ind w:left="720"/>
      </w:pPr>
      <w:r>
        <w:rPr/>
        <w:br w:type="column"/>
      </w:r>
      <w:r>
        <w:rPr>
          <w:color w:val="231F20"/>
          <w:spacing w:val="-3"/>
        </w:rPr>
        <w:t>無法排除或證實實驗室異常事件</w:t>
      </w:r>
    </w:p>
    <w:p>
      <w:pPr>
        <w:pStyle w:val="BodyText"/>
        <w:spacing w:line="228" w:lineRule="auto" w:before="218"/>
        <w:ind w:left="575" w:right="1534"/>
      </w:pPr>
      <w:r>
        <w:rPr/>
        <w:br w:type="column"/>
      </w:r>
      <w:r>
        <w:rPr>
          <w:color w:val="231F20"/>
        </w:rPr>
        <w:t>確定實驗室異常事件</w:t>
      </w:r>
    </w:p>
    <w:p>
      <w:pPr>
        <w:spacing w:after="0" w:line="228" w:lineRule="auto"/>
        <w:sectPr>
          <w:type w:val="continuous"/>
          <w:pgSz w:w="11910" w:h="16840"/>
          <w:pgMar w:top="720" w:bottom="280" w:left="980" w:right="0"/>
          <w:cols w:num="4" w:equalWidth="0">
            <w:col w:w="2771" w:space="40"/>
            <w:col w:w="2097" w:space="39"/>
            <w:col w:w="2393" w:space="39"/>
            <w:col w:w="3551"/>
          </w:cols>
        </w:sectPr>
      </w:pPr>
    </w:p>
    <w:p>
      <w:pPr>
        <w:pStyle w:val="BodyText"/>
        <w:rPr>
          <w:sz w:val="20"/>
        </w:rPr>
      </w:pPr>
    </w:p>
    <w:p>
      <w:pPr>
        <w:pStyle w:val="BodyText"/>
        <w:spacing w:before="11"/>
        <w:rPr>
          <w:sz w:val="19"/>
        </w:rPr>
      </w:pPr>
    </w:p>
    <w:p>
      <w:pPr>
        <w:spacing w:after="0"/>
        <w:rPr>
          <w:sz w:val="19"/>
        </w:rPr>
        <w:sectPr>
          <w:type w:val="continuous"/>
          <w:pgSz w:w="11910" w:h="16840"/>
          <w:pgMar w:top="720" w:bottom="280" w:left="980" w:right="0"/>
        </w:sectPr>
      </w:pPr>
    </w:p>
    <w:p>
      <w:pPr>
        <w:pStyle w:val="BodyText"/>
        <w:spacing w:line="223" w:lineRule="auto" w:before="90"/>
        <w:ind w:left="1097"/>
        <w:jc w:val="both"/>
        <w:rPr>
          <w:sz w:val="16"/>
        </w:rPr>
      </w:pPr>
      <w:r>
        <w:rPr>
          <w:color w:val="231F20"/>
          <w:spacing w:val="-3"/>
        </w:rPr>
        <w:t>衛生局上傳病例</w:t>
      </w:r>
      <w:r>
        <w:rPr>
          <w:color w:val="231F20"/>
          <w:spacing w:val="14"/>
        </w:rPr>
        <w:t>口冊單至</w:t>
      </w:r>
      <w:r>
        <w:rPr>
          <w:color w:val="231F20"/>
        </w:rPr>
        <w:t>TB</w:t>
      </w:r>
      <w:r>
        <w:rPr>
          <w:color w:val="231F20"/>
          <w:spacing w:val="-11"/>
        </w:rPr>
        <w:t> 系</w:t>
      </w:r>
      <w:r>
        <w:rPr>
          <w:color w:val="231F20"/>
          <w:spacing w:val="-9"/>
          <w:position w:val="-10"/>
        </w:rPr>
        <w:t>統 </w:t>
      </w:r>
      <w:r>
        <w:rPr>
          <w:color w:val="231F20"/>
          <w:sz w:val="16"/>
        </w:rPr>
        <w:t>3、4</w:t>
      </w:r>
    </w:p>
    <w:p>
      <w:pPr>
        <w:pStyle w:val="BodyText"/>
        <w:spacing w:before="168"/>
        <w:ind w:left="878"/>
      </w:pPr>
      <w:r>
        <w:rPr>
          <w:color w:val="231F20"/>
        </w:rPr>
        <w:t>註：</w:t>
      </w:r>
    </w:p>
    <w:p>
      <w:pPr>
        <w:pStyle w:val="BodyText"/>
        <w:spacing w:line="408" w:lineRule="exact" w:before="70"/>
        <w:ind w:left="707"/>
      </w:pPr>
      <w:r>
        <w:rPr/>
        <w:br w:type="column"/>
      </w:r>
      <w:r>
        <w:rPr>
          <w:color w:val="231F20"/>
        </w:rPr>
        <w:t>同意取消</w:t>
      </w:r>
    </w:p>
    <w:p>
      <w:pPr>
        <w:pStyle w:val="BodyText"/>
        <w:spacing w:line="228" w:lineRule="auto" w:before="5"/>
        <w:ind w:left="707"/>
      </w:pPr>
      <w:r>
        <w:rPr>
          <w:color w:val="231F20"/>
        </w:rPr>
        <w:t>OR-TB</w:t>
      </w:r>
      <w:r>
        <w:rPr>
          <w:color w:val="231F20"/>
          <w:spacing w:val="-16"/>
        </w:rPr>
        <w:t> 抗藥註</w:t>
      </w:r>
      <w:r>
        <w:rPr>
          <w:color w:val="231F20"/>
        </w:rPr>
        <w:t>記</w:t>
      </w:r>
    </w:p>
    <w:p>
      <w:pPr>
        <w:pStyle w:val="BodyText"/>
        <w:spacing w:before="70"/>
        <w:ind w:left="624"/>
      </w:pPr>
      <w:r>
        <w:rPr/>
        <w:br w:type="column"/>
      </w:r>
      <w:r>
        <w:rPr>
          <w:color w:val="231F20"/>
        </w:rPr>
        <w:t>再次提送縣市級診療諮詢小組</w:t>
      </w:r>
    </w:p>
    <w:p>
      <w:pPr>
        <w:spacing w:line="273" w:lineRule="auto" w:before="29"/>
        <w:ind w:left="624" w:right="1365" w:hanging="1"/>
        <w:jc w:val="left"/>
        <w:rPr>
          <w:sz w:val="20"/>
        </w:rPr>
      </w:pPr>
      <w:r>
        <w:rPr>
          <w:color w:val="231F20"/>
          <w:w w:val="95"/>
          <w:sz w:val="20"/>
        </w:rPr>
        <w:t>（至少邀請—位 TMTC 團隊醫師或具診療抗藥</w:t>
      </w:r>
      <w:r>
        <w:rPr>
          <w:color w:val="231F20"/>
          <w:sz w:val="20"/>
        </w:rPr>
        <w:t>性結核病醫師擔任委員</w:t>
      </w:r>
      <w:r>
        <w:rPr>
          <w:color w:val="231F20"/>
          <w:w w:val="70"/>
          <w:sz w:val="20"/>
        </w:rPr>
        <w:t>）</w:t>
      </w:r>
    </w:p>
    <w:p>
      <w:pPr>
        <w:spacing w:after="0" w:line="273" w:lineRule="auto"/>
        <w:jc w:val="left"/>
        <w:rPr>
          <w:sz w:val="20"/>
        </w:rPr>
        <w:sectPr>
          <w:type w:val="continuous"/>
          <w:pgSz w:w="11910" w:h="16840"/>
          <w:pgMar w:top="720" w:bottom="280" w:left="980" w:right="0"/>
          <w:cols w:num="3" w:equalWidth="0">
            <w:col w:w="2771" w:space="40"/>
            <w:col w:w="2193" w:space="39"/>
            <w:col w:w="5887"/>
          </w:cols>
        </w:sectPr>
      </w:pPr>
    </w:p>
    <w:p>
      <w:pPr>
        <w:pStyle w:val="ListParagraph"/>
        <w:numPr>
          <w:ilvl w:val="0"/>
          <w:numId w:val="200"/>
        </w:numPr>
        <w:tabs>
          <w:tab w:pos="1117" w:val="left" w:leader="none"/>
        </w:tabs>
        <w:spacing w:line="230" w:lineRule="auto" w:before="0" w:after="0"/>
        <w:ind w:left="1116" w:right="1134" w:hanging="233"/>
        <w:jc w:val="left"/>
        <w:rPr>
          <w:sz w:val="24"/>
        </w:rPr>
      </w:pPr>
      <w:r>
        <w:rPr/>
        <w:pict>
          <v:group style="position:absolute;margin-left:-.000001pt;margin-top:286.162994pt;width:37.35pt;height:555.550pt;mso-position-horizontal-relative:page;mso-position-vertical-relative:page;z-index:251875328"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104</w:t>
                    </w:r>
                  </w:p>
                </w:txbxContent>
              </v:textbox>
              <w10:wrap type="none"/>
            </v:shape>
            <w10:wrap type="none"/>
          </v:group>
        </w:pict>
      </w:r>
      <w:r>
        <w:rPr>
          <w:color w:val="231F20"/>
          <w:spacing w:val="2"/>
          <w:sz w:val="24"/>
        </w:rPr>
        <w:t>分子與傳統藥敏結果相異可依檢驗結果循圖 </w:t>
      </w:r>
      <w:r>
        <w:rPr>
          <w:color w:val="231F20"/>
          <w:sz w:val="24"/>
        </w:rPr>
        <w:t>10-5</w:t>
      </w:r>
      <w:r>
        <w:rPr>
          <w:color w:val="231F20"/>
          <w:spacing w:val="2"/>
          <w:sz w:val="24"/>
        </w:rPr>
        <w:t> 之處理原則進行情境判定，並依</w:t>
      </w:r>
      <w:r>
        <w:rPr>
          <w:color w:val="231F20"/>
          <w:sz w:val="24"/>
        </w:rPr>
        <w:t>情境判定結果，進行後續相關處置。</w:t>
      </w:r>
    </w:p>
    <w:p>
      <w:pPr>
        <w:pStyle w:val="ListParagraph"/>
        <w:numPr>
          <w:ilvl w:val="0"/>
          <w:numId w:val="200"/>
        </w:numPr>
        <w:tabs>
          <w:tab w:pos="1117" w:val="left" w:leader="none"/>
        </w:tabs>
        <w:spacing w:line="230" w:lineRule="auto" w:before="0" w:after="0"/>
        <w:ind w:left="1116" w:right="1135" w:hanging="233"/>
        <w:jc w:val="left"/>
        <w:rPr>
          <w:sz w:val="24"/>
        </w:rPr>
      </w:pPr>
      <w:r>
        <w:rPr>
          <w:color w:val="231F20"/>
          <w:spacing w:val="2"/>
          <w:sz w:val="24"/>
        </w:rPr>
        <w:t>相關調査啟動程序可參考第六章結核病個案管理附件 </w:t>
      </w:r>
      <w:r>
        <w:rPr>
          <w:color w:val="231F20"/>
          <w:sz w:val="24"/>
        </w:rPr>
        <w:t>6-4</w:t>
      </w:r>
      <w:r>
        <w:rPr>
          <w:color w:val="231F20"/>
          <w:spacing w:val="-1"/>
          <w:sz w:val="24"/>
        </w:rPr>
        <w:t>「實驗室檢驗報告異常案</w:t>
      </w:r>
      <w:r>
        <w:rPr>
          <w:color w:val="231F20"/>
          <w:sz w:val="24"/>
        </w:rPr>
        <w:t>件調査」。</w:t>
      </w:r>
    </w:p>
    <w:p>
      <w:pPr>
        <w:pStyle w:val="ListParagraph"/>
        <w:numPr>
          <w:ilvl w:val="0"/>
          <w:numId w:val="200"/>
        </w:numPr>
        <w:tabs>
          <w:tab w:pos="1118" w:val="left" w:leader="none"/>
        </w:tabs>
        <w:spacing w:line="395" w:lineRule="exact" w:before="0" w:after="0"/>
        <w:ind w:left="1117" w:right="0" w:hanging="234"/>
        <w:jc w:val="left"/>
        <w:rPr>
          <w:sz w:val="24"/>
        </w:rPr>
      </w:pPr>
      <w:r>
        <w:rPr>
          <w:color w:val="231F20"/>
          <w:sz w:val="24"/>
        </w:rPr>
        <w:t>「TB</w:t>
      </w:r>
      <w:r>
        <w:rPr>
          <w:color w:val="231F20"/>
          <w:spacing w:val="-3"/>
          <w:sz w:val="24"/>
        </w:rPr>
        <w:t> 系統」維持每次上傳資料歷程，原確診報告不予移除。</w:t>
      </w:r>
    </w:p>
    <w:p>
      <w:pPr>
        <w:pStyle w:val="ListParagraph"/>
        <w:numPr>
          <w:ilvl w:val="0"/>
          <w:numId w:val="200"/>
        </w:numPr>
        <w:tabs>
          <w:tab w:pos="1117" w:val="left" w:leader="none"/>
        </w:tabs>
        <w:spacing w:line="230" w:lineRule="auto" w:before="0" w:after="0"/>
        <w:ind w:left="1116" w:right="1133" w:hanging="233"/>
        <w:jc w:val="both"/>
        <w:rPr>
          <w:sz w:val="24"/>
        </w:rPr>
      </w:pPr>
      <w:r>
        <w:rPr>
          <w:color w:val="231F20"/>
          <w:spacing w:val="1"/>
          <w:sz w:val="24"/>
        </w:rPr>
        <w:t>取消「</w:t>
      </w:r>
      <w:r>
        <w:rPr>
          <w:color w:val="231F20"/>
          <w:sz w:val="24"/>
        </w:rPr>
        <w:t>TB</w:t>
      </w:r>
      <w:r>
        <w:rPr>
          <w:color w:val="231F20"/>
          <w:spacing w:val="-4"/>
          <w:sz w:val="24"/>
        </w:rPr>
        <w:t> 系統」</w:t>
      </w:r>
      <w:r>
        <w:rPr>
          <w:color w:val="231F20"/>
          <w:sz w:val="24"/>
        </w:rPr>
        <w:t>DR-TB</w:t>
      </w:r>
      <w:r>
        <w:rPr>
          <w:color w:val="231F20"/>
          <w:spacing w:val="-3"/>
          <w:sz w:val="24"/>
        </w:rPr>
        <w:t> 註記，由縣市衛生局填寫結核病全國資料庫異動申請單經</w:t>
      </w:r>
      <w:r>
        <w:rPr>
          <w:color w:val="231F20"/>
          <w:sz w:val="24"/>
        </w:rPr>
        <w:t>所轄疾管署區管中心審核後，送慢性組填寫異動單後送疾管署慢性組，並加註「比</w:t>
      </w:r>
      <w:r>
        <w:rPr>
          <w:color w:val="231F20"/>
          <w:spacing w:val="-4"/>
          <w:sz w:val="24"/>
        </w:rPr>
        <w:t>對調査結果 </w:t>
      </w:r>
      <w:r>
        <w:rPr>
          <w:color w:val="231F20"/>
          <w:spacing w:val="-2"/>
          <w:w w:val="80"/>
          <w:sz w:val="24"/>
        </w:rPr>
        <w:t>／ </w:t>
      </w:r>
      <w:r>
        <w:rPr>
          <w:color w:val="231F20"/>
          <w:spacing w:val="-3"/>
          <w:sz w:val="24"/>
        </w:rPr>
        <w:t>病例口冊建議 </w:t>
      </w:r>
      <w:r>
        <w:rPr>
          <w:color w:val="231F20"/>
          <w:spacing w:val="-2"/>
          <w:w w:val="80"/>
          <w:sz w:val="24"/>
        </w:rPr>
        <w:t>／ </w:t>
      </w:r>
      <w:r>
        <w:rPr>
          <w:color w:val="231F20"/>
          <w:sz w:val="24"/>
        </w:rPr>
        <w:t>診療醫師回復單已完成上傳」，以取消註記。</w:t>
      </w:r>
    </w:p>
    <w:p>
      <w:pPr>
        <w:pStyle w:val="BodyText"/>
        <w:spacing w:line="394" w:lineRule="exact"/>
        <w:ind w:left="391"/>
      </w:pPr>
      <w:r>
        <w:rPr>
          <w:color w:val="231F20"/>
        </w:rPr>
        <w:t>五、分子與傳統藥敏結果相異之處理原則</w:t>
      </w:r>
    </w:p>
    <w:p>
      <w:pPr>
        <w:pStyle w:val="BodyText"/>
        <w:spacing w:line="230" w:lineRule="auto"/>
        <w:ind w:left="878" w:right="1122"/>
        <w:jc w:val="both"/>
      </w:pPr>
      <w:r>
        <w:rPr>
          <w:color w:val="231F20"/>
        </w:rPr>
        <w:t>近來臨床快速分子檢測日益普及，常有分子檢測與傳統培養結果相異情形，須依本署分枝桿蔥實驗室分子檢測結果進行後續處置，使結核病個案獲得適切診斷及治療。當快速分子檢測為 MTBC 且 RMP 敏感，但傳統培養為 MTBC 且 RMP 抗藥者，視為</w:t>
      </w:r>
    </w:p>
    <w:p>
      <w:pPr>
        <w:spacing w:after="0" w:line="230" w:lineRule="auto"/>
        <w:jc w:val="both"/>
        <w:sectPr>
          <w:type w:val="continuous"/>
          <w:pgSz w:w="11910" w:h="16840"/>
          <w:pgMar w:top="720" w:bottom="280" w:left="980" w:right="0"/>
        </w:sectPr>
      </w:pPr>
    </w:p>
    <w:p>
      <w:pPr>
        <w:pStyle w:val="BodyText"/>
        <w:spacing w:line="230" w:lineRule="auto" w:before="70"/>
        <w:ind w:left="878" w:right="1127"/>
        <w:jc w:val="both"/>
      </w:pPr>
      <w:r>
        <w:rPr>
          <w:color w:val="231F20"/>
        </w:rPr>
        <w:t>RMP</w:t>
      </w:r>
      <w:r>
        <w:rPr>
          <w:color w:val="231F20"/>
          <w:spacing w:val="3"/>
        </w:rPr>
        <w:t> 抗藥病人治療；當快速分子檢測 </w:t>
      </w:r>
      <w:r>
        <w:rPr>
          <w:color w:val="231F20"/>
        </w:rPr>
        <w:t>RMP</w:t>
      </w:r>
      <w:r>
        <w:rPr>
          <w:color w:val="231F20"/>
          <w:spacing w:val="2"/>
        </w:rPr>
        <w:t> 抗藥，但傳統培養為 </w:t>
      </w:r>
      <w:r>
        <w:rPr>
          <w:color w:val="231F20"/>
        </w:rPr>
        <w:t>MTBC</w:t>
      </w:r>
      <w:r>
        <w:rPr>
          <w:color w:val="231F20"/>
          <w:spacing w:val="-6"/>
        </w:rPr>
        <w:t> 且 </w:t>
      </w:r>
      <w:r>
        <w:rPr>
          <w:color w:val="231F20"/>
        </w:rPr>
        <w:t>RMP</w:t>
      </w:r>
      <w:r>
        <w:rPr>
          <w:color w:val="231F20"/>
          <w:spacing w:val="-5"/>
        </w:rPr>
        <w:t> 敏</w:t>
      </w:r>
      <w:r>
        <w:rPr>
          <w:color w:val="231F20"/>
          <w:spacing w:val="-1"/>
        </w:rPr>
        <w:t>感者，其 </w:t>
      </w:r>
      <w:r>
        <w:rPr>
          <w:color w:val="231F20"/>
          <w:spacing w:val="-1"/>
          <w:w w:val="88"/>
        </w:rPr>
        <w:t>R</w:t>
      </w:r>
      <w:r>
        <w:rPr>
          <w:color w:val="231F20"/>
          <w:spacing w:val="-1"/>
          <w:w w:val="115"/>
        </w:rPr>
        <w:t>M</w:t>
      </w:r>
      <w:r>
        <w:rPr>
          <w:color w:val="231F20"/>
          <w:w w:val="90"/>
        </w:rPr>
        <w:t>P</w:t>
      </w:r>
      <w:r>
        <w:rPr>
          <w:color w:val="231F20"/>
          <w:spacing w:val="-1"/>
        </w:rPr>
        <w:t> 定序結果為「沉默突變 </w:t>
      </w:r>
      <w:r>
        <w:rPr>
          <w:color w:val="231F20"/>
          <w:w w:val="32"/>
        </w:rPr>
        <w:t>（</w:t>
      </w:r>
      <w:r>
        <w:rPr>
          <w:color w:val="231F20"/>
          <w:spacing w:val="-1"/>
          <w:w w:val="91"/>
        </w:rPr>
        <w:t>s</w:t>
      </w:r>
      <w:r>
        <w:rPr>
          <w:color w:val="231F20"/>
          <w:spacing w:val="-1"/>
          <w:w w:val="116"/>
        </w:rPr>
        <w:t>il</w:t>
      </w:r>
      <w:r>
        <w:rPr>
          <w:color w:val="231F20"/>
          <w:spacing w:val="-1"/>
          <w:w w:val="101"/>
        </w:rPr>
        <w:t>e</w:t>
      </w:r>
      <w:r>
        <w:rPr>
          <w:color w:val="231F20"/>
          <w:spacing w:val="-1"/>
          <w:w w:val="109"/>
        </w:rPr>
        <w:t>n</w:t>
      </w:r>
      <w:r>
        <w:rPr>
          <w:color w:val="231F20"/>
          <w:w w:val="130"/>
        </w:rPr>
        <w:t>t</w:t>
      </w:r>
      <w:r>
        <w:rPr>
          <w:color w:val="231F20"/>
        </w:rPr>
        <w:t> </w:t>
      </w:r>
      <w:r>
        <w:rPr>
          <w:color w:val="231F20"/>
          <w:spacing w:val="-1"/>
          <w:w w:val="111"/>
        </w:rPr>
        <w:t>m</w:t>
      </w:r>
      <w:r>
        <w:rPr>
          <w:color w:val="231F20"/>
          <w:w w:val="109"/>
        </w:rPr>
        <w:t>u</w:t>
      </w:r>
      <w:r>
        <w:rPr>
          <w:color w:val="231F20"/>
          <w:w w:val="130"/>
        </w:rPr>
        <w:t>t</w:t>
      </w:r>
      <w:r>
        <w:rPr>
          <w:color w:val="231F20"/>
          <w:spacing w:val="-1"/>
          <w:w w:val="98"/>
        </w:rPr>
        <w:t>a</w:t>
      </w:r>
      <w:r>
        <w:rPr>
          <w:color w:val="231F20"/>
          <w:w w:val="130"/>
        </w:rPr>
        <w:t>t</w:t>
      </w:r>
      <w:r>
        <w:rPr>
          <w:color w:val="231F20"/>
          <w:spacing w:val="-1"/>
          <w:w w:val="116"/>
        </w:rPr>
        <w:t>i</w:t>
      </w:r>
      <w:r>
        <w:rPr>
          <w:color w:val="231F20"/>
          <w:w w:val="113"/>
        </w:rPr>
        <w:t>o</w:t>
      </w:r>
      <w:r>
        <w:rPr>
          <w:color w:val="231F20"/>
          <w:spacing w:val="-1"/>
          <w:w w:val="109"/>
        </w:rPr>
        <w:t>n</w:t>
      </w:r>
      <w:r>
        <w:rPr>
          <w:color w:val="231F20"/>
          <w:w w:val="96"/>
        </w:rPr>
        <w:t>)</w:t>
      </w:r>
      <w:r>
        <w:rPr>
          <w:color w:val="231F20"/>
          <w:spacing w:val="2"/>
        </w:rPr>
        <w:t>」時，衛生局僅需以異動申請單進行「取消 </w:t>
      </w:r>
      <w:r>
        <w:rPr>
          <w:color w:val="231F20"/>
        </w:rPr>
        <w:t>RMP</w:t>
      </w:r>
      <w:r>
        <w:rPr>
          <w:color w:val="231F20"/>
          <w:spacing w:val="-1"/>
        </w:rPr>
        <w:t> 抗藥註記」、若 </w:t>
      </w:r>
      <w:r>
        <w:rPr>
          <w:color w:val="231F20"/>
        </w:rPr>
        <w:t>RMP 定序結果為「敏感」時，請送「抗藥性結核病醫療照護體系檢口暨困難治療個案口冊會」口冊「取消 RMP 抗藥註記」、若RMP</w:t>
      </w:r>
      <w:r>
        <w:rPr>
          <w:color w:val="231F20"/>
          <w:spacing w:val="-11"/>
        </w:rPr>
        <w:t> 定序結果為「爭議性突變」時，則維持 </w:t>
      </w:r>
      <w:r>
        <w:rPr>
          <w:color w:val="231F20"/>
        </w:rPr>
        <w:t>RMP</w:t>
      </w:r>
      <w:r>
        <w:rPr>
          <w:color w:val="231F20"/>
          <w:spacing w:val="-10"/>
        </w:rPr>
        <w:t> 抗藥註記、若 </w:t>
      </w:r>
      <w:r>
        <w:rPr>
          <w:color w:val="231F20"/>
        </w:rPr>
        <w:t>RMP</w:t>
      </w:r>
      <w:r>
        <w:rPr>
          <w:color w:val="231F20"/>
          <w:spacing w:val="-7"/>
        </w:rPr>
        <w:t> 定序結果為「抗</w:t>
      </w:r>
      <w:r>
        <w:rPr>
          <w:color w:val="231F20"/>
          <w:spacing w:val="-8"/>
        </w:rPr>
        <w:t>藥」時，視為 </w:t>
      </w:r>
      <w:r>
        <w:rPr>
          <w:color w:val="231F20"/>
        </w:rPr>
        <w:t>RMP</w:t>
      </w:r>
      <w:r>
        <w:rPr>
          <w:color w:val="231F20"/>
          <w:spacing w:val="-3"/>
        </w:rPr>
        <w:t> 抗藥病人治療。</w:t>
      </w:r>
    </w:p>
    <w:p>
      <w:pPr>
        <w:pStyle w:val="BodyText"/>
        <w:spacing w:line="230" w:lineRule="auto"/>
        <w:ind w:left="878" w:right="1130"/>
        <w:jc w:val="both"/>
      </w:pPr>
      <w:r>
        <w:rPr/>
        <w:pict>
          <v:group style="position:absolute;margin-left:557.684509pt;margin-top:109.67662pt;width:37.35pt;height:555.550pt;mso-position-horizontal-relative:page;mso-position-vertical-relative:paragraph;z-index:251878400" coordorigin="11154,2194" coordsize="747,11111">
            <v:shape style="position:absolute;left:11283;top:2705;width:439;height:10600" type="#_x0000_t75" stroked="false">
              <v:imagedata r:id="rId102" o:title=""/>
            </v:shape>
            <v:shape style="position:absolute;left:11153;top:2193;width:747;height:812" coordorigin="11154,2194" coordsize="747,812" path="m11900,2194l11536,2194,11514,2196,11454,2230,11188,2512,11154,2599,11162,2646,11454,2969,11514,3003,11536,3005,11900,3005,11900,2194xe" filled="true" fillcolor="#bd7cb5" stroked="false">
              <v:path arrowok="t"/>
              <v:fill type="solid"/>
            </v:shape>
            <v:shape style="position:absolute;left:11321;top:2460;width:374;height:278" type="#_x0000_t75" stroked="false">
              <v:imagedata r:id="rId103" o:title=""/>
            </v:shape>
            <v:shape style="position:absolute;left:11378;top:3141;width:250;height:3599" type="#_x0000_t75" stroked="false">
              <v:imagedata r:id="rId104" o:title=""/>
            </v:shape>
            <v:shape style="position:absolute;left:11368;top:1274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105</w:t>
                    </w:r>
                  </w:p>
                </w:txbxContent>
              </v:textbox>
              <w10:wrap type="none"/>
            </v:shape>
            <w10:wrap type="none"/>
          </v:group>
        </w:pict>
      </w:r>
      <w:r>
        <w:rPr>
          <w:color w:val="231F20"/>
          <w:spacing w:val="-1"/>
        </w:rPr>
        <w:t>另偶有快速分子檢測為 </w:t>
      </w:r>
      <w:r>
        <w:rPr>
          <w:color w:val="231F20"/>
        </w:rPr>
        <w:t>RMP</w:t>
      </w:r>
      <w:r>
        <w:rPr>
          <w:color w:val="231F20"/>
          <w:spacing w:val="-4"/>
        </w:rPr>
        <w:t> 抗藥，但無 </w:t>
      </w:r>
      <w:r>
        <w:rPr>
          <w:color w:val="231F20"/>
        </w:rPr>
        <w:t>MTBC</w:t>
      </w:r>
      <w:r>
        <w:rPr>
          <w:color w:val="231F20"/>
          <w:spacing w:val="-3"/>
        </w:rPr>
        <w:t> 細蔥學證據可釐清之診斷疑義案例。</w:t>
      </w:r>
      <w:r>
        <w:rPr>
          <w:color w:val="231F20"/>
          <w:spacing w:val="-5"/>
        </w:rPr>
        <w:t>倘病人因快速分子檢測為 </w:t>
      </w:r>
      <w:r>
        <w:rPr>
          <w:color w:val="231F20"/>
        </w:rPr>
        <w:t>MTBC</w:t>
      </w:r>
      <w:r>
        <w:rPr>
          <w:color w:val="231F20"/>
          <w:spacing w:val="18"/>
        </w:rPr>
        <w:t> 且</w:t>
      </w:r>
      <w:r>
        <w:rPr>
          <w:color w:val="231F20"/>
        </w:rPr>
        <w:t>RMP</w:t>
      </w:r>
      <w:r>
        <w:rPr>
          <w:color w:val="231F20"/>
          <w:spacing w:val="-7"/>
        </w:rPr>
        <w:t> 抗藥，但傳統培養為 </w:t>
      </w:r>
      <w:r>
        <w:rPr>
          <w:color w:val="231F20"/>
        </w:rPr>
        <w:t>MTBC</w:t>
      </w:r>
      <w:r>
        <w:rPr>
          <w:color w:val="231F20"/>
          <w:spacing w:val="-4"/>
        </w:rPr>
        <w:t> 陰性且未確診， </w:t>
      </w:r>
      <w:r>
        <w:rPr>
          <w:color w:val="231F20"/>
          <w:spacing w:val="-1"/>
        </w:rPr>
        <w:t>在確認已完成所有檢査 </w:t>
      </w:r>
      <w:r>
        <w:rPr>
          <w:color w:val="231F20"/>
          <w:w w:val="70"/>
        </w:rPr>
        <w:t>（ </w:t>
      </w:r>
      <w:r>
        <w:rPr>
          <w:color w:val="231F20"/>
          <w:spacing w:val="-6"/>
        </w:rPr>
        <w:t>如胸部 </w:t>
      </w:r>
      <w:r>
        <w:rPr>
          <w:color w:val="231F20"/>
        </w:rPr>
        <w:t>X</w:t>
      </w:r>
      <w:r>
        <w:rPr>
          <w:color w:val="231F20"/>
          <w:spacing w:val="-10"/>
        </w:rPr>
        <w:t> 光、</w:t>
      </w:r>
      <w:r>
        <w:rPr>
          <w:color w:val="231F20"/>
        </w:rPr>
        <w:t>CT</w:t>
      </w:r>
      <w:r>
        <w:rPr>
          <w:color w:val="231F20"/>
          <w:spacing w:val="-3"/>
        </w:rPr>
        <w:t>、支氣管鏡檢査等 )，並依結核病診治指引</w:t>
      </w:r>
      <w:r>
        <w:rPr>
          <w:color w:val="231F20"/>
          <w:spacing w:val="-2"/>
        </w:rPr>
        <w:t>進行治療後，胸部 </w:t>
      </w:r>
      <w:r>
        <w:rPr>
          <w:color w:val="231F20"/>
        </w:rPr>
        <w:t>X</w:t>
      </w:r>
      <w:r>
        <w:rPr>
          <w:color w:val="231F20"/>
          <w:spacing w:val="-4"/>
        </w:rPr>
        <w:t> 光或臨床症狀未有變化者，衛生管理單位應檢附分子檢測原始報</w:t>
      </w:r>
      <w:r>
        <w:rPr>
          <w:color w:val="231F20"/>
          <w:spacing w:val="-2"/>
        </w:rPr>
        <w:t>告及相關檢査結果，送縣市級診療諮詢小組 </w:t>
      </w:r>
      <w:r>
        <w:rPr>
          <w:color w:val="231F20"/>
          <w:w w:val="70"/>
        </w:rPr>
        <w:t>（ </w:t>
      </w:r>
      <w:r>
        <w:rPr>
          <w:color w:val="231F20"/>
          <w:spacing w:val="-4"/>
        </w:rPr>
        <w:t>至少邀請—位 </w:t>
      </w:r>
      <w:r>
        <w:rPr>
          <w:color w:val="231F20"/>
          <w:spacing w:val="-3"/>
        </w:rPr>
        <w:t>TMTC</w:t>
      </w:r>
      <w:r>
        <w:rPr>
          <w:color w:val="231F20"/>
          <w:spacing w:val="-6"/>
        </w:rPr>
        <w:t> 團隊醫師或具診療抗藥性結核病經驗醫師擔任委員 )，進行排除診斷判定；如快速分子檢測為 </w:t>
      </w:r>
      <w:r>
        <w:rPr>
          <w:color w:val="231F20"/>
        </w:rPr>
        <w:t>MTBC</w:t>
      </w:r>
      <w:r>
        <w:rPr>
          <w:color w:val="231F20"/>
          <w:spacing w:val="3"/>
        </w:rPr>
        <w:t> 且RMP</w:t>
      </w:r>
      <w:r>
        <w:rPr>
          <w:color w:val="231F20"/>
          <w:spacing w:val="-2"/>
        </w:rPr>
        <w:t> 抗藥，但傳統培養為 </w:t>
      </w:r>
      <w:r>
        <w:rPr>
          <w:color w:val="231F20"/>
        </w:rPr>
        <w:t>MTBC</w:t>
      </w:r>
      <w:r>
        <w:rPr>
          <w:color w:val="231F20"/>
          <w:spacing w:val="-1"/>
        </w:rPr>
        <w:t> 陰性且確診者，則送「抗藥性結核病醫療照護體系</w:t>
      </w:r>
      <w:r>
        <w:rPr>
          <w:color w:val="231F20"/>
        </w:rPr>
        <w:t>檢口暨困難治療個案口冊會」口冊診斷及治療方向。</w:t>
      </w:r>
    </w:p>
    <w:p>
      <w:pPr>
        <w:pStyle w:val="BodyText"/>
        <w:spacing w:line="230" w:lineRule="auto"/>
        <w:ind w:left="878" w:right="1133"/>
        <w:jc w:val="both"/>
      </w:pPr>
      <w:r>
        <w:rPr>
          <w:color w:val="231F20"/>
        </w:rPr>
        <w:t>快速分子檢測與傳統培養結果相異時之處理原則詳如圖 10-5，並於TB 系統之管理清冊「抗藥性結核病個案」項下之「分子與傳統藥敏不—致清單」査詢功能可査詢分子檢測與傳統培養結果相異清冊。</w:t>
      </w:r>
    </w:p>
    <w:p>
      <w:pPr>
        <w:pStyle w:val="BodyText"/>
        <w:spacing w:before="2"/>
        <w:rPr>
          <w:sz w:val="21"/>
        </w:rPr>
      </w:pPr>
    </w:p>
    <w:p>
      <w:pPr>
        <w:pStyle w:val="BodyText"/>
        <w:ind w:left="878"/>
        <w:jc w:val="both"/>
      </w:pPr>
      <w:r>
        <w:rPr/>
        <w:pict>
          <v:shape style="position:absolute;margin-left:92.936501pt;margin-top:18.540266pt;width:445.8pt;height:304.650pt;mso-position-horizontal-relative:page;mso-position-vertical-relative:paragraph;z-index:251879424"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478"/>
                    <w:gridCol w:w="1573"/>
                    <w:gridCol w:w="3063"/>
                    <w:gridCol w:w="2781"/>
                  </w:tblGrid>
                  <w:tr>
                    <w:trPr>
                      <w:trHeight w:val="451" w:hRule="atLeast"/>
                    </w:trPr>
                    <w:tc>
                      <w:tcPr>
                        <w:tcW w:w="8895" w:type="dxa"/>
                        <w:gridSpan w:val="4"/>
                        <w:shd w:val="clear" w:color="auto" w:fill="D1D3D4"/>
                      </w:tcPr>
                      <w:p>
                        <w:pPr>
                          <w:pStyle w:val="TableParagraph"/>
                          <w:spacing w:line="400" w:lineRule="exact" w:before="31"/>
                          <w:ind w:left="95"/>
                          <w:rPr>
                            <w:sz w:val="24"/>
                          </w:rPr>
                        </w:pPr>
                        <w:r>
                          <w:rPr>
                            <w:color w:val="231F20"/>
                            <w:spacing w:val="-6"/>
                            <w:sz w:val="24"/>
                          </w:rPr>
                          <w:t>情境—：快速分子檢測為 </w:t>
                        </w:r>
                        <w:r>
                          <w:rPr>
                            <w:color w:val="231F20"/>
                            <w:spacing w:val="-4"/>
                            <w:sz w:val="24"/>
                          </w:rPr>
                          <w:t>MTBC</w:t>
                        </w:r>
                        <w:r>
                          <w:rPr>
                            <w:color w:val="231F20"/>
                            <w:spacing w:val="20"/>
                            <w:sz w:val="24"/>
                          </w:rPr>
                          <w:t> 且</w:t>
                        </w:r>
                        <w:r>
                          <w:rPr>
                            <w:color w:val="231F20"/>
                            <w:spacing w:val="-4"/>
                            <w:sz w:val="24"/>
                          </w:rPr>
                          <w:t>RMP</w:t>
                        </w:r>
                        <w:r>
                          <w:rPr>
                            <w:color w:val="231F20"/>
                            <w:spacing w:val="-9"/>
                            <w:sz w:val="24"/>
                          </w:rPr>
                          <w:t> 敏感，但傳統培養為 </w:t>
                        </w:r>
                        <w:r>
                          <w:rPr>
                            <w:color w:val="231F20"/>
                            <w:spacing w:val="-4"/>
                            <w:sz w:val="24"/>
                          </w:rPr>
                          <w:t>MTBC</w:t>
                        </w:r>
                        <w:r>
                          <w:rPr>
                            <w:color w:val="231F20"/>
                            <w:spacing w:val="21"/>
                            <w:sz w:val="24"/>
                          </w:rPr>
                          <w:t> 且</w:t>
                        </w:r>
                        <w:r>
                          <w:rPr>
                            <w:color w:val="231F20"/>
                            <w:spacing w:val="-4"/>
                            <w:sz w:val="24"/>
                          </w:rPr>
                          <w:t>RMP</w:t>
                        </w:r>
                        <w:r>
                          <w:rPr>
                            <w:color w:val="231F20"/>
                            <w:spacing w:val="-8"/>
                            <w:sz w:val="24"/>
                          </w:rPr>
                          <w:t> 抗藥者</w:t>
                        </w:r>
                      </w:p>
                    </w:tc>
                  </w:tr>
                  <w:tr>
                    <w:trPr>
                      <w:trHeight w:val="451" w:hRule="atLeast"/>
                    </w:trPr>
                    <w:tc>
                      <w:tcPr>
                        <w:tcW w:w="8895" w:type="dxa"/>
                        <w:gridSpan w:val="4"/>
                      </w:tcPr>
                      <w:p>
                        <w:pPr>
                          <w:pStyle w:val="TableParagraph"/>
                          <w:spacing w:line="400" w:lineRule="exact" w:before="31"/>
                          <w:ind w:left="56"/>
                          <w:rPr>
                            <w:sz w:val="24"/>
                          </w:rPr>
                        </w:pPr>
                        <w:r>
                          <w:rPr>
                            <w:color w:val="231F20"/>
                            <w:sz w:val="24"/>
                          </w:rPr>
                          <w:t>視為 RMP 抗藥病人治療</w:t>
                        </w:r>
                      </w:p>
                    </w:tc>
                  </w:tr>
                  <w:tr>
                    <w:trPr>
                      <w:trHeight w:val="451" w:hRule="atLeast"/>
                    </w:trPr>
                    <w:tc>
                      <w:tcPr>
                        <w:tcW w:w="8895" w:type="dxa"/>
                        <w:gridSpan w:val="4"/>
                        <w:shd w:val="clear" w:color="auto" w:fill="D1D3D4"/>
                      </w:tcPr>
                      <w:p>
                        <w:pPr>
                          <w:pStyle w:val="TableParagraph"/>
                          <w:spacing w:line="400" w:lineRule="exact" w:before="31"/>
                          <w:ind w:left="56"/>
                          <w:rPr>
                            <w:sz w:val="24"/>
                          </w:rPr>
                        </w:pPr>
                        <w:r>
                          <w:rPr>
                            <w:color w:val="231F20"/>
                            <w:spacing w:val="-6"/>
                            <w:sz w:val="24"/>
                          </w:rPr>
                          <w:t>情境二：快速分子檢測為 </w:t>
                        </w:r>
                        <w:r>
                          <w:rPr>
                            <w:color w:val="231F20"/>
                            <w:spacing w:val="-4"/>
                            <w:sz w:val="24"/>
                          </w:rPr>
                          <w:t>MTBC</w:t>
                        </w:r>
                        <w:r>
                          <w:rPr>
                            <w:color w:val="231F20"/>
                            <w:spacing w:val="21"/>
                            <w:sz w:val="24"/>
                          </w:rPr>
                          <w:t> 且</w:t>
                        </w:r>
                        <w:r>
                          <w:rPr>
                            <w:color w:val="231F20"/>
                            <w:spacing w:val="-4"/>
                            <w:sz w:val="24"/>
                          </w:rPr>
                          <w:t>RMP</w:t>
                        </w:r>
                        <w:r>
                          <w:rPr>
                            <w:color w:val="231F20"/>
                            <w:spacing w:val="-9"/>
                            <w:sz w:val="24"/>
                          </w:rPr>
                          <w:t> 抗藥，但傳統培養為 </w:t>
                        </w:r>
                        <w:r>
                          <w:rPr>
                            <w:color w:val="231F20"/>
                            <w:spacing w:val="-4"/>
                            <w:sz w:val="24"/>
                          </w:rPr>
                          <w:t>MTBC</w:t>
                        </w:r>
                        <w:r>
                          <w:rPr>
                            <w:color w:val="231F20"/>
                            <w:spacing w:val="20"/>
                            <w:sz w:val="24"/>
                          </w:rPr>
                          <w:t> 且</w:t>
                        </w:r>
                        <w:r>
                          <w:rPr>
                            <w:color w:val="231F20"/>
                            <w:spacing w:val="-4"/>
                            <w:sz w:val="24"/>
                          </w:rPr>
                          <w:t>RMP</w:t>
                        </w:r>
                        <w:r>
                          <w:rPr>
                            <w:color w:val="231F20"/>
                            <w:spacing w:val="-8"/>
                            <w:sz w:val="24"/>
                          </w:rPr>
                          <w:t> 敏感者</w:t>
                        </w:r>
                      </w:p>
                    </w:tc>
                  </w:tr>
                  <w:tr>
                    <w:trPr>
                      <w:trHeight w:val="1137" w:hRule="atLeast"/>
                    </w:trPr>
                    <w:tc>
                      <w:tcPr>
                        <w:tcW w:w="1478" w:type="dxa"/>
                        <w:shd w:val="clear" w:color="auto" w:fill="E6E7E8"/>
                      </w:tcPr>
                      <w:p>
                        <w:pPr>
                          <w:pStyle w:val="TableParagraph"/>
                          <w:spacing w:line="230" w:lineRule="auto"/>
                          <w:ind w:left="56" w:right="205"/>
                          <w:rPr>
                            <w:sz w:val="24"/>
                          </w:rPr>
                        </w:pPr>
                        <w:r>
                          <w:rPr>
                            <w:color w:val="231F20"/>
                            <w:sz w:val="24"/>
                          </w:rPr>
                          <w:t>臨床實驗室快速分子檢</w:t>
                        </w:r>
                      </w:p>
                      <w:p>
                        <w:pPr>
                          <w:pStyle w:val="TableParagraph"/>
                          <w:spacing w:line="329" w:lineRule="exact"/>
                          <w:ind w:left="56"/>
                          <w:rPr>
                            <w:sz w:val="24"/>
                          </w:rPr>
                        </w:pPr>
                        <w:r>
                          <w:rPr>
                            <w:color w:val="231F20"/>
                            <w:sz w:val="24"/>
                          </w:rPr>
                          <w:t>驗結果</w:t>
                        </w:r>
                      </w:p>
                    </w:tc>
                    <w:tc>
                      <w:tcPr>
                        <w:tcW w:w="1573" w:type="dxa"/>
                        <w:shd w:val="clear" w:color="auto" w:fill="E6E7E8"/>
                      </w:tcPr>
                      <w:p>
                        <w:pPr>
                          <w:pStyle w:val="TableParagraph"/>
                          <w:spacing w:line="230" w:lineRule="auto" w:before="186"/>
                          <w:ind w:left="55" w:right="60"/>
                          <w:rPr>
                            <w:sz w:val="24"/>
                          </w:rPr>
                        </w:pPr>
                        <w:r>
                          <w:rPr>
                            <w:color w:val="231F20"/>
                            <w:sz w:val="24"/>
                          </w:rPr>
                          <w:t>疾管署分子定序結果</w:t>
                        </w:r>
                      </w:p>
                    </w:tc>
                    <w:tc>
                      <w:tcPr>
                        <w:tcW w:w="3063" w:type="dxa"/>
                        <w:shd w:val="clear" w:color="auto" w:fill="E6E7E8"/>
                      </w:tcPr>
                      <w:p>
                        <w:pPr>
                          <w:pStyle w:val="TableParagraph"/>
                          <w:spacing w:before="9"/>
                          <w:rPr>
                            <w:sz w:val="21"/>
                          </w:rPr>
                        </w:pPr>
                      </w:p>
                      <w:p>
                        <w:pPr>
                          <w:pStyle w:val="TableParagraph"/>
                          <w:ind w:left="55"/>
                          <w:rPr>
                            <w:sz w:val="24"/>
                          </w:rPr>
                        </w:pPr>
                        <w:r>
                          <w:rPr>
                            <w:color w:val="231F20"/>
                            <w:sz w:val="24"/>
                          </w:rPr>
                          <w:t>臨床處方建議</w:t>
                        </w:r>
                      </w:p>
                    </w:tc>
                    <w:tc>
                      <w:tcPr>
                        <w:tcW w:w="2781" w:type="dxa"/>
                        <w:shd w:val="clear" w:color="auto" w:fill="E6E7E8"/>
                      </w:tcPr>
                      <w:p>
                        <w:pPr>
                          <w:pStyle w:val="TableParagraph"/>
                          <w:spacing w:before="9"/>
                          <w:rPr>
                            <w:sz w:val="21"/>
                          </w:rPr>
                        </w:pPr>
                      </w:p>
                      <w:p>
                        <w:pPr>
                          <w:pStyle w:val="TableParagraph"/>
                          <w:ind w:left="55"/>
                          <w:rPr>
                            <w:sz w:val="24"/>
                          </w:rPr>
                        </w:pPr>
                        <w:r>
                          <w:rPr>
                            <w:color w:val="231F20"/>
                            <w:sz w:val="24"/>
                          </w:rPr>
                          <w:t>後續行政處置</w:t>
                        </w:r>
                      </w:p>
                    </w:tc>
                  </w:tr>
                  <w:tr>
                    <w:trPr>
                      <w:trHeight w:val="738" w:hRule="atLeast"/>
                    </w:trPr>
                    <w:tc>
                      <w:tcPr>
                        <w:tcW w:w="1478" w:type="dxa"/>
                        <w:vMerge w:val="restart"/>
                      </w:tcPr>
                      <w:p>
                        <w:pPr>
                          <w:pStyle w:val="TableParagraph"/>
                          <w:rPr>
                            <w:sz w:val="32"/>
                          </w:rPr>
                        </w:pPr>
                      </w:p>
                      <w:p>
                        <w:pPr>
                          <w:pStyle w:val="TableParagraph"/>
                          <w:rPr>
                            <w:sz w:val="32"/>
                          </w:rPr>
                        </w:pPr>
                      </w:p>
                      <w:p>
                        <w:pPr>
                          <w:pStyle w:val="TableParagraph"/>
                          <w:spacing w:before="11"/>
                          <w:rPr>
                            <w:sz w:val="25"/>
                          </w:rPr>
                        </w:pPr>
                      </w:p>
                      <w:p>
                        <w:pPr>
                          <w:pStyle w:val="TableParagraph"/>
                          <w:ind w:left="56"/>
                          <w:rPr>
                            <w:sz w:val="24"/>
                          </w:rPr>
                        </w:pPr>
                        <w:r>
                          <w:rPr>
                            <w:color w:val="231F20"/>
                            <w:sz w:val="24"/>
                          </w:rPr>
                          <w:t>RMP 抗藥</w:t>
                        </w:r>
                      </w:p>
                    </w:tc>
                    <w:tc>
                      <w:tcPr>
                        <w:tcW w:w="1573" w:type="dxa"/>
                      </w:tcPr>
                      <w:p>
                        <w:pPr>
                          <w:pStyle w:val="TableParagraph"/>
                          <w:spacing w:before="174"/>
                          <w:ind w:left="55"/>
                          <w:rPr>
                            <w:sz w:val="14"/>
                          </w:rPr>
                        </w:pPr>
                        <w:r>
                          <w:rPr>
                            <w:color w:val="231F20"/>
                            <w:sz w:val="24"/>
                          </w:rPr>
                          <w:t>沉默突變 </w:t>
                        </w:r>
                        <w:r>
                          <w:rPr>
                            <w:color w:val="231F20"/>
                            <w:position w:val="12"/>
                            <w:sz w:val="14"/>
                          </w:rPr>
                          <w:t>1</w:t>
                        </w:r>
                      </w:p>
                    </w:tc>
                    <w:tc>
                      <w:tcPr>
                        <w:tcW w:w="3063" w:type="dxa"/>
                      </w:tcPr>
                      <w:p>
                        <w:pPr>
                          <w:pStyle w:val="TableParagraph"/>
                          <w:numPr>
                            <w:ilvl w:val="0"/>
                            <w:numId w:val="201"/>
                          </w:numPr>
                          <w:tabs>
                            <w:tab w:pos="300" w:val="left" w:leader="none"/>
                          </w:tabs>
                          <w:spacing w:line="384" w:lineRule="exact" w:before="0" w:after="0"/>
                          <w:ind w:left="299" w:right="0" w:hanging="245"/>
                          <w:jc w:val="left"/>
                          <w:rPr>
                            <w:sz w:val="24"/>
                          </w:rPr>
                        </w:pPr>
                        <w:r>
                          <w:rPr>
                            <w:color w:val="231F20"/>
                            <w:spacing w:val="21"/>
                            <w:sz w:val="24"/>
                          </w:rPr>
                          <w:t>視為「非」</w:t>
                        </w:r>
                        <w:r>
                          <w:rPr>
                            <w:color w:val="231F20"/>
                            <w:sz w:val="24"/>
                          </w:rPr>
                          <w:t>RMP</w:t>
                        </w:r>
                        <w:r>
                          <w:rPr>
                            <w:color w:val="231F20"/>
                            <w:spacing w:val="26"/>
                            <w:sz w:val="24"/>
                          </w:rPr>
                          <w:t> 抗藥病</w:t>
                        </w:r>
                      </w:p>
                      <w:p>
                        <w:pPr>
                          <w:pStyle w:val="TableParagraph"/>
                          <w:spacing w:line="334" w:lineRule="exact"/>
                          <w:ind w:left="299"/>
                          <w:rPr>
                            <w:sz w:val="24"/>
                          </w:rPr>
                        </w:pPr>
                        <w:r>
                          <w:rPr>
                            <w:color w:val="231F20"/>
                            <w:sz w:val="24"/>
                          </w:rPr>
                          <w:t>人治療</w:t>
                        </w:r>
                      </w:p>
                    </w:tc>
                    <w:tc>
                      <w:tcPr>
                        <w:tcW w:w="2781" w:type="dxa"/>
                      </w:tcPr>
                      <w:p>
                        <w:pPr>
                          <w:pStyle w:val="TableParagraph"/>
                          <w:spacing w:line="384" w:lineRule="exact"/>
                          <w:ind w:left="55"/>
                          <w:rPr>
                            <w:sz w:val="24"/>
                          </w:rPr>
                        </w:pPr>
                        <w:r>
                          <w:rPr>
                            <w:color w:val="231F20"/>
                            <w:sz w:val="24"/>
                          </w:rPr>
                          <w:t>以異動申請單進行「取消</w:t>
                        </w:r>
                      </w:p>
                      <w:p>
                        <w:pPr>
                          <w:pStyle w:val="TableParagraph"/>
                          <w:spacing w:line="334" w:lineRule="exact"/>
                          <w:ind w:left="55"/>
                          <w:rPr>
                            <w:sz w:val="24"/>
                          </w:rPr>
                        </w:pPr>
                        <w:r>
                          <w:rPr>
                            <w:color w:val="231F20"/>
                            <w:sz w:val="24"/>
                          </w:rPr>
                          <w:t>RMP 抗藥註記」</w:t>
                        </w:r>
                      </w:p>
                    </w:tc>
                  </w:tr>
                  <w:tr>
                    <w:trPr>
                      <w:trHeight w:val="1537" w:hRule="atLeast"/>
                    </w:trPr>
                    <w:tc>
                      <w:tcPr>
                        <w:tcW w:w="1478" w:type="dxa"/>
                        <w:vMerge/>
                        <w:tcBorders>
                          <w:top w:val="nil"/>
                        </w:tcBorders>
                      </w:tcPr>
                      <w:p>
                        <w:pPr>
                          <w:rPr>
                            <w:sz w:val="2"/>
                            <w:szCs w:val="2"/>
                          </w:rPr>
                        </w:pPr>
                      </w:p>
                    </w:tc>
                    <w:tc>
                      <w:tcPr>
                        <w:tcW w:w="1573" w:type="dxa"/>
                      </w:tcPr>
                      <w:p>
                        <w:pPr>
                          <w:pStyle w:val="TableParagraph"/>
                          <w:rPr>
                            <w:sz w:val="33"/>
                          </w:rPr>
                        </w:pPr>
                      </w:p>
                      <w:p>
                        <w:pPr>
                          <w:pStyle w:val="TableParagraph"/>
                          <w:ind w:left="55"/>
                          <w:rPr>
                            <w:sz w:val="24"/>
                          </w:rPr>
                        </w:pPr>
                        <w:r>
                          <w:rPr>
                            <w:color w:val="231F20"/>
                            <w:sz w:val="24"/>
                          </w:rPr>
                          <w:t>敏感</w:t>
                        </w:r>
                      </w:p>
                    </w:tc>
                    <w:tc>
                      <w:tcPr>
                        <w:tcW w:w="3063" w:type="dxa"/>
                        <w:vMerge w:val="restart"/>
                      </w:tcPr>
                      <w:p>
                        <w:pPr>
                          <w:pStyle w:val="TableParagraph"/>
                          <w:numPr>
                            <w:ilvl w:val="0"/>
                            <w:numId w:val="202"/>
                          </w:numPr>
                          <w:tabs>
                            <w:tab w:pos="300" w:val="left" w:leader="none"/>
                          </w:tabs>
                          <w:spacing w:line="409" w:lineRule="exact" w:before="208" w:after="0"/>
                          <w:ind w:left="299" w:right="0" w:hanging="245"/>
                          <w:jc w:val="left"/>
                          <w:rPr>
                            <w:sz w:val="24"/>
                          </w:rPr>
                        </w:pPr>
                        <w:r>
                          <w:rPr>
                            <w:color w:val="231F20"/>
                            <w:spacing w:val="-2"/>
                            <w:sz w:val="24"/>
                          </w:rPr>
                          <w:t>轉介病人至 </w:t>
                        </w:r>
                        <w:r>
                          <w:rPr>
                            <w:color w:val="231F20"/>
                            <w:spacing w:val="-3"/>
                            <w:sz w:val="24"/>
                          </w:rPr>
                          <w:t>TMTC 團隊</w:t>
                        </w:r>
                      </w:p>
                      <w:p>
                        <w:pPr>
                          <w:pStyle w:val="TableParagraph"/>
                          <w:numPr>
                            <w:ilvl w:val="0"/>
                            <w:numId w:val="202"/>
                          </w:numPr>
                          <w:tabs>
                            <w:tab w:pos="300" w:val="left" w:leader="none"/>
                          </w:tabs>
                          <w:spacing w:line="230" w:lineRule="auto" w:before="3" w:after="0"/>
                          <w:ind w:left="299" w:right="19" w:hanging="244"/>
                          <w:jc w:val="both"/>
                          <w:rPr>
                            <w:sz w:val="24"/>
                          </w:rPr>
                        </w:pPr>
                        <w:r>
                          <w:rPr>
                            <w:color w:val="231F20"/>
                            <w:spacing w:val="6"/>
                            <w:sz w:val="24"/>
                          </w:rPr>
                          <w:t>由團隊視病人病情決定是</w:t>
                        </w:r>
                        <w:r>
                          <w:rPr>
                            <w:color w:val="231F20"/>
                            <w:spacing w:val="9"/>
                            <w:sz w:val="24"/>
                          </w:rPr>
                          <w:t>否使用 </w:t>
                        </w:r>
                        <w:r>
                          <w:rPr>
                            <w:color w:val="231F20"/>
                            <w:sz w:val="24"/>
                          </w:rPr>
                          <w:t>RMP</w:t>
                        </w:r>
                        <w:r>
                          <w:rPr>
                            <w:color w:val="231F20"/>
                            <w:spacing w:val="13"/>
                            <w:sz w:val="24"/>
                          </w:rPr>
                          <w:t> 抗藥處方治</w:t>
                        </w:r>
                        <w:r>
                          <w:rPr>
                            <w:color w:val="231F20"/>
                            <w:sz w:val="24"/>
                          </w:rPr>
                          <w:t>療</w:t>
                        </w:r>
                      </w:p>
                    </w:tc>
                    <w:tc>
                      <w:tcPr>
                        <w:tcW w:w="2781" w:type="dxa"/>
                      </w:tcPr>
                      <w:p>
                        <w:pPr>
                          <w:pStyle w:val="TableParagraph"/>
                          <w:spacing w:line="230" w:lineRule="auto"/>
                          <w:ind w:left="55" w:right="7"/>
                          <w:jc w:val="both"/>
                          <w:rPr>
                            <w:sz w:val="24"/>
                          </w:rPr>
                        </w:pPr>
                        <w:r>
                          <w:rPr>
                            <w:color w:val="231F20"/>
                            <w:sz w:val="24"/>
                          </w:rPr>
                          <w:t>送「抗藥性結核病醫療照護體系檢口暨困難治療個案口冊會」口冊「取消</w:t>
                        </w:r>
                      </w:p>
                      <w:p>
                        <w:pPr>
                          <w:pStyle w:val="TableParagraph"/>
                          <w:spacing w:line="328" w:lineRule="exact"/>
                          <w:ind w:left="55"/>
                          <w:jc w:val="both"/>
                          <w:rPr>
                            <w:sz w:val="24"/>
                          </w:rPr>
                        </w:pPr>
                        <w:r>
                          <w:rPr>
                            <w:color w:val="231F20"/>
                            <w:sz w:val="24"/>
                          </w:rPr>
                          <w:t>RMP 抗藥註記」</w:t>
                        </w:r>
                      </w:p>
                    </w:tc>
                  </w:tr>
                  <w:tr>
                    <w:trPr>
                      <w:trHeight w:val="451" w:hRule="atLeast"/>
                    </w:trPr>
                    <w:tc>
                      <w:tcPr>
                        <w:tcW w:w="1478" w:type="dxa"/>
                        <w:vMerge/>
                        <w:tcBorders>
                          <w:top w:val="nil"/>
                        </w:tcBorders>
                      </w:tcPr>
                      <w:p>
                        <w:pPr>
                          <w:rPr>
                            <w:sz w:val="2"/>
                            <w:szCs w:val="2"/>
                          </w:rPr>
                        </w:pPr>
                      </w:p>
                    </w:tc>
                    <w:tc>
                      <w:tcPr>
                        <w:tcW w:w="1573" w:type="dxa"/>
                      </w:tcPr>
                      <w:p>
                        <w:pPr>
                          <w:pStyle w:val="TableParagraph"/>
                          <w:spacing w:line="400" w:lineRule="exact" w:before="31"/>
                          <w:ind w:left="55"/>
                          <w:rPr>
                            <w:sz w:val="14"/>
                          </w:rPr>
                        </w:pPr>
                        <w:r>
                          <w:rPr>
                            <w:color w:val="231F20"/>
                            <w:sz w:val="24"/>
                          </w:rPr>
                          <w:t>爭議性突變 </w:t>
                        </w:r>
                        <w:r>
                          <w:rPr>
                            <w:color w:val="231F20"/>
                            <w:position w:val="12"/>
                            <w:sz w:val="14"/>
                          </w:rPr>
                          <w:t>2</w:t>
                        </w:r>
                      </w:p>
                    </w:tc>
                    <w:tc>
                      <w:tcPr>
                        <w:tcW w:w="3063" w:type="dxa"/>
                        <w:vMerge/>
                        <w:tcBorders>
                          <w:top w:val="nil"/>
                        </w:tcBorders>
                      </w:tcPr>
                      <w:p>
                        <w:pPr>
                          <w:rPr>
                            <w:sz w:val="2"/>
                            <w:szCs w:val="2"/>
                          </w:rPr>
                        </w:pPr>
                      </w:p>
                    </w:tc>
                    <w:tc>
                      <w:tcPr>
                        <w:tcW w:w="2781" w:type="dxa"/>
                      </w:tcPr>
                      <w:p>
                        <w:pPr>
                          <w:pStyle w:val="TableParagraph"/>
                          <w:spacing w:line="400" w:lineRule="exact" w:before="31"/>
                          <w:ind w:left="55"/>
                          <w:rPr>
                            <w:sz w:val="24"/>
                          </w:rPr>
                        </w:pPr>
                        <w:r>
                          <w:rPr>
                            <w:color w:val="231F20"/>
                            <w:sz w:val="24"/>
                          </w:rPr>
                          <w:t>維持 RMP 抗藥註記</w:t>
                        </w:r>
                      </w:p>
                    </w:tc>
                  </w:tr>
                  <w:tr>
                    <w:trPr>
                      <w:trHeight w:val="738" w:hRule="atLeast"/>
                    </w:trPr>
                    <w:tc>
                      <w:tcPr>
                        <w:tcW w:w="1478" w:type="dxa"/>
                        <w:vMerge/>
                        <w:tcBorders>
                          <w:top w:val="nil"/>
                        </w:tcBorders>
                      </w:tcPr>
                      <w:p>
                        <w:pPr>
                          <w:rPr>
                            <w:sz w:val="2"/>
                            <w:szCs w:val="2"/>
                          </w:rPr>
                        </w:pPr>
                      </w:p>
                    </w:tc>
                    <w:tc>
                      <w:tcPr>
                        <w:tcW w:w="1573" w:type="dxa"/>
                      </w:tcPr>
                      <w:p>
                        <w:pPr>
                          <w:pStyle w:val="TableParagraph"/>
                          <w:spacing w:before="175"/>
                          <w:ind w:left="55"/>
                          <w:rPr>
                            <w:sz w:val="24"/>
                          </w:rPr>
                        </w:pPr>
                        <w:r>
                          <w:rPr>
                            <w:color w:val="231F20"/>
                            <w:sz w:val="24"/>
                          </w:rPr>
                          <w:t>抗藥</w:t>
                        </w:r>
                      </w:p>
                    </w:tc>
                    <w:tc>
                      <w:tcPr>
                        <w:tcW w:w="3063" w:type="dxa"/>
                      </w:tcPr>
                      <w:p>
                        <w:pPr>
                          <w:pStyle w:val="TableParagraph"/>
                          <w:numPr>
                            <w:ilvl w:val="0"/>
                            <w:numId w:val="203"/>
                          </w:numPr>
                          <w:tabs>
                            <w:tab w:pos="300" w:val="left" w:leader="none"/>
                          </w:tabs>
                          <w:spacing w:line="384" w:lineRule="exact" w:before="0" w:after="0"/>
                          <w:ind w:left="299" w:right="0" w:hanging="245"/>
                          <w:jc w:val="left"/>
                          <w:rPr>
                            <w:sz w:val="24"/>
                          </w:rPr>
                        </w:pPr>
                        <w:r>
                          <w:rPr>
                            <w:color w:val="231F20"/>
                            <w:spacing w:val="-2"/>
                            <w:sz w:val="24"/>
                          </w:rPr>
                          <w:t>轉介病人至 </w:t>
                        </w:r>
                        <w:r>
                          <w:rPr>
                            <w:color w:val="231F20"/>
                            <w:spacing w:val="-3"/>
                            <w:sz w:val="24"/>
                          </w:rPr>
                          <w:t>TMTC 團隊</w:t>
                        </w:r>
                      </w:p>
                      <w:p>
                        <w:pPr>
                          <w:pStyle w:val="TableParagraph"/>
                          <w:numPr>
                            <w:ilvl w:val="0"/>
                            <w:numId w:val="203"/>
                          </w:numPr>
                          <w:tabs>
                            <w:tab w:pos="300" w:val="left" w:leader="none"/>
                          </w:tabs>
                          <w:spacing w:line="334" w:lineRule="exact" w:before="0" w:after="0"/>
                          <w:ind w:left="299" w:right="0" w:hanging="245"/>
                          <w:jc w:val="left"/>
                          <w:rPr>
                            <w:sz w:val="24"/>
                          </w:rPr>
                        </w:pPr>
                        <w:r>
                          <w:rPr>
                            <w:color w:val="231F20"/>
                            <w:spacing w:val="-4"/>
                            <w:sz w:val="24"/>
                          </w:rPr>
                          <w:t>視為 </w:t>
                        </w:r>
                        <w:r>
                          <w:rPr>
                            <w:color w:val="231F20"/>
                            <w:sz w:val="24"/>
                          </w:rPr>
                          <w:t>RMP</w:t>
                        </w:r>
                        <w:r>
                          <w:rPr>
                            <w:color w:val="231F20"/>
                            <w:spacing w:val="-3"/>
                            <w:sz w:val="24"/>
                          </w:rPr>
                          <w:t> 抗藥病人治療</w:t>
                        </w:r>
                      </w:p>
                    </w:tc>
                    <w:tc>
                      <w:tcPr>
                        <w:tcW w:w="2781" w:type="dxa"/>
                      </w:tcPr>
                      <w:p>
                        <w:pPr>
                          <w:pStyle w:val="TableParagraph"/>
                          <w:spacing w:before="175"/>
                          <w:ind w:left="55"/>
                          <w:rPr>
                            <w:sz w:val="24"/>
                          </w:rPr>
                        </w:pPr>
                        <w:r>
                          <w:rPr>
                            <w:color w:val="231F20"/>
                            <w:sz w:val="24"/>
                          </w:rPr>
                          <w:t>維持 RMP 抗藥註記</w:t>
                        </w:r>
                      </w:p>
                    </w:tc>
                  </w:tr>
                </w:tbl>
                <w:p>
                  <w:pPr>
                    <w:pStyle w:val="BodyText"/>
                  </w:pPr>
                </w:p>
              </w:txbxContent>
            </v:textbox>
            <w10:wrap type="none"/>
          </v:shape>
        </w:pict>
      </w:r>
      <w:r>
        <w:rPr>
          <w:color w:val="231F20"/>
        </w:rPr>
        <w:t>圖 10-5、分子檢測與傳統培養結果相異時之處理原則</w:t>
      </w:r>
    </w:p>
    <w:p>
      <w:pPr>
        <w:spacing w:after="0"/>
        <w:jc w:val="both"/>
        <w:sectPr>
          <w:pgSz w:w="11910" w:h="16840"/>
          <w:pgMar w:top="1060" w:bottom="0" w:left="980" w:right="0"/>
        </w:sectPr>
      </w:pPr>
    </w:p>
    <w:tbl>
      <w:tblPr>
        <w:tblW w:w="0" w:type="auto"/>
        <w:jc w:val="left"/>
        <w:tblInd w:w="893"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8894"/>
      </w:tblGrid>
      <w:tr>
        <w:trPr>
          <w:trHeight w:val="451" w:hRule="atLeast"/>
        </w:trPr>
        <w:tc>
          <w:tcPr>
            <w:tcW w:w="8894" w:type="dxa"/>
            <w:shd w:val="clear" w:color="auto" w:fill="D1D3D4"/>
          </w:tcPr>
          <w:p>
            <w:pPr>
              <w:pStyle w:val="TableParagraph"/>
              <w:spacing w:line="407" w:lineRule="exact" w:before="25"/>
              <w:ind w:left="56"/>
              <w:rPr>
                <w:sz w:val="24"/>
              </w:rPr>
            </w:pPr>
            <w:r>
              <w:rPr>
                <w:color w:val="231F20"/>
                <w:spacing w:val="-6"/>
                <w:sz w:val="24"/>
              </w:rPr>
              <w:t>情境三：快速分子檢測為 </w:t>
            </w:r>
            <w:r>
              <w:rPr>
                <w:color w:val="231F20"/>
                <w:spacing w:val="-4"/>
                <w:sz w:val="24"/>
              </w:rPr>
              <w:t>MTBC</w:t>
            </w:r>
            <w:r>
              <w:rPr>
                <w:color w:val="231F20"/>
                <w:spacing w:val="20"/>
                <w:sz w:val="24"/>
              </w:rPr>
              <w:t> 且</w:t>
            </w:r>
            <w:r>
              <w:rPr>
                <w:color w:val="231F20"/>
                <w:spacing w:val="-4"/>
                <w:sz w:val="24"/>
              </w:rPr>
              <w:t>RMP</w:t>
            </w:r>
            <w:r>
              <w:rPr>
                <w:color w:val="231F20"/>
                <w:spacing w:val="-9"/>
                <w:sz w:val="24"/>
              </w:rPr>
              <w:t> 抗藥，但傳統培養為 </w:t>
            </w:r>
            <w:r>
              <w:rPr>
                <w:color w:val="231F20"/>
                <w:spacing w:val="-4"/>
                <w:sz w:val="24"/>
              </w:rPr>
              <w:t>MTBC</w:t>
            </w:r>
            <w:r>
              <w:rPr>
                <w:color w:val="231F20"/>
                <w:spacing w:val="-8"/>
                <w:sz w:val="24"/>
              </w:rPr>
              <w:t> 陰性且未確診者</w:t>
            </w:r>
          </w:p>
        </w:tc>
      </w:tr>
      <w:tr>
        <w:trPr>
          <w:trHeight w:val="451" w:hRule="atLeast"/>
        </w:trPr>
        <w:tc>
          <w:tcPr>
            <w:tcW w:w="8894" w:type="dxa"/>
          </w:tcPr>
          <w:p>
            <w:pPr>
              <w:pStyle w:val="TableParagraph"/>
              <w:spacing w:line="407" w:lineRule="exact" w:before="25"/>
              <w:ind w:left="56"/>
              <w:rPr>
                <w:sz w:val="14"/>
              </w:rPr>
            </w:pPr>
            <w:r>
              <w:rPr>
                <w:color w:val="231F20"/>
                <w:sz w:val="24"/>
              </w:rPr>
              <w:t>送縣市級診療諮詢小組，進行排除診斷判定 </w:t>
            </w:r>
            <w:r>
              <w:rPr>
                <w:color w:val="231F20"/>
                <w:position w:val="12"/>
                <w:sz w:val="14"/>
              </w:rPr>
              <w:t>3</w:t>
            </w:r>
          </w:p>
        </w:tc>
      </w:tr>
      <w:tr>
        <w:trPr>
          <w:trHeight w:val="451" w:hRule="atLeast"/>
        </w:trPr>
        <w:tc>
          <w:tcPr>
            <w:tcW w:w="8894" w:type="dxa"/>
            <w:shd w:val="clear" w:color="auto" w:fill="D1D3D4"/>
          </w:tcPr>
          <w:p>
            <w:pPr>
              <w:pStyle w:val="TableParagraph"/>
              <w:spacing w:line="407" w:lineRule="exact" w:before="25"/>
              <w:ind w:left="56"/>
              <w:rPr>
                <w:sz w:val="24"/>
              </w:rPr>
            </w:pPr>
            <w:r>
              <w:rPr>
                <w:color w:val="231F20"/>
                <w:sz w:val="24"/>
              </w:rPr>
              <w:t>情境匹：快速分子檢測為 MTBC 且 RMP 抗藥，但傳統培養 MTBC 陰性且確診者</w:t>
            </w:r>
          </w:p>
        </w:tc>
      </w:tr>
      <w:tr>
        <w:trPr>
          <w:trHeight w:val="451" w:hRule="atLeast"/>
        </w:trPr>
        <w:tc>
          <w:tcPr>
            <w:tcW w:w="8894" w:type="dxa"/>
          </w:tcPr>
          <w:p>
            <w:pPr>
              <w:pStyle w:val="TableParagraph"/>
              <w:spacing w:line="407" w:lineRule="exact" w:before="25"/>
              <w:ind w:left="56"/>
              <w:rPr>
                <w:sz w:val="24"/>
              </w:rPr>
            </w:pPr>
            <w:r>
              <w:rPr>
                <w:color w:val="231F20"/>
                <w:sz w:val="24"/>
              </w:rPr>
              <w:t>送「抗藥性結核病醫療照護體系檢口暨困難治療個案口冊會」口冊診斷及治療方向</w:t>
            </w:r>
          </w:p>
        </w:tc>
      </w:tr>
    </w:tbl>
    <w:p>
      <w:pPr>
        <w:pStyle w:val="BodyText"/>
        <w:spacing w:line="385" w:lineRule="exact"/>
        <w:ind w:left="878"/>
      </w:pPr>
      <w:r>
        <w:rPr/>
        <w:pict>
          <v:group style="position:absolute;margin-left:-.000001pt;margin-top:286.162994pt;width:37.35pt;height:555.550pt;mso-position-horizontal-relative:page;mso-position-vertical-relative:page;z-index:251881472"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106</w:t>
                    </w:r>
                  </w:p>
                </w:txbxContent>
              </v:textbox>
              <w10:wrap type="none"/>
            </v:shape>
            <w10:wrap type="none"/>
          </v:group>
        </w:pict>
      </w:r>
      <w:r>
        <w:rPr>
          <w:color w:val="231F20"/>
        </w:rPr>
        <w:t>註：</w:t>
      </w:r>
    </w:p>
    <w:p>
      <w:pPr>
        <w:pStyle w:val="ListParagraph"/>
        <w:numPr>
          <w:ilvl w:val="0"/>
          <w:numId w:val="204"/>
        </w:numPr>
        <w:tabs>
          <w:tab w:pos="1119" w:val="left" w:leader="none"/>
        </w:tabs>
        <w:spacing w:line="230" w:lineRule="auto" w:before="2" w:after="0"/>
        <w:ind w:left="1116" w:right="1136" w:hanging="233"/>
        <w:jc w:val="both"/>
        <w:rPr>
          <w:sz w:val="24"/>
        </w:rPr>
      </w:pPr>
      <w:r>
        <w:rPr>
          <w:color w:val="231F20"/>
          <w:sz w:val="24"/>
        </w:rPr>
        <w:t>由衛生局填寫結核病全國資料庫異動申請單，經本署所轄區管中心審核後，送本署</w:t>
      </w:r>
      <w:r>
        <w:rPr>
          <w:color w:val="231F20"/>
          <w:spacing w:val="-1"/>
          <w:sz w:val="24"/>
        </w:rPr>
        <w:t>慢性傳染病組進行「取消 </w:t>
      </w:r>
      <w:r>
        <w:rPr>
          <w:color w:val="231F20"/>
          <w:sz w:val="24"/>
        </w:rPr>
        <w:t>RMP</w:t>
      </w:r>
      <w:r>
        <w:rPr>
          <w:color w:val="231F20"/>
          <w:spacing w:val="-3"/>
          <w:sz w:val="24"/>
        </w:rPr>
        <w:t> 抗藥註記」。</w:t>
      </w:r>
    </w:p>
    <w:p>
      <w:pPr>
        <w:pStyle w:val="ListParagraph"/>
        <w:numPr>
          <w:ilvl w:val="0"/>
          <w:numId w:val="204"/>
        </w:numPr>
        <w:tabs>
          <w:tab w:pos="1117" w:val="left" w:leader="none"/>
        </w:tabs>
        <w:spacing w:line="230" w:lineRule="auto" w:before="0" w:after="0"/>
        <w:ind w:left="1116" w:right="1129" w:hanging="233"/>
        <w:jc w:val="both"/>
        <w:rPr>
          <w:sz w:val="24"/>
        </w:rPr>
      </w:pPr>
      <w:r>
        <w:rPr>
          <w:color w:val="231F20"/>
          <w:spacing w:val="2"/>
          <w:sz w:val="24"/>
        </w:rPr>
        <w:t>具爭議性突變者，視為 </w:t>
      </w:r>
      <w:r>
        <w:rPr>
          <w:color w:val="231F20"/>
          <w:sz w:val="24"/>
        </w:rPr>
        <w:t>RMP</w:t>
      </w:r>
      <w:r>
        <w:rPr>
          <w:color w:val="231F20"/>
          <w:spacing w:val="-1"/>
          <w:sz w:val="24"/>
        </w:rPr>
        <w:t> 抗藥病人治療，並維持 </w:t>
      </w:r>
      <w:r>
        <w:rPr>
          <w:color w:val="231F20"/>
          <w:sz w:val="24"/>
        </w:rPr>
        <w:t>RMP</w:t>
      </w:r>
      <w:r>
        <w:rPr>
          <w:color w:val="231F20"/>
          <w:spacing w:val="1"/>
          <w:sz w:val="24"/>
        </w:rPr>
        <w:t> 抗藥註記，而若有證實</w:t>
      </w:r>
      <w:r>
        <w:rPr>
          <w:color w:val="231F20"/>
          <w:sz w:val="24"/>
        </w:rPr>
        <w:t>為實驗室異常事件或其他疑義者，可送「抗藥性結核病醫療照護體系檢口暨困難治療個案口冊會」。</w:t>
      </w:r>
    </w:p>
    <w:p>
      <w:pPr>
        <w:pStyle w:val="ListParagraph"/>
        <w:numPr>
          <w:ilvl w:val="0"/>
          <w:numId w:val="204"/>
        </w:numPr>
        <w:tabs>
          <w:tab w:pos="1118" w:val="left" w:leader="none"/>
        </w:tabs>
        <w:spacing w:line="230" w:lineRule="auto" w:before="0" w:after="0"/>
        <w:ind w:left="1116" w:right="1129" w:hanging="233"/>
        <w:jc w:val="both"/>
        <w:rPr>
          <w:sz w:val="24"/>
        </w:rPr>
      </w:pPr>
      <w:r>
        <w:rPr>
          <w:color w:val="231F20"/>
          <w:spacing w:val="2"/>
          <w:w w:val="95"/>
          <w:sz w:val="24"/>
        </w:rPr>
        <w:t>病人因診斷疑義無法確診，在確認已完成所有檢査</w:t>
      </w:r>
      <w:r>
        <w:rPr>
          <w:color w:val="231F20"/>
          <w:w w:val="70"/>
          <w:sz w:val="24"/>
        </w:rPr>
        <w:t>（</w:t>
      </w:r>
      <w:r>
        <w:rPr>
          <w:color w:val="231F20"/>
          <w:spacing w:val="40"/>
          <w:w w:val="70"/>
          <w:sz w:val="24"/>
        </w:rPr>
        <w:t> </w:t>
      </w:r>
      <w:r>
        <w:rPr>
          <w:color w:val="231F20"/>
          <w:spacing w:val="19"/>
          <w:w w:val="95"/>
          <w:sz w:val="24"/>
        </w:rPr>
        <w:t>如胸部</w:t>
      </w:r>
      <w:r>
        <w:rPr>
          <w:color w:val="231F20"/>
          <w:w w:val="95"/>
          <w:sz w:val="24"/>
        </w:rPr>
        <w:t>X</w:t>
      </w:r>
      <w:r>
        <w:rPr>
          <w:color w:val="231F20"/>
          <w:spacing w:val="17"/>
          <w:w w:val="95"/>
          <w:sz w:val="24"/>
        </w:rPr>
        <w:t> 光、</w:t>
      </w:r>
      <w:r>
        <w:rPr>
          <w:color w:val="231F20"/>
          <w:w w:val="95"/>
          <w:sz w:val="24"/>
        </w:rPr>
        <w:t>CT</w:t>
      </w:r>
      <w:r>
        <w:rPr>
          <w:color w:val="231F20"/>
          <w:spacing w:val="-4"/>
          <w:w w:val="95"/>
          <w:sz w:val="24"/>
        </w:rPr>
        <w:t>、支氣管鏡檢</w:t>
      </w:r>
      <w:r>
        <w:rPr>
          <w:color w:val="231F20"/>
          <w:spacing w:val="-3"/>
          <w:sz w:val="24"/>
        </w:rPr>
        <w:t>査等 )，並依結核病診治指引進行治療後，胸部 </w:t>
      </w:r>
      <w:r>
        <w:rPr>
          <w:color w:val="231F20"/>
          <w:sz w:val="24"/>
        </w:rPr>
        <w:t>X 光或臨床症狀未有變化者，可經</w:t>
      </w:r>
      <w:r>
        <w:rPr>
          <w:color w:val="231F20"/>
          <w:spacing w:val="-3"/>
          <w:sz w:val="24"/>
        </w:rPr>
        <w:t>縣市級診療諮詢小組 </w:t>
      </w:r>
      <w:r>
        <w:rPr>
          <w:color w:val="231F20"/>
          <w:w w:val="70"/>
          <w:sz w:val="24"/>
        </w:rPr>
        <w:t>（</w:t>
      </w:r>
      <w:r>
        <w:rPr>
          <w:color w:val="231F20"/>
          <w:spacing w:val="-7"/>
          <w:w w:val="70"/>
          <w:sz w:val="24"/>
        </w:rPr>
        <w:t> </w:t>
      </w:r>
      <w:r>
        <w:rPr>
          <w:color w:val="231F20"/>
          <w:spacing w:val="-4"/>
          <w:sz w:val="24"/>
        </w:rPr>
        <w:t>至少邀請—位 </w:t>
      </w:r>
      <w:r>
        <w:rPr>
          <w:color w:val="231F20"/>
          <w:spacing w:val="-3"/>
          <w:sz w:val="24"/>
        </w:rPr>
        <w:t>TMTC</w:t>
      </w:r>
      <w:r>
        <w:rPr>
          <w:color w:val="231F20"/>
          <w:spacing w:val="-6"/>
          <w:sz w:val="24"/>
        </w:rPr>
        <w:t> 團隊醫師或具診療抗藥性結核病經驗醫師擔任委員 )，進行排除診斷判定。</w:t>
      </w:r>
    </w:p>
    <w:p>
      <w:pPr>
        <w:pStyle w:val="BodyText"/>
        <w:spacing w:before="12"/>
        <w:rPr>
          <w:sz w:val="19"/>
        </w:rPr>
      </w:pPr>
    </w:p>
    <w:p>
      <w:pPr>
        <w:pStyle w:val="Heading2"/>
      </w:pPr>
      <w:r>
        <w:rPr>
          <w:color w:val="231F20"/>
        </w:rPr>
        <w:t>伍、抗藥性結核病（RR-TB／MDR-TB／pre-XDR-TB／XDR-TB)病人分類</w:t>
      </w:r>
    </w:p>
    <w:p>
      <w:pPr>
        <w:pStyle w:val="BodyText"/>
        <w:spacing w:line="404" w:lineRule="exact"/>
        <w:ind w:left="635"/>
      </w:pPr>
      <w:r>
        <w:rPr>
          <w:color w:val="231F20"/>
        </w:rPr>
        <w:t>抗藥性結核病人參考世界衛生組織的建議可分為：</w:t>
      </w:r>
    </w:p>
    <w:p>
      <w:pPr>
        <w:pStyle w:val="BodyText"/>
        <w:spacing w:line="230" w:lineRule="auto" w:before="3"/>
        <w:ind w:left="878" w:right="1128" w:hanging="488"/>
      </w:pPr>
      <w:r>
        <w:rPr>
          <w:color w:val="231F20"/>
          <w:spacing w:val="4"/>
        </w:rPr>
        <w:t>—、新病人</w:t>
      </w:r>
      <w:r>
        <w:rPr>
          <w:color w:val="231F20"/>
          <w:w w:val="300"/>
        </w:rPr>
        <w:t>(</w:t>
      </w:r>
      <w:r>
        <w:rPr>
          <w:color w:val="231F20"/>
          <w:spacing w:val="-1"/>
          <w:w w:val="111"/>
        </w:rPr>
        <w:t>N</w:t>
      </w:r>
      <w:r>
        <w:rPr>
          <w:color w:val="231F20"/>
          <w:spacing w:val="-1"/>
          <w:w w:val="101"/>
        </w:rPr>
        <w:t>e</w:t>
      </w:r>
      <w:r>
        <w:rPr>
          <w:color w:val="231F20"/>
          <w:w w:val="107"/>
        </w:rPr>
        <w:t>w</w:t>
      </w:r>
      <w:r>
        <w:rPr>
          <w:color w:val="231F20"/>
          <w:spacing w:val="13"/>
        </w:rPr>
        <w:t> </w:t>
      </w:r>
      <w:r>
        <w:rPr>
          <w:color w:val="231F20"/>
          <w:spacing w:val="-4"/>
          <w:w w:val="113"/>
        </w:rPr>
        <w:t>p</w:t>
      </w:r>
      <w:r>
        <w:rPr>
          <w:color w:val="231F20"/>
          <w:spacing w:val="-1"/>
          <w:w w:val="98"/>
        </w:rPr>
        <w:t>a</w:t>
      </w:r>
      <w:r>
        <w:rPr>
          <w:color w:val="231F20"/>
          <w:w w:val="130"/>
        </w:rPr>
        <w:t>t</w:t>
      </w:r>
      <w:r>
        <w:rPr>
          <w:color w:val="231F20"/>
          <w:spacing w:val="-1"/>
          <w:w w:val="116"/>
        </w:rPr>
        <w:t>i</w:t>
      </w:r>
      <w:r>
        <w:rPr>
          <w:color w:val="231F20"/>
          <w:spacing w:val="-1"/>
          <w:w w:val="101"/>
        </w:rPr>
        <w:t>e</w:t>
      </w:r>
      <w:r>
        <w:rPr>
          <w:color w:val="231F20"/>
          <w:spacing w:val="-1"/>
          <w:w w:val="109"/>
        </w:rPr>
        <w:t>n</w:t>
      </w:r>
      <w:r>
        <w:rPr>
          <w:color w:val="231F20"/>
          <w:w w:val="130"/>
        </w:rPr>
        <w:t>t</w:t>
      </w:r>
      <w:r>
        <w:rPr>
          <w:color w:val="231F20"/>
          <w:spacing w:val="-1"/>
          <w:w w:val="91"/>
        </w:rPr>
        <w:t>s</w:t>
      </w:r>
      <w:r>
        <w:rPr>
          <w:color w:val="231F20"/>
          <w:w w:val="300"/>
        </w:rPr>
        <w:t>)</w:t>
      </w:r>
      <w:r>
        <w:rPr>
          <w:color w:val="231F20"/>
          <w:spacing w:val="5"/>
        </w:rPr>
        <w:t>：不曾接受抗結核藥治療、或曾接受少於 </w:t>
      </w:r>
      <w:r>
        <w:rPr>
          <w:color w:val="231F20"/>
          <w:w w:val="104"/>
        </w:rPr>
        <w:t>4</w:t>
      </w:r>
      <w:r>
        <w:rPr>
          <w:color w:val="231F20"/>
          <w:spacing w:val="4"/>
        </w:rPr>
        <w:t> 週抗結核藥物</w:t>
      </w:r>
      <w:r>
        <w:rPr>
          <w:color w:val="231F20"/>
        </w:rPr>
        <w:t>治療之病人，首次發病即為抗藥性結核病病人。</w:t>
      </w:r>
    </w:p>
    <w:p>
      <w:pPr>
        <w:pStyle w:val="BodyText"/>
        <w:spacing w:line="230" w:lineRule="auto"/>
        <w:ind w:left="878" w:right="1135" w:hanging="488"/>
      </w:pPr>
      <w:r>
        <w:rPr>
          <w:color w:val="231F20"/>
        </w:rPr>
        <w:t>二、曾經治療過的病人</w:t>
      </w:r>
      <w:r>
        <w:rPr>
          <w:color w:val="231F20"/>
          <w:w w:val="300"/>
        </w:rPr>
        <w:t>(</w:t>
      </w:r>
      <w:r>
        <w:rPr>
          <w:color w:val="231F20"/>
          <w:w w:val="90"/>
        </w:rPr>
        <w:t>P</w:t>
      </w:r>
      <w:r>
        <w:rPr>
          <w:color w:val="231F20"/>
          <w:w w:val="111"/>
        </w:rPr>
        <w:t>r</w:t>
      </w:r>
      <w:r>
        <w:rPr>
          <w:color w:val="231F20"/>
          <w:w w:val="101"/>
        </w:rPr>
        <w:t>e</w:t>
      </w:r>
      <w:r>
        <w:rPr>
          <w:color w:val="231F20"/>
          <w:w w:val="102"/>
        </w:rPr>
        <w:t>v</w:t>
      </w:r>
      <w:r>
        <w:rPr>
          <w:color w:val="231F20"/>
          <w:w w:val="116"/>
        </w:rPr>
        <w:t>i</w:t>
      </w:r>
      <w:r>
        <w:rPr>
          <w:color w:val="231F20"/>
          <w:w w:val="113"/>
        </w:rPr>
        <w:t>o</w:t>
      </w:r>
      <w:r>
        <w:rPr>
          <w:color w:val="231F20"/>
          <w:w w:val="109"/>
        </w:rPr>
        <w:t>u</w:t>
      </w:r>
      <w:r>
        <w:rPr>
          <w:color w:val="231F20"/>
          <w:w w:val="91"/>
        </w:rPr>
        <w:t>s</w:t>
      </w:r>
      <w:r>
        <w:rPr>
          <w:color w:val="231F20"/>
          <w:w w:val="116"/>
        </w:rPr>
        <w:t>l</w:t>
      </w:r>
      <w:r>
        <w:rPr>
          <w:color w:val="231F20"/>
          <w:w w:val="103"/>
        </w:rPr>
        <w:t>y</w:t>
      </w:r>
      <w:r>
        <w:rPr>
          <w:color w:val="231F20"/>
        </w:rPr>
        <w:t> </w:t>
      </w:r>
      <w:r>
        <w:rPr>
          <w:color w:val="231F20"/>
          <w:w w:val="130"/>
        </w:rPr>
        <w:t>t</w:t>
      </w:r>
      <w:r>
        <w:rPr>
          <w:color w:val="231F20"/>
          <w:w w:val="111"/>
        </w:rPr>
        <w:t>r</w:t>
      </w:r>
      <w:r>
        <w:rPr>
          <w:color w:val="231F20"/>
          <w:w w:val="101"/>
        </w:rPr>
        <w:t>e</w:t>
      </w:r>
      <w:r>
        <w:rPr>
          <w:color w:val="231F20"/>
          <w:w w:val="98"/>
        </w:rPr>
        <w:t>a</w:t>
      </w:r>
      <w:r>
        <w:rPr>
          <w:color w:val="231F20"/>
          <w:w w:val="130"/>
        </w:rPr>
        <w:t>t</w:t>
      </w:r>
      <w:r>
        <w:rPr>
          <w:color w:val="231F20"/>
          <w:w w:val="101"/>
        </w:rPr>
        <w:t>e</w:t>
      </w:r>
      <w:r>
        <w:rPr>
          <w:color w:val="231F20"/>
          <w:w w:val="113"/>
        </w:rPr>
        <w:t>d</w:t>
      </w:r>
      <w:r>
        <w:rPr>
          <w:color w:val="231F20"/>
        </w:rPr>
        <w:t> </w:t>
      </w:r>
      <w:r>
        <w:rPr>
          <w:color w:val="231F20"/>
          <w:w w:val="113"/>
        </w:rPr>
        <w:t>p</w:t>
      </w:r>
      <w:r>
        <w:rPr>
          <w:color w:val="231F20"/>
          <w:w w:val="98"/>
        </w:rPr>
        <w:t>a</w:t>
      </w:r>
      <w:r>
        <w:rPr>
          <w:color w:val="231F20"/>
          <w:w w:val="130"/>
        </w:rPr>
        <w:t>t</w:t>
      </w:r>
      <w:r>
        <w:rPr>
          <w:color w:val="231F20"/>
          <w:w w:val="116"/>
        </w:rPr>
        <w:t>i</w:t>
      </w:r>
      <w:r>
        <w:rPr>
          <w:color w:val="231F20"/>
          <w:w w:val="101"/>
        </w:rPr>
        <w:t>e</w:t>
      </w:r>
      <w:r>
        <w:rPr>
          <w:color w:val="231F20"/>
          <w:w w:val="109"/>
        </w:rPr>
        <w:t>n</w:t>
      </w:r>
      <w:r>
        <w:rPr>
          <w:color w:val="231F20"/>
          <w:w w:val="130"/>
        </w:rPr>
        <w:t>t</w:t>
      </w:r>
      <w:r>
        <w:rPr>
          <w:color w:val="231F20"/>
          <w:w w:val="91"/>
        </w:rPr>
        <w:t>s</w:t>
      </w:r>
      <w:r>
        <w:rPr>
          <w:color w:val="231F20"/>
          <w:w w:val="300"/>
        </w:rPr>
        <w:t>)</w:t>
      </w:r>
      <w:r>
        <w:rPr>
          <w:color w:val="231F20"/>
        </w:rPr>
        <w:t>：指曾經使用抗結核藥物超過 </w:t>
      </w:r>
      <w:r>
        <w:rPr>
          <w:color w:val="231F20"/>
          <w:w w:val="104"/>
        </w:rPr>
        <w:t>4</w:t>
      </w:r>
      <w:r>
        <w:rPr>
          <w:color w:val="231F20"/>
          <w:w w:val="110"/>
        </w:rPr>
        <w:t>週以上的病人。</w:t>
      </w:r>
    </w:p>
    <w:p>
      <w:pPr>
        <w:pStyle w:val="BodyText"/>
        <w:spacing w:line="230" w:lineRule="auto"/>
        <w:ind w:left="1349" w:right="1131" w:hanging="720"/>
        <w:jc w:val="both"/>
      </w:pPr>
      <w:r>
        <w:rPr>
          <w:color w:val="231F20"/>
          <w:w w:val="32"/>
        </w:rPr>
        <w:t>（</w:t>
      </w:r>
      <w:r>
        <w:rPr>
          <w:color w:val="231F20"/>
        </w:rPr>
        <w:t> — </w:t>
      </w:r>
      <w:r>
        <w:rPr>
          <w:color w:val="231F20"/>
          <w:w w:val="96"/>
        </w:rPr>
        <w:t>)</w:t>
      </w:r>
      <w:r>
        <w:rPr>
          <w:color w:val="231F20"/>
        </w:rPr>
        <w:t>   復發</w:t>
      </w:r>
      <w:r>
        <w:rPr>
          <w:color w:val="231F20"/>
          <w:w w:val="300"/>
        </w:rPr>
        <w:t>(</w:t>
      </w:r>
      <w:r>
        <w:rPr>
          <w:color w:val="231F20"/>
          <w:w w:val="88"/>
        </w:rPr>
        <w:t>R</w:t>
      </w:r>
      <w:r>
        <w:rPr>
          <w:color w:val="231F20"/>
          <w:w w:val="101"/>
        </w:rPr>
        <w:t>e</w:t>
      </w:r>
      <w:r>
        <w:rPr>
          <w:color w:val="231F20"/>
          <w:w w:val="116"/>
        </w:rPr>
        <w:t>l</w:t>
      </w:r>
      <w:r>
        <w:rPr>
          <w:color w:val="231F20"/>
          <w:w w:val="98"/>
        </w:rPr>
        <w:t>a</w:t>
      </w:r>
      <w:r>
        <w:rPr>
          <w:color w:val="231F20"/>
          <w:w w:val="113"/>
        </w:rPr>
        <w:t>p</w:t>
      </w:r>
      <w:r>
        <w:rPr>
          <w:color w:val="231F20"/>
          <w:w w:val="91"/>
        </w:rPr>
        <w:t>s</w:t>
      </w:r>
      <w:r>
        <w:rPr>
          <w:color w:val="231F20"/>
          <w:w w:val="101"/>
        </w:rPr>
        <w:t>e</w:t>
      </w:r>
      <w:r>
        <w:rPr>
          <w:color w:val="231F20"/>
        </w:rPr>
        <w:t> </w:t>
      </w:r>
      <w:r>
        <w:rPr>
          <w:color w:val="231F20"/>
          <w:w w:val="113"/>
        </w:rPr>
        <w:t>p</w:t>
      </w:r>
      <w:r>
        <w:rPr>
          <w:color w:val="231F20"/>
          <w:w w:val="98"/>
        </w:rPr>
        <w:t>a</w:t>
      </w:r>
      <w:r>
        <w:rPr>
          <w:color w:val="231F20"/>
          <w:w w:val="130"/>
        </w:rPr>
        <w:t>t</w:t>
      </w:r>
      <w:r>
        <w:rPr>
          <w:color w:val="231F20"/>
          <w:w w:val="116"/>
        </w:rPr>
        <w:t>i</w:t>
      </w:r>
      <w:r>
        <w:rPr>
          <w:color w:val="231F20"/>
          <w:w w:val="101"/>
        </w:rPr>
        <w:t>e</w:t>
      </w:r>
      <w:r>
        <w:rPr>
          <w:color w:val="231F20"/>
          <w:w w:val="109"/>
        </w:rPr>
        <w:t>n</w:t>
      </w:r>
      <w:r>
        <w:rPr>
          <w:color w:val="231F20"/>
          <w:w w:val="130"/>
        </w:rPr>
        <w:t>t</w:t>
      </w:r>
      <w:r>
        <w:rPr>
          <w:color w:val="231F20"/>
          <w:w w:val="91"/>
        </w:rPr>
        <w:t>s</w:t>
      </w:r>
      <w:r>
        <w:rPr>
          <w:color w:val="231F20"/>
          <w:w w:val="300"/>
        </w:rPr>
        <w:t>)</w:t>
      </w:r>
      <w:r>
        <w:rPr>
          <w:color w:val="231F20"/>
        </w:rPr>
        <w:t>：曾接受—個完整療程之抗結核藥物治療，並經醫師宣告治癒或完成治療後，且診斷為抗藥性結核病之病人，包含：可能是前次治療殘存的結核蔥群再度活化 </w:t>
      </w:r>
      <w:r>
        <w:rPr>
          <w:color w:val="231F20"/>
          <w:w w:val="51"/>
        </w:rPr>
        <w:t>（r</w:t>
      </w:r>
      <w:r>
        <w:rPr>
          <w:color w:val="231F20"/>
          <w:w w:val="105"/>
        </w:rPr>
        <w:t>eactiv</w:t>
      </w:r>
      <w:r>
        <w:rPr>
          <w:color w:val="231F20"/>
          <w:w w:val="109"/>
        </w:rPr>
        <w:t>ation)</w:t>
      </w:r>
      <w:r>
        <w:rPr>
          <w:color w:val="231F20"/>
        </w:rPr>
        <w:t> 或因再度感染 </w:t>
      </w:r>
      <w:r>
        <w:rPr>
          <w:color w:val="231F20"/>
          <w:w w:val="51"/>
        </w:rPr>
        <w:t>（r</w:t>
      </w:r>
      <w:r>
        <w:rPr>
          <w:color w:val="231F20"/>
          <w:w w:val="101"/>
        </w:rPr>
        <w:t>e</w:t>
      </w:r>
      <w:r>
        <w:rPr>
          <w:color w:val="231F20"/>
          <w:w w:val="111"/>
        </w:rPr>
        <w:t>-infection)</w:t>
      </w:r>
      <w:r>
        <w:rPr>
          <w:color w:val="231F20"/>
        </w:rPr>
        <w:t> 而發病。</w:t>
      </w:r>
    </w:p>
    <w:p>
      <w:pPr>
        <w:pStyle w:val="BodyText"/>
        <w:spacing w:line="230" w:lineRule="auto"/>
        <w:ind w:left="1349" w:right="1127" w:hanging="720"/>
        <w:jc w:val="both"/>
      </w:pPr>
      <w:r>
        <w:rPr>
          <w:color w:val="231F20"/>
          <w:w w:val="32"/>
        </w:rPr>
        <w:t>（</w:t>
      </w:r>
      <w:r>
        <w:rPr>
          <w:color w:val="231F20"/>
        </w:rPr>
        <w:t> 二 </w:t>
      </w:r>
      <w:r>
        <w:rPr>
          <w:color w:val="231F20"/>
          <w:w w:val="96"/>
        </w:rPr>
        <w:t>)</w:t>
      </w:r>
      <w:r>
        <w:rPr>
          <w:color w:val="231F20"/>
        </w:rPr>
        <w:t>   失落再治</w:t>
      </w:r>
      <w:r>
        <w:rPr>
          <w:color w:val="231F20"/>
          <w:w w:val="300"/>
        </w:rPr>
        <w:t>(</w:t>
      </w:r>
      <w:r>
        <w:rPr>
          <w:color w:val="231F20"/>
          <w:w w:val="91"/>
        </w:rPr>
        <w:t>T</w:t>
      </w:r>
      <w:r>
        <w:rPr>
          <w:color w:val="231F20"/>
          <w:w w:val="111"/>
        </w:rPr>
        <w:t>r</w:t>
      </w:r>
      <w:r>
        <w:rPr>
          <w:color w:val="231F20"/>
          <w:w w:val="101"/>
        </w:rPr>
        <w:t>e</w:t>
      </w:r>
      <w:r>
        <w:rPr>
          <w:color w:val="231F20"/>
          <w:w w:val="98"/>
        </w:rPr>
        <w:t>a</w:t>
      </w:r>
      <w:r>
        <w:rPr>
          <w:color w:val="231F20"/>
          <w:w w:val="130"/>
        </w:rPr>
        <w:t>t</w:t>
      </w:r>
      <w:r>
        <w:rPr>
          <w:color w:val="231F20"/>
          <w:w w:val="111"/>
        </w:rPr>
        <w:t>m</w:t>
      </w:r>
      <w:r>
        <w:rPr>
          <w:color w:val="231F20"/>
          <w:w w:val="101"/>
        </w:rPr>
        <w:t>e</w:t>
      </w:r>
      <w:r>
        <w:rPr>
          <w:color w:val="231F20"/>
          <w:w w:val="109"/>
        </w:rPr>
        <w:t>n</w:t>
      </w:r>
      <w:r>
        <w:rPr>
          <w:color w:val="231F20"/>
          <w:w w:val="130"/>
        </w:rPr>
        <w:t>t</w:t>
      </w:r>
      <w:r>
        <w:rPr>
          <w:color w:val="231F20"/>
        </w:rPr>
        <w:t> </w:t>
      </w:r>
      <w:r>
        <w:rPr>
          <w:color w:val="231F20"/>
          <w:w w:val="98"/>
        </w:rPr>
        <w:t>a</w:t>
      </w:r>
      <w:r>
        <w:rPr>
          <w:color w:val="231F20"/>
          <w:w w:val="119"/>
        </w:rPr>
        <w:t>f</w:t>
      </w:r>
      <w:r>
        <w:rPr>
          <w:color w:val="231F20"/>
          <w:w w:val="130"/>
        </w:rPr>
        <w:t>t</w:t>
      </w:r>
      <w:r>
        <w:rPr>
          <w:color w:val="231F20"/>
          <w:w w:val="101"/>
        </w:rPr>
        <w:t>e</w:t>
      </w:r>
      <w:r>
        <w:rPr>
          <w:color w:val="231F20"/>
          <w:w w:val="111"/>
        </w:rPr>
        <w:t>r</w:t>
      </w:r>
      <w:r>
        <w:rPr>
          <w:color w:val="231F20"/>
        </w:rPr>
        <w:t> </w:t>
      </w:r>
      <w:r>
        <w:rPr>
          <w:color w:val="231F20"/>
          <w:w w:val="116"/>
        </w:rPr>
        <w:t>l</w:t>
      </w:r>
      <w:r>
        <w:rPr>
          <w:color w:val="231F20"/>
          <w:w w:val="113"/>
        </w:rPr>
        <w:t>o</w:t>
      </w:r>
      <w:r>
        <w:rPr>
          <w:color w:val="231F20"/>
          <w:w w:val="91"/>
        </w:rPr>
        <w:t>ss</w:t>
      </w:r>
      <w:r>
        <w:rPr>
          <w:color w:val="231F20"/>
        </w:rPr>
        <w:t> </w:t>
      </w:r>
      <w:r>
        <w:rPr>
          <w:color w:val="231F20"/>
          <w:w w:val="130"/>
        </w:rPr>
        <w:t>t</w:t>
      </w:r>
      <w:r>
        <w:rPr>
          <w:color w:val="231F20"/>
          <w:w w:val="113"/>
        </w:rPr>
        <w:t>o</w:t>
      </w:r>
      <w:r>
        <w:rPr>
          <w:color w:val="231F20"/>
        </w:rPr>
        <w:t> </w:t>
      </w:r>
      <w:r>
        <w:rPr>
          <w:color w:val="231F20"/>
          <w:w w:val="119"/>
        </w:rPr>
        <w:t>f</w:t>
      </w:r>
      <w:r>
        <w:rPr>
          <w:color w:val="231F20"/>
          <w:w w:val="113"/>
        </w:rPr>
        <w:t>o</w:t>
      </w:r>
      <w:r>
        <w:rPr>
          <w:color w:val="231F20"/>
          <w:w w:val="116"/>
        </w:rPr>
        <w:t>ll</w:t>
      </w:r>
      <w:r>
        <w:rPr>
          <w:color w:val="231F20"/>
          <w:w w:val="113"/>
        </w:rPr>
        <w:t>o</w:t>
      </w:r>
      <w:r>
        <w:rPr>
          <w:color w:val="231F20"/>
          <w:w w:val="107"/>
        </w:rPr>
        <w:t>w</w:t>
      </w:r>
      <w:r>
        <w:rPr>
          <w:color w:val="231F20"/>
          <w:w w:val="129"/>
        </w:rPr>
        <w:t>-</w:t>
      </w:r>
      <w:r>
        <w:rPr>
          <w:color w:val="231F20"/>
          <w:w w:val="109"/>
        </w:rPr>
        <w:t>u</w:t>
      </w:r>
      <w:r>
        <w:rPr>
          <w:color w:val="231F20"/>
          <w:w w:val="113"/>
        </w:rPr>
        <w:t>p</w:t>
      </w:r>
      <w:r>
        <w:rPr>
          <w:color w:val="231F20"/>
        </w:rPr>
        <w:t> </w:t>
      </w:r>
      <w:r>
        <w:rPr>
          <w:color w:val="231F20"/>
          <w:w w:val="113"/>
        </w:rPr>
        <w:t>p</w:t>
      </w:r>
      <w:r>
        <w:rPr>
          <w:color w:val="231F20"/>
          <w:w w:val="98"/>
        </w:rPr>
        <w:t>a</w:t>
      </w:r>
      <w:r>
        <w:rPr>
          <w:color w:val="231F20"/>
          <w:w w:val="130"/>
        </w:rPr>
        <w:t>t</w:t>
      </w:r>
      <w:r>
        <w:rPr>
          <w:color w:val="231F20"/>
          <w:w w:val="116"/>
        </w:rPr>
        <w:t>i</w:t>
      </w:r>
      <w:r>
        <w:rPr>
          <w:color w:val="231F20"/>
          <w:w w:val="101"/>
        </w:rPr>
        <w:t>e</w:t>
      </w:r>
      <w:r>
        <w:rPr>
          <w:color w:val="231F20"/>
          <w:w w:val="109"/>
        </w:rPr>
        <w:t>n</w:t>
      </w:r>
      <w:r>
        <w:rPr>
          <w:color w:val="231F20"/>
          <w:w w:val="130"/>
        </w:rPr>
        <w:t>t</w:t>
      </w:r>
      <w:r>
        <w:rPr>
          <w:color w:val="231F20"/>
          <w:w w:val="91"/>
        </w:rPr>
        <w:t>s</w:t>
      </w:r>
      <w:r>
        <w:rPr>
          <w:color w:val="231F20"/>
          <w:w w:val="300"/>
        </w:rPr>
        <w:t>)</w:t>
      </w:r>
      <w:r>
        <w:rPr>
          <w:color w:val="231F20"/>
        </w:rPr>
        <w:t>：中斷治療 </w:t>
      </w:r>
      <w:r>
        <w:rPr>
          <w:color w:val="231F20"/>
          <w:w w:val="104"/>
        </w:rPr>
        <w:t>2</w:t>
      </w:r>
      <w:r>
        <w:rPr>
          <w:color w:val="231F20"/>
        </w:rPr>
        <w:t> 個月以上再回來接受治療之病人且再次治療時為抗藥性結核病病人。</w:t>
      </w:r>
    </w:p>
    <w:p>
      <w:pPr>
        <w:pStyle w:val="BodyText"/>
        <w:spacing w:line="395" w:lineRule="exact"/>
        <w:ind w:left="629"/>
        <w:jc w:val="both"/>
      </w:pPr>
      <w:r>
        <w:rPr>
          <w:color w:val="231F20"/>
          <w:w w:val="70"/>
        </w:rPr>
        <w:t>（ </w:t>
      </w:r>
      <w:r>
        <w:rPr>
          <w:color w:val="231F20"/>
          <w:w w:val="115"/>
        </w:rPr>
        <w:t>三 ) 失敗再治(Treatment after failure patients)</w:t>
      </w:r>
    </w:p>
    <w:p>
      <w:pPr>
        <w:pStyle w:val="ListParagraph"/>
        <w:numPr>
          <w:ilvl w:val="1"/>
          <w:numId w:val="204"/>
        </w:numPr>
        <w:tabs>
          <w:tab w:pos="1349" w:val="left" w:leader="none"/>
        </w:tabs>
        <w:spacing w:line="230" w:lineRule="auto" w:before="0" w:after="0"/>
        <w:ind w:left="1349" w:right="1137" w:hanging="255"/>
        <w:jc w:val="both"/>
        <w:rPr>
          <w:sz w:val="24"/>
        </w:rPr>
      </w:pPr>
      <w:r>
        <w:rPr>
          <w:color w:val="231F20"/>
          <w:spacing w:val="-1"/>
          <w:sz w:val="24"/>
        </w:rPr>
        <w:t>初次治療失敗：治療滿 </w:t>
      </w:r>
      <w:r>
        <w:rPr>
          <w:color w:val="231F20"/>
          <w:sz w:val="24"/>
        </w:rPr>
        <w:t>4</w:t>
      </w:r>
      <w:r>
        <w:rPr>
          <w:color w:val="231F20"/>
          <w:spacing w:val="-3"/>
          <w:sz w:val="24"/>
        </w:rPr>
        <w:t> 個月後依然痰培養陽性，或治療前培養陰性、治療 </w:t>
      </w:r>
      <w:r>
        <w:rPr>
          <w:color w:val="231F20"/>
          <w:sz w:val="24"/>
        </w:rPr>
        <w:t>2</w:t>
      </w:r>
      <w:r>
        <w:rPr>
          <w:color w:val="231F20"/>
          <w:spacing w:val="-11"/>
          <w:sz w:val="24"/>
        </w:rPr>
        <w:t> 個</w:t>
      </w:r>
      <w:r>
        <w:rPr>
          <w:color w:val="231F20"/>
          <w:sz w:val="24"/>
        </w:rPr>
        <w:t>月後變成培養陽性，且為抗藥性結核病病人。</w:t>
      </w:r>
    </w:p>
    <w:p>
      <w:pPr>
        <w:pStyle w:val="ListParagraph"/>
        <w:numPr>
          <w:ilvl w:val="1"/>
          <w:numId w:val="204"/>
        </w:numPr>
        <w:tabs>
          <w:tab w:pos="1350" w:val="left" w:leader="none"/>
        </w:tabs>
        <w:spacing w:line="230" w:lineRule="auto" w:before="0" w:after="0"/>
        <w:ind w:left="1349" w:right="1131" w:hanging="255"/>
        <w:jc w:val="both"/>
        <w:rPr>
          <w:sz w:val="24"/>
        </w:rPr>
      </w:pPr>
      <w:r>
        <w:rPr>
          <w:color w:val="231F20"/>
          <w:sz w:val="24"/>
        </w:rPr>
        <w:t>再治治療失敗：病人因失落、復發或初次治療失敗而再接受二線藥物治療，治療</w:t>
      </w:r>
      <w:r>
        <w:rPr>
          <w:color w:val="231F20"/>
          <w:spacing w:val="-4"/>
          <w:sz w:val="24"/>
        </w:rPr>
        <w:t>滿 </w:t>
      </w:r>
      <w:r>
        <w:rPr>
          <w:color w:val="231F20"/>
          <w:sz w:val="24"/>
        </w:rPr>
        <w:t>4</w:t>
      </w:r>
      <w:r>
        <w:rPr>
          <w:color w:val="231F20"/>
          <w:spacing w:val="-3"/>
          <w:sz w:val="24"/>
        </w:rPr>
        <w:t> 個月後依然痰培養陽性，且為抗藥性結核病病人。</w:t>
      </w:r>
    </w:p>
    <w:p>
      <w:pPr>
        <w:pStyle w:val="BodyText"/>
        <w:spacing w:line="230" w:lineRule="auto"/>
        <w:ind w:left="1349" w:right="1133" w:hanging="720"/>
        <w:jc w:val="both"/>
      </w:pPr>
      <w:r>
        <w:rPr>
          <w:color w:val="231F20"/>
          <w:w w:val="70"/>
        </w:rPr>
        <w:t>（ </w:t>
      </w:r>
      <w:r>
        <w:rPr>
          <w:color w:val="231F20"/>
        </w:rPr>
        <w:t>匹 ) 其他曾接受抗結核藥物治療的病人 （other previously treated patients)：曾接受</w:t>
      </w:r>
      <w:r>
        <w:rPr>
          <w:color w:val="231F20"/>
          <w:w w:val="105"/>
        </w:rPr>
        <w:t>過抗結核藥物治療，但最近—次結核病治療結果不明。</w:t>
      </w:r>
    </w:p>
    <w:p>
      <w:pPr>
        <w:spacing w:after="0" w:line="230" w:lineRule="auto"/>
        <w:jc w:val="both"/>
        <w:sectPr>
          <w:pgSz w:w="11910" w:h="16840"/>
          <w:pgMar w:top="1200" w:bottom="0" w:left="980" w:right="0"/>
        </w:sectPr>
      </w:pPr>
    </w:p>
    <w:p>
      <w:pPr>
        <w:pStyle w:val="BodyText"/>
        <w:spacing w:line="230" w:lineRule="auto" w:before="70"/>
        <w:ind w:left="878" w:right="1135" w:hanging="488"/>
        <w:jc w:val="both"/>
      </w:pPr>
      <w:r>
        <w:rPr>
          <w:color w:val="231F20"/>
        </w:rPr>
        <w:t>三、病人過去結核病治療史不明 （patients with unknown history of TB treatment)：不符上述新病人或曾經治療之病人分類者。</w:t>
      </w:r>
    </w:p>
    <w:p>
      <w:pPr>
        <w:pStyle w:val="BodyText"/>
        <w:spacing w:line="230" w:lineRule="auto"/>
        <w:ind w:left="635" w:right="1126"/>
        <w:jc w:val="both"/>
      </w:pPr>
      <w:r>
        <w:rPr>
          <w:color w:val="231F20"/>
        </w:rPr>
        <w:t>依據每—位病人在初次被診斷為抗藥性結核病時之狀況予以分類，由正確的分類結果， 可以作為抗藥性結核病防治政策之參考依據。抗藥性結核病人若可以即時轉介並接受TMTC 團隊專業治療照護，可有效縮短結核病病人可傳染期並有比較好的治療結果，可避免更嚴重的抗藥發生或產生無法治癒的慢性傳染性結核病病人。</w:t>
      </w:r>
    </w:p>
    <w:p>
      <w:pPr>
        <w:pStyle w:val="BodyText"/>
        <w:spacing w:line="230" w:lineRule="auto"/>
        <w:ind w:left="635" w:right="1136"/>
        <w:jc w:val="both"/>
      </w:pPr>
      <w:r>
        <w:rPr>
          <w:color w:val="231F20"/>
        </w:rPr>
        <w:t>病人被懷疑有結核病或開始接受結核病治療後，臨床改善程度不如預期者，皆可藉由痰液檢査包含塗片、培養鑑定和藥敏檢驗進行病人分類，故僅會有極少數的病人不符合病人分類，倘有無法歸類情形則歸類為「其他」。當病人被註記為抗藥性結核病後，可依圖 10-6 進行病人分類。</w:t>
      </w:r>
    </w:p>
    <w:p>
      <w:pPr>
        <w:pStyle w:val="BodyText"/>
        <w:spacing w:before="11"/>
        <w:rPr>
          <w:sz w:val="21"/>
        </w:rPr>
      </w:pPr>
    </w:p>
    <w:p>
      <w:pPr>
        <w:pStyle w:val="BodyText"/>
        <w:ind w:left="153"/>
      </w:pPr>
      <w:r>
        <w:rPr/>
        <w:pict>
          <v:group style="position:absolute;margin-left:557.684509pt;margin-top:10.293323pt;width:37.35pt;height:555.550pt;mso-position-horizontal-relative:page;mso-position-vertical-relative:paragraph;z-index:251886592" coordorigin="11154,206" coordsize="747,11111">
            <v:shape style="position:absolute;left:11283;top:717;width:439;height:10600" type="#_x0000_t75" stroked="false">
              <v:imagedata r:id="rId102" o:title=""/>
            </v:shape>
            <v:shape style="position:absolute;left:11153;top:205;width:747;height:812" coordorigin="11154,206" coordsize="747,812" path="m11900,206l11536,206,11514,208,11454,242,11188,524,11154,611,11162,658,11454,981,11514,1015,11536,1017,11900,1017,11900,206xe" filled="true" fillcolor="#bd7cb5" stroked="false">
              <v:path arrowok="t"/>
              <v:fill type="solid"/>
            </v:shape>
            <v:shape style="position:absolute;left:11321;top:472;width:374;height:278" type="#_x0000_t75" stroked="false">
              <v:imagedata r:id="rId103" o:title=""/>
            </v:shape>
            <v:shape style="position:absolute;left:11378;top:1153;width:250;height:3599" type="#_x0000_t75" stroked="false">
              <v:imagedata r:id="rId104" o:title=""/>
            </v:shape>
            <v:shape style="position:absolute;left:11368;top:10754;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107</w:t>
                    </w:r>
                  </w:p>
                </w:txbxContent>
              </v:textbox>
              <w10:wrap type="none"/>
            </v:shape>
            <w10:wrap type="none"/>
          </v:group>
        </w:pict>
      </w:r>
      <w:r>
        <w:rPr>
          <w:color w:val="231F20"/>
        </w:rPr>
        <w:t>圖 10-6、RR-TB／MDR-TB／ Pre-XDR-TB ／XDR-TB（DR-TB) 的病人分類</w:t>
      </w:r>
    </w:p>
    <w:p>
      <w:pPr>
        <w:pStyle w:val="BodyText"/>
        <w:spacing w:before="10"/>
        <w:rPr>
          <w:sz w:val="6"/>
        </w:rPr>
      </w:pPr>
      <w:r>
        <w:rPr/>
        <w:pict>
          <v:group style="position:absolute;margin-left:89.370003pt;margin-top:7.674852pt;width:165.5pt;height:42.3pt;mso-position-horizontal-relative:page;mso-position-vertical-relative:paragraph;z-index:-251431936;mso-wrap-distance-left:0;mso-wrap-distance-right:0" coordorigin="1787,153" coordsize="3310,846">
            <v:line style="position:absolute" from="3199,576" to="3537,576" stroked="true" strokeweight=".674pt" strokecolor="#050100">
              <v:stroke dashstyle="solid"/>
            </v:line>
            <v:shape style="position:absolute;left:1787;top:153;width:1412;height:846" coordorigin="1787,153" coordsize="1412,846" path="m3057,153l1929,153,1874,164,1829,195,1799,239,1787,295,1787,857,1799,913,1829,958,1874,988,1929,999,3057,999,3112,988,3157,958,3187,913,3199,857,3199,295,3187,239,3157,195,3112,164,3057,153xe" filled="true" fillcolor="#b9d5ae" stroked="false">
              <v:path arrowok="t"/>
              <v:fill type="solid"/>
            </v:shape>
            <v:shape style="position:absolute;left:3537;top:153;width:1560;height:846" coordorigin="3537,153" coordsize="1560,846" path="m4956,153l3678,153,3623,164,3578,195,3548,239,3537,295,3537,857,3548,913,3578,958,3623,988,3678,999,4956,999,5011,988,5056,958,5086,913,5097,857,5097,295,5086,239,5056,195,5011,164,4956,153xe" filled="true" fillcolor="#f5cc71" stroked="false">
              <v:path arrowok="t"/>
              <v:fill type="solid"/>
            </v:shape>
            <v:shape style="position:absolute;left:1957;top:242;width:975;height:556" type="#_x0000_t202" filled="false" stroked="false">
              <v:textbox inset="0,0,0,0">
                <w:txbxContent>
                  <w:p>
                    <w:pPr>
                      <w:spacing w:line="297" w:lineRule="exact" w:before="0"/>
                      <w:ind w:left="0" w:right="0" w:firstLine="0"/>
                      <w:jc w:val="left"/>
                      <w:rPr>
                        <w:sz w:val="21"/>
                      </w:rPr>
                    </w:pPr>
                    <w:r>
                      <w:rPr>
                        <w:color w:val="231F20"/>
                        <w:sz w:val="21"/>
                      </w:rPr>
                      <w:t>新通報 TB</w:t>
                    </w:r>
                  </w:p>
                  <w:p>
                    <w:pPr>
                      <w:spacing w:line="258" w:lineRule="exact" w:before="0"/>
                      <w:ind w:left="0" w:right="0" w:firstLine="0"/>
                      <w:jc w:val="left"/>
                      <w:rPr>
                        <w:sz w:val="21"/>
                      </w:rPr>
                    </w:pPr>
                    <w:r>
                      <w:rPr>
                        <w:color w:val="231F20"/>
                        <w:w w:val="105"/>
                        <w:sz w:val="21"/>
                      </w:rPr>
                      <w:t>的新病人</w:t>
                    </w:r>
                  </w:p>
                </w:txbxContent>
              </v:textbox>
              <w10:wrap type="none"/>
            </v:shape>
            <v:shape style="position:absolute;left:3707;top:242;width:1155;height:556" type="#_x0000_t202" filled="false" stroked="false">
              <v:textbox inset="0,0,0,0">
                <w:txbxContent>
                  <w:p>
                    <w:pPr>
                      <w:spacing w:line="297" w:lineRule="exact" w:before="0"/>
                      <w:ind w:left="0" w:right="0" w:firstLine="0"/>
                      <w:jc w:val="left"/>
                      <w:rPr>
                        <w:sz w:val="21"/>
                      </w:rPr>
                    </w:pPr>
                    <w:r>
                      <w:rPr>
                        <w:color w:val="2856A7"/>
                        <w:sz w:val="21"/>
                      </w:rPr>
                      <w:t>OR-TB 新病</w:t>
                    </w:r>
                  </w:p>
                  <w:p>
                    <w:pPr>
                      <w:spacing w:line="258" w:lineRule="exact" w:before="0"/>
                      <w:ind w:left="0" w:right="0" w:firstLine="0"/>
                      <w:jc w:val="left"/>
                      <w:rPr>
                        <w:sz w:val="21"/>
                      </w:rPr>
                    </w:pPr>
                    <w:r>
                      <w:rPr>
                        <w:color w:val="2856A7"/>
                        <w:w w:val="102"/>
                        <w:sz w:val="21"/>
                      </w:rPr>
                      <w:t>人</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8"/>
        </w:rPr>
      </w:pPr>
    </w:p>
    <w:p>
      <w:pPr>
        <w:spacing w:before="96"/>
        <w:ind w:left="0" w:right="1668" w:firstLine="0"/>
        <w:jc w:val="right"/>
        <w:rPr>
          <w:rFonts w:ascii="Times New Roman"/>
          <w:sz w:val="21"/>
        </w:rPr>
      </w:pPr>
      <w:r>
        <w:rPr/>
        <w:pict>
          <v:group style="position:absolute;margin-left:89.370003pt;margin-top:-120.58567pt;width:412.25pt;height:225.4pt;mso-position-horizontal-relative:page;mso-position-vertical-relative:paragraph;z-index:251905024" coordorigin="1787,-2412" coordsize="8245,4508">
            <v:line style="position:absolute" from="6984,89" to="7134,89" stroked="true" strokeweight=".674pt" strokecolor="#050100">
              <v:stroke dashstyle="solid"/>
            </v:line>
            <v:shape style="position:absolute;left:7133;top:-308;width:136;height:1429" coordorigin="7134,-308" coordsize="136,1429" path="m7269,-308l7134,-308,7134,1121,7269,1121e" filled="false" stroked="true" strokeweight=".674pt" strokecolor="#050100">
              <v:path arrowok="t"/>
              <v:stroke dashstyle="solid"/>
            </v:shape>
            <v:shape style="position:absolute;left:8101;top:-919;width:1284;height:2040" coordorigin="8102,-918" coordsize="1284,2040" path="m8102,-918l9386,-918,9386,1121,9226,1121e" filled="false" stroked="true" strokeweight=".674pt" strokecolor="#050100">
              <v:path arrowok="t"/>
              <v:stroke dashstyle="solid"/>
            </v:shape>
            <v:line style="position:absolute" from="9386,406" to="9541,406" stroked="true" strokeweight=".674pt" strokecolor="#050100">
              <v:stroke dashstyle="solid"/>
            </v:line>
            <v:line style="position:absolute" from="9226,-308" to="9386,-308" stroked="true" strokeweight=".674pt" strokecolor="#050100">
              <v:stroke dashstyle="solid"/>
            </v:line>
            <v:shape style="position:absolute;left:7272;top:-1145;width:1954;height:3241" coordorigin="7273,-1145" coordsize="1954,3241" path="m8102,-1072l8096,-1100,8080,-1123,8057,-1139,8028,-1145,7346,-1145,7317,-1139,7294,-1123,7278,-1100,7273,-1072,7273,-778,7278,-750,7294,-726,7317,-711,7346,-705,8028,-705,8057,-711,8080,-726,8096,-750,8102,-778,8102,-1072m9226,332l9220,302,9203,277,9178,260,9147,254,8837,254,8806,260,8781,277,8764,302,8758,332,8758,2018,8764,2048,8781,2073,8806,2090,8837,2096,9147,2096,9178,2090,9203,2073,9220,2048,9226,2018,9226,332m9226,-488l9216,-536,9190,-574,9151,-601,9103,-610,8603,-610,8555,-601,8517,-574,8491,-536,8481,-488,8481,0,8491,47,8517,86,8555,112,8603,122,9103,122,9151,112,9190,86,9216,47,9226,0,9226,-488e" filled="true" fillcolor="#f5cc71" stroked="false">
              <v:path arrowok="t"/>
              <v:fill type="solid"/>
            </v:shape>
            <v:shape style="position:absolute;left:7269;top:-918;width:2764;height:3014" coordorigin="7269,-918" coordsize="2764,3014" path="m8265,-491l8256,-538,8230,-578,8191,-604,8144,-614,7392,-614,7344,-604,7305,-578,7279,-538,7269,-491,7269,-3,7279,45,7305,84,7344,110,7392,120,8144,120,8191,110,8230,84,8256,45,8265,-3,8265,-491m8561,469l8550,401,8519,342,8473,296,8414,265,8345,254,7485,254,7417,265,7358,296,7311,342,7280,401,7269,469,7269,1880,7280,1948,7311,2008,7358,2054,7417,2085,7485,2096,8345,2096,8414,2085,8473,2054,8519,2008,8550,1948,8561,1880,8561,469m10032,-836l10026,-867,10008,-894,9982,-911,9950,-918,9623,-918,9591,-911,9565,-894,9547,-867,9541,-836,9541,2014,9547,2046,9565,2072,9591,2089,9623,2096,9950,2096,9982,2089,10008,2072,10026,2046,10032,2014,10032,-836e" filled="true" fillcolor="#b9d5ae" stroked="false">
              <v:path arrowok="t"/>
              <v:fill type="solid"/>
            </v:shape>
            <v:line style="position:absolute" from="5097,-703" to="5260,-703" stroked="true" strokeweight=".674pt" strokecolor="#050100">
              <v:stroke dashstyle="solid"/>
            </v:line>
            <v:line style="position:absolute" from="5255,89" to="5425,89" stroked="true" strokeweight=".674pt" strokecolor="#050100">
              <v:stroke dashstyle="solid"/>
            </v:line>
            <v:shape style="position:absolute;left:5256;top:-918;width:168;height:2511" coordorigin="5257,-917" coordsize="168,2511" path="m5425,-917l5257,-917,5260,1594,5404,1594e" filled="false" stroked="true" strokeweight=".674pt" strokecolor="#050100">
              <v:path arrowok="t"/>
              <v:stroke dashstyle="solid"/>
            </v:shape>
            <v:line style="position:absolute" from="3199,-1576" to="3363,-1576" stroked="true" strokeweight=".674pt" strokecolor="#050100">
              <v:stroke dashstyle="solid"/>
            </v:line>
            <v:shape style="position:absolute;left:3363;top:-1888;width:175;height:1206" coordorigin="3363,-1887" coordsize="175,1206" path="m3537,-1887l3363,-1887,3363,-681,3537,-681e" filled="false" stroked="true" strokeweight=".674pt" strokecolor="#050100">
              <v:path arrowok="t"/>
              <v:stroke dashstyle="solid"/>
            </v:shape>
            <v:shape style="position:absolute;left:1787;top:-2412;width:3310;height:2261" coordorigin="1787,-2412" coordsize="3310,2261" path="m3199,-1989l3187,-2061,3155,-2122,3106,-2171,3044,-2203,2973,-2214,2013,-2214,1942,-2203,1880,-2171,1831,-2122,1799,-2061,1787,-1989,1787,-1089,1799,-1018,1831,-956,1880,-907,1942,-875,2013,-864,2973,-864,3044,-875,3106,-907,3155,-956,3187,-1018,3199,-1089,3199,-1989m5097,-1035l5083,-1104,5045,-1160,4989,-1198,4920,-1212,3714,-1212,3645,-1198,3589,-1160,3551,-1104,3537,-1035,3537,-328,3551,-259,3589,-203,3645,-165,3714,-151,4920,-151,4989,-165,5045,-203,5083,-259,5097,-328,5097,-1035m5097,-2237l5083,-2305,5046,-2361,4990,-2398,4922,-2412,3712,-2412,3644,-2398,3588,-2361,3551,-2305,3537,-2237,3537,-1541,3551,-1473,3588,-1418,3644,-1381,3712,-1367,4922,-1367,4990,-1381,5046,-1418,5083,-1473,5097,-1541,5097,-2237e" filled="true" fillcolor="#b9d5ae" stroked="false">
              <v:path arrowok="t"/>
              <v:fill type="solid"/>
            </v:shape>
            <v:shape style="position:absolute;left:5404;top:-2310;width:1560;height:861" coordorigin="5404,-2309" coordsize="1560,861" path="m6821,-2309l5548,-2309,5492,-2298,5446,-2267,5416,-2222,5404,-2166,5404,-1592,5416,-1537,5446,-1491,5492,-1460,5548,-1449,6821,-1449,6877,-1460,6922,-1491,6953,-1537,6964,-1592,6964,-2166,6953,-2222,6922,-2267,6877,-2298,6821,-2309xe" filled="true" fillcolor="#f5cc71" stroked="false">
              <v:path arrowok="t"/>
              <v:fill type="solid"/>
            </v:shape>
            <v:shape style="position:absolute;left:5424;top:-1280;width:1559;height:1857" coordorigin="5425,-1280" coordsize="1559,1857" path="m6984,-267l6970,-333,6934,-386,6881,-422,6815,-436,5593,-436,5528,-422,5474,-386,5438,-333,5425,-267,5425,407,5438,473,5474,527,5528,563,5593,577,6815,577,6881,563,6934,527,6970,473,6984,407,6984,-267m6984,-1156l6974,-1204,6948,-1244,6909,-1270,6861,-1280,5548,-1280,5500,-1270,5461,-1244,5434,-1204,5425,-1156,5425,-662,5434,-614,5461,-575,5500,-548,5548,-538,6861,-538,6909,-548,6948,-575,6974,-614,6984,-662,6984,-1156e" filled="true" fillcolor="#b9d5ae" stroked="false">
              <v:path arrowok="t"/>
              <v:fill type="solid"/>
            </v:shape>
            <v:shape style="position:absolute;left:5404;top:1034;width:1560;height:1061" coordorigin="5404,1035" coordsize="1560,1061" path="m6787,1035l5582,1035,5513,1049,5456,1086,5418,1143,5404,1212,5404,1919,5418,1988,5456,2044,5513,2082,5582,2096,6787,2096,6856,2082,6913,2044,6950,1988,6964,1919,6964,1212,6950,1143,6913,1086,6856,1049,6787,1035xe" filled="true" fillcolor="#f5cc71" stroked="false">
              <v:path arrowok="t"/>
              <v:fill type="solid"/>
            </v:shape>
            <v:shape style="position:absolute;left:1982;top:-2102;width:1041;height:1095" type="#_x0000_t202" filled="false" stroked="false">
              <v:textbox inset="0,0,0,0">
                <w:txbxContent>
                  <w:p>
                    <w:pPr>
                      <w:spacing w:line="177" w:lineRule="auto" w:before="45"/>
                      <w:ind w:left="0" w:right="18" w:firstLine="0"/>
                      <w:jc w:val="left"/>
                      <w:rPr>
                        <w:sz w:val="21"/>
                      </w:rPr>
                    </w:pPr>
                    <w:r>
                      <w:rPr>
                        <w:color w:val="231F20"/>
                        <w:sz w:val="21"/>
                      </w:rPr>
                      <w:t>曾經通報</w:t>
                    </w:r>
                    <w:r>
                      <w:rPr>
                        <w:color w:val="231F20"/>
                        <w:w w:val="90"/>
                        <w:sz w:val="21"/>
                      </w:rPr>
                      <w:t>確診</w:t>
                    </w:r>
                    <w:r>
                      <w:rPr>
                        <w:color w:val="EE2E2A"/>
                        <w:w w:val="90"/>
                        <w:sz w:val="21"/>
                      </w:rPr>
                      <w:t>（或治</w:t>
                    </w:r>
                  </w:p>
                  <w:p>
                    <w:pPr>
                      <w:spacing w:line="175" w:lineRule="auto" w:before="1"/>
                      <w:ind w:left="0" w:right="7" w:hanging="1"/>
                      <w:jc w:val="left"/>
                      <w:rPr>
                        <w:sz w:val="21"/>
                      </w:rPr>
                    </w:pPr>
                    <w:r>
                      <w:rPr>
                        <w:color w:val="EE2E2A"/>
                        <w:sz w:val="21"/>
                      </w:rPr>
                      <w:t>療)</w:t>
                    </w:r>
                    <w:r>
                      <w:rPr>
                        <w:color w:val="231F20"/>
                        <w:sz w:val="21"/>
                      </w:rPr>
                      <w:t>TB 的病人</w:t>
                    </w:r>
                  </w:p>
                </w:txbxContent>
              </v:textbox>
              <w10:wrap type="none"/>
            </v:shape>
            <v:shape style="position:absolute;left:3717;top:-2313;width:1099;height:825" type="#_x0000_t202" filled="false" stroked="false">
              <v:textbox inset="0,0,0,0">
                <w:txbxContent>
                  <w:p>
                    <w:pPr>
                      <w:spacing w:line="177" w:lineRule="auto" w:before="45"/>
                      <w:ind w:left="0" w:right="18" w:firstLine="0"/>
                      <w:jc w:val="left"/>
                      <w:rPr>
                        <w:sz w:val="21"/>
                      </w:rPr>
                    </w:pPr>
                    <w:r>
                      <w:rPr>
                        <w:color w:val="231F20"/>
                        <w:sz w:val="21"/>
                      </w:rPr>
                      <w:t>使用抗結核藥物未超過</w:t>
                    </w:r>
                  </w:p>
                  <w:p>
                    <w:pPr>
                      <w:spacing w:line="238" w:lineRule="exact" w:before="0"/>
                      <w:ind w:left="0" w:right="0" w:firstLine="0"/>
                      <w:jc w:val="left"/>
                      <w:rPr>
                        <w:sz w:val="21"/>
                      </w:rPr>
                    </w:pPr>
                    <w:r>
                      <w:rPr>
                        <w:color w:val="231F20"/>
                        <w:w w:val="105"/>
                        <w:sz w:val="21"/>
                      </w:rPr>
                      <w:t>4 週</w:t>
                    </w:r>
                  </w:p>
                </w:txbxContent>
              </v:textbox>
              <w10:wrap type="none"/>
            </v:shape>
            <v:shape style="position:absolute;left:5097;top:-2273;width:328;height:239" type="#_x0000_t202" filled="false" stroked="false">
              <v:textbox inset="0,0,0,0">
                <w:txbxContent>
                  <w:p>
                    <w:pPr>
                      <w:tabs>
                        <w:tab w:pos="307" w:val="left" w:leader="none"/>
                      </w:tabs>
                      <w:spacing w:line="238" w:lineRule="exact" w:before="0"/>
                      <w:ind w:left="0" w:right="0" w:firstLine="0"/>
                      <w:jc w:val="left"/>
                      <w:rPr>
                        <w:rFonts w:ascii="Times New Roman"/>
                        <w:sz w:val="21"/>
                      </w:rPr>
                    </w:pPr>
                    <w:r>
                      <w:rPr>
                        <w:rFonts w:ascii="Times New Roman"/>
                        <w:color w:val="231F20"/>
                        <w:w w:val="102"/>
                        <w:sz w:val="21"/>
                        <w:u w:val="single" w:color="050100"/>
                      </w:rPr>
                      <w:t> </w:t>
                    </w:r>
                    <w:r>
                      <w:rPr>
                        <w:rFonts w:ascii="Times New Roman"/>
                        <w:color w:val="231F20"/>
                        <w:sz w:val="21"/>
                        <w:u w:val="single" w:color="050100"/>
                      </w:rPr>
                      <w:tab/>
                    </w:r>
                  </w:p>
                </w:txbxContent>
              </v:textbox>
              <w10:wrap type="none"/>
            </v:shape>
            <v:shape style="position:absolute;left:5575;top:-2219;width:1155;height:557" type="#_x0000_t202" filled="false" stroked="false">
              <v:textbox inset="0,0,0,0">
                <w:txbxContent>
                  <w:p>
                    <w:pPr>
                      <w:spacing w:line="298" w:lineRule="exact" w:before="0"/>
                      <w:ind w:left="0" w:right="0" w:firstLine="0"/>
                      <w:jc w:val="left"/>
                      <w:rPr>
                        <w:sz w:val="21"/>
                      </w:rPr>
                    </w:pPr>
                    <w:r>
                      <w:rPr>
                        <w:color w:val="2856A7"/>
                        <w:sz w:val="21"/>
                      </w:rPr>
                      <w:t>OR-TB 新病</w:t>
                    </w:r>
                  </w:p>
                  <w:p>
                    <w:pPr>
                      <w:spacing w:line="259" w:lineRule="exact" w:before="0"/>
                      <w:ind w:left="0" w:right="0" w:firstLine="0"/>
                      <w:jc w:val="left"/>
                      <w:rPr>
                        <w:sz w:val="21"/>
                      </w:rPr>
                    </w:pPr>
                    <w:r>
                      <w:rPr>
                        <w:color w:val="2856A7"/>
                        <w:w w:val="102"/>
                        <w:sz w:val="21"/>
                      </w:rPr>
                      <w:t>人</w:t>
                    </w:r>
                  </w:p>
                </w:txbxContent>
              </v:textbox>
              <w10:wrap type="none"/>
            </v:shape>
            <v:shape style="position:absolute;left:3718;top:-1112;width:1099;height:826" type="#_x0000_t202" filled="false" stroked="false">
              <v:textbox inset="0,0,0,0">
                <w:txbxContent>
                  <w:p>
                    <w:pPr>
                      <w:spacing w:line="177" w:lineRule="auto" w:before="45"/>
                      <w:ind w:left="0" w:right="18" w:firstLine="0"/>
                      <w:jc w:val="left"/>
                      <w:rPr>
                        <w:sz w:val="21"/>
                      </w:rPr>
                    </w:pPr>
                    <w:r>
                      <w:rPr>
                        <w:color w:val="231F20"/>
                        <w:sz w:val="21"/>
                      </w:rPr>
                      <w:t>使用抗結核藥物大於等</w:t>
                    </w:r>
                  </w:p>
                  <w:p>
                    <w:pPr>
                      <w:spacing w:line="239" w:lineRule="exact" w:before="0"/>
                      <w:ind w:left="0" w:right="0" w:firstLine="0"/>
                      <w:jc w:val="left"/>
                      <w:rPr>
                        <w:sz w:val="21"/>
                      </w:rPr>
                    </w:pPr>
                    <w:r>
                      <w:rPr>
                        <w:color w:val="231F20"/>
                        <w:spacing w:val="53"/>
                        <w:w w:val="105"/>
                        <w:sz w:val="21"/>
                      </w:rPr>
                      <w:t>於4</w:t>
                    </w:r>
                    <w:r>
                      <w:rPr>
                        <w:color w:val="231F20"/>
                        <w:w w:val="105"/>
                        <w:sz w:val="21"/>
                      </w:rPr>
                      <w:t>週</w:t>
                    </w:r>
                    <w:r>
                      <w:rPr>
                        <w:color w:val="231F20"/>
                        <w:spacing w:val="-5"/>
                        <w:sz w:val="21"/>
                      </w:rPr>
                      <w:t> </w:t>
                    </w:r>
                  </w:p>
                </w:txbxContent>
              </v:textbox>
              <w10:wrap type="none"/>
            </v:shape>
            <v:shape style="position:absolute;left:5589;top:-1196;width:1099;height:557" type="#_x0000_t202" filled="false" stroked="false">
              <v:textbox inset="0,0,0,0">
                <w:txbxContent>
                  <w:p>
                    <w:pPr>
                      <w:spacing w:line="298" w:lineRule="exact" w:before="0"/>
                      <w:ind w:left="0" w:right="0" w:firstLine="0"/>
                      <w:jc w:val="left"/>
                      <w:rPr>
                        <w:sz w:val="21"/>
                      </w:rPr>
                    </w:pPr>
                    <w:r>
                      <w:rPr>
                        <w:color w:val="EE2E2A"/>
                        <w:sz w:val="21"/>
                      </w:rPr>
                      <w:t>前次</w:t>
                    </w:r>
                    <w:r>
                      <w:rPr>
                        <w:color w:val="231F20"/>
                        <w:sz w:val="21"/>
                      </w:rPr>
                      <w:t>通報有</w:t>
                    </w:r>
                  </w:p>
                  <w:p>
                    <w:pPr>
                      <w:spacing w:line="259" w:lineRule="exact" w:before="0"/>
                      <w:ind w:left="0" w:right="0" w:firstLine="0"/>
                      <w:jc w:val="left"/>
                      <w:rPr>
                        <w:sz w:val="21"/>
                      </w:rPr>
                    </w:pPr>
                    <w:r>
                      <w:rPr>
                        <w:color w:val="231F20"/>
                        <w:w w:val="105"/>
                        <w:sz w:val="21"/>
                      </w:rPr>
                      <w:t>完成治療</w:t>
                    </w:r>
                  </w:p>
                </w:txbxContent>
              </v:textbox>
              <w10:wrap type="none"/>
            </v:shape>
            <v:shape style="position:absolute;left:6983;top:-1157;width:309;height:239" type="#_x0000_t202" filled="false" stroked="false">
              <v:textbox inset="0,0,0,0">
                <w:txbxContent>
                  <w:p>
                    <w:pPr>
                      <w:tabs>
                        <w:tab w:pos="288" w:val="left" w:leader="none"/>
                      </w:tabs>
                      <w:spacing w:line="238" w:lineRule="exact" w:before="0"/>
                      <w:ind w:left="0" w:right="0" w:firstLine="0"/>
                      <w:jc w:val="left"/>
                      <w:rPr>
                        <w:rFonts w:ascii="Times New Roman"/>
                        <w:sz w:val="21"/>
                      </w:rPr>
                    </w:pPr>
                    <w:r>
                      <w:rPr>
                        <w:rFonts w:ascii="Times New Roman"/>
                        <w:color w:val="231F20"/>
                        <w:w w:val="102"/>
                        <w:sz w:val="21"/>
                        <w:u w:val="single" w:color="050100"/>
                      </w:rPr>
                      <w:t> </w:t>
                    </w:r>
                    <w:r>
                      <w:rPr>
                        <w:rFonts w:ascii="Times New Roman"/>
                        <w:color w:val="231F20"/>
                        <w:sz w:val="21"/>
                        <w:u w:val="single" w:color="050100"/>
                      </w:rPr>
                      <w:tab/>
                    </w:r>
                  </w:p>
                </w:txbxContent>
              </v:textbox>
              <w10:wrap type="none"/>
            </v:shape>
            <v:shape style="position:absolute;left:7423;top:-1076;width:452;height:287" type="#_x0000_t202" filled="false" stroked="false">
              <v:textbox inset="0,0,0,0">
                <w:txbxContent>
                  <w:p>
                    <w:pPr>
                      <w:spacing w:line="287" w:lineRule="exact" w:before="0"/>
                      <w:ind w:left="0" w:right="0" w:firstLine="0"/>
                      <w:jc w:val="left"/>
                      <w:rPr>
                        <w:sz w:val="21"/>
                      </w:rPr>
                    </w:pPr>
                    <w:r>
                      <w:rPr>
                        <w:color w:val="231F20"/>
                        <w:w w:val="105"/>
                        <w:sz w:val="21"/>
                      </w:rPr>
                      <w:t>復發</w:t>
                    </w:r>
                  </w:p>
                </w:txbxContent>
              </v:textbox>
              <w10:wrap type="none"/>
            </v:shape>
            <v:shape style="position:absolute;left:5602;top:-339;width:1168;height:826" type="#_x0000_t202" filled="false" stroked="false">
              <v:textbox inset="0,0,0,0">
                <w:txbxContent>
                  <w:p>
                    <w:pPr>
                      <w:spacing w:line="177" w:lineRule="auto" w:before="45"/>
                      <w:ind w:left="0" w:right="18" w:firstLine="0"/>
                      <w:jc w:val="left"/>
                      <w:rPr>
                        <w:sz w:val="21"/>
                      </w:rPr>
                    </w:pPr>
                    <w:r>
                      <w:rPr>
                        <w:color w:val="EE2E2A"/>
                        <w:w w:val="90"/>
                        <w:sz w:val="21"/>
                      </w:rPr>
                      <w:t>前次</w:t>
                    </w:r>
                    <w:r>
                      <w:rPr>
                        <w:color w:val="231F20"/>
                        <w:w w:val="90"/>
                        <w:sz w:val="21"/>
                      </w:rPr>
                      <w:t>通報（或</w:t>
                    </w:r>
                    <w:r>
                      <w:rPr>
                        <w:color w:val="231F20"/>
                        <w:sz w:val="21"/>
                      </w:rPr>
                      <w:t>治療)未完成</w:t>
                    </w:r>
                  </w:p>
                  <w:p>
                    <w:pPr>
                      <w:spacing w:line="239" w:lineRule="exact" w:before="0"/>
                      <w:ind w:left="0" w:right="0" w:firstLine="0"/>
                      <w:jc w:val="left"/>
                      <w:rPr>
                        <w:sz w:val="21"/>
                      </w:rPr>
                    </w:pPr>
                    <w:r>
                      <w:rPr>
                        <w:color w:val="231F20"/>
                        <w:w w:val="105"/>
                        <w:sz w:val="21"/>
                      </w:rPr>
                      <w:t>治療</w:t>
                    </w:r>
                  </w:p>
                </w:txbxContent>
              </v:textbox>
              <w10:wrap type="none"/>
            </v:shape>
            <v:shape style="position:absolute;left:7434;top:-530;width:631;height:557" type="#_x0000_t202" filled="false" stroked="false">
              <v:textbox inset="0,0,0,0">
                <w:txbxContent>
                  <w:p>
                    <w:pPr>
                      <w:spacing w:line="298" w:lineRule="exact" w:before="0"/>
                      <w:ind w:left="0" w:right="0" w:firstLine="0"/>
                      <w:jc w:val="left"/>
                      <w:rPr>
                        <w:sz w:val="21"/>
                      </w:rPr>
                    </w:pPr>
                    <w:r>
                      <w:rPr>
                        <w:color w:val="231F20"/>
                        <w:w w:val="105"/>
                        <w:sz w:val="21"/>
                      </w:rPr>
                      <w:t>中斷 2</w:t>
                    </w:r>
                  </w:p>
                  <w:p>
                    <w:pPr>
                      <w:spacing w:line="259" w:lineRule="exact" w:before="0"/>
                      <w:ind w:left="0" w:right="0" w:firstLine="0"/>
                      <w:jc w:val="left"/>
                      <w:rPr>
                        <w:sz w:val="21"/>
                      </w:rPr>
                    </w:pPr>
                    <w:r>
                      <w:rPr>
                        <w:color w:val="231F20"/>
                        <w:w w:val="105"/>
                        <w:sz w:val="21"/>
                      </w:rPr>
                      <w:t>個月</w:t>
                    </w:r>
                  </w:p>
                </w:txbxContent>
              </v:textbox>
              <w10:wrap type="none"/>
            </v:shape>
            <v:shape style="position:absolute;left:8265;top:-527;width:729;height:557" type="#_x0000_t202" filled="false" stroked="false">
              <v:textbox inset="0,0,0,0">
                <w:txbxContent>
                  <w:p>
                    <w:pPr>
                      <w:tabs>
                        <w:tab w:pos="492" w:val="left" w:leader="none"/>
                      </w:tabs>
                      <w:spacing w:line="298" w:lineRule="exact" w:before="0"/>
                      <w:ind w:left="0" w:right="18" w:firstLine="0"/>
                      <w:jc w:val="right"/>
                      <w:rPr>
                        <w:sz w:val="21"/>
                      </w:rPr>
                    </w:pPr>
                    <w:r>
                      <w:rPr>
                        <w:rFonts w:ascii="Times New Roman" w:eastAsia="Times New Roman"/>
                        <w:color w:val="231F20"/>
                        <w:w w:val="102"/>
                        <w:sz w:val="21"/>
                        <w:u w:val="single" w:color="050100"/>
                      </w:rPr>
                      <w:t> </w:t>
                    </w:r>
                    <w:r>
                      <w:rPr>
                        <w:rFonts w:ascii="Times New Roman" w:eastAsia="Times New Roman"/>
                        <w:color w:val="231F20"/>
                        <w:sz w:val="21"/>
                        <w:u w:val="single" w:color="050100"/>
                      </w:rPr>
                      <w:t>  </w:t>
                    </w:r>
                    <w:r>
                      <w:rPr>
                        <w:rFonts w:ascii="Times New Roman" w:eastAsia="Times New Roman"/>
                        <w:color w:val="231F20"/>
                        <w:spacing w:val="4"/>
                        <w:sz w:val="21"/>
                        <w:u w:val="single" w:color="050100"/>
                      </w:rPr>
                      <w:t> </w:t>
                    </w:r>
                    <w:r>
                      <w:rPr>
                        <w:rFonts w:ascii="Times New Roman" w:eastAsia="Times New Roman"/>
                        <w:color w:val="231F20"/>
                        <w:sz w:val="21"/>
                      </w:rPr>
                      <w:tab/>
                    </w:r>
                    <w:r>
                      <w:rPr>
                        <w:color w:val="231F20"/>
                        <w:spacing w:val="-18"/>
                        <w:sz w:val="21"/>
                      </w:rPr>
                      <w:t>失</w:t>
                    </w:r>
                  </w:p>
                  <w:p>
                    <w:pPr>
                      <w:spacing w:line="259" w:lineRule="exact" w:before="0"/>
                      <w:ind w:left="0" w:right="18" w:firstLine="0"/>
                      <w:jc w:val="right"/>
                      <w:rPr>
                        <w:sz w:val="21"/>
                      </w:rPr>
                    </w:pPr>
                    <w:r>
                      <w:rPr>
                        <w:color w:val="231F20"/>
                        <w:w w:val="102"/>
                        <w:sz w:val="21"/>
                      </w:rPr>
                      <w:t>落</w:t>
                    </w:r>
                  </w:p>
                </w:txbxContent>
              </v:textbox>
              <w10:wrap type="none"/>
            </v:shape>
            <v:shape style="position:absolute;left:5585;top:1134;width:1204;height:813" type="#_x0000_t202" filled="false" stroked="false">
              <v:textbox inset="0,0,0,0">
                <w:txbxContent>
                  <w:p>
                    <w:pPr>
                      <w:spacing w:line="328" w:lineRule="exact" w:before="0"/>
                      <w:ind w:left="0" w:right="0" w:firstLine="0"/>
                      <w:jc w:val="left"/>
                      <w:rPr>
                        <w:sz w:val="16"/>
                      </w:rPr>
                    </w:pPr>
                    <w:r>
                      <w:rPr>
                        <w:color w:val="231F20"/>
                        <w:w w:val="90"/>
                        <w:sz w:val="21"/>
                      </w:rPr>
                      <w:t>其他</w:t>
                    </w:r>
                    <w:r>
                      <w:rPr>
                        <w:color w:val="231F20"/>
                        <w:w w:val="90"/>
                        <w:sz w:val="16"/>
                      </w:rPr>
                      <w:t>（前次以非</w:t>
                    </w:r>
                  </w:p>
                  <w:p>
                    <w:pPr>
                      <w:spacing w:line="256" w:lineRule="exact" w:before="0"/>
                      <w:ind w:left="0" w:right="0" w:firstLine="0"/>
                      <w:jc w:val="left"/>
                      <w:rPr>
                        <w:sz w:val="16"/>
                      </w:rPr>
                    </w:pPr>
                    <w:r>
                      <w:rPr>
                        <w:color w:val="231F20"/>
                        <w:sz w:val="16"/>
                      </w:rPr>
                      <w:t>結核病排除診斷</w:t>
                    </w:r>
                  </w:p>
                  <w:p>
                    <w:pPr>
                      <w:spacing w:line="228" w:lineRule="exact" w:before="0"/>
                      <w:ind w:left="0" w:right="0" w:firstLine="0"/>
                      <w:jc w:val="left"/>
                      <w:rPr>
                        <w:sz w:val="16"/>
                      </w:rPr>
                    </w:pPr>
                    <w:r>
                      <w:rPr>
                        <w:color w:val="231F20"/>
                        <w:sz w:val="16"/>
                      </w:rPr>
                      <w:t>或治療結果不明)</w:t>
                    </w:r>
                  </w:p>
                </w:txbxContent>
              </v:textbox>
              <w10:wrap type="none"/>
            </v:shape>
            <v:shape style="position:absolute;left:7461;top:365;width:883;height:1635" type="#_x0000_t202" filled="false" stroked="false">
              <v:textbox inset="0,0,0,0">
                <w:txbxContent>
                  <w:p>
                    <w:pPr>
                      <w:spacing w:line="177" w:lineRule="auto" w:before="45"/>
                      <w:ind w:left="0" w:right="18" w:firstLine="0"/>
                      <w:jc w:val="both"/>
                      <w:rPr>
                        <w:sz w:val="21"/>
                      </w:rPr>
                    </w:pPr>
                    <w:r>
                      <w:rPr>
                        <w:color w:val="231F20"/>
                        <w:w w:val="105"/>
                        <w:sz w:val="21"/>
                      </w:rPr>
                      <w:t>治療滿 4 </w:t>
                    </w:r>
                    <w:r>
                      <w:rPr>
                        <w:color w:val="231F20"/>
                        <w:sz w:val="21"/>
                      </w:rPr>
                      <w:t>個月或治療前痰陰</w:t>
                    </w:r>
                    <w:r>
                      <w:rPr>
                        <w:color w:val="231F20"/>
                        <w:w w:val="105"/>
                        <w:sz w:val="21"/>
                      </w:rPr>
                      <w:t>但治療 2 </w:t>
                    </w:r>
                    <w:r>
                      <w:rPr>
                        <w:color w:val="231F20"/>
                        <w:sz w:val="21"/>
                      </w:rPr>
                      <w:t>個月後變</w:t>
                    </w:r>
                  </w:p>
                  <w:p>
                    <w:pPr>
                      <w:spacing w:line="236" w:lineRule="exact" w:before="0"/>
                      <w:ind w:left="0" w:right="0" w:firstLine="0"/>
                      <w:jc w:val="left"/>
                      <w:rPr>
                        <w:sz w:val="21"/>
                      </w:rPr>
                    </w:pPr>
                    <w:r>
                      <w:rPr>
                        <w:color w:val="231F20"/>
                        <w:w w:val="105"/>
                        <w:sz w:val="21"/>
                      </w:rPr>
                      <w:t>痰陽</w:t>
                    </w:r>
                  </w:p>
                </w:txbxContent>
              </v:textbox>
              <w10:wrap type="none"/>
            </v:shape>
            <v:shape style="position:absolute;left:8884;top:310;width:236;height:538" type="#_x0000_t202" filled="false" stroked="false">
              <v:textbox inset="0,0,0,0">
                <w:txbxContent>
                  <w:p>
                    <w:pPr>
                      <w:spacing w:line="165" w:lineRule="auto" w:before="58"/>
                      <w:ind w:left="0" w:right="18" w:firstLine="0"/>
                      <w:jc w:val="left"/>
                      <w:rPr>
                        <w:sz w:val="21"/>
                      </w:rPr>
                    </w:pPr>
                    <w:r>
                      <w:rPr>
                        <w:color w:val="231F20"/>
                        <w:sz w:val="21"/>
                      </w:rPr>
                      <w:t>初次</w:t>
                    </w:r>
                  </w:p>
                </w:txbxContent>
              </v:textbox>
              <w10:wrap type="none"/>
            </v:shape>
            <v:shape style="position:absolute;left:8560;top:813;width:560;height:370" type="#_x0000_t202" filled="false" stroked="false">
              <v:textbox inset="0,0,0,0">
                <w:txbxContent>
                  <w:p>
                    <w:pPr>
                      <w:spacing w:line="346" w:lineRule="exact" w:before="0"/>
                      <w:ind w:left="0" w:right="0" w:firstLine="0"/>
                      <w:jc w:val="left"/>
                      <w:rPr>
                        <w:sz w:val="21"/>
                      </w:rPr>
                    </w:pPr>
                    <w:r>
                      <w:rPr>
                        <w:rFonts w:ascii="Times New Roman" w:eastAsia="Times New Roman"/>
                        <w:color w:val="231F20"/>
                        <w:w w:val="102"/>
                        <w:position w:val="-8"/>
                        <w:sz w:val="21"/>
                        <w:u w:val="single" w:color="050100"/>
                      </w:rPr>
                      <w:t> </w:t>
                    </w:r>
                    <w:r>
                      <w:rPr>
                        <w:rFonts w:ascii="Times New Roman" w:eastAsia="Times New Roman"/>
                        <w:color w:val="231F20"/>
                        <w:position w:val="-8"/>
                        <w:sz w:val="21"/>
                        <w:u w:val="single" w:color="050100"/>
                      </w:rPr>
                      <w:t>   </w:t>
                    </w:r>
                    <w:r>
                      <w:rPr>
                        <w:rFonts w:ascii="Times New Roman" w:eastAsia="Times New Roman"/>
                        <w:color w:val="231F20"/>
                        <w:position w:val="-8"/>
                        <w:sz w:val="21"/>
                      </w:rPr>
                      <w:t>  </w:t>
                    </w:r>
                    <w:r>
                      <w:rPr>
                        <w:color w:val="231F20"/>
                        <w:w w:val="105"/>
                        <w:sz w:val="21"/>
                      </w:rPr>
                      <w:t>治</w:t>
                    </w:r>
                  </w:p>
                </w:txbxContent>
              </v:textbox>
              <w10:wrap type="none"/>
            </v:shape>
            <v:shape style="position:absolute;left:8884;top:1064;width:236;height:791" type="#_x0000_t202" filled="false" stroked="false">
              <v:textbox inset="0,0,0,0">
                <w:txbxContent>
                  <w:p>
                    <w:pPr>
                      <w:spacing w:line="165" w:lineRule="auto" w:before="58"/>
                      <w:ind w:left="0" w:right="18" w:firstLine="0"/>
                      <w:jc w:val="both"/>
                      <w:rPr>
                        <w:sz w:val="21"/>
                      </w:rPr>
                    </w:pPr>
                    <w:r>
                      <w:rPr>
                        <w:color w:val="231F20"/>
                        <w:sz w:val="21"/>
                      </w:rPr>
                      <w:t>療失敗</w:t>
                    </w:r>
                  </w:p>
                </w:txbxContent>
              </v:textbox>
              <w10:wrap type="none"/>
            </v:shape>
            <v:shape style="position:absolute;left:9693;top:-875;width:236;height:2856" type="#_x0000_t202" filled="false" stroked="false">
              <v:textbox inset="0,0,0,0">
                <w:txbxContent>
                  <w:p>
                    <w:pPr>
                      <w:spacing w:line="153" w:lineRule="auto" w:before="71"/>
                      <w:ind w:left="0" w:right="18" w:firstLine="0"/>
                      <w:jc w:val="both"/>
                      <w:rPr>
                        <w:sz w:val="21"/>
                      </w:rPr>
                    </w:pPr>
                    <w:r>
                      <w:rPr>
                        <w:color w:val="231F20"/>
                        <w:sz w:val="21"/>
                      </w:rPr>
                      <w:t>二線藥治療滿</w:t>
                    </w:r>
                    <w:r>
                      <w:rPr>
                        <w:color w:val="231F20"/>
                        <w:w w:val="105"/>
                        <w:sz w:val="21"/>
                      </w:rPr>
                      <w:t>4</w:t>
                    </w:r>
                  </w:p>
                  <w:p>
                    <w:pPr>
                      <w:spacing w:line="153" w:lineRule="auto" w:before="0"/>
                      <w:ind w:left="0" w:right="18" w:firstLine="0"/>
                      <w:jc w:val="both"/>
                      <w:rPr>
                        <w:sz w:val="21"/>
                      </w:rPr>
                    </w:pPr>
                    <w:r>
                      <w:rPr>
                        <w:color w:val="231F20"/>
                        <w:sz w:val="21"/>
                      </w:rPr>
                      <w:t>個月仍痰陽</w:t>
                    </w:r>
                  </w:p>
                </w:txbxContent>
              </v:textbox>
              <w10:wrap type="none"/>
            </v:shape>
            <w10:wrap type="none"/>
          </v:group>
        </w:pict>
      </w:r>
      <w:r>
        <w:rPr/>
        <w:pict>
          <v:group style="position:absolute;margin-left:59.938999pt;margin-top:-173.087677pt;width:23.25pt;height:192.85pt;mso-position-horizontal-relative:page;mso-position-vertical-relative:paragraph;z-index:251907072" coordorigin="1199,-3462" coordsize="465,3857">
            <v:shape style="position:absolute;left:1198;top:-3462;width:465;height:3857" coordorigin="1199,-3462" coordsize="465,3857" path="m1586,-3462l1276,-3462,1246,-3456,1221,-3439,1205,-3414,1199,-3384,1199,318,1205,348,1221,372,1246,388,1276,394,1586,394,1616,388,1640,372,1657,348,1663,318,1663,-3384,1657,-3414,1640,-3439,1616,-3456,1586,-3462xe" filled="true" fillcolor="#93b266" stroked="false">
              <v:path arrowok="t"/>
              <v:fill type="solid"/>
            </v:shape>
            <v:shape style="position:absolute;left:1198;top:-3462;width:465;height:3857" type="#_x0000_t202" filled="false" stroked="false">
              <v:textbox inset="0,0,0,0">
                <w:txbxContent>
                  <w:p>
                    <w:pPr>
                      <w:spacing w:line="177" w:lineRule="auto" w:before="115"/>
                      <w:ind w:left="115" w:right="131" w:firstLine="0"/>
                      <w:jc w:val="both"/>
                      <w:rPr>
                        <w:sz w:val="21"/>
                      </w:rPr>
                    </w:pPr>
                    <w:r>
                      <w:rPr>
                        <w:color w:val="231F20"/>
                        <w:sz w:val="21"/>
                      </w:rPr>
                      <w:t>個案確診註記為抗藥性結核病</w:t>
                    </w:r>
                  </w:p>
                </w:txbxContent>
              </v:textbox>
              <w10:wrap type="none"/>
            </v:shape>
            <w10:wrap type="none"/>
          </v:group>
        </w:pict>
      </w:r>
      <w:r>
        <w:rPr/>
        <w:pict>
          <v:group style="position:absolute;margin-left:511.700012pt;margin-top:-22.589672pt;width:23.95pt;height:92.35pt;mso-position-horizontal-relative:page;mso-position-vertical-relative:paragraph;z-index:251909120" coordorigin="10234,-452" coordsize="479,1847">
            <v:shape style="position:absolute;left:10234;top:-452;width:479;height:1847" coordorigin="10234,-452" coordsize="479,1847" path="m10633,-452l10314,-452,10283,-446,10258,-428,10240,-403,10234,-372,10234,1315,10240,1346,10258,1372,10283,1389,10314,1395,10633,1395,10664,1389,10689,1372,10706,1346,10713,1315,10713,-372,10706,-403,10689,-428,10664,-446,10633,-452xe" filled="true" fillcolor="#f5cc71" stroked="false">
              <v:path arrowok="t"/>
              <v:fill type="solid"/>
            </v:shape>
            <v:shape style="position:absolute;left:10234;top:-452;width:479;height:1847" type="#_x0000_t202" filled="false" stroked="false">
              <v:textbox inset="0,0,0,0">
                <w:txbxContent>
                  <w:p>
                    <w:pPr>
                      <w:spacing w:line="177" w:lineRule="auto" w:before="116"/>
                      <w:ind w:left="132" w:right="128" w:firstLine="0"/>
                      <w:jc w:val="both"/>
                      <w:rPr>
                        <w:sz w:val="21"/>
                      </w:rPr>
                    </w:pPr>
                    <w:r>
                      <w:rPr>
                        <w:color w:val="231F20"/>
                        <w:sz w:val="21"/>
                      </w:rPr>
                      <w:t>再治治療失敗</w:t>
                    </w:r>
                  </w:p>
                </w:txbxContent>
              </v:textbox>
              <w10:wrap type="none"/>
            </v:shape>
            <w10:wrap type="none"/>
          </v:group>
        </w:pict>
      </w:r>
      <w:r>
        <w:rPr/>
        <w:pict>
          <v:group style="position:absolute;margin-left:89.370003pt;margin-top:-22.535671pt;width:70.6pt;height:42.3pt;mso-position-horizontal-relative:page;mso-position-vertical-relative:paragraph;z-index:251911168" coordorigin="1787,-451" coordsize="1412,846">
            <v:shape style="position:absolute;left:1787;top:-451;width:1412;height:846" coordorigin="1787,-451" coordsize="1412,846" path="m3057,-451l1929,-451,1874,-440,1829,-409,1799,-364,1787,-309,1787,254,1799,309,1829,354,1874,384,1929,394,3057,394,3112,384,3157,354,3187,309,3199,254,3199,-309,3187,-364,3157,-409,3112,-440,3057,-451xe" filled="true" fillcolor="#f5cc71" stroked="false">
              <v:path arrowok="t"/>
              <v:fill type="solid"/>
            </v:shape>
            <v:shape style="position:absolute;left:1787;top:-451;width:1412;height:846" type="#_x0000_t202" filled="false" stroked="false">
              <v:textbox inset="0,0,0,0">
                <w:txbxContent>
                  <w:p>
                    <w:pPr>
                      <w:spacing w:line="347" w:lineRule="exact" w:before="69"/>
                      <w:ind w:left="170" w:right="0" w:firstLine="0"/>
                      <w:jc w:val="left"/>
                      <w:rPr>
                        <w:sz w:val="21"/>
                      </w:rPr>
                    </w:pPr>
                    <w:r>
                      <w:rPr>
                        <w:color w:val="231F20"/>
                        <w:w w:val="105"/>
                        <w:sz w:val="21"/>
                      </w:rPr>
                      <w:t>其他</w:t>
                    </w:r>
                  </w:p>
                  <w:p>
                    <w:pPr>
                      <w:spacing w:line="260" w:lineRule="exact" w:before="0"/>
                      <w:ind w:left="170" w:right="0" w:firstLine="0"/>
                      <w:jc w:val="left"/>
                      <w:rPr>
                        <w:sz w:val="16"/>
                      </w:rPr>
                    </w:pPr>
                    <w:r>
                      <w:rPr>
                        <w:color w:val="231F20"/>
                        <w:sz w:val="16"/>
                      </w:rPr>
                      <w:t>（治療史不明)</w:t>
                    </w:r>
                  </w:p>
                </w:txbxContent>
              </v:textbox>
              <w10:wrap type="none"/>
            </v:shape>
            <w10:wrap type="none"/>
          </v:group>
        </w:pict>
      </w:r>
      <w:r>
        <w:rPr>
          <w:rFonts w:ascii="Times New Roman"/>
          <w:color w:val="231F20"/>
          <w:w w:val="102"/>
          <w:sz w:val="21"/>
          <w:u w:val="single" w:color="050100"/>
        </w:rPr>
        <w:t> </w:t>
      </w:r>
      <w:r>
        <w:rPr>
          <w:rFonts w:ascii="Times New Roman"/>
          <w:color w:val="231F20"/>
          <w:spacing w:val="-10"/>
          <w:sz w:val="21"/>
          <w:u w:val="single" w:color="050100"/>
        </w:rPr>
        <w:t> </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9"/>
        </w:rPr>
      </w:pPr>
    </w:p>
    <w:p>
      <w:pPr>
        <w:pStyle w:val="Heading2"/>
        <w:spacing w:before="39"/>
      </w:pPr>
      <w:r>
        <w:rPr>
          <w:color w:val="231F20"/>
        </w:rPr>
        <w:t>陞、抗藥性結核病治療與副作用處理</w:t>
      </w:r>
    </w:p>
    <w:p>
      <w:pPr>
        <w:pStyle w:val="BodyText"/>
        <w:spacing w:line="230" w:lineRule="auto" w:before="7"/>
        <w:ind w:left="878" w:right="1137" w:hanging="488"/>
      </w:pPr>
      <w:r>
        <w:rPr>
          <w:color w:val="231F20"/>
        </w:rPr>
        <w:t>—、治療：請參見「結核病診治指引」第十二章「抗藥性結核病的治療」、第十三章「兒童抗藥性結核病之診療」。</w:t>
      </w:r>
    </w:p>
    <w:p>
      <w:pPr>
        <w:pStyle w:val="BodyText"/>
        <w:spacing w:line="230" w:lineRule="auto"/>
        <w:ind w:left="878" w:right="1130" w:hanging="488"/>
        <w:jc w:val="both"/>
      </w:pPr>
      <w:r>
        <w:rPr>
          <w:color w:val="231F20"/>
        </w:rPr>
        <w:t>二、副作用：請參見「結核病診治指引」第五章「治療期間之監測與不良反應之處理及處方調整」、第十二章「抗藥性結核病的治療」及第十三章「兒童抗藥性結核病之診療」。</w:t>
      </w:r>
    </w:p>
    <w:p>
      <w:pPr>
        <w:pStyle w:val="BodyText"/>
        <w:spacing w:line="394" w:lineRule="exact"/>
        <w:ind w:left="391"/>
      </w:pPr>
      <w:r>
        <w:rPr>
          <w:color w:val="231F20"/>
        </w:rPr>
        <w:t>三、治療監測：</w:t>
      </w:r>
    </w:p>
    <w:p>
      <w:pPr>
        <w:pStyle w:val="BodyText"/>
        <w:spacing w:line="230" w:lineRule="auto"/>
        <w:ind w:left="878" w:right="1132"/>
      </w:pPr>
      <w:r>
        <w:rPr>
          <w:color w:val="231F20"/>
        </w:rPr>
        <w:t>每—位抗藥性結核病病人在被確診後都應該建立基本的檢査資料，以作為後續治療過程之監測比較，包含：症狀評估、體重、痰塗片、痰培養、藥物敏感性試驗、胸部 X</w:t>
      </w:r>
    </w:p>
    <w:p>
      <w:pPr>
        <w:spacing w:after="0" w:line="230" w:lineRule="auto"/>
        <w:sectPr>
          <w:pgSz w:w="11910" w:h="16840"/>
          <w:pgMar w:top="1060" w:bottom="0" w:left="980" w:right="0"/>
        </w:sectPr>
      </w:pPr>
    </w:p>
    <w:p>
      <w:pPr>
        <w:pStyle w:val="BodyText"/>
        <w:spacing w:line="230" w:lineRule="auto" w:before="70"/>
        <w:ind w:left="878" w:right="1129"/>
        <w:jc w:val="both"/>
      </w:pPr>
      <w:r>
        <w:rPr/>
        <w:pict>
          <v:group style="position:absolute;margin-left:-.000001pt;margin-top:286.162994pt;width:37.35pt;height:555.550pt;mso-position-horizontal-relative:page;mso-position-vertical-relative:page;z-index:251913216"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108</w:t>
                    </w:r>
                  </w:p>
                </w:txbxContent>
              </v:textbox>
              <w10:wrap type="none"/>
            </v:shape>
            <w10:wrap type="none"/>
          </v:group>
        </w:pict>
      </w:r>
      <w:r>
        <w:rPr>
          <w:color w:val="231F20"/>
        </w:rPr>
        <w:t>光及特定血液檢査 </w:t>
      </w:r>
      <w:r>
        <w:rPr>
          <w:color w:val="231F20"/>
          <w:w w:val="70"/>
        </w:rPr>
        <w:t>（ </w:t>
      </w:r>
      <w:r>
        <w:rPr>
          <w:color w:val="231F20"/>
        </w:rPr>
        <w:t>潛在性疾病如糖尿病等，另視用藥種類而訂)。另，由於部分抗結核藥物如 fluoroquinolone 類藥物丶 clofazimine、bedaquiline 及使用 BPaL 處方組合，用藥期間可能有 QTc 間期延長發生心律不整的風險，因此使用前揭藥物時需持續監測心電圖，以避免未即時處置導致嚴重不良反應。而針劑 aminoglycoside 類藥物可能造成耳毒性，治療前後若未進行聽力評估，容易低估聽力損傷情形，若未予適當處置，甚至可能造成永久性聽力損傷，因此使用前揭藥物者皆應持續監測結核病個案之心電圖及聽力檢測。</w:t>
      </w:r>
    </w:p>
    <w:p>
      <w:pPr>
        <w:pStyle w:val="BodyText"/>
        <w:spacing w:line="230" w:lineRule="auto"/>
        <w:ind w:left="878" w:right="1129"/>
        <w:jc w:val="both"/>
      </w:pPr>
      <w:r>
        <w:rPr>
          <w:color w:val="231F20"/>
        </w:rPr>
        <w:t>大多數抗藥性結核病病人，—開始需要密集調整藥物種類及劑量，故需住院給藥，並監測藥物副作用，針對使用 kanamycin、moxifloxacin、linezolid、cycloserine、levofloxacin 等藥物應送驗血中濃度，以確認病人用藥之有效性及安全性。在給予適當治療數月後，通常臨床症狀會獲得改善，但此時可能仍有藥物副作用，公衛管理人員或醫療照護人員應予以鼓勵支持，適當給予症狀緩解藥物減緩藥物副作用之不適， 有助於持續用藥不中斷。臨床上應檢視治療超過 2 個月，痰液檢査仍未陰轉或陰轉後卻發現症狀加劇，就有可能是治療失敗的徵兆，應特別注意並評估是否手術治療必要</w:t>
      </w:r>
      <w:r>
        <w:rPr>
          <w:color w:val="231F20"/>
          <w:w w:val="105"/>
        </w:rPr>
        <w:t>性。</w:t>
      </w:r>
    </w:p>
    <w:p>
      <w:pPr>
        <w:pStyle w:val="BodyText"/>
        <w:spacing w:line="230" w:lineRule="auto"/>
        <w:ind w:left="878" w:right="1076"/>
        <w:jc w:val="both"/>
      </w:pPr>
      <w:r>
        <w:rPr>
          <w:color w:val="231F20"/>
        </w:rPr>
        <w:t>痰液檢査報告是評估抗藥性結核病治療成功與否的最重要指標。對於所有抗藥性結核</w:t>
      </w:r>
      <w:r>
        <w:rPr>
          <w:color w:val="231F20"/>
          <w:spacing w:val="-6"/>
        </w:rPr>
        <w:t>病之痰陽性病人 </w:t>
      </w:r>
      <w:r>
        <w:rPr>
          <w:color w:val="231F20"/>
          <w:w w:val="70"/>
        </w:rPr>
        <w:t>（ </w:t>
      </w:r>
      <w:r>
        <w:rPr>
          <w:color w:val="231F20"/>
          <w:spacing w:val="-3"/>
        </w:rPr>
        <w:t>塗片陽性或培養鑑定為結核蔥者 )，應每月追蹤驗痰直至陰轉為止， </w:t>
      </w:r>
      <w:r>
        <w:rPr>
          <w:color w:val="231F20"/>
          <w:spacing w:val="16"/>
        </w:rPr>
        <w:t>査痰頻率請參考第六章「結核病個案管理」，</w:t>
      </w:r>
      <w:r>
        <w:rPr>
          <w:color w:val="231F20"/>
        </w:rPr>
        <w:t>RR-TB、MDR-TB、Pre-XDR-TB、</w:t>
      </w:r>
      <w:r>
        <w:rPr>
          <w:color w:val="231F20"/>
          <w:w w:val="94"/>
        </w:rPr>
        <w:t>X</w:t>
      </w:r>
      <w:r>
        <w:rPr>
          <w:color w:val="231F20"/>
          <w:w w:val="104"/>
        </w:rPr>
        <w:t>D</w:t>
      </w:r>
      <w:r>
        <w:rPr>
          <w:color w:val="231F20"/>
          <w:spacing w:val="-1"/>
          <w:w w:val="88"/>
        </w:rPr>
        <w:t>R</w:t>
      </w:r>
      <w:r>
        <w:rPr>
          <w:color w:val="231F20"/>
          <w:w w:val="129"/>
        </w:rPr>
        <w:t>-</w:t>
      </w:r>
      <w:r>
        <w:rPr>
          <w:color w:val="231F20"/>
          <w:w w:val="91"/>
        </w:rPr>
        <w:t>T</w:t>
      </w:r>
      <w:r>
        <w:rPr>
          <w:color w:val="231F20"/>
          <w:spacing w:val="-1"/>
          <w:w w:val="92"/>
        </w:rPr>
        <w:t>B</w:t>
      </w:r>
      <w:r>
        <w:rPr>
          <w:color w:val="231F20"/>
          <w:w w:val="32"/>
        </w:rPr>
        <w:t>（</w:t>
      </w:r>
      <w:r>
        <w:rPr>
          <w:color w:val="231F20"/>
          <w:w w:val="104"/>
        </w:rPr>
        <w:t>D</w:t>
      </w:r>
      <w:r>
        <w:rPr>
          <w:color w:val="231F20"/>
          <w:spacing w:val="-1"/>
          <w:w w:val="88"/>
        </w:rPr>
        <w:t>R</w:t>
      </w:r>
      <w:r>
        <w:rPr>
          <w:color w:val="231F20"/>
          <w:w w:val="129"/>
        </w:rPr>
        <w:t>-</w:t>
      </w:r>
      <w:r>
        <w:rPr>
          <w:color w:val="231F20"/>
          <w:w w:val="91"/>
        </w:rPr>
        <w:t>T</w:t>
      </w:r>
      <w:r>
        <w:rPr>
          <w:color w:val="231F20"/>
          <w:spacing w:val="-1"/>
          <w:w w:val="92"/>
        </w:rPr>
        <w:t>B</w:t>
      </w:r>
      <w:r>
        <w:rPr>
          <w:color w:val="231F20"/>
          <w:w w:val="96"/>
        </w:rPr>
        <w:t>)</w:t>
      </w:r>
      <w:r>
        <w:rPr>
          <w:color w:val="231F20"/>
          <w:spacing w:val="-1"/>
        </w:rPr>
        <w:t> 病人陰轉前檢驗頻率為每 </w:t>
      </w:r>
      <w:r>
        <w:rPr>
          <w:color w:val="231F20"/>
          <w:w w:val="104"/>
        </w:rPr>
        <w:t>2</w:t>
      </w:r>
      <w:r>
        <w:rPr>
          <w:color w:val="231F20"/>
          <w:spacing w:val="1"/>
        </w:rPr>
        <w:t> 週送驗—次及陰轉後仍需持續進行追蹤</w:t>
      </w:r>
      <w:r>
        <w:rPr>
          <w:color w:val="231F20"/>
          <w:spacing w:val="-1"/>
        </w:rPr>
        <w:t>檢査至完成治療，檢驗時機請參見表 </w:t>
      </w:r>
      <w:r>
        <w:rPr>
          <w:color w:val="231F20"/>
        </w:rPr>
        <w:t>10-2：</w:t>
      </w:r>
    </w:p>
    <w:p>
      <w:pPr>
        <w:pStyle w:val="BodyText"/>
        <w:spacing w:line="400" w:lineRule="exact"/>
        <w:ind w:left="878"/>
        <w:jc w:val="both"/>
      </w:pPr>
      <w:r>
        <w:rPr/>
        <w:pict>
          <v:shape style="position:absolute;margin-left:92.934502pt;margin-top:17.657667pt;width:445.65pt;height:90.7pt;mso-position-horizontal-relative:page;mso-position-vertical-relative:paragraph;z-index:25191424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591"/>
                    <w:gridCol w:w="4420"/>
                    <w:gridCol w:w="2880"/>
                  </w:tblGrid>
                  <w:tr>
                    <w:trPr>
                      <w:trHeight w:val="451" w:hRule="atLeast"/>
                    </w:trPr>
                    <w:tc>
                      <w:tcPr>
                        <w:tcW w:w="1591" w:type="dxa"/>
                        <w:shd w:val="clear" w:color="auto" w:fill="E6E7E8"/>
                      </w:tcPr>
                      <w:p>
                        <w:pPr>
                          <w:pStyle w:val="TableParagraph"/>
                          <w:spacing w:line="431" w:lineRule="exact"/>
                          <w:ind w:left="230" w:right="216"/>
                          <w:jc w:val="center"/>
                          <w:rPr>
                            <w:rFonts w:ascii="微軟正黑體" w:eastAsia="微軟正黑體" w:hint="eastAsia"/>
                            <w:b/>
                            <w:sz w:val="24"/>
                          </w:rPr>
                        </w:pPr>
                        <w:r>
                          <w:rPr>
                            <w:rFonts w:ascii="微軟正黑體" w:eastAsia="微軟正黑體" w:hint="eastAsia"/>
                            <w:b/>
                            <w:color w:val="231F20"/>
                            <w:sz w:val="24"/>
                          </w:rPr>
                          <w:t>檢驗時機</w:t>
                        </w:r>
                      </w:p>
                    </w:tc>
                    <w:tc>
                      <w:tcPr>
                        <w:tcW w:w="4420" w:type="dxa"/>
                        <w:shd w:val="clear" w:color="auto" w:fill="E6E7E8"/>
                      </w:tcPr>
                      <w:p>
                        <w:pPr>
                          <w:pStyle w:val="TableParagraph"/>
                          <w:spacing w:line="431" w:lineRule="exact"/>
                          <w:ind w:left="1469" w:right="1455"/>
                          <w:jc w:val="center"/>
                          <w:rPr>
                            <w:rFonts w:ascii="微軟正黑體" w:eastAsia="微軟正黑體" w:hint="eastAsia"/>
                            <w:b/>
                            <w:sz w:val="24"/>
                          </w:rPr>
                        </w:pPr>
                        <w:r>
                          <w:rPr>
                            <w:rFonts w:ascii="微軟正黑體" w:eastAsia="微軟正黑體" w:hint="eastAsia"/>
                            <w:b/>
                            <w:color w:val="231F20"/>
                            <w:sz w:val="24"/>
                          </w:rPr>
                          <w:t>痰塗片及培養</w:t>
                        </w:r>
                      </w:p>
                    </w:tc>
                    <w:tc>
                      <w:tcPr>
                        <w:tcW w:w="2880" w:type="dxa"/>
                        <w:shd w:val="clear" w:color="auto" w:fill="E6E7E8"/>
                      </w:tcPr>
                      <w:p>
                        <w:pPr>
                          <w:pStyle w:val="TableParagraph"/>
                          <w:spacing w:line="431" w:lineRule="exact"/>
                          <w:ind w:left="820"/>
                          <w:rPr>
                            <w:rFonts w:ascii="微軟正黑體" w:eastAsia="微軟正黑體" w:hint="eastAsia"/>
                            <w:b/>
                            <w:sz w:val="24"/>
                          </w:rPr>
                        </w:pPr>
                        <w:r>
                          <w:rPr>
                            <w:rFonts w:ascii="微軟正黑體" w:eastAsia="微軟正黑體" w:hint="eastAsia"/>
                            <w:b/>
                            <w:color w:val="231F20"/>
                            <w:sz w:val="24"/>
                          </w:rPr>
                          <w:t>胸部 X 光片</w:t>
                        </w:r>
                      </w:p>
                    </w:tc>
                  </w:tr>
                  <w:tr>
                    <w:trPr>
                      <w:trHeight w:val="851" w:hRule="atLeast"/>
                    </w:trPr>
                    <w:tc>
                      <w:tcPr>
                        <w:tcW w:w="1591" w:type="dxa"/>
                      </w:tcPr>
                      <w:p>
                        <w:pPr>
                          <w:pStyle w:val="TableParagraph"/>
                          <w:spacing w:before="201"/>
                          <w:ind w:left="230" w:right="216"/>
                          <w:jc w:val="center"/>
                          <w:rPr>
                            <w:rFonts w:ascii="微軟正黑體" w:eastAsia="微軟正黑體" w:hint="eastAsia"/>
                            <w:b/>
                            <w:sz w:val="24"/>
                          </w:rPr>
                        </w:pPr>
                        <w:r>
                          <w:rPr>
                            <w:rFonts w:ascii="微軟正黑體" w:eastAsia="微軟正黑體" w:hint="eastAsia"/>
                            <w:b/>
                            <w:color w:val="231F20"/>
                            <w:w w:val="90"/>
                            <w:position w:val="-11"/>
                            <w:sz w:val="24"/>
                          </w:rPr>
                          <w:t>陰轉 </w:t>
                        </w:r>
                        <w:r>
                          <w:rPr>
                            <w:rFonts w:ascii="微軟正黑體" w:eastAsia="微軟正黑體" w:hint="eastAsia"/>
                            <w:b/>
                            <w:color w:val="231F20"/>
                            <w:w w:val="85"/>
                            <w:sz w:val="14"/>
                          </w:rPr>
                          <w:t>［註］ </w:t>
                        </w:r>
                        <w:r>
                          <w:rPr>
                            <w:rFonts w:ascii="微軟正黑體" w:eastAsia="微軟正黑體" w:hint="eastAsia"/>
                            <w:b/>
                            <w:color w:val="231F20"/>
                            <w:w w:val="90"/>
                            <w:position w:val="-11"/>
                            <w:sz w:val="24"/>
                          </w:rPr>
                          <w:t>前</w:t>
                        </w:r>
                      </w:p>
                    </w:tc>
                    <w:tc>
                      <w:tcPr>
                        <w:tcW w:w="4420" w:type="dxa"/>
                      </w:tcPr>
                      <w:p>
                        <w:pPr>
                          <w:pStyle w:val="TableParagraph"/>
                          <w:spacing w:line="409" w:lineRule="exact" w:before="31"/>
                          <w:ind w:left="112"/>
                          <w:rPr>
                            <w:sz w:val="24"/>
                          </w:rPr>
                        </w:pPr>
                        <w:r>
                          <w:rPr>
                            <w:color w:val="231F20"/>
                            <w:sz w:val="24"/>
                          </w:rPr>
                          <w:t>前 2 個月，每 2 週送驗—次，之後每月</w:t>
                        </w:r>
                      </w:p>
                      <w:p>
                        <w:pPr>
                          <w:pStyle w:val="TableParagraph"/>
                          <w:spacing w:line="391" w:lineRule="exact"/>
                          <w:ind w:left="112"/>
                          <w:rPr>
                            <w:sz w:val="24"/>
                          </w:rPr>
                        </w:pPr>
                        <w:r>
                          <w:rPr>
                            <w:color w:val="231F20"/>
                            <w:sz w:val="24"/>
                          </w:rPr>
                          <w:t>送驗 1 次</w:t>
                        </w:r>
                      </w:p>
                    </w:tc>
                    <w:tc>
                      <w:tcPr>
                        <w:tcW w:w="2880" w:type="dxa"/>
                        <w:vMerge w:val="restart"/>
                      </w:tcPr>
                      <w:p>
                        <w:pPr>
                          <w:pStyle w:val="TableParagraph"/>
                          <w:spacing w:before="12"/>
                          <w:rPr>
                            <w:sz w:val="26"/>
                          </w:rPr>
                        </w:pPr>
                      </w:p>
                      <w:p>
                        <w:pPr>
                          <w:pStyle w:val="TableParagraph"/>
                          <w:ind w:left="113"/>
                          <w:rPr>
                            <w:sz w:val="24"/>
                          </w:rPr>
                        </w:pPr>
                        <w:r>
                          <w:rPr>
                            <w:color w:val="231F20"/>
                            <w:sz w:val="24"/>
                          </w:rPr>
                          <w:t>每 3 個月檢査 1 次。</w:t>
                        </w:r>
                      </w:p>
                    </w:tc>
                  </w:tr>
                  <w:tr>
                    <w:trPr>
                      <w:trHeight w:val="451" w:hRule="atLeast"/>
                    </w:trPr>
                    <w:tc>
                      <w:tcPr>
                        <w:tcW w:w="1591" w:type="dxa"/>
                      </w:tcPr>
                      <w:p>
                        <w:pPr>
                          <w:pStyle w:val="TableParagraph"/>
                          <w:spacing w:line="430" w:lineRule="exact" w:before="1"/>
                          <w:ind w:left="230" w:right="216"/>
                          <w:jc w:val="center"/>
                          <w:rPr>
                            <w:rFonts w:ascii="微軟正黑體" w:eastAsia="微軟正黑體" w:hint="eastAsia"/>
                            <w:b/>
                            <w:sz w:val="24"/>
                          </w:rPr>
                        </w:pPr>
                        <w:r>
                          <w:rPr>
                            <w:rFonts w:ascii="微軟正黑體" w:eastAsia="微軟正黑體" w:hint="eastAsia"/>
                            <w:b/>
                            <w:color w:val="231F20"/>
                            <w:w w:val="90"/>
                            <w:position w:val="-11"/>
                            <w:sz w:val="24"/>
                          </w:rPr>
                          <w:t>陰轉 </w:t>
                        </w:r>
                        <w:r>
                          <w:rPr>
                            <w:rFonts w:ascii="微軟正黑體" w:eastAsia="微軟正黑體" w:hint="eastAsia"/>
                            <w:b/>
                            <w:color w:val="231F20"/>
                            <w:w w:val="85"/>
                            <w:sz w:val="14"/>
                          </w:rPr>
                          <w:t>［註］ </w:t>
                        </w:r>
                        <w:r>
                          <w:rPr>
                            <w:rFonts w:ascii="微軟正黑體" w:eastAsia="微軟正黑體" w:hint="eastAsia"/>
                            <w:b/>
                            <w:color w:val="231F20"/>
                            <w:w w:val="90"/>
                            <w:position w:val="-11"/>
                            <w:sz w:val="24"/>
                          </w:rPr>
                          <w:t>後</w:t>
                        </w:r>
                      </w:p>
                    </w:tc>
                    <w:tc>
                      <w:tcPr>
                        <w:tcW w:w="4420" w:type="dxa"/>
                      </w:tcPr>
                      <w:p>
                        <w:pPr>
                          <w:pStyle w:val="TableParagraph"/>
                          <w:spacing w:line="400" w:lineRule="exact" w:before="31"/>
                          <w:ind w:left="112"/>
                          <w:rPr>
                            <w:sz w:val="24"/>
                          </w:rPr>
                        </w:pPr>
                        <w:r>
                          <w:rPr>
                            <w:color w:val="231F20"/>
                            <w:sz w:val="24"/>
                          </w:rPr>
                          <w:t>每 2 個月送驗 1 次</w:t>
                        </w:r>
                      </w:p>
                    </w:tc>
                    <w:tc>
                      <w:tcPr>
                        <w:tcW w:w="2880" w:type="dxa"/>
                        <w:vMerge/>
                        <w:tcBorders>
                          <w:top w:val="nil"/>
                        </w:tcBorders>
                      </w:tcPr>
                      <w:p>
                        <w:pPr>
                          <w:rPr>
                            <w:sz w:val="2"/>
                            <w:szCs w:val="2"/>
                          </w:rPr>
                        </w:pPr>
                      </w:p>
                    </w:tc>
                  </w:tr>
                </w:tbl>
                <w:p>
                  <w:pPr>
                    <w:pStyle w:val="BodyText"/>
                  </w:pPr>
                </w:p>
              </w:txbxContent>
            </v:textbox>
            <w10:wrap type="none"/>
          </v:shape>
        </w:pict>
      </w:r>
      <w:r>
        <w:rPr>
          <w:color w:val="231F20"/>
        </w:rPr>
        <w:t>表 10-2、DR-TB 病人追蹤檢査時機 </w:t>
      </w:r>
      <w:r>
        <w:rPr>
          <w:color w:val="231F20"/>
          <w:w w:val="70"/>
        </w:rPr>
        <w:t>（ </w:t>
      </w:r>
      <w:r>
        <w:rPr>
          <w:color w:val="231F20"/>
        </w:rPr>
        <w:t>此為最少頻率，可依臨床需要調整增加 )</w:t>
      </w:r>
    </w:p>
    <w:p>
      <w:pPr>
        <w:pStyle w:val="BodyText"/>
        <w:rPr>
          <w:sz w:val="32"/>
        </w:rPr>
      </w:pPr>
    </w:p>
    <w:p>
      <w:pPr>
        <w:pStyle w:val="BodyText"/>
        <w:rPr>
          <w:sz w:val="32"/>
        </w:rPr>
      </w:pPr>
    </w:p>
    <w:p>
      <w:pPr>
        <w:pStyle w:val="BodyText"/>
        <w:spacing w:before="2"/>
        <w:rPr>
          <w:sz w:val="36"/>
        </w:rPr>
      </w:pPr>
    </w:p>
    <w:p>
      <w:pPr>
        <w:pStyle w:val="BodyText"/>
        <w:spacing w:line="230" w:lineRule="auto"/>
        <w:ind w:left="1377" w:right="1129" w:hanging="510"/>
      </w:pPr>
      <w:r>
        <w:rPr>
          <w:color w:val="231F20"/>
        </w:rPr>
        <w:t>註：陰轉定義為連續 2 次間隔至少 7 天的痰培養陰性 </w:t>
      </w:r>
      <w:r>
        <w:rPr>
          <w:color w:val="231F20"/>
          <w:w w:val="70"/>
        </w:rPr>
        <w:t>（ </w:t>
      </w:r>
      <w:r>
        <w:rPr>
          <w:color w:val="231F20"/>
        </w:rPr>
        <w:t>依據 WHO2022 年抗藥性結</w:t>
      </w:r>
      <w:r>
        <w:rPr>
          <w:color w:val="231F20"/>
          <w:w w:val="105"/>
        </w:rPr>
        <w:t>核病治療指引 )，這種情況下，第 1 次痰培養陰性的採檢日即為陰轉日期。</w:t>
      </w:r>
    </w:p>
    <w:p>
      <w:pPr>
        <w:pStyle w:val="BodyText"/>
        <w:rPr>
          <w:sz w:val="22"/>
        </w:rPr>
      </w:pPr>
    </w:p>
    <w:p>
      <w:pPr>
        <w:pStyle w:val="BodyText"/>
        <w:spacing w:line="409" w:lineRule="exact"/>
        <w:ind w:left="391"/>
      </w:pPr>
      <w:r>
        <w:rPr>
          <w:color w:val="231F20"/>
        </w:rPr>
        <w:t>匹、RR-TB／MDR-TB／pre-XDR-TB ／XDR-TB 治療結果判定：</w:t>
      </w:r>
    </w:p>
    <w:p>
      <w:pPr>
        <w:pStyle w:val="BodyText"/>
        <w:tabs>
          <w:tab w:pos="1349" w:val="left" w:leader="none"/>
        </w:tabs>
        <w:spacing w:line="230" w:lineRule="auto" w:before="2"/>
        <w:ind w:left="1349" w:right="1132" w:hanging="720"/>
      </w:pPr>
      <w:r>
        <w:rPr>
          <w:color w:val="231F20"/>
          <w:spacing w:val="60"/>
          <w:w w:val="70"/>
        </w:rPr>
        <w:t>（—</w:t>
      </w:r>
      <w:r>
        <w:rPr>
          <w:color w:val="231F20"/>
          <w:w w:val="70"/>
        </w:rPr>
        <w:t>)</w:t>
      </w:r>
      <w:r>
        <w:rPr>
          <w:color w:val="231F20"/>
        </w:rPr>
        <w:tab/>
      </w:r>
      <w:r>
        <w:rPr>
          <w:color w:val="231F20"/>
          <w:spacing w:val="-2"/>
        </w:rPr>
        <w:t>治癒 </w:t>
      </w:r>
      <w:r>
        <w:rPr>
          <w:color w:val="231F20"/>
          <w:w w:val="104"/>
          <w:position w:val="12"/>
          <w:sz w:val="14"/>
        </w:rPr>
        <w:t>1</w:t>
      </w:r>
      <w:r>
        <w:rPr>
          <w:color w:val="231F20"/>
          <w:w w:val="32"/>
        </w:rPr>
        <w:t>（</w:t>
      </w:r>
      <w:r>
        <w:rPr>
          <w:color w:val="231F20"/>
          <w:w w:val="92"/>
        </w:rPr>
        <w:t>C</w:t>
      </w:r>
      <w:r>
        <w:rPr>
          <w:color w:val="231F20"/>
          <w:spacing w:val="-1"/>
          <w:w w:val="109"/>
        </w:rPr>
        <w:t>u</w:t>
      </w:r>
      <w:r>
        <w:rPr>
          <w:color w:val="231F20"/>
          <w:spacing w:val="-4"/>
          <w:w w:val="111"/>
        </w:rPr>
        <w:t>r</w:t>
      </w:r>
      <w:r>
        <w:rPr>
          <w:color w:val="231F20"/>
          <w:spacing w:val="-1"/>
          <w:w w:val="101"/>
        </w:rPr>
        <w:t>e</w:t>
      </w:r>
      <w:r>
        <w:rPr>
          <w:color w:val="231F20"/>
          <w:w w:val="113"/>
        </w:rPr>
        <w:t>d</w:t>
      </w:r>
      <w:r>
        <w:rPr>
          <w:color w:val="231F20"/>
          <w:w w:val="96"/>
        </w:rPr>
        <w:t>)</w:t>
      </w:r>
      <w:r>
        <w:rPr>
          <w:color w:val="231F20"/>
          <w:spacing w:val="-1"/>
        </w:rPr>
        <w:t>：完成治療療程且無證據顯示失敗，且有痰陰轉 </w:t>
      </w:r>
      <w:r>
        <w:rPr>
          <w:color w:val="231F20"/>
          <w:w w:val="104"/>
          <w:position w:val="12"/>
          <w:sz w:val="14"/>
        </w:rPr>
        <w:t>2</w:t>
      </w:r>
      <w:r>
        <w:rPr>
          <w:color w:val="231F20"/>
          <w:spacing w:val="-9"/>
          <w:position w:val="12"/>
          <w:sz w:val="14"/>
        </w:rPr>
        <w:t>  </w:t>
      </w:r>
      <w:r>
        <w:rPr>
          <w:color w:val="231F20"/>
          <w:spacing w:val="1"/>
        </w:rPr>
        <w:t>證據、未再發生</w:t>
      </w:r>
      <w:r>
        <w:rPr>
          <w:color w:val="231F20"/>
          <w:spacing w:val="-3"/>
        </w:rPr>
        <w:t>陽轉 </w:t>
      </w:r>
      <w:r>
        <w:rPr>
          <w:color w:val="231F20"/>
          <w:position w:val="12"/>
          <w:sz w:val="14"/>
        </w:rPr>
        <w:t>3</w:t>
      </w:r>
      <w:r>
        <w:rPr>
          <w:color w:val="231F20"/>
          <w:spacing w:val="20"/>
          <w:position w:val="12"/>
          <w:sz w:val="14"/>
        </w:rPr>
        <w:t> </w:t>
      </w:r>
      <w:r>
        <w:rPr>
          <w:color w:val="231F20"/>
        </w:rPr>
        <w:t>者。</w:t>
      </w:r>
    </w:p>
    <w:p>
      <w:pPr>
        <w:pStyle w:val="BodyText"/>
        <w:tabs>
          <w:tab w:pos="1349" w:val="left" w:leader="none"/>
        </w:tabs>
        <w:spacing w:line="230" w:lineRule="auto"/>
        <w:ind w:left="1349" w:right="1131" w:hanging="720"/>
      </w:pPr>
      <w:r>
        <w:rPr>
          <w:color w:val="231F20"/>
          <w:w w:val="32"/>
        </w:rPr>
        <w:t>（</w:t>
      </w:r>
      <w:r>
        <w:rPr>
          <w:color w:val="231F20"/>
          <w:spacing w:val="-7"/>
        </w:rPr>
        <w:t> </w:t>
      </w:r>
      <w:r>
        <w:rPr>
          <w:color w:val="231F20"/>
        </w:rPr>
        <w:t>二</w:t>
      </w:r>
      <w:r>
        <w:rPr>
          <w:color w:val="231F20"/>
          <w:spacing w:val="-7"/>
        </w:rPr>
        <w:t> </w:t>
      </w:r>
      <w:r>
        <w:rPr>
          <w:color w:val="231F20"/>
          <w:w w:val="96"/>
        </w:rPr>
        <w:t>)</w:t>
      </w:r>
      <w:r>
        <w:rPr>
          <w:color w:val="231F20"/>
        </w:rPr>
        <w:tab/>
      </w:r>
      <w:r>
        <w:rPr>
          <w:color w:val="231F20"/>
          <w:spacing w:val="2"/>
        </w:rPr>
        <w:t>完</w:t>
      </w:r>
      <w:r>
        <w:rPr>
          <w:color w:val="231F20"/>
        </w:rPr>
        <w:t>治</w:t>
      </w:r>
      <w:r>
        <w:rPr>
          <w:color w:val="231F20"/>
          <w:spacing w:val="-6"/>
        </w:rPr>
        <w:t> </w:t>
      </w:r>
      <w:r>
        <w:rPr>
          <w:color w:val="231F20"/>
          <w:w w:val="104"/>
        </w:rPr>
        <w:t>1</w:t>
      </w:r>
      <w:r>
        <w:rPr>
          <w:color w:val="231F20"/>
          <w:spacing w:val="12"/>
        </w:rPr>
        <w:t> </w:t>
      </w:r>
      <w:r>
        <w:rPr>
          <w:color w:val="231F20"/>
          <w:w w:val="32"/>
        </w:rPr>
        <w:t>（</w:t>
      </w:r>
      <w:r>
        <w:rPr>
          <w:color w:val="231F20"/>
          <w:spacing w:val="-23"/>
          <w:w w:val="91"/>
        </w:rPr>
        <w:t>T</w:t>
      </w:r>
      <w:r>
        <w:rPr>
          <w:color w:val="231F20"/>
          <w:spacing w:val="-4"/>
          <w:w w:val="111"/>
        </w:rPr>
        <w:t>r</w:t>
      </w:r>
      <w:r>
        <w:rPr>
          <w:color w:val="231F20"/>
          <w:spacing w:val="-1"/>
          <w:w w:val="101"/>
        </w:rPr>
        <w:t>e</w:t>
      </w:r>
      <w:r>
        <w:rPr>
          <w:color w:val="231F20"/>
          <w:spacing w:val="-1"/>
          <w:w w:val="110"/>
        </w:rPr>
        <w:t>atmen</w:t>
      </w:r>
      <w:r>
        <w:rPr>
          <w:color w:val="231F20"/>
          <w:w w:val="110"/>
        </w:rPr>
        <w:t>t</w:t>
      </w:r>
      <w:r>
        <w:rPr>
          <w:color w:val="231F20"/>
          <w:spacing w:val="12"/>
        </w:rPr>
        <w:t> </w:t>
      </w:r>
      <w:r>
        <w:rPr>
          <w:color w:val="231F20"/>
          <w:w w:val="99"/>
        </w:rPr>
        <w:t>c</w:t>
      </w:r>
      <w:r>
        <w:rPr>
          <w:color w:val="231F20"/>
          <w:w w:val="112"/>
        </w:rPr>
        <w:t>omple</w:t>
      </w:r>
      <w:r>
        <w:rPr>
          <w:color w:val="231F20"/>
          <w:spacing w:val="-2"/>
          <w:w w:val="112"/>
        </w:rPr>
        <w:t>t</w:t>
      </w:r>
      <w:r>
        <w:rPr>
          <w:color w:val="231F20"/>
          <w:spacing w:val="-1"/>
          <w:w w:val="101"/>
        </w:rPr>
        <w:t>e</w:t>
      </w:r>
      <w:r>
        <w:rPr>
          <w:color w:val="231F20"/>
          <w:w w:val="107"/>
        </w:rPr>
        <w:t>d)</w:t>
      </w:r>
      <w:r>
        <w:rPr>
          <w:color w:val="231F20"/>
          <w:spacing w:val="2"/>
        </w:rPr>
        <w:t>：完成治療療程且無證據顯示失</w:t>
      </w:r>
      <w:r>
        <w:rPr>
          <w:color w:val="231F20"/>
        </w:rPr>
        <w:t>敗</w:t>
      </w:r>
      <w:r>
        <w:rPr>
          <w:color w:val="231F20"/>
          <w:spacing w:val="2"/>
        </w:rPr>
        <w:t>，但是在治療</w:t>
      </w:r>
      <w:r>
        <w:rPr>
          <w:color w:val="231F20"/>
        </w:rPr>
        <w:t>療程結束後未符合上述治癒定義。</w:t>
      </w:r>
    </w:p>
    <w:p>
      <w:pPr>
        <w:pStyle w:val="BodyText"/>
        <w:tabs>
          <w:tab w:pos="1349" w:val="left" w:leader="none"/>
        </w:tabs>
        <w:spacing w:line="230" w:lineRule="auto"/>
        <w:ind w:left="1349" w:right="1129" w:hanging="720"/>
      </w:pPr>
      <w:r>
        <w:rPr>
          <w:color w:val="231F20"/>
          <w:w w:val="32"/>
        </w:rPr>
        <w:t>（</w:t>
      </w:r>
      <w:r>
        <w:rPr>
          <w:color w:val="231F20"/>
          <w:spacing w:val="-7"/>
        </w:rPr>
        <w:t> </w:t>
      </w:r>
      <w:r>
        <w:rPr>
          <w:color w:val="231F20"/>
        </w:rPr>
        <w:t>三</w:t>
      </w:r>
      <w:r>
        <w:rPr>
          <w:color w:val="231F20"/>
          <w:spacing w:val="-7"/>
        </w:rPr>
        <w:t> </w:t>
      </w:r>
      <w:r>
        <w:rPr>
          <w:color w:val="231F20"/>
          <w:w w:val="96"/>
        </w:rPr>
        <w:t>)</w:t>
      </w:r>
      <w:r>
        <w:rPr>
          <w:color w:val="231F20"/>
        </w:rPr>
        <w:tab/>
      </w:r>
      <w:r>
        <w:rPr>
          <w:color w:val="231F20"/>
          <w:spacing w:val="4"/>
        </w:rPr>
        <w:t>失</w:t>
      </w:r>
      <w:r>
        <w:rPr>
          <w:color w:val="231F20"/>
        </w:rPr>
        <w:t>敗</w:t>
      </w:r>
      <w:r>
        <w:rPr>
          <w:color w:val="231F20"/>
          <w:spacing w:val="13"/>
        </w:rPr>
        <w:t> </w:t>
      </w:r>
      <w:r>
        <w:rPr>
          <w:color w:val="231F20"/>
          <w:w w:val="32"/>
        </w:rPr>
        <w:t>（</w:t>
      </w:r>
      <w:r>
        <w:rPr>
          <w:color w:val="231F20"/>
          <w:spacing w:val="-10"/>
          <w:w w:val="85"/>
        </w:rPr>
        <w:t>F</w:t>
      </w:r>
      <w:r>
        <w:rPr>
          <w:color w:val="231F20"/>
          <w:spacing w:val="-1"/>
          <w:w w:val="98"/>
        </w:rPr>
        <w:t>a</w:t>
      </w:r>
      <w:r>
        <w:rPr>
          <w:color w:val="231F20"/>
          <w:spacing w:val="-1"/>
          <w:w w:val="116"/>
        </w:rPr>
        <w:t>il</w:t>
      </w:r>
      <w:r>
        <w:rPr>
          <w:color w:val="231F20"/>
          <w:spacing w:val="-1"/>
          <w:w w:val="101"/>
        </w:rPr>
        <w:t>e</w:t>
      </w:r>
      <w:r>
        <w:rPr>
          <w:color w:val="231F20"/>
          <w:w w:val="113"/>
        </w:rPr>
        <w:t>d</w:t>
      </w:r>
      <w:r>
        <w:rPr>
          <w:color w:val="231F20"/>
          <w:w w:val="96"/>
        </w:rPr>
        <w:t>)</w:t>
      </w:r>
      <w:r>
        <w:rPr>
          <w:color w:val="231F20"/>
          <w:spacing w:val="4"/>
        </w:rPr>
        <w:t>：原治療處方尚未完治前終</w:t>
      </w:r>
      <w:r>
        <w:rPr>
          <w:color w:val="231F20"/>
        </w:rPr>
        <w:t>止</w:t>
      </w:r>
      <w:r>
        <w:rPr>
          <w:color w:val="231F20"/>
          <w:spacing w:val="4"/>
        </w:rPr>
        <w:t>，或新增藥物永久改變處方組</w:t>
      </w:r>
      <w:r>
        <w:rPr>
          <w:color w:val="231F20"/>
        </w:rPr>
        <w:t>合</w:t>
      </w:r>
      <w:r>
        <w:rPr>
          <w:color w:val="231F20"/>
          <w:spacing w:val="4"/>
        </w:rPr>
        <w:t>，</w:t>
      </w:r>
      <w:r>
        <w:rPr>
          <w:color w:val="231F20"/>
          <w:spacing w:val="-11"/>
        </w:rPr>
        <w:t>因</w:t>
      </w:r>
      <w:r>
        <w:rPr>
          <w:color w:val="231F20"/>
        </w:rPr>
        <w:t>為</w:t>
      </w:r>
    </w:p>
    <w:p>
      <w:pPr>
        <w:pStyle w:val="ListParagraph"/>
        <w:numPr>
          <w:ilvl w:val="0"/>
          <w:numId w:val="205"/>
        </w:numPr>
        <w:tabs>
          <w:tab w:pos="1349" w:val="left" w:leader="none"/>
        </w:tabs>
        <w:spacing w:line="404" w:lineRule="exact" w:before="0" w:after="0"/>
        <w:ind w:left="1348" w:right="0" w:hanging="255"/>
        <w:jc w:val="left"/>
        <w:rPr>
          <w:sz w:val="24"/>
        </w:rPr>
      </w:pPr>
      <w:r>
        <w:rPr>
          <w:color w:val="231F20"/>
          <w:spacing w:val="-1"/>
          <w:sz w:val="24"/>
        </w:rPr>
        <w:t>治療後，無臨床或細蔥學反應 </w:t>
      </w:r>
      <w:r>
        <w:rPr>
          <w:color w:val="231F20"/>
          <w:w w:val="65"/>
          <w:sz w:val="24"/>
        </w:rPr>
        <w:t>（</w:t>
      </w:r>
      <w:r>
        <w:rPr>
          <w:color w:val="231F20"/>
          <w:spacing w:val="15"/>
          <w:w w:val="65"/>
          <w:sz w:val="24"/>
        </w:rPr>
        <w:t> </w:t>
      </w:r>
      <w:r>
        <w:rPr>
          <w:color w:val="231F20"/>
          <w:spacing w:val="-2"/>
          <w:sz w:val="24"/>
        </w:rPr>
        <w:t>即未陰轉或陰轉後又陽轉者 ) </w:t>
      </w:r>
      <w:r>
        <w:rPr>
          <w:color w:val="231F20"/>
          <w:position w:val="12"/>
          <w:sz w:val="14"/>
        </w:rPr>
        <w:t>4</w:t>
      </w:r>
      <w:r>
        <w:rPr>
          <w:color w:val="231F20"/>
          <w:sz w:val="24"/>
        </w:rPr>
        <w:t>。</w:t>
      </w:r>
    </w:p>
    <w:p>
      <w:pPr>
        <w:spacing w:after="0" w:line="404" w:lineRule="exact"/>
        <w:jc w:val="left"/>
        <w:rPr>
          <w:sz w:val="24"/>
        </w:rPr>
        <w:sectPr>
          <w:pgSz w:w="11910" w:h="16840"/>
          <w:pgMar w:top="1060" w:bottom="0" w:left="980" w:right="0"/>
        </w:sectPr>
      </w:pPr>
    </w:p>
    <w:p>
      <w:pPr>
        <w:pStyle w:val="ListParagraph"/>
        <w:numPr>
          <w:ilvl w:val="0"/>
          <w:numId w:val="205"/>
        </w:numPr>
        <w:tabs>
          <w:tab w:pos="1349" w:val="left" w:leader="none"/>
        </w:tabs>
        <w:spacing w:line="409" w:lineRule="exact" w:before="59" w:after="0"/>
        <w:ind w:left="1348" w:right="0" w:hanging="255"/>
        <w:jc w:val="left"/>
        <w:rPr>
          <w:sz w:val="24"/>
        </w:rPr>
      </w:pPr>
      <w:r>
        <w:rPr>
          <w:color w:val="231F20"/>
          <w:sz w:val="24"/>
        </w:rPr>
        <w:t>對原治療處方藥物新增抗藥。</w:t>
      </w:r>
    </w:p>
    <w:p>
      <w:pPr>
        <w:pStyle w:val="ListParagraph"/>
        <w:numPr>
          <w:ilvl w:val="0"/>
          <w:numId w:val="205"/>
        </w:numPr>
        <w:tabs>
          <w:tab w:pos="1349" w:val="left" w:leader="none"/>
        </w:tabs>
        <w:spacing w:line="400" w:lineRule="exact" w:before="0" w:after="0"/>
        <w:ind w:left="1348" w:right="0" w:hanging="255"/>
        <w:jc w:val="left"/>
        <w:rPr>
          <w:sz w:val="24"/>
        </w:rPr>
      </w:pPr>
      <w:r>
        <w:rPr>
          <w:color w:val="231F20"/>
          <w:spacing w:val="-1"/>
          <w:sz w:val="24"/>
        </w:rPr>
        <w:t>產生藥物不良反應 </w:t>
      </w:r>
      <w:r>
        <w:rPr>
          <w:color w:val="231F20"/>
          <w:position w:val="12"/>
          <w:sz w:val="14"/>
        </w:rPr>
        <w:t>5</w:t>
      </w:r>
      <w:r>
        <w:rPr>
          <w:color w:val="231F20"/>
          <w:sz w:val="24"/>
        </w:rPr>
        <w:t>。</w:t>
      </w:r>
    </w:p>
    <w:p>
      <w:pPr>
        <w:pStyle w:val="BodyText"/>
        <w:tabs>
          <w:tab w:pos="1349" w:val="left" w:leader="none"/>
        </w:tabs>
        <w:spacing w:line="400" w:lineRule="exact"/>
        <w:ind w:left="629"/>
      </w:pPr>
      <w:r>
        <w:rPr>
          <w:color w:val="231F20"/>
          <w:w w:val="70"/>
        </w:rPr>
        <w:t>（</w:t>
      </w:r>
      <w:r>
        <w:rPr>
          <w:color w:val="231F20"/>
          <w:spacing w:val="-5"/>
          <w:w w:val="70"/>
        </w:rPr>
        <w:t> </w:t>
      </w:r>
      <w:r>
        <w:rPr>
          <w:color w:val="231F20"/>
        </w:rPr>
        <w:t>匹</w:t>
      </w:r>
      <w:r>
        <w:rPr>
          <w:color w:val="231F20"/>
          <w:spacing w:val="-24"/>
        </w:rPr>
        <w:t> </w:t>
      </w:r>
      <w:r>
        <w:rPr>
          <w:color w:val="231F20"/>
        </w:rPr>
        <w:t>)</w:t>
        <w:tab/>
        <w:t>死亡</w:t>
      </w:r>
      <w:r>
        <w:rPr>
          <w:color w:val="231F20"/>
          <w:spacing w:val="-9"/>
        </w:rPr>
        <w:t> </w:t>
      </w:r>
      <w:r>
        <w:rPr>
          <w:color w:val="231F20"/>
        </w:rPr>
        <w:t>（Died)：病人於治療過程中因任何原因死亡。</w:t>
      </w:r>
    </w:p>
    <w:p>
      <w:pPr>
        <w:pStyle w:val="BodyText"/>
        <w:tabs>
          <w:tab w:pos="1349" w:val="left" w:leader="none"/>
        </w:tabs>
        <w:spacing w:line="400" w:lineRule="exact"/>
        <w:ind w:left="629"/>
      </w:pPr>
      <w:r>
        <w:rPr>
          <w:color w:val="231F20"/>
          <w:w w:val="70"/>
        </w:rPr>
        <w:t>（</w:t>
      </w:r>
      <w:r>
        <w:rPr>
          <w:color w:val="231F20"/>
          <w:spacing w:val="-5"/>
          <w:w w:val="70"/>
        </w:rPr>
        <w:t> </w:t>
      </w:r>
      <w:r>
        <w:rPr>
          <w:color w:val="231F20"/>
        </w:rPr>
        <w:t>五</w:t>
      </w:r>
      <w:r>
        <w:rPr>
          <w:color w:val="231F20"/>
          <w:spacing w:val="-24"/>
        </w:rPr>
        <w:t> </w:t>
      </w:r>
      <w:r>
        <w:rPr>
          <w:color w:val="231F20"/>
        </w:rPr>
        <w:t>)</w:t>
        <w:tab/>
        <w:t>失落</w:t>
      </w:r>
      <w:r>
        <w:rPr>
          <w:color w:val="231F20"/>
          <w:spacing w:val="-7"/>
        </w:rPr>
        <w:t> </w:t>
      </w:r>
      <w:r>
        <w:rPr>
          <w:color w:val="231F20"/>
        </w:rPr>
        <w:t>（Lost</w:t>
      </w:r>
      <w:r>
        <w:rPr>
          <w:color w:val="231F20"/>
          <w:spacing w:val="-6"/>
        </w:rPr>
        <w:t> </w:t>
      </w:r>
      <w:r>
        <w:rPr>
          <w:color w:val="231F20"/>
        </w:rPr>
        <w:t>to</w:t>
      </w:r>
      <w:r>
        <w:rPr>
          <w:color w:val="231F20"/>
          <w:spacing w:val="-7"/>
        </w:rPr>
        <w:t> </w:t>
      </w:r>
      <w:r>
        <w:rPr>
          <w:color w:val="231F20"/>
        </w:rPr>
        <w:t>follow-up)：連續中斷治療</w:t>
      </w:r>
      <w:r>
        <w:rPr>
          <w:color w:val="231F20"/>
          <w:spacing w:val="-7"/>
        </w:rPr>
        <w:t> </w:t>
      </w:r>
      <w:r>
        <w:rPr>
          <w:color w:val="231F20"/>
        </w:rPr>
        <w:t>2</w:t>
      </w:r>
      <w:r>
        <w:rPr>
          <w:color w:val="231F20"/>
          <w:spacing w:val="-6"/>
        </w:rPr>
        <w:t> </w:t>
      </w:r>
      <w:r>
        <w:rPr>
          <w:color w:val="231F20"/>
        </w:rPr>
        <w:t>個月以上。</w:t>
      </w:r>
    </w:p>
    <w:p>
      <w:pPr>
        <w:pStyle w:val="BodyText"/>
        <w:tabs>
          <w:tab w:pos="1349" w:val="left" w:leader="none"/>
        </w:tabs>
        <w:spacing w:line="400" w:lineRule="exact"/>
        <w:ind w:left="629"/>
      </w:pPr>
      <w:r>
        <w:rPr>
          <w:color w:val="231F20"/>
          <w:w w:val="70"/>
        </w:rPr>
        <w:t>（</w:t>
      </w:r>
      <w:r>
        <w:rPr>
          <w:color w:val="231F20"/>
          <w:spacing w:val="-5"/>
          <w:w w:val="70"/>
        </w:rPr>
        <w:t> </w:t>
      </w:r>
      <w:r>
        <w:rPr>
          <w:color w:val="231F20"/>
        </w:rPr>
        <w:t>六</w:t>
      </w:r>
      <w:r>
        <w:rPr>
          <w:color w:val="231F20"/>
          <w:spacing w:val="-24"/>
        </w:rPr>
        <w:t> </w:t>
      </w:r>
      <w:r>
        <w:rPr>
          <w:color w:val="231F20"/>
        </w:rPr>
        <w:t>)</w:t>
        <w:tab/>
        <w:t>未評估</w:t>
      </w:r>
      <w:r>
        <w:rPr>
          <w:color w:val="231F20"/>
          <w:spacing w:val="-8"/>
        </w:rPr>
        <w:t> </w:t>
      </w:r>
      <w:r>
        <w:rPr>
          <w:color w:val="231F20"/>
        </w:rPr>
        <w:t>（Not</w:t>
      </w:r>
      <w:r>
        <w:rPr>
          <w:color w:val="231F20"/>
          <w:spacing w:val="-9"/>
        </w:rPr>
        <w:t> </w:t>
      </w:r>
      <w:r>
        <w:rPr>
          <w:color w:val="231F20"/>
        </w:rPr>
        <w:t>evaluated)：在評估治療結果時仍在治療中。</w:t>
      </w:r>
    </w:p>
    <w:p>
      <w:pPr>
        <w:pStyle w:val="BodyText"/>
        <w:tabs>
          <w:tab w:pos="1349" w:val="left" w:leader="none"/>
        </w:tabs>
        <w:spacing w:line="230" w:lineRule="auto" w:before="2"/>
        <w:ind w:left="629" w:right="2370"/>
      </w:pPr>
      <w:r>
        <w:rPr>
          <w:color w:val="231F20"/>
          <w:w w:val="32"/>
        </w:rPr>
        <w:t>（</w:t>
      </w:r>
      <w:r>
        <w:rPr>
          <w:color w:val="231F20"/>
          <w:spacing w:val="-7"/>
        </w:rPr>
        <w:t> </w:t>
      </w:r>
      <w:r>
        <w:rPr>
          <w:color w:val="231F20"/>
        </w:rPr>
        <w:t>七</w:t>
      </w:r>
      <w:r>
        <w:rPr>
          <w:color w:val="231F20"/>
          <w:spacing w:val="-7"/>
        </w:rPr>
        <w:t> </w:t>
      </w:r>
      <w:r>
        <w:rPr>
          <w:color w:val="231F20"/>
          <w:w w:val="96"/>
        </w:rPr>
        <w:t>)</w:t>
      </w:r>
      <w:r>
        <w:rPr>
          <w:color w:val="231F20"/>
        </w:rPr>
        <w:tab/>
        <w:t>轉出</w:t>
      </w:r>
      <w:r>
        <w:rPr>
          <w:color w:val="231F20"/>
          <w:spacing w:val="-7"/>
        </w:rPr>
        <w:t> </w:t>
      </w:r>
      <w:r>
        <w:rPr>
          <w:color w:val="231F20"/>
          <w:w w:val="32"/>
        </w:rPr>
        <w:t>（</w:t>
      </w:r>
      <w:r>
        <w:rPr>
          <w:color w:val="231F20"/>
          <w:spacing w:val="-23"/>
          <w:w w:val="91"/>
        </w:rPr>
        <w:t>T</w:t>
      </w:r>
      <w:r>
        <w:rPr>
          <w:color w:val="231F20"/>
          <w:spacing w:val="-1"/>
          <w:w w:val="111"/>
        </w:rPr>
        <w:t>r</w:t>
      </w:r>
      <w:r>
        <w:rPr>
          <w:color w:val="231F20"/>
          <w:spacing w:val="-1"/>
          <w:w w:val="104"/>
        </w:rPr>
        <w:t>ansfer</w:t>
      </w:r>
      <w:r>
        <w:rPr>
          <w:color w:val="231F20"/>
          <w:spacing w:val="-4"/>
          <w:w w:val="104"/>
        </w:rPr>
        <w:t>r</w:t>
      </w:r>
      <w:r>
        <w:rPr>
          <w:color w:val="231F20"/>
          <w:spacing w:val="-1"/>
          <w:w w:val="107"/>
        </w:rPr>
        <w:t>e</w:t>
      </w:r>
      <w:r>
        <w:rPr>
          <w:color w:val="231F20"/>
          <w:w w:val="107"/>
        </w:rPr>
        <w:t>d</w:t>
      </w:r>
      <w:r>
        <w:rPr>
          <w:color w:val="231F20"/>
          <w:spacing w:val="-7"/>
        </w:rPr>
        <w:t> </w:t>
      </w:r>
      <w:r>
        <w:rPr>
          <w:color w:val="231F20"/>
          <w:w w:val="100"/>
        </w:rPr>
        <w:t>out)：病人轉到其他單位治療且其治療結果不詳。</w:t>
      </w:r>
      <w:r>
        <w:rPr>
          <w:color w:val="231F20"/>
        </w:rPr>
        <w:t>註：</w:t>
      </w:r>
    </w:p>
    <w:p>
      <w:pPr>
        <w:pStyle w:val="ListParagraph"/>
        <w:numPr>
          <w:ilvl w:val="0"/>
          <w:numId w:val="206"/>
        </w:numPr>
        <w:tabs>
          <w:tab w:pos="1350" w:val="left" w:leader="none"/>
        </w:tabs>
        <w:spacing w:line="230" w:lineRule="auto" w:before="0" w:after="0"/>
        <w:ind w:left="1349" w:right="1129" w:hanging="255"/>
        <w:jc w:val="left"/>
        <w:rPr>
          <w:sz w:val="24"/>
        </w:rPr>
      </w:pPr>
      <w:r>
        <w:rPr>
          <w:color w:val="231F20"/>
          <w:spacing w:val="5"/>
          <w:sz w:val="24"/>
        </w:rPr>
        <w:t>治療成功 </w:t>
      </w:r>
      <w:r>
        <w:rPr>
          <w:color w:val="231F20"/>
          <w:w w:val="32"/>
          <w:sz w:val="24"/>
        </w:rPr>
        <w:t>（</w:t>
      </w:r>
      <w:r>
        <w:rPr>
          <w:color w:val="231F20"/>
          <w:spacing w:val="-23"/>
          <w:w w:val="91"/>
          <w:sz w:val="24"/>
        </w:rPr>
        <w:t>T</w:t>
      </w:r>
      <w:r>
        <w:rPr>
          <w:color w:val="231F20"/>
          <w:spacing w:val="-4"/>
          <w:w w:val="111"/>
          <w:sz w:val="24"/>
        </w:rPr>
        <w:t>r</w:t>
      </w:r>
      <w:r>
        <w:rPr>
          <w:color w:val="231F20"/>
          <w:spacing w:val="-1"/>
          <w:w w:val="101"/>
          <w:sz w:val="24"/>
        </w:rPr>
        <w:t>e</w:t>
      </w:r>
      <w:r>
        <w:rPr>
          <w:color w:val="231F20"/>
          <w:spacing w:val="-1"/>
          <w:w w:val="98"/>
          <w:sz w:val="24"/>
        </w:rPr>
        <w:t>a</w:t>
      </w:r>
      <w:r>
        <w:rPr>
          <w:color w:val="231F20"/>
          <w:w w:val="130"/>
          <w:sz w:val="24"/>
        </w:rPr>
        <w:t>t</w:t>
      </w:r>
      <w:r>
        <w:rPr>
          <w:color w:val="231F20"/>
          <w:spacing w:val="-1"/>
          <w:w w:val="111"/>
          <w:sz w:val="24"/>
        </w:rPr>
        <w:t>m</w:t>
      </w:r>
      <w:r>
        <w:rPr>
          <w:color w:val="231F20"/>
          <w:spacing w:val="-1"/>
          <w:w w:val="101"/>
          <w:sz w:val="24"/>
        </w:rPr>
        <w:t>e</w:t>
      </w:r>
      <w:r>
        <w:rPr>
          <w:color w:val="231F20"/>
          <w:spacing w:val="-1"/>
          <w:w w:val="109"/>
          <w:sz w:val="24"/>
        </w:rPr>
        <w:t>n</w:t>
      </w:r>
      <w:r>
        <w:rPr>
          <w:color w:val="231F20"/>
          <w:w w:val="130"/>
          <w:sz w:val="24"/>
        </w:rPr>
        <w:t>t</w:t>
      </w:r>
      <w:r>
        <w:rPr>
          <w:color w:val="231F20"/>
          <w:spacing w:val="13"/>
          <w:sz w:val="24"/>
        </w:rPr>
        <w:t> </w:t>
      </w:r>
      <w:r>
        <w:rPr>
          <w:color w:val="231F20"/>
          <w:spacing w:val="-1"/>
          <w:w w:val="91"/>
          <w:sz w:val="24"/>
        </w:rPr>
        <w:t>s</w:t>
      </w:r>
      <w:r>
        <w:rPr>
          <w:color w:val="231F20"/>
          <w:spacing w:val="-1"/>
          <w:w w:val="109"/>
          <w:sz w:val="24"/>
        </w:rPr>
        <w:t>u</w:t>
      </w:r>
      <w:r>
        <w:rPr>
          <w:color w:val="231F20"/>
          <w:spacing w:val="-1"/>
          <w:w w:val="99"/>
          <w:sz w:val="24"/>
        </w:rPr>
        <w:t>c</w:t>
      </w:r>
      <w:r>
        <w:rPr>
          <w:color w:val="231F20"/>
          <w:w w:val="99"/>
          <w:sz w:val="24"/>
        </w:rPr>
        <w:t>c</w:t>
      </w:r>
      <w:r>
        <w:rPr>
          <w:color w:val="231F20"/>
          <w:spacing w:val="-1"/>
          <w:w w:val="101"/>
          <w:sz w:val="24"/>
        </w:rPr>
        <w:t>e</w:t>
      </w:r>
      <w:r>
        <w:rPr>
          <w:color w:val="231F20"/>
          <w:spacing w:val="-1"/>
          <w:w w:val="91"/>
          <w:sz w:val="24"/>
        </w:rPr>
        <w:t>ss</w:t>
      </w:r>
      <w:r>
        <w:rPr>
          <w:color w:val="231F20"/>
          <w:w w:val="96"/>
          <w:sz w:val="24"/>
        </w:rPr>
        <w:t>)</w:t>
      </w:r>
      <w:r>
        <w:rPr>
          <w:color w:val="231F20"/>
          <w:spacing w:val="6"/>
          <w:sz w:val="24"/>
        </w:rPr>
        <w:t>：治癒病人數加上完治病人數即為治療成功之病</w:t>
      </w:r>
      <w:r>
        <w:rPr>
          <w:color w:val="231F20"/>
          <w:sz w:val="24"/>
        </w:rPr>
        <w:t>人數。</w:t>
      </w:r>
    </w:p>
    <w:p>
      <w:pPr>
        <w:pStyle w:val="ListParagraph"/>
        <w:numPr>
          <w:ilvl w:val="0"/>
          <w:numId w:val="206"/>
        </w:numPr>
        <w:tabs>
          <w:tab w:pos="1350" w:val="left" w:leader="none"/>
        </w:tabs>
        <w:spacing w:line="230" w:lineRule="auto" w:before="0" w:after="0"/>
        <w:ind w:left="1349" w:right="1136" w:hanging="255"/>
        <w:jc w:val="left"/>
        <w:rPr>
          <w:sz w:val="24"/>
        </w:rPr>
      </w:pPr>
      <w:r>
        <w:rPr>
          <w:color w:val="231F20"/>
          <w:spacing w:val="2"/>
          <w:sz w:val="24"/>
        </w:rPr>
        <w:t>陰轉：連續 </w:t>
      </w:r>
      <w:r>
        <w:rPr>
          <w:color w:val="231F20"/>
          <w:sz w:val="24"/>
        </w:rPr>
        <w:t>2</w:t>
      </w:r>
      <w:r>
        <w:rPr>
          <w:color w:val="231F20"/>
          <w:spacing w:val="3"/>
          <w:sz w:val="24"/>
        </w:rPr>
        <w:t> 次痰培養陰性，且該 </w:t>
      </w:r>
      <w:r>
        <w:rPr>
          <w:color w:val="231F20"/>
          <w:sz w:val="24"/>
        </w:rPr>
        <w:t>2</w:t>
      </w:r>
      <w:r>
        <w:rPr>
          <w:color w:val="231F20"/>
          <w:spacing w:val="4"/>
          <w:sz w:val="24"/>
        </w:rPr>
        <w:t> 次痰培養之間隔至少 </w:t>
      </w:r>
      <w:r>
        <w:rPr>
          <w:color w:val="231F20"/>
          <w:sz w:val="24"/>
        </w:rPr>
        <w:t>7</w:t>
      </w:r>
      <w:r>
        <w:rPr>
          <w:color w:val="231F20"/>
          <w:spacing w:val="1"/>
          <w:sz w:val="24"/>
        </w:rPr>
        <w:t> 天。這種情況下， </w:t>
      </w:r>
      <w:r>
        <w:rPr>
          <w:color w:val="231F20"/>
          <w:sz w:val="24"/>
        </w:rPr>
        <w:t>第1次痰培養陰性的採檢日即為陰轉日期。</w:t>
      </w:r>
    </w:p>
    <w:p>
      <w:pPr>
        <w:pStyle w:val="ListParagraph"/>
        <w:numPr>
          <w:ilvl w:val="0"/>
          <w:numId w:val="206"/>
        </w:numPr>
        <w:tabs>
          <w:tab w:pos="1349" w:val="left" w:leader="none"/>
        </w:tabs>
        <w:spacing w:line="395" w:lineRule="exact" w:before="0" w:after="0"/>
        <w:ind w:left="1348" w:right="0" w:hanging="255"/>
        <w:jc w:val="left"/>
        <w:rPr>
          <w:sz w:val="24"/>
        </w:rPr>
      </w:pPr>
      <w:r>
        <w:rPr/>
        <w:pict>
          <v:group style="position:absolute;margin-left:557.684509pt;margin-top:9.598462pt;width:37.35pt;height:555.550pt;mso-position-horizontal-relative:page;mso-position-vertical-relative:paragraph;z-index:251916288" coordorigin="11154,192" coordsize="747,11111">
            <v:shape style="position:absolute;left:11283;top:703;width:439;height:10600" type="#_x0000_t75" stroked="false">
              <v:imagedata r:id="rId102" o:title=""/>
            </v:shape>
            <v:shape style="position:absolute;left:11153;top:191;width:747;height:812" coordorigin="11154,192" coordsize="747,812" path="m11900,192l11536,192,11514,194,11454,228,11188,510,11154,598,11162,644,11454,967,11514,1001,11536,1003,11900,1003,11900,192xe" filled="true" fillcolor="#bd7cb5" stroked="false">
              <v:path arrowok="t"/>
              <v:fill type="solid"/>
            </v:shape>
            <v:shape style="position:absolute;left:11321;top:459;width:374;height:278" type="#_x0000_t75" stroked="false">
              <v:imagedata r:id="rId103" o:title=""/>
            </v:shape>
            <v:shape style="position:absolute;left:11378;top:1139;width:250;height:3599" type="#_x0000_t75" stroked="false">
              <v:imagedata r:id="rId104" o:title=""/>
            </v:shape>
            <v:shape style="position:absolute;left:11368;top:10740;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109</w:t>
                    </w:r>
                  </w:p>
                </w:txbxContent>
              </v:textbox>
              <w10:wrap type="none"/>
            </v:shape>
            <w10:wrap type="none"/>
          </v:group>
        </w:pict>
      </w:r>
      <w:r>
        <w:rPr>
          <w:color w:val="231F20"/>
          <w:spacing w:val="-1"/>
          <w:sz w:val="24"/>
        </w:rPr>
        <w:t>陽轉：已陰轉或無細蔥學證據者，連續 </w:t>
      </w:r>
      <w:r>
        <w:rPr>
          <w:color w:val="231F20"/>
          <w:sz w:val="24"/>
        </w:rPr>
        <w:t>2</w:t>
      </w:r>
      <w:r>
        <w:rPr>
          <w:color w:val="231F20"/>
          <w:spacing w:val="-4"/>
          <w:sz w:val="24"/>
        </w:rPr>
        <w:t> 次間隔至少 </w:t>
      </w:r>
      <w:r>
        <w:rPr>
          <w:color w:val="231F20"/>
          <w:sz w:val="24"/>
        </w:rPr>
        <w:t>7</w:t>
      </w:r>
      <w:r>
        <w:rPr>
          <w:color w:val="231F20"/>
          <w:spacing w:val="-2"/>
          <w:sz w:val="24"/>
        </w:rPr>
        <w:t> 天的痰培養陽性。</w:t>
      </w:r>
    </w:p>
    <w:p>
      <w:pPr>
        <w:pStyle w:val="ListParagraph"/>
        <w:numPr>
          <w:ilvl w:val="0"/>
          <w:numId w:val="206"/>
        </w:numPr>
        <w:tabs>
          <w:tab w:pos="1349" w:val="left" w:leader="none"/>
        </w:tabs>
        <w:spacing w:line="400" w:lineRule="exact" w:before="0" w:after="0"/>
        <w:ind w:left="1348" w:right="0" w:hanging="255"/>
        <w:jc w:val="left"/>
        <w:rPr>
          <w:sz w:val="24"/>
        </w:rPr>
      </w:pPr>
      <w:r>
        <w:rPr>
          <w:color w:val="231F20"/>
          <w:spacing w:val="-1"/>
          <w:sz w:val="24"/>
        </w:rPr>
        <w:t>原則為治療滿 </w:t>
      </w:r>
      <w:r>
        <w:rPr>
          <w:color w:val="231F20"/>
          <w:sz w:val="24"/>
        </w:rPr>
        <w:t>4</w:t>
      </w:r>
      <w:r>
        <w:rPr>
          <w:color w:val="231F20"/>
          <w:spacing w:val="-3"/>
          <w:sz w:val="24"/>
        </w:rPr>
        <w:t> 個月後培養未陰轉者。</w:t>
      </w:r>
    </w:p>
    <w:p>
      <w:pPr>
        <w:pStyle w:val="ListParagraph"/>
        <w:numPr>
          <w:ilvl w:val="0"/>
          <w:numId w:val="206"/>
        </w:numPr>
        <w:tabs>
          <w:tab w:pos="1349" w:val="left" w:leader="none"/>
        </w:tabs>
        <w:spacing w:line="230" w:lineRule="auto" w:before="0" w:after="0"/>
        <w:ind w:left="391" w:right="1075" w:firstLine="702"/>
        <w:jc w:val="left"/>
        <w:rPr>
          <w:sz w:val="24"/>
        </w:rPr>
      </w:pPr>
      <w:r>
        <w:rPr>
          <w:color w:val="231F20"/>
          <w:spacing w:val="-1"/>
          <w:sz w:val="24"/>
        </w:rPr>
        <w:t>副作用等不良反應所引起之調藥(非結束治療)，由</w:t>
      </w:r>
      <w:r>
        <w:rPr>
          <w:color w:val="231F20"/>
          <w:sz w:val="24"/>
        </w:rPr>
        <w:t>TB</w:t>
      </w:r>
      <w:r>
        <w:rPr>
          <w:color w:val="231F20"/>
          <w:spacing w:val="-2"/>
          <w:sz w:val="24"/>
        </w:rPr>
        <w:t>  系統註記，不列計失敗。</w:t>
      </w:r>
      <w:r>
        <w:rPr>
          <w:color w:val="231F20"/>
          <w:w w:val="105"/>
          <w:sz w:val="24"/>
        </w:rPr>
        <w:t>五、抗藥性結核病個案管理：</w:t>
      </w:r>
    </w:p>
    <w:p>
      <w:pPr>
        <w:pStyle w:val="BodyText"/>
        <w:tabs>
          <w:tab w:pos="1349" w:val="left" w:leader="none"/>
        </w:tabs>
        <w:spacing w:line="395" w:lineRule="exact"/>
        <w:ind w:left="629"/>
      </w:pPr>
      <w:r>
        <w:rPr>
          <w:color w:val="231F20"/>
          <w:w w:val="65"/>
        </w:rPr>
        <w:t>（</w:t>
      </w:r>
      <w:r>
        <w:rPr>
          <w:color w:val="231F20"/>
          <w:spacing w:val="1"/>
          <w:w w:val="65"/>
        </w:rPr>
        <w:t> </w:t>
      </w:r>
      <w:r>
        <w:rPr>
          <w:color w:val="231F20"/>
          <w:spacing w:val="-8"/>
        </w:rPr>
        <w:t>— )</w:t>
      </w:r>
      <w:r>
        <w:rPr>
          <w:color w:val="231F20"/>
        </w:rPr>
        <w:tab/>
        <w:t>登記收案：</w:t>
      </w:r>
    </w:p>
    <w:p>
      <w:pPr>
        <w:pStyle w:val="ListParagraph"/>
        <w:numPr>
          <w:ilvl w:val="0"/>
          <w:numId w:val="207"/>
        </w:numPr>
        <w:tabs>
          <w:tab w:pos="1350" w:val="left" w:leader="none"/>
        </w:tabs>
        <w:spacing w:line="230" w:lineRule="auto" w:before="1" w:after="0"/>
        <w:ind w:left="1349" w:right="1128" w:hanging="255"/>
        <w:jc w:val="both"/>
        <w:rPr>
          <w:sz w:val="24"/>
        </w:rPr>
      </w:pPr>
      <w:r>
        <w:rPr>
          <w:color w:val="231F20"/>
          <w:spacing w:val="3"/>
          <w:sz w:val="24"/>
        </w:rPr>
        <w:t>衛生局 </w:t>
      </w:r>
      <w:r>
        <w:rPr>
          <w:color w:val="231F20"/>
          <w:spacing w:val="4"/>
          <w:w w:val="65"/>
          <w:sz w:val="24"/>
        </w:rPr>
        <w:t>／ </w:t>
      </w:r>
      <w:r>
        <w:rPr>
          <w:color w:val="231F20"/>
          <w:spacing w:val="10"/>
          <w:sz w:val="24"/>
        </w:rPr>
        <w:t>所應每日査詢「</w:t>
      </w:r>
      <w:r>
        <w:rPr>
          <w:color w:val="231F20"/>
          <w:sz w:val="24"/>
        </w:rPr>
        <w:t>TB</w:t>
      </w:r>
      <w:r>
        <w:rPr>
          <w:color w:val="231F20"/>
          <w:spacing w:val="1"/>
          <w:sz w:val="24"/>
        </w:rPr>
        <w:t> 系統」，於 </w:t>
      </w:r>
      <w:r>
        <w:rPr>
          <w:color w:val="231F20"/>
          <w:sz w:val="24"/>
        </w:rPr>
        <w:t>1</w:t>
      </w:r>
      <w:r>
        <w:rPr>
          <w:color w:val="231F20"/>
          <w:spacing w:val="4"/>
          <w:sz w:val="24"/>
        </w:rPr>
        <w:t> 個工作日內完成 </w:t>
      </w:r>
      <w:r>
        <w:rPr>
          <w:color w:val="231F20"/>
          <w:sz w:val="24"/>
        </w:rPr>
        <w:t>RR-TB</w:t>
      </w:r>
      <w:r>
        <w:rPr>
          <w:color w:val="231F20"/>
          <w:spacing w:val="-11"/>
          <w:sz w:val="24"/>
        </w:rPr>
        <w:t> 及 </w:t>
      </w:r>
      <w:r>
        <w:rPr>
          <w:color w:val="231F20"/>
          <w:sz w:val="24"/>
        </w:rPr>
        <w:t>MDR-TB </w:t>
      </w:r>
      <w:r>
        <w:rPr>
          <w:color w:val="231F20"/>
          <w:spacing w:val="-2"/>
          <w:sz w:val="24"/>
        </w:rPr>
        <w:t>登記收案。交付符合 </w:t>
      </w:r>
      <w:r>
        <w:rPr>
          <w:color w:val="231F20"/>
          <w:sz w:val="24"/>
        </w:rPr>
        <w:t>MDR-TB</w:t>
      </w:r>
      <w:r>
        <w:rPr>
          <w:color w:val="231F20"/>
          <w:spacing w:val="-5"/>
          <w:sz w:val="24"/>
        </w:rPr>
        <w:t> 條件之病人乙類限制搭乘大眾航空器出國 </w:t>
      </w:r>
      <w:r>
        <w:rPr>
          <w:color w:val="231F20"/>
          <w:w w:val="65"/>
          <w:sz w:val="24"/>
        </w:rPr>
        <w:t>（</w:t>
      </w:r>
      <w:r>
        <w:rPr>
          <w:color w:val="231F20"/>
          <w:spacing w:val="6"/>
          <w:w w:val="65"/>
          <w:sz w:val="24"/>
        </w:rPr>
        <w:t> </w:t>
      </w:r>
      <w:r>
        <w:rPr>
          <w:color w:val="231F20"/>
          <w:spacing w:val="-8"/>
          <w:sz w:val="24"/>
        </w:rPr>
        <w:t>境 ) 通</w:t>
      </w:r>
      <w:r>
        <w:rPr>
          <w:color w:val="231F20"/>
          <w:spacing w:val="-1"/>
          <w:sz w:val="24"/>
        </w:rPr>
        <w:t>知單，其餘病人交付甲類限制搭乘大眾航空器出國 </w:t>
      </w:r>
      <w:r>
        <w:rPr>
          <w:color w:val="231F20"/>
          <w:w w:val="65"/>
          <w:sz w:val="24"/>
        </w:rPr>
        <w:t>（</w:t>
      </w:r>
      <w:r>
        <w:rPr>
          <w:color w:val="231F20"/>
          <w:spacing w:val="-2"/>
          <w:w w:val="65"/>
          <w:sz w:val="24"/>
        </w:rPr>
        <w:t> </w:t>
      </w:r>
      <w:r>
        <w:rPr>
          <w:color w:val="231F20"/>
          <w:spacing w:val="-5"/>
          <w:sz w:val="24"/>
        </w:rPr>
        <w:t>境 ) 通知單。另同時告知病</w:t>
      </w:r>
      <w:r>
        <w:rPr>
          <w:color w:val="231F20"/>
          <w:spacing w:val="-3"/>
          <w:w w:val="105"/>
          <w:sz w:val="24"/>
        </w:rPr>
        <w:t>人納入 TMTC</w:t>
      </w:r>
      <w:r>
        <w:rPr>
          <w:color w:val="231F20"/>
          <w:spacing w:val="-5"/>
          <w:w w:val="105"/>
          <w:sz w:val="24"/>
        </w:rPr>
        <w:t> 團隊(附件 </w:t>
      </w:r>
      <w:r>
        <w:rPr>
          <w:color w:val="231F20"/>
          <w:w w:val="105"/>
          <w:sz w:val="24"/>
        </w:rPr>
        <w:t>10-1</w:t>
      </w:r>
      <w:r>
        <w:rPr>
          <w:color w:val="231F20"/>
          <w:spacing w:val="1"/>
          <w:w w:val="105"/>
          <w:sz w:val="24"/>
        </w:rPr>
        <w:t>)治療重要性，並提供病人「抗藥性結核病醫療</w:t>
      </w:r>
      <w:r>
        <w:rPr>
          <w:color w:val="231F20"/>
          <w:w w:val="105"/>
          <w:sz w:val="24"/>
        </w:rPr>
        <w:t>照護體系」轉介治療通知書及轉介暨評估單(附件 10-2、10-3</w:t>
      </w:r>
      <w:r>
        <w:rPr>
          <w:color w:val="231F20"/>
          <w:spacing w:val="2"/>
          <w:w w:val="105"/>
          <w:sz w:val="24"/>
        </w:rPr>
        <w:t>)各—份，以確</w:t>
      </w:r>
      <w:r>
        <w:rPr>
          <w:color w:val="231F20"/>
          <w:spacing w:val="8"/>
          <w:sz w:val="24"/>
        </w:rPr>
        <w:t>保病人瞭解加入</w:t>
      </w:r>
      <w:r>
        <w:rPr>
          <w:color w:val="231F20"/>
          <w:spacing w:val="-3"/>
          <w:sz w:val="24"/>
        </w:rPr>
        <w:t>TMTC</w:t>
      </w:r>
      <w:r>
        <w:rPr>
          <w:color w:val="231F20"/>
          <w:spacing w:val="-6"/>
          <w:sz w:val="24"/>
        </w:rPr>
        <w:t> 團隊重要性、抗藥性結核病治療管理原則以及相關隔離治</w:t>
      </w:r>
      <w:r>
        <w:rPr>
          <w:color w:val="231F20"/>
          <w:w w:val="110"/>
          <w:sz w:val="24"/>
        </w:rPr>
        <w:t>療之規範。</w:t>
      </w:r>
    </w:p>
    <w:p>
      <w:pPr>
        <w:pStyle w:val="ListParagraph"/>
        <w:numPr>
          <w:ilvl w:val="0"/>
          <w:numId w:val="207"/>
        </w:numPr>
        <w:tabs>
          <w:tab w:pos="1349" w:val="left" w:leader="none"/>
        </w:tabs>
        <w:spacing w:line="230" w:lineRule="auto" w:before="0" w:after="0"/>
        <w:ind w:left="1349" w:right="1075" w:hanging="255"/>
        <w:jc w:val="both"/>
        <w:rPr>
          <w:sz w:val="24"/>
        </w:rPr>
      </w:pPr>
      <w:r>
        <w:rPr>
          <w:color w:val="231F20"/>
          <w:w w:val="95"/>
          <w:sz w:val="24"/>
        </w:rPr>
        <w:t>MDR／RR-TB</w:t>
      </w:r>
      <w:r>
        <w:rPr>
          <w:color w:val="231F20"/>
          <w:spacing w:val="4"/>
          <w:w w:val="95"/>
          <w:sz w:val="24"/>
        </w:rPr>
        <w:t> 病人註記後 </w:t>
      </w:r>
      <w:r>
        <w:rPr>
          <w:color w:val="231F20"/>
          <w:w w:val="95"/>
          <w:sz w:val="24"/>
        </w:rPr>
        <w:t>3</w:t>
      </w:r>
      <w:r>
        <w:rPr>
          <w:color w:val="231F20"/>
          <w:spacing w:val="11"/>
          <w:w w:val="95"/>
          <w:sz w:val="24"/>
        </w:rPr>
        <w:t> 個工作日內</w:t>
      </w:r>
      <w:r>
        <w:rPr>
          <w:color w:val="231F20"/>
          <w:w w:val="70"/>
          <w:sz w:val="24"/>
        </w:rPr>
        <w:t>（</w:t>
      </w:r>
      <w:r>
        <w:rPr>
          <w:color w:val="231F20"/>
          <w:spacing w:val="37"/>
          <w:w w:val="70"/>
          <w:sz w:val="24"/>
        </w:rPr>
        <w:t> </w:t>
      </w:r>
      <w:r>
        <w:rPr>
          <w:color w:val="231F20"/>
          <w:spacing w:val="-1"/>
          <w:w w:val="95"/>
          <w:sz w:val="24"/>
        </w:rPr>
        <w:t>其餘收案對象儘速完成)，完成病人「抗</w:t>
      </w:r>
      <w:r>
        <w:rPr>
          <w:color w:val="231F20"/>
          <w:spacing w:val="7"/>
          <w:sz w:val="24"/>
        </w:rPr>
        <w:t>藥性結核病醫療照護體系轉介治療通知書」及「抗藥性結核病治療轉介暨評估</w:t>
      </w:r>
      <w:r>
        <w:rPr>
          <w:color w:val="231F20"/>
          <w:spacing w:val="-9"/>
          <w:sz w:val="24"/>
        </w:rPr>
        <w:t>單」簽收，於</w:t>
      </w:r>
      <w:r>
        <w:rPr>
          <w:color w:val="231F20"/>
          <w:sz w:val="24"/>
        </w:rPr>
        <w:t>1</w:t>
      </w:r>
      <w:r>
        <w:rPr>
          <w:color w:val="231F20"/>
          <w:spacing w:val="-3"/>
          <w:sz w:val="24"/>
        </w:rPr>
        <w:t> 個工作日內提供預轉入之TMTC</w:t>
      </w:r>
      <w:r>
        <w:rPr>
          <w:color w:val="231F20"/>
          <w:spacing w:val="-10"/>
          <w:sz w:val="24"/>
        </w:rPr>
        <w:t> 團隊，並儘速安排病人就醫時間。</w:t>
      </w:r>
    </w:p>
    <w:p>
      <w:pPr>
        <w:pStyle w:val="BodyText"/>
        <w:spacing w:line="394" w:lineRule="exact"/>
        <w:ind w:left="629"/>
        <w:jc w:val="both"/>
      </w:pPr>
      <w:r>
        <w:rPr>
          <w:color w:val="231F20"/>
          <w:w w:val="65"/>
        </w:rPr>
        <w:t>（ </w:t>
      </w:r>
      <w:r>
        <w:rPr>
          <w:color w:val="231F20"/>
        </w:rPr>
        <w:t>二 ) 管理原則：</w:t>
      </w:r>
    </w:p>
    <w:p>
      <w:pPr>
        <w:pStyle w:val="ListParagraph"/>
        <w:numPr>
          <w:ilvl w:val="0"/>
          <w:numId w:val="208"/>
        </w:numPr>
        <w:tabs>
          <w:tab w:pos="1349" w:val="left" w:leader="none"/>
        </w:tabs>
        <w:spacing w:line="230" w:lineRule="auto" w:before="0" w:after="0"/>
        <w:ind w:left="1349" w:right="1132" w:hanging="255"/>
        <w:jc w:val="both"/>
        <w:rPr>
          <w:sz w:val="24"/>
        </w:rPr>
      </w:pPr>
      <w:r>
        <w:rPr>
          <w:color w:val="231F20"/>
          <w:spacing w:val="19"/>
          <w:sz w:val="24"/>
        </w:rPr>
        <w:t>應納入</w:t>
      </w:r>
      <w:r>
        <w:rPr>
          <w:color w:val="231F20"/>
          <w:spacing w:val="-3"/>
          <w:sz w:val="24"/>
        </w:rPr>
        <w:t>TMTC</w:t>
      </w:r>
      <w:r>
        <w:rPr>
          <w:color w:val="231F20"/>
          <w:spacing w:val="-4"/>
          <w:sz w:val="24"/>
        </w:rPr>
        <w:t> 團隊治療：抗藥性結核比起—般結核病病人，治療時間可能更長、</w:t>
      </w:r>
      <w:r>
        <w:rPr>
          <w:color w:val="231F20"/>
          <w:spacing w:val="-1"/>
          <w:sz w:val="24"/>
        </w:rPr>
        <w:t>用藥副作用可能更多、治療成功率可能更低，所以公衛管理人員協助病人順利銜接至專業臨床醫療照護團隊，將是病人能否成功治癒的重要關鍵。抗藥性結核病</w:t>
      </w:r>
      <w:r>
        <w:rPr>
          <w:color w:val="231F20"/>
          <w:spacing w:val="-3"/>
          <w:sz w:val="24"/>
        </w:rPr>
        <w:t>病人皆應轉介納入 TMTC</w:t>
      </w:r>
      <w:r>
        <w:rPr>
          <w:color w:val="231F20"/>
          <w:spacing w:val="-7"/>
          <w:sz w:val="24"/>
        </w:rPr>
        <w:t> 團隊治療，而未納入 </w:t>
      </w:r>
      <w:r>
        <w:rPr>
          <w:color w:val="231F20"/>
          <w:spacing w:val="-3"/>
          <w:sz w:val="24"/>
        </w:rPr>
        <w:t>TMTC</w:t>
      </w:r>
      <w:r>
        <w:rPr>
          <w:color w:val="231F20"/>
          <w:spacing w:val="-7"/>
          <w:sz w:val="24"/>
        </w:rPr>
        <w:t> 團隊收案之病人，衛生局 </w:t>
      </w:r>
      <w:r>
        <w:rPr>
          <w:color w:val="231F20"/>
          <w:w w:val="80"/>
          <w:sz w:val="24"/>
        </w:rPr>
        <w:t>／ </w:t>
      </w:r>
      <w:r>
        <w:rPr>
          <w:color w:val="231F20"/>
          <w:spacing w:val="-1"/>
          <w:sz w:val="24"/>
        </w:rPr>
        <w:t>所應更加強個案管理，以避免病人轉變為 </w:t>
      </w:r>
      <w:r>
        <w:rPr>
          <w:color w:val="231F20"/>
          <w:sz w:val="24"/>
        </w:rPr>
        <w:t>Pre-XDR-TB</w:t>
      </w:r>
      <w:r>
        <w:rPr>
          <w:color w:val="231F20"/>
          <w:spacing w:val="-14"/>
          <w:sz w:val="24"/>
        </w:rPr>
        <w:t> </w:t>
      </w:r>
      <w:r>
        <w:rPr>
          <w:color w:val="231F20"/>
          <w:sz w:val="24"/>
        </w:rPr>
        <w:t>／XDR-TB。</w:t>
      </w:r>
    </w:p>
    <w:p>
      <w:pPr>
        <w:pStyle w:val="ListParagraph"/>
        <w:numPr>
          <w:ilvl w:val="0"/>
          <w:numId w:val="208"/>
        </w:numPr>
        <w:tabs>
          <w:tab w:pos="1350" w:val="left" w:leader="none"/>
        </w:tabs>
        <w:spacing w:line="230" w:lineRule="auto" w:before="0" w:after="0"/>
        <w:ind w:left="1349" w:right="1124" w:hanging="255"/>
        <w:jc w:val="both"/>
        <w:rPr>
          <w:sz w:val="24"/>
        </w:rPr>
      </w:pPr>
      <w:r>
        <w:rPr>
          <w:color w:val="231F20"/>
          <w:spacing w:val="7"/>
          <w:sz w:val="24"/>
        </w:rPr>
        <w:t>持續執行進陪都治 </w:t>
      </w:r>
      <w:r>
        <w:rPr>
          <w:color w:val="231F20"/>
          <w:w w:val="32"/>
          <w:sz w:val="24"/>
        </w:rPr>
        <w:t>（</w:t>
      </w:r>
      <w:r>
        <w:rPr>
          <w:color w:val="231F20"/>
          <w:w w:val="104"/>
          <w:sz w:val="24"/>
        </w:rPr>
        <w:t>D</w:t>
      </w:r>
      <w:r>
        <w:rPr>
          <w:color w:val="231F20"/>
          <w:spacing w:val="-12"/>
          <w:w w:val="104"/>
          <w:sz w:val="24"/>
        </w:rPr>
        <w:t>O</w:t>
      </w:r>
      <w:r>
        <w:rPr>
          <w:color w:val="231F20"/>
          <w:w w:val="91"/>
          <w:sz w:val="24"/>
        </w:rPr>
        <w:t>T</w:t>
      </w:r>
      <w:r>
        <w:rPr>
          <w:color w:val="231F20"/>
          <w:w w:val="85"/>
          <w:sz w:val="24"/>
        </w:rPr>
        <w:t>S</w:t>
      </w:r>
      <w:r>
        <w:rPr>
          <w:color w:val="231F20"/>
          <w:w w:val="129"/>
          <w:sz w:val="24"/>
        </w:rPr>
        <w:t>-</w:t>
      </w:r>
      <w:r>
        <w:rPr>
          <w:color w:val="231F20"/>
          <w:spacing w:val="-1"/>
          <w:w w:val="113"/>
          <w:sz w:val="24"/>
        </w:rPr>
        <w:t>p</w:t>
      </w:r>
      <w:r>
        <w:rPr>
          <w:color w:val="231F20"/>
          <w:spacing w:val="-1"/>
          <w:w w:val="116"/>
          <w:sz w:val="24"/>
        </w:rPr>
        <w:t>l</w:t>
      </w:r>
      <w:r>
        <w:rPr>
          <w:color w:val="231F20"/>
          <w:spacing w:val="-1"/>
          <w:w w:val="109"/>
          <w:sz w:val="24"/>
        </w:rPr>
        <w:t>u</w:t>
      </w:r>
      <w:r>
        <w:rPr>
          <w:color w:val="231F20"/>
          <w:spacing w:val="-1"/>
          <w:w w:val="91"/>
          <w:sz w:val="24"/>
        </w:rPr>
        <w:t>s</w:t>
      </w:r>
      <w:r>
        <w:rPr>
          <w:color w:val="231F20"/>
          <w:w w:val="96"/>
          <w:sz w:val="24"/>
        </w:rPr>
        <w:t>)</w:t>
      </w:r>
      <w:r>
        <w:rPr>
          <w:color w:val="231F20"/>
          <w:spacing w:val="9"/>
          <w:sz w:val="24"/>
        </w:rPr>
        <w:t>：無冊是否納入團隊，抗藥性結核病病人務必</w:t>
      </w:r>
      <w:r>
        <w:rPr>
          <w:color w:val="231F20"/>
          <w:sz w:val="24"/>
        </w:rPr>
        <w:t>進行 DOTS-Plus</w:t>
      </w:r>
      <w:r>
        <w:rPr>
          <w:color w:val="231F20"/>
          <w:spacing w:val="10"/>
          <w:sz w:val="24"/>
        </w:rPr>
        <w:t>。對尚未加入 </w:t>
      </w:r>
      <w:r>
        <w:rPr>
          <w:color w:val="231F20"/>
          <w:spacing w:val="-4"/>
          <w:sz w:val="24"/>
        </w:rPr>
        <w:t>TMTC</w:t>
      </w:r>
      <w:r>
        <w:rPr>
          <w:color w:val="231F20"/>
          <w:spacing w:val="6"/>
          <w:sz w:val="24"/>
        </w:rPr>
        <w:t> 團隊之病人，衛生局 </w:t>
      </w:r>
      <w:r>
        <w:rPr>
          <w:color w:val="231F20"/>
          <w:spacing w:val="-2"/>
          <w:w w:val="80"/>
          <w:sz w:val="24"/>
        </w:rPr>
        <w:t>／ </w:t>
      </w:r>
      <w:r>
        <w:rPr>
          <w:color w:val="231F20"/>
          <w:spacing w:val="7"/>
          <w:sz w:val="24"/>
        </w:rPr>
        <w:t>所應比照 </w:t>
      </w:r>
      <w:r>
        <w:rPr>
          <w:color w:val="231F20"/>
          <w:spacing w:val="-3"/>
          <w:sz w:val="24"/>
        </w:rPr>
        <w:t>DOTS- </w:t>
      </w:r>
      <w:r>
        <w:rPr>
          <w:color w:val="231F20"/>
          <w:sz w:val="24"/>
        </w:rPr>
        <w:t>plus</w:t>
      </w:r>
      <w:r>
        <w:rPr>
          <w:color w:val="231F20"/>
          <w:spacing w:val="2"/>
          <w:sz w:val="24"/>
        </w:rPr>
        <w:t>，執行每週至少 </w:t>
      </w:r>
      <w:r>
        <w:rPr>
          <w:color w:val="231F20"/>
          <w:sz w:val="24"/>
        </w:rPr>
        <w:t>5 天，每天依治療處方頻率安排都治服務，例如每日服藥 1 次處方者，則每天 1 次直接觀察服藥；每日服藥 2 次以上處方者，則每天至少 2</w:t>
      </w:r>
    </w:p>
    <w:p>
      <w:pPr>
        <w:spacing w:after="0" w:line="230" w:lineRule="auto"/>
        <w:jc w:val="both"/>
        <w:rPr>
          <w:sz w:val="24"/>
        </w:rPr>
        <w:sectPr>
          <w:pgSz w:w="11910" w:h="16840"/>
          <w:pgMar w:top="1060" w:bottom="0" w:left="980" w:right="0"/>
        </w:sectPr>
      </w:pPr>
    </w:p>
    <w:p>
      <w:pPr>
        <w:pStyle w:val="BodyText"/>
        <w:spacing w:line="409" w:lineRule="exact" w:before="59"/>
        <w:ind w:left="1349"/>
      </w:pPr>
      <w:r>
        <w:rPr/>
        <w:pict>
          <v:group style="position:absolute;margin-left:-.000001pt;margin-top:286.162994pt;width:37.35pt;height:555.550pt;mso-position-horizontal-relative:page;mso-position-vertical-relative:page;z-index:251918336"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72;top:16271;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110</w:t>
                    </w:r>
                  </w:p>
                </w:txbxContent>
              </v:textbox>
              <w10:wrap type="none"/>
            </v:shape>
            <w10:wrap type="none"/>
          </v:group>
        </w:pict>
      </w:r>
      <w:r>
        <w:rPr>
          <w:color w:val="231F20"/>
        </w:rPr>
        <w:t>次直接觀察服藥。</w:t>
      </w:r>
    </w:p>
    <w:p>
      <w:pPr>
        <w:pStyle w:val="ListParagraph"/>
        <w:numPr>
          <w:ilvl w:val="0"/>
          <w:numId w:val="208"/>
        </w:numPr>
        <w:tabs>
          <w:tab w:pos="1349" w:val="left" w:leader="none"/>
        </w:tabs>
        <w:spacing w:line="400" w:lineRule="exact" w:before="0" w:after="0"/>
        <w:ind w:left="1348" w:right="0" w:hanging="255"/>
        <w:jc w:val="left"/>
        <w:rPr>
          <w:sz w:val="24"/>
        </w:rPr>
      </w:pPr>
      <w:r>
        <w:rPr>
          <w:color w:val="231F20"/>
          <w:spacing w:val="-1"/>
          <w:sz w:val="24"/>
        </w:rPr>
        <w:t>未納入團隊收案病人管理流程 </w:t>
      </w:r>
      <w:r>
        <w:rPr>
          <w:color w:val="231F20"/>
          <w:w w:val="70"/>
          <w:sz w:val="24"/>
        </w:rPr>
        <w:t>（</w:t>
      </w:r>
      <w:r>
        <w:rPr>
          <w:color w:val="231F20"/>
          <w:spacing w:val="12"/>
          <w:w w:val="70"/>
          <w:sz w:val="24"/>
        </w:rPr>
        <w:t> </w:t>
      </w:r>
      <w:r>
        <w:rPr>
          <w:color w:val="231F20"/>
          <w:spacing w:val="-3"/>
          <w:sz w:val="24"/>
        </w:rPr>
        <w:t>附件 </w:t>
      </w:r>
      <w:r>
        <w:rPr>
          <w:color w:val="231F20"/>
          <w:sz w:val="24"/>
        </w:rPr>
        <w:t>10-4)：</w:t>
      </w:r>
    </w:p>
    <w:p>
      <w:pPr>
        <w:pStyle w:val="BodyText"/>
        <w:spacing w:line="230" w:lineRule="auto" w:before="2"/>
        <w:ind w:left="1591" w:right="1075" w:hanging="355"/>
        <w:jc w:val="both"/>
      </w:pPr>
      <w:r>
        <w:rPr>
          <w:color w:val="231F20"/>
          <w:w w:val="32"/>
        </w:rPr>
        <w:t>（</w:t>
      </w:r>
      <w:r>
        <w:rPr>
          <w:color w:val="231F20"/>
          <w:w w:val="104"/>
        </w:rPr>
        <w:t>1</w:t>
      </w:r>
      <w:r>
        <w:rPr>
          <w:color w:val="231F20"/>
          <w:w w:val="96"/>
        </w:rPr>
        <w:t>)</w:t>
      </w:r>
      <w:r>
        <w:rPr>
          <w:color w:val="231F20"/>
        </w:rPr>
        <w:t> 未納入團隊治療之「</w:t>
      </w:r>
      <w:r>
        <w:rPr>
          <w:color w:val="231F20"/>
          <w:spacing w:val="-1"/>
          <w:w w:val="115"/>
        </w:rPr>
        <w:t>M</w:t>
      </w:r>
      <w:r>
        <w:rPr>
          <w:color w:val="231F20"/>
          <w:w w:val="104"/>
        </w:rPr>
        <w:t>D</w:t>
      </w:r>
      <w:r>
        <w:rPr>
          <w:color w:val="231F20"/>
          <w:spacing w:val="-1"/>
          <w:w w:val="88"/>
        </w:rPr>
        <w:t>R</w:t>
      </w:r>
      <w:r>
        <w:rPr>
          <w:color w:val="231F20"/>
          <w:w w:val="129"/>
        </w:rPr>
        <w:t>-</w:t>
      </w:r>
      <w:r>
        <w:rPr>
          <w:color w:val="231F20"/>
          <w:w w:val="91"/>
        </w:rPr>
        <w:t>T</w:t>
      </w:r>
      <w:r>
        <w:rPr>
          <w:color w:val="231F20"/>
          <w:spacing w:val="-1"/>
          <w:w w:val="92"/>
        </w:rPr>
        <w:t>B</w:t>
      </w:r>
      <w:r>
        <w:rPr>
          <w:color w:val="231F20"/>
          <w:spacing w:val="-1"/>
          <w:w w:val="99"/>
        </w:rPr>
        <w:t>」、「RM</w:t>
      </w:r>
      <w:r>
        <w:rPr>
          <w:color w:val="231F20"/>
          <w:w w:val="99"/>
        </w:rPr>
        <w:t>P</w:t>
      </w:r>
      <w:r>
        <w:rPr>
          <w:color w:val="231F20"/>
          <w:spacing w:val="-1"/>
        </w:rPr>
        <w:t> 抗藥且對任— </w:t>
      </w:r>
      <w:r>
        <w:rPr>
          <w:color w:val="231F20"/>
          <w:w w:val="85"/>
        </w:rPr>
        <w:t>F</w:t>
      </w:r>
      <w:r>
        <w:rPr>
          <w:color w:val="231F20"/>
          <w:spacing w:val="-10"/>
          <w:w w:val="90"/>
        </w:rPr>
        <w:t>L</w:t>
      </w:r>
      <w:r>
        <w:rPr>
          <w:color w:val="231F20"/>
          <w:w w:val="104"/>
        </w:rPr>
        <w:t>Q</w:t>
      </w:r>
      <w:r>
        <w:rPr>
          <w:color w:val="231F20"/>
          <w:spacing w:val="-1"/>
        </w:rPr>
        <w:t> 抗藥</w:t>
      </w:r>
      <w:r>
        <w:rPr>
          <w:color w:val="231F20"/>
          <w:spacing w:val="-1"/>
          <w:w w:val="99"/>
        </w:rPr>
        <w:t>」、「RMP</w:t>
      </w:r>
      <w:r>
        <w:rPr>
          <w:color w:val="231F20"/>
          <w:spacing w:val="-23"/>
        </w:rPr>
        <w:t>單—抗藥」、「任三種—線藥物抗藥」、</w:t>
      </w:r>
      <w:r>
        <w:rPr>
          <w:color w:val="231F20"/>
          <w:spacing w:val="-1"/>
          <w:w w:val="104"/>
        </w:rPr>
        <w:t>「IN</w:t>
      </w:r>
      <w:r>
        <w:rPr>
          <w:color w:val="231F20"/>
          <w:w w:val="104"/>
        </w:rPr>
        <w:t>H</w:t>
      </w:r>
      <w:r>
        <w:rPr>
          <w:color w:val="231F20"/>
          <w:spacing w:val="-13"/>
        </w:rPr>
        <w:t> 抗藥及任—線抗藥</w:t>
      </w:r>
      <w:r>
        <w:rPr>
          <w:color w:val="231F20"/>
          <w:w w:val="300"/>
        </w:rPr>
        <w:t>(</w:t>
      </w:r>
      <w:r>
        <w:rPr>
          <w:color w:val="231F20"/>
          <w:spacing w:val="-1"/>
          <w:w w:val="99"/>
        </w:rPr>
        <w:t>RM</w:t>
      </w:r>
      <w:r>
        <w:rPr>
          <w:color w:val="231F20"/>
          <w:w w:val="99"/>
        </w:rPr>
        <w:t>P</w:t>
      </w:r>
      <w:r>
        <w:rPr>
          <w:color w:val="231F20"/>
          <w:spacing w:val="-13"/>
        </w:rPr>
        <w:t> 除外</w:t>
      </w:r>
      <w:r>
        <w:rPr>
          <w:color w:val="231F20"/>
          <w:spacing w:val="-58"/>
          <w:w w:val="300"/>
        </w:rPr>
        <w:t>)</w:t>
      </w:r>
      <w:r>
        <w:rPr>
          <w:color w:val="231F20"/>
        </w:rPr>
        <w:t>，</w:t>
      </w:r>
      <w:r>
        <w:rPr>
          <w:color w:val="231F20"/>
          <w:spacing w:val="-2"/>
        </w:rPr>
        <w:t>併使用 </w:t>
      </w:r>
      <w:r>
        <w:rPr>
          <w:color w:val="231F20"/>
          <w:spacing w:val="-4"/>
        </w:rPr>
        <w:t>FLQ</w:t>
      </w:r>
      <w:r>
        <w:rPr>
          <w:color w:val="231F20"/>
          <w:spacing w:val="-2"/>
        </w:rPr>
        <w:t> 治療」病人，衛生局 </w:t>
      </w:r>
      <w:r>
        <w:rPr>
          <w:color w:val="231F20"/>
          <w:spacing w:val="-4"/>
          <w:w w:val="80"/>
        </w:rPr>
        <w:t>／ </w:t>
      </w:r>
      <w:r>
        <w:rPr>
          <w:color w:val="231F20"/>
          <w:spacing w:val="2"/>
        </w:rPr>
        <w:t>所應於病人治療 </w:t>
      </w:r>
      <w:r>
        <w:rPr>
          <w:color w:val="231F20"/>
        </w:rPr>
        <w:t>2</w:t>
      </w:r>
      <w:r>
        <w:rPr>
          <w:color w:val="231F20"/>
          <w:spacing w:val="2"/>
        </w:rPr>
        <w:t> 個月內，將病人資料提</w:t>
      </w:r>
      <w:r>
        <w:rPr>
          <w:color w:val="231F20"/>
          <w:w w:val="105"/>
        </w:rPr>
        <w:t>至縣市級診療諮詢小組進行處方口冊。</w:t>
      </w:r>
    </w:p>
    <w:p>
      <w:pPr>
        <w:pStyle w:val="BodyText"/>
        <w:spacing w:line="230" w:lineRule="auto"/>
        <w:ind w:left="1591" w:right="1131" w:hanging="355"/>
        <w:jc w:val="both"/>
      </w:pPr>
      <w:r>
        <w:rPr>
          <w:color w:val="231F20"/>
          <w:w w:val="32"/>
        </w:rPr>
        <w:t>（</w:t>
      </w:r>
      <w:r>
        <w:rPr>
          <w:color w:val="231F20"/>
          <w:w w:val="104"/>
        </w:rPr>
        <w:t>2</w:t>
      </w:r>
      <w:r>
        <w:rPr>
          <w:color w:val="231F20"/>
          <w:w w:val="96"/>
        </w:rPr>
        <w:t>)</w:t>
      </w:r>
      <w:r>
        <w:rPr>
          <w:color w:val="231F20"/>
        </w:rPr>
        <w:t> 衛生局 </w:t>
      </w:r>
      <w:r>
        <w:rPr>
          <w:color w:val="231F20"/>
          <w:w w:val="41"/>
        </w:rPr>
        <w:t>／</w:t>
      </w:r>
      <w:r>
        <w:rPr>
          <w:color w:val="231F20"/>
        </w:rPr>
        <w:t> 所應於 </w:t>
      </w:r>
      <w:r>
        <w:rPr>
          <w:color w:val="231F20"/>
          <w:w w:val="91"/>
        </w:rPr>
        <w:t>T</w:t>
      </w:r>
      <w:r>
        <w:rPr>
          <w:color w:val="231F20"/>
          <w:w w:val="92"/>
        </w:rPr>
        <w:t>B</w:t>
      </w:r>
      <w:r>
        <w:rPr>
          <w:color w:val="231F20"/>
        </w:rPr>
        <w:t> 系統之「抗藥醫療照護體系入口」，登入病人身分證字號後新增—筆病人，之後鍵入病人主檔基本資料，必要時進行系統相關頁面資料維護。</w:t>
      </w:r>
    </w:p>
    <w:p>
      <w:pPr>
        <w:pStyle w:val="BodyText"/>
        <w:spacing w:line="230" w:lineRule="auto"/>
        <w:ind w:left="1591" w:right="1134" w:hanging="355"/>
        <w:jc w:val="both"/>
      </w:pPr>
      <w:r>
        <w:rPr>
          <w:color w:val="231F20"/>
          <w:w w:val="80"/>
        </w:rPr>
        <w:t>（3) </w:t>
      </w:r>
      <w:r>
        <w:rPr>
          <w:color w:val="231F20"/>
          <w:spacing w:val="-6"/>
        </w:rPr>
        <w:t>如治療開始後 </w:t>
      </w:r>
      <w:r>
        <w:rPr>
          <w:color w:val="231F20"/>
        </w:rPr>
        <w:t>4</w:t>
      </w:r>
      <w:r>
        <w:rPr>
          <w:color w:val="231F20"/>
          <w:spacing w:val="-2"/>
        </w:rPr>
        <w:t> 個月均未陰轉，且病人拒絕轉入</w:t>
      </w:r>
      <w:r>
        <w:rPr>
          <w:color w:val="231F20"/>
          <w:spacing w:val="-3"/>
        </w:rPr>
        <w:t>TMTC</w:t>
      </w:r>
      <w:r>
        <w:rPr>
          <w:color w:val="231F20"/>
          <w:spacing w:val="2"/>
        </w:rPr>
        <w:t> 團隊，衛生局</w:t>
      </w:r>
      <w:r>
        <w:rPr>
          <w:color w:val="231F20"/>
          <w:spacing w:val="-13"/>
          <w:w w:val="80"/>
        </w:rPr>
        <w:t>／ </w:t>
      </w:r>
      <w:r>
        <w:rPr>
          <w:color w:val="231F20"/>
          <w:spacing w:val="-6"/>
        </w:rPr>
        <w:t>所應將</w:t>
      </w:r>
      <w:r>
        <w:rPr>
          <w:color w:val="231F20"/>
          <w:spacing w:val="-1"/>
        </w:rPr>
        <w:t>病人資料提至疾管署召開之「抗藥性結核病醫療照護體系檢口暨困難治療個案口冊會」口冊，並同時評估是否需依「傳染病防治法」予以隔離治療，經委員</w:t>
      </w:r>
      <w:r>
        <w:rPr>
          <w:color w:val="231F20"/>
          <w:spacing w:val="-2"/>
        </w:rPr>
        <w:t>提供治療處置建議後，若仍未陰轉，之後每 </w:t>
      </w:r>
      <w:r>
        <w:rPr>
          <w:color w:val="231F20"/>
        </w:rPr>
        <w:t>2</w:t>
      </w:r>
      <w:r>
        <w:rPr>
          <w:color w:val="231F20"/>
          <w:spacing w:val="-8"/>
        </w:rPr>
        <w:t> 個月衛生局 </w:t>
      </w:r>
      <w:r>
        <w:rPr>
          <w:color w:val="231F20"/>
          <w:spacing w:val="-4"/>
          <w:w w:val="80"/>
        </w:rPr>
        <w:t>／ </w:t>
      </w:r>
      <w:r>
        <w:rPr>
          <w:color w:val="231F20"/>
        </w:rPr>
        <w:t>所應提送縣市級診療諮詢小組進行口冊。</w:t>
      </w:r>
    </w:p>
    <w:p>
      <w:pPr>
        <w:pStyle w:val="BodyText"/>
        <w:spacing w:line="391" w:lineRule="exact"/>
        <w:ind w:left="1236"/>
      </w:pPr>
      <w:r>
        <w:rPr>
          <w:color w:val="231F20"/>
          <w:w w:val="95"/>
        </w:rPr>
        <w:t>（4) </w:t>
      </w:r>
      <w:r>
        <w:rPr>
          <w:color w:val="231F20"/>
        </w:rPr>
        <w:t>針對未納入TMTC 團隊治療之「MDR-TB」、「RMP 抗藥且對任— FLQ 抗藥」、</w:t>
      </w:r>
    </w:p>
    <w:p>
      <w:pPr>
        <w:pStyle w:val="BodyText"/>
        <w:spacing w:line="230" w:lineRule="auto"/>
        <w:ind w:left="1591" w:right="1128"/>
        <w:jc w:val="both"/>
      </w:pPr>
      <w:r>
        <w:rPr>
          <w:color w:val="231F20"/>
        </w:rPr>
        <w:t>「RMP 單—抗藥」完治前，請送疾管署召開「抗藥性結核病醫療照護體系檢口暨困難治療個案口冊會」確認後始可銷案。</w:t>
      </w:r>
    </w:p>
    <w:p>
      <w:pPr>
        <w:pStyle w:val="BodyText"/>
        <w:spacing w:line="230" w:lineRule="auto"/>
        <w:ind w:left="1591" w:right="1075" w:hanging="355"/>
        <w:jc w:val="both"/>
      </w:pPr>
      <w:r>
        <w:rPr>
          <w:color w:val="231F20"/>
          <w:w w:val="95"/>
        </w:rPr>
        <w:t>（5) </w:t>
      </w:r>
      <w:r>
        <w:rPr>
          <w:color w:val="231F20"/>
          <w:spacing w:val="10"/>
        </w:rPr>
        <w:t>針對未納入</w:t>
      </w:r>
      <w:r>
        <w:rPr>
          <w:color w:val="231F20"/>
          <w:spacing w:val="-3"/>
        </w:rPr>
        <w:t>TMTC</w:t>
      </w:r>
      <w:r>
        <w:rPr>
          <w:color w:val="231F20"/>
          <w:spacing w:val="-11"/>
        </w:rPr>
        <w:t> 團隊治療之「</w:t>
      </w:r>
      <w:r>
        <w:rPr>
          <w:color w:val="231F20"/>
        </w:rPr>
        <w:t>MDR-TB</w:t>
      </w:r>
      <w:r>
        <w:rPr>
          <w:color w:val="231F20"/>
          <w:spacing w:val="-20"/>
        </w:rPr>
        <w:t>」、「</w:t>
      </w:r>
      <w:r>
        <w:rPr>
          <w:color w:val="231F20"/>
        </w:rPr>
        <w:t>RMP</w:t>
      </w:r>
      <w:r>
        <w:rPr>
          <w:color w:val="231F20"/>
          <w:spacing w:val="-13"/>
        </w:rPr>
        <w:t> 抗藥且對任— </w:t>
      </w:r>
      <w:r>
        <w:rPr>
          <w:color w:val="231F20"/>
          <w:spacing w:val="-3"/>
        </w:rPr>
        <w:t>FLQ</w:t>
      </w:r>
      <w:r>
        <w:rPr>
          <w:color w:val="231F20"/>
          <w:spacing w:val="-15"/>
        </w:rPr>
        <w:t> 抗藥」</w:t>
      </w:r>
      <w:r>
        <w:rPr>
          <w:color w:val="231F20"/>
          <w:spacing w:val="13"/>
        </w:rPr>
        <w:t>治療逾</w:t>
      </w:r>
      <w:r>
        <w:rPr>
          <w:color w:val="231F20"/>
        </w:rPr>
        <w:t>24</w:t>
      </w:r>
      <w:r>
        <w:rPr>
          <w:color w:val="231F20"/>
          <w:spacing w:val="-21"/>
        </w:rPr>
        <w:t> 個月、「</w:t>
      </w:r>
      <w:r>
        <w:rPr>
          <w:color w:val="231F20"/>
        </w:rPr>
        <w:t>RMP</w:t>
      </w:r>
      <w:r>
        <w:rPr>
          <w:color w:val="231F20"/>
          <w:spacing w:val="-13"/>
        </w:rPr>
        <w:t> 單—抗藥」、「任三種—線藥物抗藥」治療逾</w:t>
      </w:r>
      <w:r>
        <w:rPr>
          <w:color w:val="231F20"/>
        </w:rPr>
        <w:t>20</w:t>
      </w:r>
      <w:r>
        <w:rPr>
          <w:color w:val="231F20"/>
          <w:spacing w:val="-9"/>
        </w:rPr>
        <w:t> 個月、</w:t>
      </w:r>
    </w:p>
    <w:p>
      <w:pPr>
        <w:pStyle w:val="BodyText"/>
        <w:spacing w:line="230" w:lineRule="auto"/>
        <w:ind w:left="1591" w:right="1126"/>
        <w:jc w:val="both"/>
      </w:pPr>
      <w:r>
        <w:rPr>
          <w:color w:val="231F20"/>
        </w:rPr>
        <w:t>「</w:t>
      </w:r>
      <w:r>
        <w:rPr>
          <w:color w:val="231F20"/>
          <w:w w:val="102"/>
        </w:rPr>
        <w:t>I</w:t>
      </w:r>
      <w:r>
        <w:rPr>
          <w:color w:val="231F20"/>
          <w:w w:val="111"/>
        </w:rPr>
        <w:t>N</w:t>
      </w:r>
      <w:r>
        <w:rPr>
          <w:color w:val="231F20"/>
          <w:w w:val="105"/>
        </w:rPr>
        <w:t>H</w:t>
      </w:r>
      <w:r>
        <w:rPr>
          <w:color w:val="231F20"/>
        </w:rPr>
        <w:t> 抗藥及任—線抗藥</w:t>
      </w:r>
      <w:r>
        <w:rPr>
          <w:color w:val="231F20"/>
          <w:w w:val="300"/>
        </w:rPr>
        <w:t>(</w:t>
      </w:r>
      <w:r>
        <w:rPr>
          <w:color w:val="231F20"/>
          <w:w w:val="88"/>
        </w:rPr>
        <w:t>R</w:t>
      </w:r>
      <w:r>
        <w:rPr>
          <w:color w:val="231F20"/>
          <w:w w:val="115"/>
        </w:rPr>
        <w:t>M</w:t>
      </w:r>
      <w:r>
        <w:rPr>
          <w:color w:val="231F20"/>
          <w:w w:val="90"/>
        </w:rPr>
        <w:t>P</w:t>
      </w:r>
      <w:r>
        <w:rPr>
          <w:color w:val="231F20"/>
        </w:rPr>
        <w:t> </w:t>
      </w:r>
      <w:r>
        <w:rPr>
          <w:color w:val="231F20"/>
          <w:w w:val="128"/>
        </w:rPr>
        <w:t>除外)</w:t>
      </w:r>
      <w:r>
        <w:rPr>
          <w:color w:val="231F20"/>
        </w:rPr>
        <w:t>，併使用 </w:t>
      </w:r>
      <w:r>
        <w:rPr>
          <w:color w:val="231F20"/>
          <w:w w:val="85"/>
        </w:rPr>
        <w:t>F</w:t>
      </w:r>
      <w:r>
        <w:rPr>
          <w:color w:val="231F20"/>
          <w:w w:val="90"/>
        </w:rPr>
        <w:t>L</w:t>
      </w:r>
      <w:r>
        <w:rPr>
          <w:color w:val="231F20"/>
          <w:w w:val="104"/>
        </w:rPr>
        <w:t>Q</w:t>
      </w:r>
      <w:r>
        <w:rPr>
          <w:color w:val="231F20"/>
        </w:rPr>
        <w:t> 治療」治療逾 </w:t>
      </w:r>
      <w:r>
        <w:rPr>
          <w:color w:val="231F20"/>
          <w:w w:val="104"/>
        </w:rPr>
        <w:t>12</w:t>
      </w:r>
      <w:r>
        <w:rPr>
          <w:color w:val="231F20"/>
        </w:rPr>
        <w:t> 個月仍不符完治條件之抗藥性結核病病人，由衛生局所提至疾管署召開之「抗藥性結核病醫療照護體系檢口暨困難治療個案口冊會」口冊，進行治療處置建議或</w:t>
      </w:r>
      <w:r>
        <w:rPr>
          <w:color w:val="231F20"/>
          <w:w w:val="105"/>
        </w:rPr>
        <w:t>慢性傳染性結核病判定。</w:t>
      </w:r>
    </w:p>
    <w:p>
      <w:pPr>
        <w:pStyle w:val="ListParagraph"/>
        <w:numPr>
          <w:ilvl w:val="0"/>
          <w:numId w:val="208"/>
        </w:numPr>
        <w:tabs>
          <w:tab w:pos="1350" w:val="left" w:leader="none"/>
        </w:tabs>
        <w:spacing w:line="230" w:lineRule="auto" w:before="0" w:after="0"/>
        <w:ind w:left="1349" w:right="1131" w:hanging="255"/>
        <w:jc w:val="both"/>
        <w:rPr>
          <w:sz w:val="24"/>
        </w:rPr>
      </w:pPr>
      <w:r>
        <w:rPr>
          <w:color w:val="231F20"/>
          <w:spacing w:val="4"/>
          <w:w w:val="95"/>
          <w:sz w:val="24"/>
        </w:rPr>
        <w:t>無冊病人是否進入 </w:t>
      </w:r>
      <w:r>
        <w:rPr>
          <w:color w:val="231F20"/>
          <w:spacing w:val="-4"/>
          <w:w w:val="95"/>
          <w:sz w:val="24"/>
        </w:rPr>
        <w:t>TMTC</w:t>
      </w:r>
      <w:r>
        <w:rPr>
          <w:color w:val="231F20"/>
          <w:spacing w:val="3"/>
          <w:w w:val="95"/>
          <w:sz w:val="24"/>
        </w:rPr>
        <w:t> 團隊接受治療，管理單位 </w:t>
      </w:r>
      <w:r>
        <w:rPr>
          <w:color w:val="231F20"/>
          <w:w w:val="70"/>
          <w:sz w:val="24"/>
        </w:rPr>
        <w:t>（</w:t>
      </w:r>
      <w:r>
        <w:rPr>
          <w:color w:val="231F20"/>
          <w:spacing w:val="43"/>
          <w:w w:val="70"/>
          <w:sz w:val="24"/>
        </w:rPr>
        <w:t> </w:t>
      </w:r>
      <w:r>
        <w:rPr>
          <w:color w:val="231F20"/>
          <w:spacing w:val="15"/>
          <w:w w:val="95"/>
          <w:sz w:val="24"/>
        </w:rPr>
        <w:t>衛生局／所) 應依個案管理</w:t>
      </w:r>
      <w:r>
        <w:rPr>
          <w:color w:val="231F20"/>
          <w:sz w:val="24"/>
        </w:rPr>
        <w:t>規定，按時訪視，隨時注意病人之治療情形，適時轉介並與醫療團隊保持密切聯繫。</w:t>
      </w:r>
    </w:p>
    <w:p>
      <w:pPr>
        <w:pStyle w:val="ListParagraph"/>
        <w:numPr>
          <w:ilvl w:val="0"/>
          <w:numId w:val="208"/>
        </w:numPr>
        <w:tabs>
          <w:tab w:pos="1349" w:val="left" w:leader="none"/>
        </w:tabs>
        <w:spacing w:line="230" w:lineRule="auto" w:before="0" w:after="0"/>
        <w:ind w:left="1349" w:right="1074" w:hanging="255"/>
        <w:jc w:val="both"/>
        <w:rPr>
          <w:sz w:val="24"/>
        </w:rPr>
      </w:pPr>
      <w:r>
        <w:rPr>
          <w:color w:val="231F20"/>
          <w:spacing w:val="10"/>
          <w:w w:val="95"/>
          <w:sz w:val="24"/>
        </w:rPr>
        <w:t>衛生局</w:t>
      </w:r>
      <w:r>
        <w:rPr>
          <w:color w:val="231F20"/>
          <w:w w:val="70"/>
          <w:sz w:val="24"/>
        </w:rPr>
        <w:t>（</w:t>
      </w:r>
      <w:r>
        <w:rPr>
          <w:color w:val="231F20"/>
          <w:spacing w:val="30"/>
          <w:w w:val="70"/>
          <w:sz w:val="24"/>
        </w:rPr>
        <w:t> </w:t>
      </w:r>
      <w:r>
        <w:rPr>
          <w:color w:val="231F20"/>
          <w:spacing w:val="15"/>
          <w:w w:val="95"/>
          <w:sz w:val="24"/>
        </w:rPr>
        <w:t>所) 每月</w:t>
      </w:r>
      <w:r>
        <w:rPr>
          <w:color w:val="231F20"/>
          <w:w w:val="95"/>
          <w:sz w:val="24"/>
        </w:rPr>
        <w:t>5</w:t>
      </w:r>
      <w:r>
        <w:rPr>
          <w:color w:val="231F20"/>
          <w:spacing w:val="2"/>
          <w:w w:val="95"/>
          <w:sz w:val="24"/>
        </w:rPr>
        <w:t> 日前提供抗藥性結核病月報表</w:t>
      </w:r>
      <w:r>
        <w:rPr>
          <w:color w:val="231F20"/>
          <w:w w:val="70"/>
          <w:sz w:val="24"/>
        </w:rPr>
        <w:t>（</w:t>
      </w:r>
      <w:r>
        <w:rPr>
          <w:color w:val="231F20"/>
          <w:spacing w:val="30"/>
          <w:w w:val="70"/>
          <w:sz w:val="24"/>
        </w:rPr>
        <w:t> </w:t>
      </w:r>
      <w:r>
        <w:rPr>
          <w:color w:val="231F20"/>
          <w:spacing w:val="16"/>
          <w:w w:val="95"/>
          <w:sz w:val="24"/>
        </w:rPr>
        <w:t>附件</w:t>
      </w:r>
      <w:r>
        <w:rPr>
          <w:color w:val="231F20"/>
          <w:w w:val="95"/>
          <w:sz w:val="24"/>
        </w:rPr>
        <w:t>10-5)</w:t>
      </w:r>
      <w:r>
        <w:rPr>
          <w:color w:val="231F20"/>
          <w:spacing w:val="-2"/>
          <w:w w:val="95"/>
          <w:sz w:val="24"/>
        </w:rPr>
        <w:t> 予疾管署區管中心， </w:t>
      </w:r>
      <w:r>
        <w:rPr>
          <w:color w:val="231F20"/>
          <w:spacing w:val="1"/>
          <w:sz w:val="24"/>
        </w:rPr>
        <w:t>填報前月通報情形及未納入團隊病人之原因說明，疾管署區管中心每月 </w:t>
      </w:r>
      <w:r>
        <w:rPr>
          <w:color w:val="231F20"/>
          <w:sz w:val="24"/>
        </w:rPr>
        <w:t>10</w:t>
      </w:r>
      <w:r>
        <w:rPr>
          <w:color w:val="231F20"/>
          <w:spacing w:val="2"/>
          <w:sz w:val="24"/>
        </w:rPr>
        <w:t> 日前</w:t>
      </w:r>
      <w:r>
        <w:rPr>
          <w:color w:val="231F20"/>
          <w:sz w:val="24"/>
        </w:rPr>
        <w:t>彙整轄區資料提供疾管署慢性組。</w:t>
      </w:r>
    </w:p>
    <w:p>
      <w:pPr>
        <w:pStyle w:val="BodyText"/>
        <w:spacing w:line="394" w:lineRule="exact"/>
        <w:ind w:left="629"/>
        <w:jc w:val="both"/>
      </w:pPr>
      <w:r>
        <w:rPr>
          <w:color w:val="231F20"/>
          <w:w w:val="65"/>
        </w:rPr>
        <w:t>（ </w:t>
      </w:r>
      <w:r>
        <w:rPr>
          <w:color w:val="231F20"/>
        </w:rPr>
        <w:t>三 ) 管理流程：</w:t>
      </w:r>
    </w:p>
    <w:p>
      <w:pPr>
        <w:pStyle w:val="ListParagraph"/>
        <w:numPr>
          <w:ilvl w:val="0"/>
          <w:numId w:val="209"/>
        </w:numPr>
        <w:tabs>
          <w:tab w:pos="1350" w:val="left" w:leader="none"/>
        </w:tabs>
        <w:spacing w:line="230" w:lineRule="auto" w:before="0" w:after="0"/>
        <w:ind w:left="1349" w:right="1123" w:hanging="255"/>
        <w:jc w:val="both"/>
        <w:rPr>
          <w:sz w:val="24"/>
        </w:rPr>
      </w:pPr>
      <w:r>
        <w:rPr>
          <w:color w:val="231F20"/>
          <w:spacing w:val="7"/>
          <w:sz w:val="24"/>
        </w:rPr>
        <w:t>病人及家屬都必須接受有關抗藥性結核病及使用二線藥物之衛教，包括治療藥</w:t>
      </w:r>
      <w:r>
        <w:rPr>
          <w:color w:val="231F20"/>
          <w:sz w:val="24"/>
        </w:rPr>
        <w:t>物、可能產生的副作用及持續治療的必要性，而且在整個治療期間，應該持續進行衛教並觀察服藥順從性。</w:t>
      </w:r>
    </w:p>
    <w:p>
      <w:pPr>
        <w:pStyle w:val="ListParagraph"/>
        <w:numPr>
          <w:ilvl w:val="0"/>
          <w:numId w:val="209"/>
        </w:numPr>
        <w:tabs>
          <w:tab w:pos="1350" w:val="left" w:leader="none"/>
        </w:tabs>
        <w:spacing w:line="230" w:lineRule="auto" w:before="0" w:after="0"/>
        <w:ind w:left="1349" w:right="1130" w:hanging="255"/>
        <w:jc w:val="both"/>
        <w:rPr>
          <w:sz w:val="24"/>
        </w:rPr>
      </w:pPr>
      <w:r>
        <w:rPr>
          <w:color w:val="231F20"/>
          <w:sz w:val="24"/>
        </w:rPr>
        <w:t>病人的社會經濟、家庭環境、營養等許多因素都會影響到治療的結果，所以應全面性的評估可能影響病人治療的問題，必要時尋求其他單位協助，同時提供心理的支持。</w:t>
      </w:r>
    </w:p>
    <w:p>
      <w:pPr>
        <w:spacing w:after="0" w:line="230" w:lineRule="auto"/>
        <w:jc w:val="both"/>
        <w:rPr>
          <w:sz w:val="24"/>
        </w:rPr>
        <w:sectPr>
          <w:pgSz w:w="11910" w:h="16840"/>
          <w:pgMar w:top="1060" w:bottom="0" w:left="980" w:right="0"/>
        </w:sectPr>
      </w:pPr>
    </w:p>
    <w:p>
      <w:pPr>
        <w:pStyle w:val="ListParagraph"/>
        <w:numPr>
          <w:ilvl w:val="0"/>
          <w:numId w:val="209"/>
        </w:numPr>
        <w:tabs>
          <w:tab w:pos="1350" w:val="left" w:leader="none"/>
        </w:tabs>
        <w:spacing w:line="409" w:lineRule="exact" w:before="59" w:after="0"/>
        <w:ind w:left="1349" w:right="0" w:hanging="256"/>
        <w:jc w:val="both"/>
        <w:rPr>
          <w:sz w:val="24"/>
        </w:rPr>
      </w:pPr>
      <w:r>
        <w:rPr>
          <w:color w:val="231F20"/>
          <w:sz w:val="24"/>
        </w:rPr>
        <w:t>副作用監測</w:t>
      </w:r>
    </w:p>
    <w:p>
      <w:pPr>
        <w:pStyle w:val="BodyText"/>
        <w:spacing w:line="230" w:lineRule="auto" w:before="2"/>
        <w:ind w:left="1591" w:right="1135" w:hanging="355"/>
        <w:jc w:val="both"/>
      </w:pPr>
      <w:r>
        <w:rPr>
          <w:color w:val="231F20"/>
          <w:w w:val="95"/>
        </w:rPr>
        <w:t>（1)   抗結核藥物副作用無法獲得妥善處理，是病人不能按規服藥的主要原因。而治</w:t>
      </w:r>
      <w:r>
        <w:rPr>
          <w:color w:val="231F20"/>
        </w:rPr>
        <w:t>療抗藥性結核病必須使用二線藥物，其不僅副作用大、治療時間又長，所以密切監測、及時發現並協助解決藥物不良反應，是管理抗藥性結核病病人，協助病人順利完成治療的重要工作。</w:t>
      </w:r>
    </w:p>
    <w:p>
      <w:pPr>
        <w:pStyle w:val="BodyText"/>
        <w:spacing w:line="230" w:lineRule="auto"/>
        <w:ind w:left="1591" w:right="1132" w:hanging="355"/>
        <w:jc w:val="both"/>
      </w:pPr>
      <w:r>
        <w:rPr>
          <w:color w:val="231F20"/>
          <w:w w:val="32"/>
        </w:rPr>
        <w:t>（</w:t>
      </w:r>
      <w:r>
        <w:rPr>
          <w:color w:val="231F20"/>
          <w:w w:val="104"/>
        </w:rPr>
        <w:t>2</w:t>
      </w:r>
      <w:r>
        <w:rPr>
          <w:color w:val="231F20"/>
          <w:w w:val="96"/>
        </w:rPr>
        <w:t>)</w:t>
      </w:r>
      <w:r>
        <w:rPr>
          <w:color w:val="231F20"/>
          <w:spacing w:val="-3"/>
        </w:rPr>
        <w:t> 衛生局 </w:t>
      </w:r>
      <w:r>
        <w:rPr>
          <w:color w:val="231F20"/>
          <w:w w:val="41"/>
        </w:rPr>
        <w:t>／</w:t>
      </w:r>
      <w:r>
        <w:rPr>
          <w:color w:val="231F20"/>
          <w:spacing w:val="-2"/>
        </w:rPr>
        <w:t> 所之公衛管理人員及關懷員應清楚每—種藥物可能產生之副作用並向</w:t>
      </w:r>
      <w:r>
        <w:rPr>
          <w:color w:val="231F20"/>
        </w:rPr>
        <w:t>病人妥善說明，使其對治療過程有所認知及心理準備。</w:t>
      </w:r>
    </w:p>
    <w:p>
      <w:pPr>
        <w:pStyle w:val="BodyText"/>
        <w:spacing w:line="230" w:lineRule="auto"/>
        <w:ind w:left="1591" w:right="1131" w:hanging="355"/>
        <w:jc w:val="both"/>
      </w:pPr>
      <w:r>
        <w:rPr>
          <w:color w:val="231F20"/>
          <w:w w:val="32"/>
        </w:rPr>
        <w:t>（</w:t>
      </w:r>
      <w:r>
        <w:rPr>
          <w:color w:val="231F20"/>
          <w:w w:val="104"/>
        </w:rPr>
        <w:t>3</w:t>
      </w:r>
      <w:r>
        <w:rPr>
          <w:color w:val="231F20"/>
          <w:w w:val="96"/>
        </w:rPr>
        <w:t>)</w:t>
      </w:r>
      <w:r>
        <w:rPr>
          <w:color w:val="231F20"/>
          <w:spacing w:val="-1"/>
        </w:rPr>
        <w:t> 公衛管理人員須密切觀察病人，並與執行 </w:t>
      </w:r>
      <w:r>
        <w:rPr>
          <w:color w:val="231F20"/>
          <w:w w:val="104"/>
        </w:rPr>
        <w:t>D</w:t>
      </w:r>
      <w:r>
        <w:rPr>
          <w:color w:val="231F20"/>
          <w:spacing w:val="-12"/>
          <w:w w:val="104"/>
        </w:rPr>
        <w:t>O</w:t>
      </w:r>
      <w:r>
        <w:rPr>
          <w:color w:val="231F20"/>
          <w:w w:val="91"/>
        </w:rPr>
        <w:t>T</w:t>
      </w:r>
      <w:r>
        <w:rPr>
          <w:color w:val="231F20"/>
          <w:w w:val="85"/>
        </w:rPr>
        <w:t>S</w:t>
      </w:r>
      <w:r>
        <w:rPr>
          <w:color w:val="231F20"/>
          <w:w w:val="129"/>
        </w:rPr>
        <w:t>-</w:t>
      </w:r>
      <w:r>
        <w:rPr>
          <w:color w:val="231F20"/>
          <w:spacing w:val="-1"/>
          <w:w w:val="113"/>
        </w:rPr>
        <w:t>p</w:t>
      </w:r>
      <w:r>
        <w:rPr>
          <w:color w:val="231F20"/>
          <w:spacing w:val="-1"/>
          <w:w w:val="116"/>
        </w:rPr>
        <w:t>l</w:t>
      </w:r>
      <w:r>
        <w:rPr>
          <w:color w:val="231F20"/>
          <w:spacing w:val="-1"/>
          <w:w w:val="109"/>
        </w:rPr>
        <w:t>u</w:t>
      </w:r>
      <w:r>
        <w:rPr>
          <w:color w:val="231F20"/>
          <w:w w:val="91"/>
        </w:rPr>
        <w:t>s</w:t>
      </w:r>
      <w:r>
        <w:rPr>
          <w:color w:val="231F20"/>
          <w:spacing w:val="1"/>
        </w:rPr>
        <w:t> 之關懷員保持聯繫，或</w:t>
      </w:r>
      <w:r>
        <w:rPr>
          <w:color w:val="231F20"/>
          <w:w w:val="105"/>
        </w:rPr>
        <w:t>與病人、家屬或照護者交談、詢問瞭解病人服藥情形。</w:t>
      </w:r>
    </w:p>
    <w:p>
      <w:pPr>
        <w:pStyle w:val="BodyText"/>
        <w:spacing w:line="230" w:lineRule="auto"/>
        <w:ind w:left="1591" w:right="1135" w:hanging="355"/>
        <w:jc w:val="both"/>
      </w:pPr>
      <w:r>
        <w:rPr>
          <w:color w:val="231F20"/>
          <w:w w:val="95"/>
        </w:rPr>
        <w:t>（4)   無冊病人的副作用是如何微不足迴，只要足以影響病人的服藥意願，都應該認</w:t>
      </w:r>
      <w:r>
        <w:rPr>
          <w:color w:val="231F20"/>
        </w:rPr>
        <w:t>真看待，儘速回診處理。</w:t>
      </w:r>
    </w:p>
    <w:p>
      <w:pPr>
        <w:pStyle w:val="ListParagraph"/>
        <w:numPr>
          <w:ilvl w:val="0"/>
          <w:numId w:val="209"/>
        </w:numPr>
        <w:tabs>
          <w:tab w:pos="1350" w:val="left" w:leader="none"/>
        </w:tabs>
        <w:spacing w:line="395" w:lineRule="exact" w:before="0" w:after="0"/>
        <w:ind w:left="1349" w:right="0" w:hanging="256"/>
        <w:jc w:val="both"/>
        <w:rPr>
          <w:sz w:val="24"/>
        </w:rPr>
      </w:pPr>
      <w:r>
        <w:rPr/>
        <w:pict>
          <v:group style="position:absolute;margin-left:557.684509pt;margin-top:9.599317pt;width:37.35pt;height:555.550pt;mso-position-horizontal-relative:page;mso-position-vertical-relative:paragraph;z-index:251920384" coordorigin="11154,192" coordsize="747,11111">
            <v:shape style="position:absolute;left:11283;top:703;width:439;height:10600" type="#_x0000_t75" stroked="false">
              <v:imagedata r:id="rId102" o:title=""/>
            </v:shape>
            <v:shape style="position:absolute;left:11153;top:191;width:747;height:812" coordorigin="11154,192" coordsize="747,812" path="m11900,192l11536,192,11514,194,11454,228,11188,510,11154,598,11162,644,11454,967,11514,1001,11536,1003,11900,1003,11900,192xe" filled="true" fillcolor="#bd7cb5" stroked="false">
              <v:path arrowok="t"/>
              <v:fill type="solid"/>
            </v:shape>
            <v:shape style="position:absolute;left:11321;top:459;width:374;height:278" type="#_x0000_t75" stroked="false">
              <v:imagedata r:id="rId103" o:title=""/>
            </v:shape>
            <v:shape style="position:absolute;left:11378;top:1139;width:250;height:3599" type="#_x0000_t75" stroked="false">
              <v:imagedata r:id="rId104" o:title=""/>
            </v:shape>
            <v:shape style="position:absolute;left:11380;top:10740;width:252;height:179" type="#_x0000_t202" filled="false" stroked="false">
              <v:textbox inset="0,0,0,0">
                <w:txbxContent>
                  <w:p>
                    <w:pPr>
                      <w:spacing w:line="179" w:lineRule="exact" w:before="0"/>
                      <w:ind w:left="0" w:right="0" w:firstLine="0"/>
                      <w:jc w:val="left"/>
                      <w:rPr>
                        <w:rFonts w:ascii="Arial"/>
                        <w:sz w:val="16"/>
                      </w:rPr>
                    </w:pPr>
                    <w:r>
                      <w:rPr>
                        <w:rFonts w:ascii="Arial"/>
                        <w:color w:val="231F20"/>
                        <w:spacing w:val="-12"/>
                        <w:sz w:val="16"/>
                      </w:rPr>
                      <w:t>111</w:t>
                    </w:r>
                  </w:p>
                </w:txbxContent>
              </v:textbox>
              <w10:wrap type="none"/>
            </v:shape>
            <w10:wrap type="none"/>
          </v:group>
        </w:pict>
      </w:r>
      <w:r>
        <w:rPr>
          <w:color w:val="231F20"/>
          <w:sz w:val="24"/>
        </w:rPr>
        <w:t>管理方式</w:t>
      </w:r>
    </w:p>
    <w:p>
      <w:pPr>
        <w:pStyle w:val="BodyText"/>
        <w:spacing w:line="230" w:lineRule="auto"/>
        <w:ind w:left="1591" w:right="1135" w:hanging="355"/>
      </w:pPr>
      <w:r>
        <w:rPr>
          <w:color w:val="231F20"/>
          <w:w w:val="95"/>
        </w:rPr>
        <w:t>（1) 對於已經納入TMTC 團隊病人：依據工作手冊第六章「結核病個案管理」訪視</w:t>
      </w:r>
      <w:r>
        <w:rPr>
          <w:color w:val="231F20"/>
        </w:rPr>
        <w:t>方式、訪視頻率、訪視對象及訪視記錄辦理。</w:t>
      </w:r>
    </w:p>
    <w:p>
      <w:pPr>
        <w:pStyle w:val="BodyText"/>
        <w:spacing w:line="230" w:lineRule="auto"/>
        <w:ind w:left="1591" w:right="1126" w:hanging="355"/>
      </w:pPr>
      <w:r>
        <w:rPr>
          <w:color w:val="231F20"/>
          <w:w w:val="32"/>
        </w:rPr>
        <w:t>（</w:t>
      </w:r>
      <w:r>
        <w:rPr>
          <w:color w:val="231F20"/>
          <w:w w:val="104"/>
        </w:rPr>
        <w:t>2</w:t>
      </w:r>
      <w:r>
        <w:rPr>
          <w:color w:val="231F20"/>
          <w:w w:val="96"/>
        </w:rPr>
        <w:t>)</w:t>
      </w:r>
      <w:r>
        <w:rPr>
          <w:color w:val="231F20"/>
        </w:rPr>
        <w:t> 對於未納入 </w:t>
      </w:r>
      <w:r>
        <w:rPr>
          <w:color w:val="231F20"/>
          <w:w w:val="91"/>
        </w:rPr>
        <w:t>T</w:t>
      </w:r>
      <w:r>
        <w:rPr>
          <w:color w:val="231F20"/>
          <w:w w:val="115"/>
        </w:rPr>
        <w:t>M</w:t>
      </w:r>
      <w:r>
        <w:rPr>
          <w:color w:val="231F20"/>
          <w:w w:val="91"/>
        </w:rPr>
        <w:t>T</w:t>
      </w:r>
      <w:r>
        <w:rPr>
          <w:color w:val="231F20"/>
          <w:w w:val="92"/>
        </w:rPr>
        <w:t>C</w:t>
      </w:r>
      <w:r>
        <w:rPr>
          <w:color w:val="231F20"/>
        </w:rPr>
        <w:t> 團隊病人：每 </w:t>
      </w:r>
      <w:r>
        <w:rPr>
          <w:color w:val="231F20"/>
          <w:w w:val="104"/>
        </w:rPr>
        <w:t>2</w:t>
      </w:r>
      <w:r>
        <w:rPr>
          <w:color w:val="231F20"/>
        </w:rPr>
        <w:t> 星期家訪 </w:t>
      </w:r>
      <w:r>
        <w:rPr>
          <w:color w:val="231F20"/>
          <w:w w:val="104"/>
        </w:rPr>
        <w:t>1</w:t>
      </w:r>
      <w:r>
        <w:rPr>
          <w:color w:val="231F20"/>
        </w:rPr>
        <w:t> 次，提供關心支持及瞭解病人治療情況及評估社區都治的情形。</w:t>
      </w:r>
    </w:p>
    <w:p>
      <w:pPr>
        <w:pStyle w:val="ListParagraph"/>
        <w:numPr>
          <w:ilvl w:val="0"/>
          <w:numId w:val="209"/>
        </w:numPr>
        <w:tabs>
          <w:tab w:pos="1349" w:val="left" w:leader="none"/>
        </w:tabs>
        <w:spacing w:line="395" w:lineRule="exact" w:before="0" w:after="0"/>
        <w:ind w:left="1348" w:right="0" w:hanging="255"/>
        <w:jc w:val="left"/>
        <w:rPr>
          <w:sz w:val="24"/>
        </w:rPr>
      </w:pPr>
      <w:r>
        <w:rPr>
          <w:color w:val="231F20"/>
          <w:sz w:val="24"/>
        </w:rPr>
        <w:t>相關個案管理規定請參見工作手冊第六章「結核病個案管理」。</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匹</w:t>
      </w:r>
      <w:r>
        <w:rPr>
          <w:color w:val="231F20"/>
          <w:spacing w:val="-22"/>
        </w:rPr>
        <w:t> </w:t>
      </w:r>
      <w:r>
        <w:rPr>
          <w:color w:val="231F20"/>
        </w:rPr>
        <w:t>)</w:t>
        <w:tab/>
        <w:t>接觸者檢査及治療：</w:t>
      </w:r>
    </w:p>
    <w:p>
      <w:pPr>
        <w:pStyle w:val="BodyText"/>
        <w:spacing w:line="230" w:lineRule="auto"/>
        <w:ind w:left="1349" w:right="1135"/>
      </w:pPr>
      <w:r>
        <w:rPr>
          <w:color w:val="231F20"/>
        </w:rPr>
        <w:t>為避免更多抗藥性結核病病人產生，應加強執行抗藥性結核病病人接觸者檢査及治療，抗藥性結核病接觸者檢査時間請參見表 10-3：</w:t>
      </w:r>
    </w:p>
    <w:p>
      <w:pPr>
        <w:pStyle w:val="BodyText"/>
        <w:spacing w:line="404" w:lineRule="exact"/>
        <w:ind w:left="1349"/>
      </w:pPr>
      <w:r>
        <w:rPr/>
        <w:pict>
          <v:shape style="position:absolute;margin-left:116.452003pt;margin-top:17.842199pt;width:422.65pt;height:270.650pt;mso-position-horizontal-relative:page;mso-position-vertical-relative:paragraph;z-index:25192140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51"/>
                    <w:gridCol w:w="2188"/>
                    <w:gridCol w:w="1176"/>
                    <w:gridCol w:w="2899"/>
                    <w:gridCol w:w="1219"/>
                  </w:tblGrid>
                  <w:tr>
                    <w:trPr>
                      <w:trHeight w:val="851" w:hRule="atLeast"/>
                    </w:trPr>
                    <w:tc>
                      <w:tcPr>
                        <w:tcW w:w="951" w:type="dxa"/>
                        <w:shd w:val="clear" w:color="auto" w:fill="E6E7E8"/>
                      </w:tcPr>
                      <w:p>
                        <w:pPr>
                          <w:pStyle w:val="TableParagraph"/>
                          <w:spacing w:line="421" w:lineRule="exact"/>
                          <w:ind w:left="115"/>
                          <w:rPr>
                            <w:rFonts w:ascii="微軟正黑體" w:eastAsia="微軟正黑體" w:hint="eastAsia"/>
                            <w:b/>
                            <w:sz w:val="24"/>
                          </w:rPr>
                        </w:pPr>
                        <w:r>
                          <w:rPr>
                            <w:rFonts w:ascii="微軟正黑體" w:eastAsia="微軟正黑體" w:hint="eastAsia"/>
                            <w:b/>
                            <w:color w:val="231F20"/>
                            <w:sz w:val="24"/>
                          </w:rPr>
                          <w:t>抗藥性</w:t>
                        </w:r>
                      </w:p>
                      <w:p>
                        <w:pPr>
                          <w:pStyle w:val="TableParagraph"/>
                          <w:spacing w:line="411" w:lineRule="exact"/>
                          <w:ind w:left="235"/>
                          <w:rPr>
                            <w:rFonts w:ascii="微軟正黑體" w:eastAsia="微軟正黑體" w:hint="eastAsia"/>
                            <w:b/>
                            <w:sz w:val="24"/>
                          </w:rPr>
                        </w:pPr>
                        <w:r>
                          <w:rPr>
                            <w:rFonts w:ascii="微軟正黑體" w:eastAsia="微軟正黑體" w:hint="eastAsia"/>
                            <w:b/>
                            <w:color w:val="231F20"/>
                            <w:sz w:val="24"/>
                          </w:rPr>
                          <w:t>分類</w:t>
                        </w:r>
                      </w:p>
                    </w:tc>
                    <w:tc>
                      <w:tcPr>
                        <w:tcW w:w="2188" w:type="dxa"/>
                        <w:shd w:val="clear" w:color="auto" w:fill="E6E7E8"/>
                      </w:tcPr>
                      <w:p>
                        <w:pPr>
                          <w:pStyle w:val="TableParagraph"/>
                          <w:spacing w:before="200"/>
                          <w:ind w:left="113"/>
                          <w:rPr>
                            <w:rFonts w:ascii="微軟正黑體" w:eastAsia="微軟正黑體" w:hint="eastAsia"/>
                            <w:b/>
                            <w:sz w:val="24"/>
                          </w:rPr>
                        </w:pPr>
                        <w:r>
                          <w:rPr>
                            <w:rFonts w:ascii="微軟正黑體" w:eastAsia="微軟正黑體" w:hint="eastAsia"/>
                            <w:b/>
                            <w:color w:val="231F20"/>
                            <w:sz w:val="24"/>
                          </w:rPr>
                          <w:t>再次胸部 X 光檢查</w:t>
                        </w:r>
                      </w:p>
                    </w:tc>
                    <w:tc>
                      <w:tcPr>
                        <w:tcW w:w="1176" w:type="dxa"/>
                        <w:shd w:val="clear" w:color="auto" w:fill="E6E7E8"/>
                      </w:tcPr>
                      <w:p>
                        <w:pPr>
                          <w:pStyle w:val="TableParagraph"/>
                          <w:spacing w:line="421" w:lineRule="exact"/>
                          <w:ind w:left="346"/>
                          <w:rPr>
                            <w:rFonts w:ascii="微軟正黑體"/>
                            <w:b/>
                            <w:sz w:val="24"/>
                          </w:rPr>
                        </w:pPr>
                        <w:r>
                          <w:rPr>
                            <w:rFonts w:ascii="微軟正黑體"/>
                            <w:b/>
                            <w:color w:val="231F20"/>
                            <w:spacing w:val="-4"/>
                            <w:w w:val="115"/>
                            <w:sz w:val="24"/>
                          </w:rPr>
                          <w:t>lTBI</w:t>
                        </w:r>
                      </w:p>
                      <w:p>
                        <w:pPr>
                          <w:pStyle w:val="TableParagraph"/>
                          <w:spacing w:line="411" w:lineRule="exact"/>
                          <w:ind w:left="346"/>
                          <w:rPr>
                            <w:rFonts w:ascii="微軟正黑體" w:eastAsia="微軟正黑體" w:hint="eastAsia"/>
                            <w:b/>
                            <w:sz w:val="24"/>
                          </w:rPr>
                        </w:pPr>
                        <w:r>
                          <w:rPr>
                            <w:rFonts w:ascii="微軟正黑體" w:eastAsia="微軟正黑體" w:hint="eastAsia"/>
                            <w:b/>
                            <w:color w:val="231F20"/>
                            <w:sz w:val="24"/>
                          </w:rPr>
                          <w:t>治療</w:t>
                        </w:r>
                      </w:p>
                    </w:tc>
                    <w:tc>
                      <w:tcPr>
                        <w:tcW w:w="2899" w:type="dxa"/>
                        <w:shd w:val="clear" w:color="auto" w:fill="E6E7E8"/>
                      </w:tcPr>
                      <w:p>
                        <w:pPr>
                          <w:pStyle w:val="TableParagraph"/>
                          <w:spacing w:before="200"/>
                          <w:ind w:left="968"/>
                          <w:rPr>
                            <w:rFonts w:ascii="微軟正黑體" w:eastAsia="微軟正黑體" w:hint="eastAsia"/>
                            <w:b/>
                            <w:sz w:val="24"/>
                          </w:rPr>
                        </w:pPr>
                        <w:r>
                          <w:rPr>
                            <w:rFonts w:ascii="微軟正黑體" w:eastAsia="微軟正黑體" w:hint="eastAsia"/>
                            <w:b/>
                            <w:color w:val="231F20"/>
                            <w:sz w:val="24"/>
                          </w:rPr>
                          <w:t>追蹤檢查</w:t>
                        </w:r>
                      </w:p>
                    </w:tc>
                    <w:tc>
                      <w:tcPr>
                        <w:tcW w:w="1219" w:type="dxa"/>
                        <w:shd w:val="clear" w:color="auto" w:fill="E6E7E8"/>
                      </w:tcPr>
                      <w:p>
                        <w:pPr>
                          <w:pStyle w:val="TableParagraph"/>
                          <w:spacing w:line="421" w:lineRule="exact"/>
                          <w:ind w:left="247"/>
                          <w:rPr>
                            <w:rFonts w:ascii="微軟正黑體" w:eastAsia="微軟正黑體" w:hint="eastAsia"/>
                            <w:b/>
                            <w:sz w:val="24"/>
                          </w:rPr>
                        </w:pPr>
                        <w:r>
                          <w:rPr>
                            <w:rFonts w:ascii="微軟正黑體" w:eastAsia="微軟正黑體" w:hint="eastAsia"/>
                            <w:b/>
                            <w:color w:val="231F20"/>
                            <w:sz w:val="24"/>
                          </w:rPr>
                          <w:t>接觸者</w:t>
                        </w:r>
                      </w:p>
                      <w:p>
                        <w:pPr>
                          <w:pStyle w:val="TableParagraph"/>
                          <w:spacing w:line="411" w:lineRule="exact"/>
                          <w:ind w:left="127"/>
                          <w:rPr>
                            <w:rFonts w:ascii="微軟正黑體" w:eastAsia="微軟正黑體" w:hint="eastAsia"/>
                            <w:b/>
                            <w:sz w:val="24"/>
                          </w:rPr>
                        </w:pPr>
                        <w:r>
                          <w:rPr>
                            <w:rFonts w:ascii="微軟正黑體" w:eastAsia="微軟正黑體" w:hint="eastAsia"/>
                            <w:b/>
                            <w:color w:val="231F20"/>
                            <w:sz w:val="24"/>
                          </w:rPr>
                          <w:t>轉病人時</w:t>
                        </w:r>
                      </w:p>
                    </w:tc>
                  </w:tr>
                  <w:tr>
                    <w:trPr>
                      <w:trHeight w:val="2450" w:hRule="atLeast"/>
                    </w:trPr>
                    <w:tc>
                      <w:tcPr>
                        <w:tcW w:w="951" w:type="dxa"/>
                      </w:tcPr>
                      <w:p>
                        <w:pPr>
                          <w:pStyle w:val="TableParagraph"/>
                          <w:rPr>
                            <w:sz w:val="32"/>
                          </w:rPr>
                        </w:pPr>
                      </w:p>
                      <w:p>
                        <w:pPr>
                          <w:pStyle w:val="TableParagraph"/>
                          <w:spacing w:line="230" w:lineRule="auto" w:before="285"/>
                          <w:ind w:left="333" w:right="120" w:hanging="195"/>
                          <w:rPr>
                            <w:sz w:val="24"/>
                          </w:rPr>
                        </w:pPr>
                        <w:r>
                          <w:rPr>
                            <w:color w:val="231F20"/>
                            <w:w w:val="105"/>
                            <w:sz w:val="24"/>
                          </w:rPr>
                          <w:t>MDR- TB</w:t>
                        </w:r>
                      </w:p>
                    </w:tc>
                    <w:tc>
                      <w:tcPr>
                        <w:tcW w:w="2188" w:type="dxa"/>
                      </w:tcPr>
                      <w:p>
                        <w:pPr>
                          <w:pStyle w:val="TableParagraph"/>
                          <w:spacing w:line="230" w:lineRule="auto" w:before="43"/>
                          <w:ind w:left="112" w:right="91"/>
                          <w:jc w:val="both"/>
                          <w:rPr>
                            <w:sz w:val="24"/>
                          </w:rPr>
                        </w:pPr>
                        <w:r>
                          <w:rPr>
                            <w:color w:val="231F20"/>
                            <w:spacing w:val="3"/>
                            <w:sz w:val="24"/>
                          </w:rPr>
                          <w:t>自指標個案被註記</w:t>
                        </w:r>
                        <w:r>
                          <w:rPr>
                            <w:color w:val="231F20"/>
                            <w:sz w:val="24"/>
                          </w:rPr>
                          <w:t>MDR-TB</w:t>
                        </w:r>
                        <w:r>
                          <w:rPr>
                            <w:color w:val="231F20"/>
                            <w:spacing w:val="-5"/>
                            <w:sz w:val="24"/>
                          </w:rPr>
                          <w:t>  —  個 月</w:t>
                        </w:r>
                      </w:p>
                      <w:p>
                        <w:pPr>
                          <w:pStyle w:val="TableParagraph"/>
                          <w:spacing w:line="230" w:lineRule="auto"/>
                          <w:ind w:left="112" w:right="97"/>
                          <w:jc w:val="both"/>
                          <w:rPr>
                            <w:sz w:val="24"/>
                          </w:rPr>
                        </w:pPr>
                        <w:r>
                          <w:rPr>
                            <w:color w:val="231F20"/>
                            <w:spacing w:val="6"/>
                            <w:sz w:val="24"/>
                          </w:rPr>
                          <w:t>內再次完成胸部 </w:t>
                        </w:r>
                        <w:r>
                          <w:rPr>
                            <w:color w:val="231F20"/>
                            <w:spacing w:val="-17"/>
                            <w:sz w:val="24"/>
                          </w:rPr>
                          <w:t>X </w:t>
                        </w:r>
                        <w:r>
                          <w:rPr>
                            <w:color w:val="231F20"/>
                            <w:spacing w:val="2"/>
                            <w:sz w:val="24"/>
                          </w:rPr>
                          <w:t>光檢査 </w:t>
                        </w:r>
                        <w:r>
                          <w:rPr>
                            <w:color w:val="231F20"/>
                            <w:w w:val="65"/>
                            <w:sz w:val="24"/>
                          </w:rPr>
                          <w:t>（</w:t>
                        </w:r>
                        <w:r>
                          <w:rPr>
                            <w:color w:val="231F20"/>
                            <w:spacing w:val="3"/>
                            <w:w w:val="65"/>
                            <w:sz w:val="24"/>
                          </w:rPr>
                          <w:t> </w:t>
                        </w:r>
                        <w:r>
                          <w:rPr>
                            <w:color w:val="231F20"/>
                            <w:spacing w:val="-10"/>
                            <w:sz w:val="24"/>
                          </w:rPr>
                          <w:t>除 </w:t>
                        </w:r>
                        <w:r>
                          <w:rPr>
                            <w:color w:val="231F20"/>
                            <w:sz w:val="24"/>
                          </w:rPr>
                          <w:t>3</w:t>
                        </w:r>
                        <w:r>
                          <w:rPr>
                            <w:color w:val="231F20"/>
                            <w:spacing w:val="-7"/>
                            <w:sz w:val="24"/>
                          </w:rPr>
                          <w:t> 個月</w:t>
                        </w:r>
                        <w:r>
                          <w:rPr>
                            <w:color w:val="231F20"/>
                            <w:spacing w:val="-2"/>
                            <w:sz w:val="24"/>
                          </w:rPr>
                          <w:t>內曾照過胸部 </w:t>
                        </w:r>
                        <w:r>
                          <w:rPr>
                            <w:color w:val="231F20"/>
                            <w:sz w:val="24"/>
                          </w:rPr>
                          <w:t>X</w:t>
                        </w:r>
                        <w:r>
                          <w:rPr>
                            <w:color w:val="231F20"/>
                            <w:spacing w:val="-11"/>
                            <w:sz w:val="24"/>
                          </w:rPr>
                          <w:t> 光</w:t>
                        </w:r>
                      </w:p>
                      <w:p>
                        <w:pPr>
                          <w:pStyle w:val="TableParagraph"/>
                          <w:spacing w:line="385" w:lineRule="exact"/>
                          <w:ind w:left="112"/>
                          <w:rPr>
                            <w:sz w:val="24"/>
                          </w:rPr>
                        </w:pPr>
                        <w:r>
                          <w:rPr>
                            <w:color w:val="231F20"/>
                            <w:w w:val="150"/>
                            <w:sz w:val="24"/>
                          </w:rPr>
                          <w:t>者)</w:t>
                        </w:r>
                      </w:p>
                    </w:tc>
                    <w:tc>
                      <w:tcPr>
                        <w:tcW w:w="1176" w:type="dxa"/>
                      </w:tcPr>
                      <w:p>
                        <w:pPr>
                          <w:pStyle w:val="TableParagraph"/>
                          <w:spacing w:line="230" w:lineRule="auto" w:before="43"/>
                          <w:ind w:left="112" w:right="97"/>
                          <w:jc w:val="both"/>
                          <w:rPr>
                            <w:sz w:val="24"/>
                          </w:rPr>
                        </w:pPr>
                        <w:r>
                          <w:rPr>
                            <w:color w:val="231F20"/>
                            <w:spacing w:val="2"/>
                            <w:sz w:val="24"/>
                          </w:rPr>
                          <w:t>請 轉 介</w:t>
                        </w:r>
                        <w:r>
                          <w:rPr>
                            <w:color w:val="231F20"/>
                            <w:spacing w:val="-3"/>
                            <w:sz w:val="24"/>
                          </w:rPr>
                          <w:t>TMTC</w:t>
                        </w:r>
                        <w:r>
                          <w:rPr>
                            <w:color w:val="231F20"/>
                            <w:spacing w:val="-15"/>
                            <w:sz w:val="24"/>
                          </w:rPr>
                          <w:t> 使</w:t>
                        </w:r>
                        <w:r>
                          <w:rPr>
                            <w:color w:val="231F20"/>
                            <w:sz w:val="24"/>
                          </w:rPr>
                          <w:t>用  9 F</w:t>
                        </w:r>
                        <w:r>
                          <w:rPr>
                            <w:color w:val="231F20"/>
                            <w:spacing w:val="-25"/>
                            <w:sz w:val="24"/>
                          </w:rPr>
                          <w:t> </w:t>
                        </w:r>
                        <w:r>
                          <w:rPr>
                            <w:color w:val="231F20"/>
                            <w:spacing w:val="-17"/>
                            <w:sz w:val="24"/>
                          </w:rPr>
                          <w:t>Q</w:t>
                        </w:r>
                      </w:p>
                      <w:p>
                        <w:pPr>
                          <w:pStyle w:val="TableParagraph"/>
                          <w:spacing w:line="230" w:lineRule="auto"/>
                          <w:ind w:left="112" w:right="98"/>
                          <w:jc w:val="both"/>
                          <w:rPr>
                            <w:sz w:val="24"/>
                          </w:rPr>
                        </w:pPr>
                        <w:r>
                          <w:rPr>
                            <w:color w:val="231F20"/>
                            <w:spacing w:val="-8"/>
                            <w:sz w:val="24"/>
                          </w:rPr>
                          <w:t>處方執行</w:t>
                        </w:r>
                        <w:r>
                          <w:rPr>
                            <w:color w:val="231F20"/>
                            <w:spacing w:val="9"/>
                            <w:sz w:val="24"/>
                          </w:rPr>
                          <w:t>LT </w:t>
                        </w:r>
                        <w:r>
                          <w:rPr>
                            <w:color w:val="231F20"/>
                            <w:sz w:val="24"/>
                          </w:rPr>
                          <w:t>B I</w:t>
                        </w:r>
                        <w:r>
                          <w:rPr>
                            <w:color w:val="231F20"/>
                            <w:spacing w:val="-22"/>
                            <w:sz w:val="24"/>
                          </w:rPr>
                          <w:t> 治</w:t>
                        </w:r>
                      </w:p>
                      <w:p>
                        <w:pPr>
                          <w:pStyle w:val="TableParagraph"/>
                          <w:spacing w:line="386" w:lineRule="exact"/>
                          <w:ind w:left="112"/>
                          <w:rPr>
                            <w:sz w:val="24"/>
                          </w:rPr>
                        </w:pPr>
                        <w:r>
                          <w:rPr>
                            <w:color w:val="231F20"/>
                            <w:sz w:val="24"/>
                          </w:rPr>
                          <w:t>療評估</w:t>
                        </w:r>
                      </w:p>
                    </w:tc>
                    <w:tc>
                      <w:tcPr>
                        <w:tcW w:w="2899" w:type="dxa"/>
                        <w:vMerge w:val="restart"/>
                      </w:tcPr>
                      <w:p>
                        <w:pPr>
                          <w:pStyle w:val="TableParagraph"/>
                          <w:spacing w:line="230" w:lineRule="auto" w:before="76"/>
                          <w:ind w:left="111" w:right="97"/>
                          <w:jc w:val="both"/>
                          <w:rPr>
                            <w:sz w:val="24"/>
                          </w:rPr>
                        </w:pPr>
                        <w:r>
                          <w:rPr>
                            <w:color w:val="231F20"/>
                            <w:sz w:val="24"/>
                          </w:rPr>
                          <w:t>日後每隔半年進行 1 次追蹤檢査，且持續追蹤至：</w:t>
                        </w:r>
                      </w:p>
                      <w:p>
                        <w:pPr>
                          <w:pStyle w:val="TableParagraph"/>
                          <w:numPr>
                            <w:ilvl w:val="0"/>
                            <w:numId w:val="210"/>
                          </w:numPr>
                          <w:tabs>
                            <w:tab w:pos="367" w:val="left" w:leader="none"/>
                          </w:tabs>
                          <w:spacing w:line="230" w:lineRule="auto" w:before="0" w:after="0"/>
                          <w:ind w:left="366" w:right="38" w:hanging="255"/>
                          <w:jc w:val="both"/>
                          <w:rPr>
                            <w:sz w:val="24"/>
                          </w:rPr>
                        </w:pPr>
                        <w:r>
                          <w:rPr>
                            <w:color w:val="231F20"/>
                            <w:spacing w:val="11"/>
                            <w:sz w:val="24"/>
                          </w:rPr>
                          <w:t>接觸者完成</w:t>
                        </w:r>
                        <w:r>
                          <w:rPr>
                            <w:color w:val="231F20"/>
                            <w:spacing w:val="-4"/>
                            <w:sz w:val="24"/>
                          </w:rPr>
                          <w:t>LTBI</w:t>
                        </w:r>
                        <w:r>
                          <w:rPr>
                            <w:color w:val="231F20"/>
                            <w:spacing w:val="-16"/>
                            <w:sz w:val="24"/>
                          </w:rPr>
                          <w:t> 治療； </w:t>
                        </w:r>
                        <w:r>
                          <w:rPr>
                            <w:color w:val="231F20"/>
                            <w:sz w:val="24"/>
                          </w:rPr>
                          <w:t>或</w:t>
                        </w:r>
                      </w:p>
                      <w:p>
                        <w:pPr>
                          <w:pStyle w:val="TableParagraph"/>
                          <w:numPr>
                            <w:ilvl w:val="0"/>
                            <w:numId w:val="210"/>
                          </w:numPr>
                          <w:tabs>
                            <w:tab w:pos="368" w:val="left" w:leader="none"/>
                          </w:tabs>
                          <w:spacing w:line="230" w:lineRule="auto" w:before="0" w:after="0"/>
                          <w:ind w:left="366" w:right="97" w:hanging="255"/>
                          <w:jc w:val="both"/>
                          <w:rPr>
                            <w:sz w:val="24"/>
                          </w:rPr>
                        </w:pPr>
                        <w:r>
                          <w:rPr>
                            <w:color w:val="231F20"/>
                            <w:sz w:val="24"/>
                          </w:rPr>
                          <w:t>與指標個案終止暴露或</w:t>
                        </w:r>
                        <w:r>
                          <w:rPr>
                            <w:color w:val="231F20"/>
                            <w:spacing w:val="16"/>
                            <w:sz w:val="24"/>
                          </w:rPr>
                          <w:t>陰轉滿 </w:t>
                        </w:r>
                        <w:r>
                          <w:rPr>
                            <w:color w:val="231F20"/>
                            <w:sz w:val="24"/>
                          </w:rPr>
                          <w:t>8</w:t>
                        </w:r>
                        <w:r>
                          <w:rPr>
                            <w:color w:val="231F20"/>
                            <w:spacing w:val="6"/>
                            <w:sz w:val="24"/>
                          </w:rPr>
                          <w:t> 週之 </w:t>
                        </w:r>
                        <w:r>
                          <w:rPr>
                            <w:color w:val="231F20"/>
                            <w:spacing w:val="-4"/>
                            <w:sz w:val="24"/>
                          </w:rPr>
                          <w:t>LTBI</w:t>
                        </w:r>
                        <w:r>
                          <w:rPr>
                            <w:color w:val="231F20"/>
                            <w:spacing w:val="-10"/>
                            <w:sz w:val="24"/>
                          </w:rPr>
                          <w:t> 檢</w:t>
                        </w:r>
                        <w:r>
                          <w:rPr>
                            <w:color w:val="231F20"/>
                            <w:sz w:val="24"/>
                          </w:rPr>
                          <w:t>驗陰性；或</w:t>
                        </w:r>
                      </w:p>
                      <w:p>
                        <w:pPr>
                          <w:pStyle w:val="TableParagraph"/>
                          <w:numPr>
                            <w:ilvl w:val="0"/>
                            <w:numId w:val="210"/>
                          </w:numPr>
                          <w:tabs>
                            <w:tab w:pos="368" w:val="left" w:leader="none"/>
                          </w:tabs>
                          <w:spacing w:line="230" w:lineRule="auto" w:before="0" w:after="0"/>
                          <w:ind w:left="366" w:right="97" w:hanging="255"/>
                          <w:jc w:val="both"/>
                          <w:rPr>
                            <w:sz w:val="24"/>
                          </w:rPr>
                        </w:pPr>
                        <w:r>
                          <w:rPr>
                            <w:color w:val="231F20"/>
                            <w:sz w:val="24"/>
                          </w:rPr>
                          <w:t>與指標個案停止接觸後2</w:t>
                        </w:r>
                        <w:r>
                          <w:rPr>
                            <w:color w:val="231F20"/>
                            <w:spacing w:val="-3"/>
                            <w:sz w:val="24"/>
                          </w:rPr>
                          <w:t> 年；或</w:t>
                        </w:r>
                      </w:p>
                      <w:p>
                        <w:pPr>
                          <w:pStyle w:val="TableParagraph"/>
                          <w:numPr>
                            <w:ilvl w:val="0"/>
                            <w:numId w:val="210"/>
                          </w:numPr>
                          <w:tabs>
                            <w:tab w:pos="368" w:val="left" w:leader="none"/>
                          </w:tabs>
                          <w:spacing w:line="230" w:lineRule="auto" w:before="0" w:after="0"/>
                          <w:ind w:left="366" w:right="97" w:hanging="255"/>
                          <w:jc w:val="both"/>
                          <w:rPr>
                            <w:sz w:val="24"/>
                          </w:rPr>
                        </w:pPr>
                        <w:r>
                          <w:rPr>
                            <w:color w:val="231F20"/>
                            <w:sz w:val="24"/>
                          </w:rPr>
                          <w:t>指標個案痰培養陰轉後2</w:t>
                        </w:r>
                        <w:r>
                          <w:rPr>
                            <w:color w:val="231F20"/>
                            <w:spacing w:val="-3"/>
                            <w:sz w:val="24"/>
                          </w:rPr>
                          <w:t> 年。</w:t>
                        </w:r>
                      </w:p>
                    </w:tc>
                    <w:tc>
                      <w:tcPr>
                        <w:tcW w:w="1219" w:type="dxa"/>
                        <w:vMerge w:val="restart"/>
                      </w:tcPr>
                      <w:p>
                        <w:pPr>
                          <w:pStyle w:val="TableParagraph"/>
                          <w:rPr>
                            <w:sz w:val="32"/>
                          </w:rPr>
                        </w:pPr>
                      </w:p>
                      <w:p>
                        <w:pPr>
                          <w:pStyle w:val="TableParagraph"/>
                          <w:rPr>
                            <w:sz w:val="32"/>
                          </w:rPr>
                        </w:pPr>
                      </w:p>
                      <w:p>
                        <w:pPr>
                          <w:pStyle w:val="TableParagraph"/>
                          <w:spacing w:before="13"/>
                          <w:rPr>
                            <w:sz w:val="20"/>
                          </w:rPr>
                        </w:pPr>
                      </w:p>
                      <w:p>
                        <w:pPr>
                          <w:pStyle w:val="TableParagraph"/>
                          <w:spacing w:line="230" w:lineRule="auto"/>
                          <w:ind w:left="111" w:right="87"/>
                          <w:jc w:val="both"/>
                          <w:rPr>
                            <w:sz w:val="24"/>
                          </w:rPr>
                        </w:pPr>
                        <w:r>
                          <w:rPr>
                            <w:color w:val="231F20"/>
                            <w:sz w:val="24"/>
                          </w:rPr>
                          <w:t>請儘速送驗抗藥性快速分子檢測</w:t>
                        </w:r>
                      </w:p>
                    </w:tc>
                  </w:tr>
                  <w:tr>
                    <w:trPr>
                      <w:trHeight w:val="2050" w:hRule="atLeast"/>
                    </w:trPr>
                    <w:tc>
                      <w:tcPr>
                        <w:tcW w:w="951" w:type="dxa"/>
                      </w:tcPr>
                      <w:p>
                        <w:pPr>
                          <w:pStyle w:val="TableParagraph"/>
                          <w:spacing w:before="13"/>
                          <w:rPr>
                            <w:sz w:val="47"/>
                          </w:rPr>
                        </w:pPr>
                      </w:p>
                      <w:p>
                        <w:pPr>
                          <w:pStyle w:val="TableParagraph"/>
                          <w:ind w:left="128"/>
                          <w:rPr>
                            <w:sz w:val="24"/>
                          </w:rPr>
                        </w:pPr>
                        <w:r>
                          <w:rPr>
                            <w:color w:val="231F20"/>
                            <w:sz w:val="24"/>
                          </w:rPr>
                          <w:t>RR-TB</w:t>
                        </w:r>
                      </w:p>
                    </w:tc>
                    <w:tc>
                      <w:tcPr>
                        <w:tcW w:w="2188" w:type="dxa"/>
                      </w:tcPr>
                      <w:p>
                        <w:pPr>
                          <w:pStyle w:val="TableParagraph"/>
                          <w:spacing w:line="230" w:lineRule="auto" w:before="43"/>
                          <w:ind w:left="112" w:right="77"/>
                          <w:jc w:val="both"/>
                          <w:rPr>
                            <w:sz w:val="24"/>
                          </w:rPr>
                        </w:pPr>
                        <w:r>
                          <w:rPr>
                            <w:color w:val="231F20"/>
                            <w:spacing w:val="6"/>
                            <w:sz w:val="24"/>
                          </w:rPr>
                          <w:t>自指標個案被系統</w:t>
                        </w:r>
                        <w:r>
                          <w:rPr>
                            <w:color w:val="231F20"/>
                            <w:spacing w:val="-13"/>
                            <w:sz w:val="24"/>
                          </w:rPr>
                          <w:t>註記 </w:t>
                        </w:r>
                        <w:r>
                          <w:rPr>
                            <w:color w:val="231F20"/>
                            <w:spacing w:val="-4"/>
                            <w:sz w:val="24"/>
                          </w:rPr>
                          <w:t>RR-TB</w:t>
                        </w:r>
                        <w:r>
                          <w:rPr>
                            <w:color w:val="231F20"/>
                            <w:spacing w:val="-13"/>
                            <w:sz w:val="24"/>
                          </w:rPr>
                          <w:t> —個月</w:t>
                        </w:r>
                        <w:r>
                          <w:rPr>
                            <w:color w:val="231F20"/>
                            <w:spacing w:val="17"/>
                            <w:sz w:val="24"/>
                          </w:rPr>
                          <w:t>內再次完成胸部</w:t>
                        </w:r>
                        <w:r>
                          <w:rPr>
                            <w:color w:val="231F20"/>
                            <w:sz w:val="24"/>
                          </w:rPr>
                          <w:t>X </w:t>
                        </w:r>
                        <w:r>
                          <w:rPr>
                            <w:color w:val="231F20"/>
                            <w:spacing w:val="-14"/>
                            <w:sz w:val="24"/>
                          </w:rPr>
                          <w:t>光 </w:t>
                        </w:r>
                        <w:r>
                          <w:rPr>
                            <w:color w:val="231F20"/>
                            <w:w w:val="70"/>
                            <w:sz w:val="24"/>
                          </w:rPr>
                          <w:t>（</w:t>
                        </w:r>
                        <w:r>
                          <w:rPr>
                            <w:color w:val="231F20"/>
                            <w:spacing w:val="-7"/>
                            <w:w w:val="70"/>
                            <w:sz w:val="24"/>
                          </w:rPr>
                          <w:t> </w:t>
                        </w:r>
                        <w:r>
                          <w:rPr>
                            <w:color w:val="231F20"/>
                            <w:spacing w:val="-14"/>
                            <w:sz w:val="24"/>
                          </w:rPr>
                          <w:t>除 </w:t>
                        </w:r>
                        <w:r>
                          <w:rPr>
                            <w:color w:val="231F20"/>
                            <w:sz w:val="24"/>
                          </w:rPr>
                          <w:t>3</w:t>
                        </w:r>
                        <w:r>
                          <w:rPr>
                            <w:color w:val="231F20"/>
                            <w:spacing w:val="7"/>
                            <w:sz w:val="24"/>
                          </w:rPr>
                          <w:t> 個月內曾</w:t>
                        </w:r>
                      </w:p>
                      <w:p>
                        <w:pPr>
                          <w:pStyle w:val="TableParagraph"/>
                          <w:spacing w:line="384" w:lineRule="exact"/>
                          <w:ind w:left="112"/>
                          <w:jc w:val="both"/>
                          <w:rPr>
                            <w:sz w:val="24"/>
                          </w:rPr>
                        </w:pPr>
                        <w:r>
                          <w:rPr>
                            <w:color w:val="231F20"/>
                            <w:spacing w:val="-9"/>
                            <w:w w:val="110"/>
                            <w:sz w:val="24"/>
                          </w:rPr>
                          <w:t>照過胸部 </w:t>
                        </w:r>
                        <w:r>
                          <w:rPr>
                            <w:color w:val="231F20"/>
                            <w:w w:val="110"/>
                            <w:sz w:val="24"/>
                          </w:rPr>
                          <w:t>X</w:t>
                        </w:r>
                        <w:r>
                          <w:rPr>
                            <w:color w:val="231F20"/>
                            <w:spacing w:val="-11"/>
                            <w:w w:val="110"/>
                            <w:sz w:val="24"/>
                          </w:rPr>
                          <w:t> 光者)</w:t>
                        </w:r>
                      </w:p>
                    </w:tc>
                    <w:tc>
                      <w:tcPr>
                        <w:tcW w:w="1176" w:type="dxa"/>
                      </w:tcPr>
                      <w:p>
                        <w:pPr>
                          <w:pStyle w:val="TableParagraph"/>
                          <w:spacing w:line="230" w:lineRule="auto" w:before="43"/>
                          <w:ind w:left="111" w:right="23"/>
                          <w:jc w:val="both"/>
                          <w:rPr>
                            <w:sz w:val="24"/>
                          </w:rPr>
                        </w:pPr>
                        <w:r>
                          <w:rPr>
                            <w:color w:val="231F20"/>
                            <w:sz w:val="24"/>
                          </w:rPr>
                          <w:t>使 用 6H 或 9H 處方 執 行LT B I 治</w:t>
                        </w:r>
                      </w:p>
                      <w:p>
                        <w:pPr>
                          <w:pStyle w:val="TableParagraph"/>
                          <w:spacing w:line="384" w:lineRule="exact"/>
                          <w:ind w:left="111"/>
                          <w:rPr>
                            <w:sz w:val="24"/>
                          </w:rPr>
                        </w:pPr>
                        <w:r>
                          <w:rPr>
                            <w:color w:val="231F20"/>
                            <w:sz w:val="24"/>
                          </w:rPr>
                          <w:t>療</w:t>
                        </w:r>
                      </w:p>
                    </w:tc>
                    <w:tc>
                      <w:tcPr>
                        <w:tcW w:w="2899" w:type="dxa"/>
                        <w:vMerge/>
                        <w:tcBorders>
                          <w:top w:val="nil"/>
                        </w:tcBorders>
                      </w:tcPr>
                      <w:p>
                        <w:pPr>
                          <w:rPr>
                            <w:sz w:val="2"/>
                            <w:szCs w:val="2"/>
                          </w:rPr>
                        </w:pPr>
                      </w:p>
                    </w:tc>
                    <w:tc>
                      <w:tcPr>
                        <w:tcW w:w="1219" w:type="dxa"/>
                        <w:vMerge/>
                        <w:tcBorders>
                          <w:top w:val="nil"/>
                        </w:tcBorders>
                      </w:tcPr>
                      <w:p>
                        <w:pPr>
                          <w:rPr>
                            <w:sz w:val="2"/>
                            <w:szCs w:val="2"/>
                          </w:rPr>
                        </w:pPr>
                      </w:p>
                    </w:tc>
                  </w:tr>
                </w:tbl>
                <w:p>
                  <w:pPr>
                    <w:pStyle w:val="BodyText"/>
                  </w:pPr>
                </w:p>
              </w:txbxContent>
            </v:textbox>
            <w10:wrap type="none"/>
          </v:shape>
        </w:pict>
      </w:r>
      <w:r>
        <w:rPr>
          <w:color w:val="231F20"/>
        </w:rPr>
        <w:t>表 10-3、抗藥性結核病接觸者檢査時間</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
        <w:rPr>
          <w:sz w:val="19"/>
        </w:rPr>
      </w:pPr>
    </w:p>
    <w:p>
      <w:pPr>
        <w:pStyle w:val="BodyText"/>
        <w:spacing w:line="230" w:lineRule="auto"/>
        <w:ind w:left="1853" w:right="1133" w:hanging="510"/>
      </w:pPr>
      <w:r>
        <w:rPr>
          <w:color w:val="231F20"/>
        </w:rPr>
        <w:t>註：接觸者檢査及治療相關規定請參考工作手冊第三章潛伏結核感染之診斷及治療和第十—章結核病接觸者追蹤管理。</w:t>
      </w:r>
    </w:p>
    <w:p>
      <w:pPr>
        <w:spacing w:after="0" w:line="230" w:lineRule="auto"/>
        <w:sectPr>
          <w:pgSz w:w="11910" w:h="16840"/>
          <w:pgMar w:top="1060" w:bottom="0" w:left="980" w:right="0"/>
        </w:sectPr>
      </w:pPr>
    </w:p>
    <w:p>
      <w:pPr>
        <w:pStyle w:val="Heading2"/>
        <w:spacing w:before="27"/>
      </w:pPr>
      <w:r>
        <w:rPr/>
        <w:pict>
          <v:group style="position:absolute;margin-left:-.000001pt;margin-top:286.162994pt;width:37.35pt;height:555.550pt;mso-position-horizontal-relative:page;mso-position-vertical-relative:page;z-index:251923456"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72;top:16271;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112</w:t>
                    </w:r>
                  </w:p>
                </w:txbxContent>
              </v:textbox>
              <w10:wrap type="none"/>
            </v:shape>
            <w10:wrap type="none"/>
          </v:group>
        </w:pict>
      </w:r>
      <w:r>
        <w:rPr>
          <w:color w:val="231F20"/>
        </w:rPr>
        <w:t>柒、建構「抗藥性結核病醫療照護體系」計畫</w:t>
      </w:r>
    </w:p>
    <w:p>
      <w:pPr>
        <w:pStyle w:val="BodyText"/>
        <w:spacing w:line="230" w:lineRule="auto" w:before="7"/>
        <w:ind w:left="635" w:right="1124" w:firstLine="481"/>
        <w:jc w:val="both"/>
      </w:pPr>
      <w:r>
        <w:rPr>
          <w:color w:val="231F20"/>
          <w:spacing w:val="33"/>
        </w:rPr>
        <w:t>疾管署於 </w:t>
      </w:r>
      <w:r>
        <w:rPr>
          <w:color w:val="231F20"/>
          <w:w w:val="104"/>
        </w:rPr>
        <w:t>2</w:t>
      </w:r>
      <w:r>
        <w:rPr>
          <w:color w:val="231F20"/>
          <w:spacing w:val="-1"/>
          <w:w w:val="104"/>
        </w:rPr>
        <w:t>0</w:t>
      </w:r>
      <w:r>
        <w:rPr>
          <w:color w:val="231F20"/>
          <w:w w:val="104"/>
        </w:rPr>
        <w:t>07</w:t>
      </w:r>
      <w:r>
        <w:rPr>
          <w:color w:val="231F20"/>
          <w:spacing w:val="4"/>
        </w:rPr>
        <w:t> 年 </w:t>
      </w:r>
      <w:r>
        <w:rPr>
          <w:color w:val="231F20"/>
          <w:w w:val="104"/>
        </w:rPr>
        <w:t>5</w:t>
      </w:r>
      <w:r>
        <w:rPr>
          <w:color w:val="231F20"/>
          <w:spacing w:val="41"/>
        </w:rPr>
        <w:t> 月啟動抗藥性結核病醫療照護體系 </w:t>
      </w:r>
      <w:r>
        <w:rPr>
          <w:color w:val="231F20"/>
          <w:w w:val="32"/>
        </w:rPr>
        <w:t>（</w:t>
      </w:r>
      <w:r>
        <w:rPr>
          <w:color w:val="231F20"/>
          <w:spacing w:val="-28"/>
          <w:w w:val="91"/>
        </w:rPr>
        <w:t>T</w:t>
      </w:r>
      <w:r>
        <w:rPr>
          <w:color w:val="231F20"/>
          <w:spacing w:val="-1"/>
          <w:w w:val="98"/>
        </w:rPr>
        <w:t>a</w:t>
      </w:r>
      <w:r>
        <w:rPr>
          <w:color w:val="231F20"/>
          <w:spacing w:val="-1"/>
          <w:w w:val="116"/>
        </w:rPr>
        <w:t>i</w:t>
      </w:r>
      <w:r>
        <w:rPr>
          <w:color w:val="231F20"/>
          <w:w w:val="107"/>
        </w:rPr>
        <w:t>w</w:t>
      </w:r>
      <w:r>
        <w:rPr>
          <w:color w:val="231F20"/>
          <w:spacing w:val="-1"/>
          <w:w w:val="98"/>
        </w:rPr>
        <w:t>a</w:t>
      </w:r>
      <w:r>
        <w:rPr>
          <w:color w:val="231F20"/>
          <w:w w:val="109"/>
        </w:rPr>
        <w:t>n</w:t>
      </w:r>
      <w:r>
        <w:rPr>
          <w:color w:val="231F20"/>
          <w:spacing w:val="15"/>
        </w:rPr>
        <w:t> </w:t>
      </w:r>
      <w:r>
        <w:rPr>
          <w:color w:val="231F20"/>
          <w:spacing w:val="-1"/>
          <w:w w:val="115"/>
        </w:rPr>
        <w:t>M</w:t>
      </w:r>
      <w:r>
        <w:rPr>
          <w:color w:val="231F20"/>
          <w:w w:val="104"/>
        </w:rPr>
        <w:t>D</w:t>
      </w:r>
      <w:r>
        <w:rPr>
          <w:color w:val="231F20"/>
          <w:spacing w:val="-1"/>
          <w:w w:val="88"/>
        </w:rPr>
        <w:t>R</w:t>
      </w:r>
      <w:r>
        <w:rPr>
          <w:color w:val="231F20"/>
          <w:w w:val="129"/>
        </w:rPr>
        <w:t>-</w:t>
      </w:r>
      <w:r>
        <w:rPr>
          <w:color w:val="231F20"/>
          <w:w w:val="91"/>
        </w:rPr>
        <w:t>T</w:t>
      </w:r>
      <w:r>
        <w:rPr>
          <w:color w:val="231F20"/>
          <w:w w:val="92"/>
        </w:rPr>
        <w:t>B </w:t>
      </w:r>
      <w:r>
        <w:rPr>
          <w:color w:val="231F20"/>
        </w:rPr>
        <w:t>Consortium</w:t>
      </w:r>
      <w:r>
        <w:rPr>
          <w:color w:val="231F20"/>
          <w:spacing w:val="23"/>
        </w:rPr>
        <w:t>, </w:t>
      </w:r>
      <w:r>
        <w:rPr>
          <w:color w:val="231F20"/>
        </w:rPr>
        <w:t>TMTC</w:t>
      </w:r>
      <w:r>
        <w:rPr>
          <w:color w:val="231F20"/>
          <w:spacing w:val="2"/>
        </w:rPr>
        <w:t>)，成立目的在於因應當時 </w:t>
      </w:r>
      <w:r>
        <w:rPr>
          <w:color w:val="231F20"/>
        </w:rPr>
        <w:t>MDR-TB</w:t>
      </w:r>
      <w:r>
        <w:rPr>
          <w:color w:val="231F20"/>
          <w:spacing w:val="5"/>
        </w:rPr>
        <w:t> 病人迅速增加的問題。藉由專</w:t>
      </w:r>
      <w:r>
        <w:rPr>
          <w:color w:val="231F20"/>
        </w:rPr>
        <w:t>業且以病人為中心的照護團隊、高品質的檢驗系統、具經驗的二線藥物治療及全程加強</w:t>
      </w:r>
      <w:r>
        <w:rPr>
          <w:color w:val="231F20"/>
          <w:spacing w:val="1"/>
        </w:rPr>
        <w:t>監督，提供進陪都治 </w:t>
      </w:r>
      <w:r>
        <w:rPr>
          <w:color w:val="231F20"/>
          <w:w w:val="32"/>
        </w:rPr>
        <w:t>（</w:t>
      </w:r>
      <w:r>
        <w:rPr>
          <w:color w:val="231F20"/>
          <w:w w:val="104"/>
        </w:rPr>
        <w:t>D</w:t>
      </w:r>
      <w:r>
        <w:rPr>
          <w:color w:val="231F20"/>
          <w:spacing w:val="-12"/>
          <w:w w:val="104"/>
        </w:rPr>
        <w:t>O</w:t>
      </w:r>
      <w:r>
        <w:rPr>
          <w:color w:val="231F20"/>
          <w:w w:val="91"/>
        </w:rPr>
        <w:t>T</w:t>
      </w:r>
      <w:r>
        <w:rPr>
          <w:color w:val="231F20"/>
          <w:w w:val="85"/>
        </w:rPr>
        <w:t>S</w:t>
      </w:r>
      <w:r>
        <w:rPr>
          <w:color w:val="231F20"/>
          <w:w w:val="129"/>
        </w:rPr>
        <w:t>-</w:t>
      </w:r>
      <w:r>
        <w:rPr>
          <w:color w:val="231F20"/>
          <w:spacing w:val="-1"/>
          <w:w w:val="113"/>
        </w:rPr>
        <w:t>p</w:t>
      </w:r>
      <w:r>
        <w:rPr>
          <w:color w:val="231F20"/>
          <w:spacing w:val="-1"/>
          <w:w w:val="116"/>
        </w:rPr>
        <w:t>l</w:t>
      </w:r>
      <w:r>
        <w:rPr>
          <w:color w:val="231F20"/>
          <w:spacing w:val="-1"/>
          <w:w w:val="109"/>
        </w:rPr>
        <w:t>u</w:t>
      </w:r>
      <w:r>
        <w:rPr>
          <w:color w:val="231F20"/>
          <w:spacing w:val="-1"/>
          <w:w w:val="91"/>
        </w:rPr>
        <w:t>s</w:t>
      </w:r>
      <w:r>
        <w:rPr>
          <w:color w:val="231F20"/>
          <w:w w:val="96"/>
        </w:rPr>
        <w:t>)</w:t>
      </w:r>
      <w:r>
        <w:rPr>
          <w:color w:val="231F20"/>
          <w:spacing w:val="-1"/>
        </w:rPr>
        <w:t> 管理，有效控制 </w:t>
      </w:r>
      <w:r>
        <w:rPr>
          <w:color w:val="231F20"/>
          <w:spacing w:val="-1"/>
          <w:w w:val="115"/>
        </w:rPr>
        <w:t>M</w:t>
      </w:r>
      <w:r>
        <w:rPr>
          <w:color w:val="231F20"/>
          <w:w w:val="104"/>
        </w:rPr>
        <w:t>D</w:t>
      </w:r>
      <w:r>
        <w:rPr>
          <w:color w:val="231F20"/>
          <w:spacing w:val="-1"/>
          <w:w w:val="88"/>
        </w:rPr>
        <w:t>R</w:t>
      </w:r>
      <w:r>
        <w:rPr>
          <w:color w:val="231F20"/>
          <w:w w:val="129"/>
        </w:rPr>
        <w:t>-</w:t>
      </w:r>
      <w:r>
        <w:rPr>
          <w:color w:val="231F20"/>
          <w:w w:val="91"/>
        </w:rPr>
        <w:t>T</w:t>
      </w:r>
      <w:r>
        <w:rPr>
          <w:color w:val="231F20"/>
          <w:w w:val="92"/>
        </w:rPr>
        <w:t>B</w:t>
      </w:r>
      <w:r>
        <w:rPr>
          <w:color w:val="231F20"/>
        </w:rPr>
        <w:t> 疫情，逐年增加對象，自 2011</w:t>
      </w:r>
      <w:r>
        <w:rPr>
          <w:color w:val="231F20"/>
          <w:spacing w:val="1"/>
        </w:rPr>
        <w:t> 年迄今，逐步擴大收治 </w:t>
      </w:r>
      <w:r>
        <w:rPr>
          <w:color w:val="231F20"/>
        </w:rPr>
        <w:t>RMP</w:t>
      </w:r>
      <w:r>
        <w:rPr>
          <w:color w:val="231F20"/>
          <w:spacing w:val="1"/>
        </w:rPr>
        <w:t> 抗藥、任三種—線藥物抗藥、使用針劑，以及嚴重</w:t>
      </w:r>
      <w:r>
        <w:rPr>
          <w:color w:val="231F20"/>
          <w:spacing w:val="-1"/>
        </w:rPr>
        <w:t>副作用或不合作之困難個案等。目前透過「臺北市立萬芳醫院團隊」(台北區)、「衛   生福利部桃園醫院團隊」(北區)、「衛生福利部彰化醫院團隊」(中區)、「衛生福         </w:t>
      </w:r>
      <w:r>
        <w:rPr>
          <w:color w:val="231F20"/>
          <w:spacing w:val="-10"/>
        </w:rPr>
        <w:t>利部胸腔病院團隊」</w:t>
      </w:r>
      <w:r>
        <w:rPr>
          <w:color w:val="231F20"/>
          <w:w w:val="130"/>
        </w:rPr>
        <w:t>(南區</w:t>
      </w:r>
      <w:r>
        <w:rPr>
          <w:color w:val="231F20"/>
          <w:spacing w:val="-45"/>
          <w:w w:val="250"/>
        </w:rPr>
        <w:t>)</w:t>
      </w:r>
      <w:r>
        <w:rPr>
          <w:color w:val="231F20"/>
          <w:spacing w:val="-15"/>
        </w:rPr>
        <w:t>、「高雄醫學大學附設中和紀念醫院團隊」</w:t>
      </w:r>
      <w:r>
        <w:rPr>
          <w:color w:val="231F20"/>
          <w:w w:val="130"/>
        </w:rPr>
        <w:t>(高屏區</w:t>
      </w:r>
      <w:r>
        <w:rPr>
          <w:color w:val="231F20"/>
          <w:spacing w:val="-45"/>
          <w:w w:val="250"/>
        </w:rPr>
        <w:t>)</w:t>
      </w:r>
      <w:r>
        <w:rPr>
          <w:color w:val="231F20"/>
          <w:spacing w:val="-30"/>
        </w:rPr>
        <w:t>、「中</w:t>
      </w:r>
      <w:r>
        <w:rPr>
          <w:color w:val="231F20"/>
          <w:spacing w:val="3"/>
        </w:rPr>
        <w:t>華民國防癆協會團隊」</w:t>
      </w:r>
      <w:r>
        <w:rPr>
          <w:color w:val="231F20"/>
          <w:spacing w:val="3"/>
          <w:w w:val="130"/>
        </w:rPr>
        <w:t>(東區)</w:t>
      </w:r>
      <w:r>
        <w:rPr>
          <w:color w:val="231F20"/>
          <w:w w:val="130"/>
        </w:rPr>
        <w:t>6</w:t>
      </w:r>
      <w:r>
        <w:rPr>
          <w:color w:val="231F20"/>
          <w:spacing w:val="-17"/>
          <w:w w:val="130"/>
        </w:rPr>
        <w:t> </w:t>
      </w:r>
      <w:r>
        <w:rPr>
          <w:color w:val="231F20"/>
          <w:spacing w:val="3"/>
        </w:rPr>
        <w:t>大專業團隊 </w:t>
      </w:r>
      <w:r>
        <w:rPr>
          <w:color w:val="231F20"/>
          <w:w w:val="65"/>
        </w:rPr>
        <w:t>（</w:t>
      </w:r>
      <w:r>
        <w:rPr>
          <w:color w:val="231F20"/>
          <w:spacing w:val="27"/>
          <w:w w:val="65"/>
        </w:rPr>
        <w:t> </w:t>
      </w:r>
      <w:r>
        <w:rPr>
          <w:color w:val="231F20"/>
          <w:spacing w:val="2"/>
        </w:rPr>
        <w:t>詳附件 </w:t>
      </w:r>
      <w:r>
        <w:rPr>
          <w:color w:val="231F20"/>
        </w:rPr>
        <w:t>10-1)</w:t>
      </w:r>
      <w:r>
        <w:rPr>
          <w:color w:val="231F20"/>
          <w:spacing w:val="3"/>
        </w:rPr>
        <w:t> 共同努力，除縮短抗藥性</w:t>
      </w:r>
      <w:r>
        <w:rPr>
          <w:color w:val="231F20"/>
        </w:rPr>
        <w:t>結核病病人可傳染期，大幅減少社區中的新案以及無法治癒的慢性傳染性結核病病人， 疾病管制署持續借重團隊專業蕈富診療經驗，積極解決其他困難結核病病人診治問題。</w:t>
      </w:r>
    </w:p>
    <w:p>
      <w:pPr>
        <w:pStyle w:val="BodyText"/>
        <w:spacing w:line="384" w:lineRule="exact"/>
        <w:ind w:left="391"/>
      </w:pPr>
      <w:r>
        <w:rPr>
          <w:color w:val="231F20"/>
        </w:rPr>
        <w:t>—、收案對象</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團隊收案對象如下：</w:t>
      </w:r>
    </w:p>
    <w:p>
      <w:pPr>
        <w:pStyle w:val="ListParagraph"/>
        <w:numPr>
          <w:ilvl w:val="0"/>
          <w:numId w:val="211"/>
        </w:numPr>
        <w:tabs>
          <w:tab w:pos="1349" w:val="left" w:leader="none"/>
        </w:tabs>
        <w:spacing w:line="400" w:lineRule="exact" w:before="0" w:after="0"/>
        <w:ind w:left="1348" w:right="0" w:hanging="255"/>
        <w:jc w:val="left"/>
        <w:rPr>
          <w:sz w:val="24"/>
        </w:rPr>
      </w:pPr>
      <w:r>
        <w:rPr>
          <w:color w:val="231F20"/>
          <w:sz w:val="24"/>
        </w:rPr>
        <w:t>第—類：MDR-TB</w:t>
      </w:r>
      <w:r>
        <w:rPr>
          <w:color w:val="231F20"/>
          <w:spacing w:val="-4"/>
          <w:sz w:val="24"/>
        </w:rPr>
        <w:t> 病人或符合 </w:t>
      </w:r>
      <w:r>
        <w:rPr>
          <w:color w:val="231F20"/>
          <w:sz w:val="24"/>
        </w:rPr>
        <w:t>RMP</w:t>
      </w:r>
      <w:r>
        <w:rPr>
          <w:color w:val="231F20"/>
          <w:spacing w:val="-4"/>
          <w:sz w:val="24"/>
        </w:rPr>
        <w:t> 單—抗藥且對任— </w:t>
      </w:r>
      <w:r>
        <w:rPr>
          <w:color w:val="231F20"/>
          <w:spacing w:val="-3"/>
          <w:sz w:val="24"/>
        </w:rPr>
        <w:t>FLQ 抗藥之病人。</w:t>
      </w:r>
    </w:p>
    <w:p>
      <w:pPr>
        <w:pStyle w:val="ListParagraph"/>
        <w:numPr>
          <w:ilvl w:val="0"/>
          <w:numId w:val="211"/>
        </w:numPr>
        <w:tabs>
          <w:tab w:pos="1349" w:val="left" w:leader="none"/>
        </w:tabs>
        <w:spacing w:line="400" w:lineRule="exact" w:before="0" w:after="0"/>
        <w:ind w:left="1348" w:right="0" w:hanging="255"/>
        <w:jc w:val="left"/>
        <w:rPr>
          <w:sz w:val="24"/>
        </w:rPr>
      </w:pPr>
      <w:r>
        <w:rPr>
          <w:color w:val="231F20"/>
          <w:sz w:val="24"/>
        </w:rPr>
        <w:t>第二類：RMP</w:t>
      </w:r>
      <w:r>
        <w:rPr>
          <w:color w:val="231F20"/>
          <w:spacing w:val="-3"/>
          <w:sz w:val="24"/>
        </w:rPr>
        <w:t> 單—抗藥或對任三種—線抗結核藥物抗藥之病人。</w:t>
      </w:r>
    </w:p>
    <w:p>
      <w:pPr>
        <w:pStyle w:val="ListParagraph"/>
        <w:numPr>
          <w:ilvl w:val="0"/>
          <w:numId w:val="211"/>
        </w:numPr>
        <w:tabs>
          <w:tab w:pos="1349" w:val="left" w:leader="none"/>
        </w:tabs>
        <w:spacing w:line="230" w:lineRule="auto" w:before="2" w:after="0"/>
        <w:ind w:left="1349" w:right="1136" w:hanging="255"/>
        <w:jc w:val="left"/>
        <w:rPr>
          <w:sz w:val="24"/>
        </w:rPr>
      </w:pPr>
      <w:r>
        <w:rPr>
          <w:color w:val="231F20"/>
          <w:spacing w:val="-3"/>
          <w:sz w:val="24"/>
        </w:rPr>
        <w:t>第三類：對抗結核藥物抗藥或副作用，需使用 </w:t>
      </w:r>
      <w:r>
        <w:rPr>
          <w:color w:val="231F20"/>
          <w:sz w:val="24"/>
        </w:rPr>
        <w:t>kanamycin</w:t>
      </w:r>
      <w:r>
        <w:rPr>
          <w:color w:val="231F20"/>
          <w:spacing w:val="36"/>
          <w:sz w:val="24"/>
        </w:rPr>
        <w:t> 或</w:t>
      </w:r>
      <w:r>
        <w:rPr>
          <w:color w:val="231F20"/>
          <w:sz w:val="24"/>
        </w:rPr>
        <w:t>amikacin</w:t>
      </w:r>
      <w:r>
        <w:rPr>
          <w:color w:val="231F20"/>
          <w:spacing w:val="2"/>
          <w:sz w:val="24"/>
        </w:rPr>
        <w:t> 針劑之病人。</w:t>
      </w:r>
    </w:p>
    <w:p>
      <w:pPr>
        <w:pStyle w:val="ListParagraph"/>
        <w:numPr>
          <w:ilvl w:val="0"/>
          <w:numId w:val="211"/>
        </w:numPr>
        <w:tabs>
          <w:tab w:pos="1349" w:val="left" w:leader="none"/>
        </w:tabs>
        <w:spacing w:line="395" w:lineRule="exact" w:before="0" w:after="0"/>
        <w:ind w:left="1348" w:right="0" w:hanging="255"/>
        <w:jc w:val="left"/>
        <w:rPr>
          <w:sz w:val="24"/>
        </w:rPr>
      </w:pPr>
      <w:r>
        <w:rPr>
          <w:color w:val="231F20"/>
          <w:w w:val="105"/>
          <w:sz w:val="24"/>
        </w:rPr>
        <w:t>第匹類：INH</w:t>
      </w:r>
      <w:r>
        <w:rPr>
          <w:color w:val="231F20"/>
          <w:spacing w:val="-3"/>
          <w:w w:val="105"/>
          <w:sz w:val="24"/>
        </w:rPr>
        <w:t> 及任—線藥物抗藥</w:t>
      </w:r>
      <w:r>
        <w:rPr>
          <w:color w:val="231F20"/>
          <w:w w:val="105"/>
          <w:sz w:val="24"/>
        </w:rPr>
        <w:t>(RMP</w:t>
      </w:r>
      <w:r>
        <w:rPr>
          <w:color w:val="231F20"/>
          <w:spacing w:val="4"/>
          <w:w w:val="105"/>
          <w:sz w:val="24"/>
        </w:rPr>
        <w:t> 除外)併同使用</w:t>
      </w:r>
      <w:r>
        <w:rPr>
          <w:color w:val="231F20"/>
          <w:spacing w:val="-3"/>
          <w:w w:val="105"/>
          <w:sz w:val="24"/>
        </w:rPr>
        <w:t>FLQ 治療之病人。</w:t>
      </w:r>
    </w:p>
    <w:p>
      <w:pPr>
        <w:pStyle w:val="ListParagraph"/>
        <w:numPr>
          <w:ilvl w:val="0"/>
          <w:numId w:val="211"/>
        </w:numPr>
        <w:tabs>
          <w:tab w:pos="1350" w:val="left" w:leader="none"/>
        </w:tabs>
        <w:spacing w:line="230" w:lineRule="auto" w:before="3" w:after="0"/>
        <w:ind w:left="1349" w:right="1133" w:hanging="255"/>
        <w:jc w:val="left"/>
        <w:rPr>
          <w:sz w:val="24"/>
        </w:rPr>
      </w:pPr>
      <w:r>
        <w:rPr>
          <w:color w:val="231F20"/>
          <w:sz w:val="24"/>
        </w:rPr>
        <w:t>第五類：病例口冊核定之結核病困難個案(含嚴重副作用、不合作或其他原因， </w:t>
      </w:r>
      <w:r>
        <w:rPr>
          <w:color w:val="231F20"/>
          <w:w w:val="105"/>
          <w:sz w:val="24"/>
        </w:rPr>
        <w:t>導致有不規則服藥或需反覆調整藥物之情形等)。</w:t>
      </w:r>
    </w:p>
    <w:p>
      <w:pPr>
        <w:pStyle w:val="ListParagraph"/>
        <w:numPr>
          <w:ilvl w:val="0"/>
          <w:numId w:val="211"/>
        </w:numPr>
        <w:tabs>
          <w:tab w:pos="1350" w:val="left" w:leader="none"/>
        </w:tabs>
        <w:spacing w:line="230" w:lineRule="auto" w:before="0" w:after="0"/>
        <w:ind w:left="1349" w:right="1129" w:hanging="255"/>
        <w:jc w:val="left"/>
        <w:rPr>
          <w:sz w:val="24"/>
        </w:rPr>
      </w:pPr>
      <w:r>
        <w:rPr>
          <w:color w:val="231F20"/>
          <w:spacing w:val="1"/>
          <w:sz w:val="24"/>
        </w:rPr>
        <w:t>第六類：指標個案 </w:t>
      </w:r>
      <w:r>
        <w:rPr>
          <w:color w:val="231F20"/>
          <w:sz w:val="24"/>
        </w:rPr>
        <w:t>MDR-TB，但無 </w:t>
      </w:r>
      <w:r>
        <w:rPr>
          <w:color w:val="231F20"/>
          <w:spacing w:val="-4"/>
          <w:sz w:val="24"/>
        </w:rPr>
        <w:t>FLQ</w:t>
      </w:r>
      <w:r>
        <w:rPr>
          <w:color w:val="231F20"/>
          <w:spacing w:val="2"/>
          <w:sz w:val="24"/>
        </w:rPr>
        <w:t> 抗藥之結核病病人接觸者，接受潛伏結</w:t>
      </w:r>
      <w:r>
        <w:rPr>
          <w:color w:val="231F20"/>
          <w:spacing w:val="-3"/>
          <w:sz w:val="24"/>
        </w:rPr>
        <w:t>核感染 （LTBI) 治療個案。</w:t>
      </w:r>
    </w:p>
    <w:p>
      <w:pPr>
        <w:pStyle w:val="BodyText"/>
        <w:spacing w:line="230" w:lineRule="auto"/>
        <w:ind w:left="1349" w:right="1075" w:hanging="720"/>
        <w:jc w:val="both"/>
      </w:pPr>
      <w:r>
        <w:rPr>
          <w:color w:val="231F20"/>
          <w:w w:val="65"/>
        </w:rPr>
        <w:t>（ </w:t>
      </w:r>
      <w:r>
        <w:rPr>
          <w:color w:val="231F20"/>
        </w:rPr>
        <w:t>二 ) 收案對象僅限本國國民及本國國民之外籍配偶，其他非本國籍之抗藥性結核病病</w:t>
      </w:r>
      <w:r>
        <w:rPr>
          <w:color w:val="231F20"/>
          <w:spacing w:val="2"/>
        </w:rPr>
        <w:t>人不納入團隊收案，由衛生局</w:t>
      </w:r>
      <w:r>
        <w:rPr>
          <w:color w:val="231F20"/>
          <w:spacing w:val="-4"/>
          <w:w w:val="65"/>
        </w:rPr>
        <w:t>／ </w:t>
      </w:r>
      <w:r>
        <w:rPr>
          <w:color w:val="231F20"/>
          <w:spacing w:val="4"/>
        </w:rPr>
        <w:t>所參照本章「陸</w:t>
      </w:r>
      <w:r>
        <w:rPr>
          <w:color w:val="231F20"/>
          <w:spacing w:val="-19"/>
          <w:w w:val="110"/>
        </w:rPr>
        <w:t>- </w:t>
      </w:r>
      <w:r>
        <w:rPr>
          <w:color w:val="231F20"/>
          <w:spacing w:val="-8"/>
        </w:rPr>
        <w:t>五：抗藥性結核病個案管理」， </w:t>
      </w:r>
      <w:r>
        <w:rPr>
          <w:color w:val="231F20"/>
        </w:rPr>
        <w:t>依照未納入團隊收案之個案管理原則管理。倘經評估有納入團隊收案之外籍結核病個案需求時，將視個案狀況專案處理，提供其他必要協助以利治療照護。</w:t>
      </w:r>
    </w:p>
    <w:p>
      <w:pPr>
        <w:pStyle w:val="BodyText"/>
        <w:spacing w:line="230" w:lineRule="auto"/>
        <w:ind w:left="1349" w:right="1134" w:hanging="720"/>
        <w:jc w:val="both"/>
      </w:pPr>
      <w:r>
        <w:rPr>
          <w:color w:val="231F20"/>
          <w:w w:val="70"/>
        </w:rPr>
        <w:t>（ </w:t>
      </w:r>
      <w:r>
        <w:rPr>
          <w:color w:val="231F20"/>
        </w:rPr>
        <w:t>三 ) 第—類至第五類個案曾於 TMTC 團隊收治，因復發或經快速分子檢測為 MDR- TB 或 RR-TB，此時若要收入團隊需具以下條件：</w:t>
      </w:r>
    </w:p>
    <w:p>
      <w:pPr>
        <w:pStyle w:val="ListParagraph"/>
        <w:numPr>
          <w:ilvl w:val="0"/>
          <w:numId w:val="212"/>
        </w:numPr>
        <w:tabs>
          <w:tab w:pos="1349" w:val="left" w:leader="none"/>
        </w:tabs>
        <w:spacing w:line="395" w:lineRule="exact" w:before="0" w:after="0"/>
        <w:ind w:left="1348" w:right="0" w:hanging="255"/>
        <w:jc w:val="both"/>
        <w:rPr>
          <w:sz w:val="24"/>
        </w:rPr>
      </w:pPr>
      <w:r>
        <w:rPr>
          <w:color w:val="231F20"/>
          <w:spacing w:val="-1"/>
          <w:sz w:val="24"/>
        </w:rPr>
        <w:t>有臨床症狀者：需具有—套培養陽性 </w:t>
      </w:r>
      <w:r>
        <w:rPr>
          <w:color w:val="231F20"/>
          <w:sz w:val="24"/>
        </w:rPr>
        <w:t>MTBC</w:t>
      </w:r>
      <w:r>
        <w:rPr>
          <w:color w:val="231F20"/>
          <w:spacing w:val="-3"/>
          <w:sz w:val="24"/>
        </w:rPr>
        <w:t> 結果。</w:t>
      </w:r>
    </w:p>
    <w:p>
      <w:pPr>
        <w:pStyle w:val="ListParagraph"/>
        <w:numPr>
          <w:ilvl w:val="0"/>
          <w:numId w:val="212"/>
        </w:numPr>
        <w:tabs>
          <w:tab w:pos="1349" w:val="left" w:leader="none"/>
        </w:tabs>
        <w:spacing w:line="400" w:lineRule="exact" w:before="0" w:after="0"/>
        <w:ind w:left="1348" w:right="0" w:hanging="255"/>
        <w:jc w:val="both"/>
        <w:rPr>
          <w:sz w:val="24"/>
        </w:rPr>
      </w:pPr>
      <w:r>
        <w:rPr>
          <w:color w:val="231F20"/>
          <w:spacing w:val="-1"/>
          <w:sz w:val="24"/>
        </w:rPr>
        <w:t>無臨床症狀者：需具有二套培養陽性 </w:t>
      </w:r>
      <w:r>
        <w:rPr>
          <w:color w:val="231F20"/>
          <w:sz w:val="24"/>
        </w:rPr>
        <w:t>MTBC</w:t>
      </w:r>
      <w:r>
        <w:rPr>
          <w:color w:val="231F20"/>
          <w:spacing w:val="-3"/>
          <w:sz w:val="24"/>
        </w:rPr>
        <w:t> 結果。</w:t>
      </w:r>
    </w:p>
    <w:p>
      <w:pPr>
        <w:pStyle w:val="ListParagraph"/>
        <w:numPr>
          <w:ilvl w:val="0"/>
          <w:numId w:val="212"/>
        </w:numPr>
        <w:tabs>
          <w:tab w:pos="1350" w:val="left" w:leader="none"/>
        </w:tabs>
        <w:spacing w:line="230" w:lineRule="auto" w:before="0" w:after="0"/>
        <w:ind w:left="1349" w:right="1131" w:hanging="255"/>
        <w:jc w:val="both"/>
        <w:rPr>
          <w:sz w:val="24"/>
        </w:rPr>
      </w:pPr>
      <w:r>
        <w:rPr>
          <w:color w:val="231F20"/>
          <w:spacing w:val="2"/>
          <w:sz w:val="24"/>
        </w:rPr>
        <w:t>未達以上 </w:t>
      </w:r>
      <w:r>
        <w:rPr>
          <w:color w:val="231F20"/>
          <w:sz w:val="24"/>
        </w:rPr>
        <w:t>1、2</w:t>
      </w:r>
      <w:r>
        <w:rPr>
          <w:color w:val="231F20"/>
          <w:spacing w:val="-1"/>
          <w:sz w:val="24"/>
        </w:rPr>
        <w:t> 項標準者，影像學必須經「抗藥性結核病醫療照護體系檢口暨困</w:t>
      </w:r>
      <w:r>
        <w:rPr>
          <w:color w:val="231F20"/>
          <w:sz w:val="24"/>
        </w:rPr>
        <w:t>難治療個案口冊會」硏判其確實惡化，才得以收案。</w:t>
      </w:r>
    </w:p>
    <w:p>
      <w:pPr>
        <w:pStyle w:val="BodyText"/>
        <w:spacing w:line="230" w:lineRule="auto"/>
        <w:ind w:left="1349" w:right="1139" w:hanging="720"/>
        <w:jc w:val="both"/>
      </w:pPr>
      <w:r>
        <w:rPr>
          <w:color w:val="231F20"/>
          <w:w w:val="65"/>
        </w:rPr>
        <w:t>（ </w:t>
      </w:r>
      <w:r>
        <w:rPr>
          <w:color w:val="231F20"/>
        </w:rPr>
        <w:t>匹 ) 有關計畫執行內容，可詳參疾管署補助「建構抗藥性結核病醫療照護體系」計畫契約書。</w:t>
      </w:r>
    </w:p>
    <w:p>
      <w:pPr>
        <w:spacing w:after="0" w:line="230" w:lineRule="auto"/>
        <w:jc w:val="both"/>
        <w:sectPr>
          <w:pgSz w:w="11910" w:h="16840"/>
          <w:pgMar w:top="1060" w:bottom="0" w:left="980" w:right="0"/>
        </w:sectPr>
      </w:pPr>
    </w:p>
    <w:p>
      <w:pPr>
        <w:pStyle w:val="BodyText"/>
        <w:spacing w:line="409" w:lineRule="exact" w:before="59"/>
        <w:ind w:left="391"/>
      </w:pPr>
      <w:r>
        <w:rPr>
          <w:color w:val="231F20"/>
        </w:rPr>
        <w:t>二、收案流程：</w:t>
      </w:r>
    </w:p>
    <w:p>
      <w:pPr>
        <w:pStyle w:val="BodyText"/>
        <w:spacing w:line="230" w:lineRule="auto" w:before="2"/>
        <w:ind w:left="878" w:right="1074"/>
        <w:jc w:val="both"/>
      </w:pPr>
      <w:r>
        <w:rPr>
          <w:color w:val="231F20"/>
          <w:spacing w:val="2"/>
        </w:rPr>
        <w:t>結核病病人若符合 </w:t>
      </w:r>
      <w:r>
        <w:rPr>
          <w:color w:val="231F20"/>
          <w:spacing w:val="-4"/>
        </w:rPr>
        <w:t>TMTC 團隊收案條件 </w:t>
      </w:r>
      <w:r>
        <w:rPr>
          <w:color w:val="231F20"/>
          <w:w w:val="70"/>
        </w:rPr>
        <w:t>（</w:t>
      </w:r>
      <w:r>
        <w:rPr>
          <w:color w:val="231F20"/>
          <w:spacing w:val="-11"/>
          <w:w w:val="70"/>
        </w:rPr>
        <w:t> </w:t>
      </w:r>
      <w:r>
        <w:rPr>
          <w:color w:val="231F20"/>
          <w:spacing w:val="-8"/>
        </w:rPr>
        <w:t>可至 </w:t>
      </w:r>
      <w:r>
        <w:rPr>
          <w:color w:val="231F20"/>
        </w:rPr>
        <w:t>TB</w:t>
      </w:r>
      <w:r>
        <w:rPr>
          <w:color w:val="231F20"/>
          <w:spacing w:val="-14"/>
        </w:rPr>
        <w:t> 系統 </w:t>
      </w:r>
      <w:r>
        <w:rPr>
          <w:color w:val="231F20"/>
          <w:spacing w:val="-5"/>
          <w:w w:val="70"/>
        </w:rPr>
        <w:t>／ </w:t>
      </w:r>
      <w:r>
        <w:rPr>
          <w:color w:val="231F20"/>
          <w:spacing w:val="-2"/>
        </w:rPr>
        <w:t>個案管理 </w:t>
      </w:r>
      <w:r>
        <w:rPr>
          <w:color w:val="231F20"/>
          <w:spacing w:val="-5"/>
          <w:w w:val="70"/>
        </w:rPr>
        <w:t>／ </w:t>
      </w:r>
      <w:r>
        <w:rPr>
          <w:color w:val="231F20"/>
        </w:rPr>
        <w:t>抗藥照護團隊 </w:t>
      </w:r>
      <w:r>
        <w:rPr>
          <w:color w:val="231F20"/>
          <w:w w:val="70"/>
        </w:rPr>
        <w:t>／ </w:t>
      </w:r>
      <w:r>
        <w:rPr>
          <w:color w:val="231F20"/>
          <w:spacing w:val="-4"/>
        </w:rPr>
        <w:t>符合 TMTC</w:t>
      </w:r>
      <w:r>
        <w:rPr>
          <w:color w:val="231F20"/>
          <w:spacing w:val="-5"/>
        </w:rPr>
        <w:t> 團隊收案對象清單項下査詢 )，衛生局 </w:t>
      </w:r>
      <w:r>
        <w:rPr>
          <w:color w:val="231F20"/>
          <w:spacing w:val="4"/>
          <w:w w:val="70"/>
        </w:rPr>
        <w:t>／ </w:t>
      </w:r>
      <w:r>
        <w:rPr>
          <w:color w:val="231F20"/>
          <w:spacing w:val="-1"/>
        </w:rPr>
        <w:t>所應於訪視前先行聯繫 </w:t>
      </w:r>
      <w:r>
        <w:rPr>
          <w:color w:val="231F20"/>
          <w:spacing w:val="-4"/>
        </w:rPr>
        <w:t>TMTC</w:t>
      </w:r>
      <w:r>
        <w:rPr>
          <w:color w:val="231F20"/>
          <w:spacing w:val="-5"/>
        </w:rPr>
        <w:t> 團</w:t>
      </w:r>
      <w:r>
        <w:rPr>
          <w:color w:val="231F20"/>
          <w:spacing w:val="-4"/>
        </w:rPr>
        <w:t>隊， </w:t>
      </w:r>
      <w:r>
        <w:rPr>
          <w:color w:val="231F20"/>
        </w:rPr>
        <w:t>MDR-TB</w:t>
      </w:r>
      <w:r>
        <w:rPr>
          <w:color w:val="231F20"/>
          <w:spacing w:val="-11"/>
        </w:rPr>
        <w:t> 或 </w:t>
      </w:r>
      <w:r>
        <w:rPr>
          <w:color w:val="231F20"/>
        </w:rPr>
        <w:t>RR-TB</w:t>
      </w:r>
      <w:r>
        <w:rPr>
          <w:color w:val="231F20"/>
          <w:spacing w:val="-1"/>
        </w:rPr>
        <w:t> 須於病人註記 </w:t>
      </w:r>
      <w:r>
        <w:rPr>
          <w:color w:val="231F20"/>
        </w:rPr>
        <w:t>3</w:t>
      </w:r>
      <w:r>
        <w:rPr>
          <w:color w:val="231F20"/>
          <w:spacing w:val="-1"/>
        </w:rPr>
        <w:t> 個工作天內 </w:t>
      </w:r>
      <w:r>
        <w:rPr>
          <w:color w:val="231F20"/>
          <w:w w:val="70"/>
        </w:rPr>
        <w:t>（</w:t>
      </w:r>
      <w:r>
        <w:rPr>
          <w:color w:val="231F20"/>
          <w:spacing w:val="4"/>
          <w:w w:val="70"/>
        </w:rPr>
        <w:t> </w:t>
      </w:r>
      <w:r>
        <w:rPr>
          <w:color w:val="231F20"/>
          <w:spacing w:val="3"/>
        </w:rPr>
        <w:t>其餘收案對象儘速完成 )，完</w:t>
      </w:r>
      <w:r>
        <w:rPr>
          <w:color w:val="231F20"/>
          <w:w w:val="105"/>
        </w:rPr>
        <w:t>成「抗藥性結核病醫療照護體系個案轉介治療通知書」(附件 10-2</w:t>
      </w:r>
      <w:r>
        <w:rPr>
          <w:color w:val="231F20"/>
          <w:spacing w:val="2"/>
          <w:w w:val="105"/>
        </w:rPr>
        <w:t>)及「抗藥性結</w:t>
      </w:r>
      <w:r>
        <w:rPr>
          <w:color w:val="231F20"/>
          <w:spacing w:val="1"/>
        </w:rPr>
        <w:t>核病醫療照護體系轉介暨評估單」(附件  </w:t>
      </w:r>
      <w:r>
        <w:rPr>
          <w:color w:val="231F20"/>
        </w:rPr>
        <w:t>10-3</w:t>
      </w:r>
      <w:r>
        <w:rPr>
          <w:color w:val="231F20"/>
          <w:spacing w:val="-2"/>
        </w:rPr>
        <w:t>)病人簽收，儘速安排到院收案時間， </w:t>
      </w:r>
      <w:r>
        <w:rPr>
          <w:color w:val="231F20"/>
          <w:spacing w:val="4"/>
        </w:rPr>
        <w:t>並於病人簽名後 </w:t>
      </w:r>
      <w:r>
        <w:rPr>
          <w:color w:val="231F20"/>
        </w:rPr>
        <w:t>1</w:t>
      </w:r>
      <w:r>
        <w:rPr>
          <w:color w:val="231F20"/>
          <w:spacing w:val="1"/>
        </w:rPr>
        <w:t> 個工作天內，將前揭文件交付 </w:t>
      </w:r>
      <w:r>
        <w:rPr>
          <w:color w:val="231F20"/>
          <w:spacing w:val="-4"/>
        </w:rPr>
        <w:t>TMTC</w:t>
      </w:r>
      <w:r>
        <w:rPr>
          <w:color w:val="231F20"/>
        </w:rPr>
        <w:t> 團隊。</w:t>
      </w:r>
      <w:r>
        <w:rPr>
          <w:color w:val="231F20"/>
          <w:spacing w:val="-4"/>
        </w:rPr>
        <w:t>TMTC</w:t>
      </w:r>
      <w:r>
        <w:rPr>
          <w:color w:val="231F20"/>
          <w:spacing w:val="4"/>
        </w:rPr>
        <w:t> 團隊應於收到</w:t>
      </w:r>
      <w:r>
        <w:rPr>
          <w:color w:val="231F20"/>
          <w:spacing w:val="-12"/>
          <w:w w:val="105"/>
        </w:rPr>
        <w:t>後 </w:t>
      </w:r>
      <w:r>
        <w:rPr>
          <w:color w:val="231F20"/>
          <w:w w:val="105"/>
        </w:rPr>
        <w:t>1</w:t>
      </w:r>
      <w:r>
        <w:rPr>
          <w:color w:val="231F20"/>
          <w:spacing w:val="-6"/>
          <w:w w:val="105"/>
        </w:rPr>
        <w:t> 個月內，將評估收案情形回復衛生局 </w:t>
      </w:r>
      <w:r>
        <w:rPr>
          <w:color w:val="231F20"/>
          <w:w w:val="70"/>
        </w:rPr>
        <w:t>／ </w:t>
      </w:r>
      <w:r>
        <w:rPr>
          <w:color w:val="231F20"/>
          <w:spacing w:val="-3"/>
          <w:w w:val="105"/>
        </w:rPr>
        <w:t>所。收案流程如附件 </w:t>
      </w:r>
      <w:r>
        <w:rPr>
          <w:color w:val="231F20"/>
          <w:w w:val="105"/>
        </w:rPr>
        <w:t>10-6。</w:t>
      </w:r>
    </w:p>
    <w:p>
      <w:pPr>
        <w:pStyle w:val="BodyText"/>
        <w:spacing w:line="389" w:lineRule="exact"/>
        <w:ind w:left="391"/>
        <w:jc w:val="both"/>
      </w:pPr>
      <w:r>
        <w:rPr>
          <w:color w:val="231F20"/>
        </w:rPr>
        <w:t>三、DOTS-plus 執行：</w:t>
      </w:r>
    </w:p>
    <w:p>
      <w:pPr>
        <w:pStyle w:val="BodyText"/>
        <w:spacing w:line="230" w:lineRule="auto" w:before="3"/>
        <w:ind w:left="878" w:right="1123"/>
        <w:jc w:val="both"/>
      </w:pPr>
      <w:r>
        <w:rPr/>
        <w:pict>
          <v:group style="position:absolute;margin-left:557.684509pt;margin-top:49.856163pt;width:37.35pt;height:555.550pt;mso-position-horizontal-relative:page;mso-position-vertical-relative:paragraph;z-index:251925504" coordorigin="11154,997" coordsize="747,11111">
            <v:shape style="position:absolute;left:11283;top:1508;width:439;height:10600" type="#_x0000_t75" stroked="false">
              <v:imagedata r:id="rId102" o:title=""/>
            </v:shape>
            <v:shape style="position:absolute;left:11153;top:997;width:747;height:812" coordorigin="11154,997" coordsize="747,812" path="m11900,997l11536,997,11514,999,11454,1033,11188,1315,11154,1403,11162,1449,11454,1772,11514,1806,11536,1808,11900,1808,11900,997xe" filled="true" fillcolor="#bd7cb5" stroked="false">
              <v:path arrowok="t"/>
              <v:fill type="solid"/>
            </v:shape>
            <v:shape style="position:absolute;left:11321;top:1264;width:374;height:278" type="#_x0000_t75" stroked="false">
              <v:imagedata r:id="rId103" o:title=""/>
            </v:shape>
            <v:shape style="position:absolute;left:11378;top:1944;width:250;height:3599" type="#_x0000_t75" stroked="false">
              <v:imagedata r:id="rId104" o:title=""/>
            </v:shape>
            <v:shape style="position:absolute;left:11374;top:11545;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113</w:t>
                    </w:r>
                  </w:p>
                </w:txbxContent>
              </v:textbox>
              <w10:wrap type="none"/>
            </v:shape>
            <w10:wrap type="none"/>
          </v:group>
        </w:pict>
      </w:r>
      <w:r>
        <w:rPr>
          <w:color w:val="231F20"/>
        </w:rPr>
        <w:t>由 TMTC 團隊聘請關懷員，執行抗藥性結核病病人之 DOTS-plus 工作，每週至少 5 天，每天依治療處方頻率安排都治服務。收案病人不冊於住院期間或回歸社區，均需執行 DOTS-Plus 直接觀察治療。無法由 TMTC 團隊提供 DOTS-plus 的病人，則由衛生局 </w:t>
      </w:r>
      <w:r>
        <w:rPr>
          <w:color w:val="231F20"/>
          <w:w w:val="80"/>
        </w:rPr>
        <w:t>／ </w:t>
      </w:r>
      <w:r>
        <w:rPr>
          <w:color w:val="231F20"/>
        </w:rPr>
        <w:t>所執行。</w:t>
      </w:r>
    </w:p>
    <w:p>
      <w:pPr>
        <w:pStyle w:val="BodyText"/>
        <w:spacing w:line="230" w:lineRule="auto"/>
        <w:ind w:left="878" w:right="1074"/>
        <w:jc w:val="both"/>
      </w:pPr>
      <w:r>
        <w:rPr>
          <w:color w:val="231F20"/>
          <w:w w:val="95"/>
        </w:rPr>
        <w:t>衛生局</w:t>
      </w:r>
      <w:r>
        <w:rPr>
          <w:color w:val="231F20"/>
          <w:w w:val="80"/>
        </w:rPr>
        <w:t>／ </w:t>
      </w:r>
      <w:r>
        <w:rPr>
          <w:color w:val="231F20"/>
          <w:w w:val="95"/>
        </w:rPr>
        <w:t>所應將TMTC 團隊執行DOTS-Plus 之病人納入每月都治（DOTS) 査核對象。</w:t>
      </w:r>
      <w:r>
        <w:rPr>
          <w:color w:val="231F20"/>
        </w:rPr>
        <w:t>另 TMTC 團隊對已收治之病人，收案期間有不合作情事發生，應填寫「抗藥性結核</w:t>
      </w:r>
      <w:r>
        <w:rPr>
          <w:color w:val="231F20"/>
          <w:w w:val="105"/>
        </w:rPr>
        <w:t>病醫療照護體系病人異常情形通報單」(附件 10-7)，告知所轄衛生局及副知疾管署管制中心，由衛生局協助後續處置。</w:t>
      </w:r>
    </w:p>
    <w:p>
      <w:pPr>
        <w:pStyle w:val="BodyText"/>
        <w:spacing w:line="392" w:lineRule="exact"/>
        <w:ind w:left="391"/>
      </w:pPr>
      <w:r>
        <w:rPr>
          <w:color w:val="231F20"/>
        </w:rPr>
        <w:t>匹、針對結核病困難個案及無法積極治療病人之處理：</w:t>
      </w:r>
    </w:p>
    <w:p>
      <w:pPr>
        <w:pStyle w:val="BodyText"/>
        <w:spacing w:line="230" w:lineRule="auto"/>
        <w:ind w:left="878" w:right="1074"/>
        <w:jc w:val="both"/>
      </w:pPr>
      <w:r>
        <w:rPr>
          <w:color w:val="231F20"/>
          <w:spacing w:val="-6"/>
        </w:rPr>
        <w:t>衛生局 </w:t>
      </w:r>
      <w:r>
        <w:rPr>
          <w:color w:val="231F20"/>
          <w:w w:val="70"/>
        </w:rPr>
        <w:t>（</w:t>
      </w:r>
      <w:r>
        <w:rPr>
          <w:color w:val="231F20"/>
          <w:spacing w:val="-12"/>
          <w:w w:val="70"/>
        </w:rPr>
        <w:t> </w:t>
      </w:r>
      <w:r>
        <w:rPr>
          <w:color w:val="231F20"/>
          <w:spacing w:val="-7"/>
        </w:rPr>
        <w:t>所 ) 經縣市級診療諮詢小組建議轉介困難個案 </w:t>
      </w:r>
      <w:r>
        <w:rPr>
          <w:color w:val="231F20"/>
          <w:w w:val="70"/>
        </w:rPr>
        <w:t>（</w:t>
      </w:r>
      <w:r>
        <w:rPr>
          <w:color w:val="231F20"/>
          <w:spacing w:val="-12"/>
          <w:w w:val="70"/>
        </w:rPr>
        <w:t> </w:t>
      </w:r>
      <w:r>
        <w:rPr>
          <w:color w:val="231F20"/>
          <w:spacing w:val="4"/>
        </w:rPr>
        <w:t>包含嚴重藥物副作用、不合</w:t>
      </w:r>
      <w:r>
        <w:rPr>
          <w:color w:val="231F20"/>
          <w:spacing w:val="-1"/>
        </w:rPr>
        <w:t>作拒絕治療、其他原因導致有不規則服藥或需反覆調整藥物之情形等) </w:t>
      </w:r>
      <w:r>
        <w:rPr>
          <w:color w:val="231F20"/>
          <w:spacing w:val="-1"/>
          <w:w w:val="125"/>
        </w:rPr>
        <w:t>(附件 </w:t>
      </w:r>
      <w:r>
        <w:rPr>
          <w:color w:val="231F20"/>
          <w:w w:val="125"/>
        </w:rPr>
        <w:t>10-8) </w:t>
      </w:r>
      <w:r>
        <w:rPr>
          <w:color w:val="231F20"/>
          <w:spacing w:val="4"/>
        </w:rPr>
        <w:t>至 </w:t>
      </w:r>
      <w:r>
        <w:rPr>
          <w:color w:val="231F20"/>
          <w:spacing w:val="-4"/>
        </w:rPr>
        <w:t>TMTC</w:t>
      </w:r>
      <w:r>
        <w:rPr>
          <w:color w:val="231F20"/>
          <w:spacing w:val="4"/>
        </w:rPr>
        <w:t> 時，務必詳實提供歷次胸部</w:t>
      </w:r>
      <w:r>
        <w:rPr>
          <w:color w:val="231F20"/>
          <w:spacing w:val="6"/>
        </w:rPr>
        <w:t>X</w:t>
      </w:r>
      <w:r>
        <w:rPr>
          <w:color w:val="231F20"/>
        </w:rPr>
        <w:t>光、CT</w:t>
      </w:r>
      <w:r>
        <w:rPr>
          <w:color w:val="231F20"/>
          <w:spacing w:val="5"/>
        </w:rPr>
        <w:t>、肺外結核部位等影像、痰液檢査報</w:t>
      </w:r>
      <w:r>
        <w:rPr>
          <w:color w:val="231F20"/>
          <w:spacing w:val="-2"/>
        </w:rPr>
        <w:t>告、公衛管理歷程、就醫紀錄 </w:t>
      </w:r>
      <w:r>
        <w:rPr>
          <w:color w:val="231F20"/>
          <w:w w:val="70"/>
        </w:rPr>
        <w:t>（</w:t>
      </w:r>
      <w:r>
        <w:rPr>
          <w:color w:val="231F20"/>
          <w:spacing w:val="-9"/>
          <w:w w:val="70"/>
        </w:rPr>
        <w:t> </w:t>
      </w:r>
      <w:r>
        <w:rPr>
          <w:color w:val="231F20"/>
        </w:rPr>
        <w:t>含共病診療紀錄 )、病例口冊過程、個案轉介治療通</w:t>
      </w:r>
      <w:r>
        <w:rPr>
          <w:color w:val="231F20"/>
          <w:spacing w:val="-1"/>
        </w:rPr>
        <w:t>知書及 </w:t>
      </w:r>
      <w:r>
        <w:rPr>
          <w:color w:val="231F20"/>
          <w:spacing w:val="-4"/>
        </w:rPr>
        <w:t>TMTC</w:t>
      </w:r>
      <w:r>
        <w:rPr>
          <w:color w:val="231F20"/>
          <w:spacing w:val="-2"/>
        </w:rPr>
        <w:t> 轉介暨評估單等相關資料予 </w:t>
      </w:r>
      <w:r>
        <w:rPr>
          <w:color w:val="231F20"/>
          <w:spacing w:val="-4"/>
        </w:rPr>
        <w:t>TMTC</w:t>
      </w:r>
      <w:r>
        <w:rPr>
          <w:color w:val="231F20"/>
          <w:spacing w:val="-3"/>
        </w:rPr>
        <w:t> 團隊進行綜合性評估，並同步於 </w:t>
      </w:r>
      <w:r>
        <w:rPr>
          <w:color w:val="231F20"/>
        </w:rPr>
        <w:t>TB </w:t>
      </w:r>
      <w:r>
        <w:rPr>
          <w:color w:val="231F20"/>
          <w:spacing w:val="6"/>
        </w:rPr>
        <w:t>系統項下「公衛轉介</w:t>
      </w:r>
      <w:r>
        <w:rPr>
          <w:color w:val="231F20"/>
          <w:spacing w:val="-3"/>
        </w:rPr>
        <w:t>TMTC</w:t>
      </w:r>
      <w:r>
        <w:rPr>
          <w:color w:val="231F20"/>
          <w:spacing w:val="11"/>
        </w:rPr>
        <w:t> 團隊暨</w:t>
      </w:r>
      <w:r>
        <w:rPr>
          <w:color w:val="231F20"/>
          <w:spacing w:val="-3"/>
        </w:rPr>
        <w:t>TMTC</w:t>
      </w:r>
      <w:r>
        <w:rPr>
          <w:color w:val="231F20"/>
          <w:spacing w:val="-5"/>
        </w:rPr>
        <w:t> 評估作業」完成轉介申請及檔案上傳作業。</w:t>
      </w:r>
      <w:r>
        <w:rPr>
          <w:color w:val="231F20"/>
          <w:spacing w:val="-4"/>
        </w:rPr>
        <w:t>TMTC 團隊接獲衛生局 </w:t>
      </w:r>
      <w:r>
        <w:rPr>
          <w:color w:val="231F20"/>
          <w:w w:val="70"/>
        </w:rPr>
        <w:t>（</w:t>
      </w:r>
      <w:r>
        <w:rPr>
          <w:color w:val="231F20"/>
          <w:spacing w:val="2"/>
          <w:w w:val="70"/>
        </w:rPr>
        <w:t> </w:t>
      </w:r>
      <w:r>
        <w:rPr>
          <w:color w:val="231F20"/>
          <w:spacing w:val="-7"/>
        </w:rPr>
        <w:t>所 ) 轉介個案，須於 </w:t>
      </w:r>
      <w:r>
        <w:rPr>
          <w:color w:val="231F20"/>
          <w:spacing w:val="-4"/>
        </w:rPr>
        <w:t>TMTC</w:t>
      </w:r>
      <w:r>
        <w:rPr>
          <w:color w:val="231F20"/>
          <w:spacing w:val="-2"/>
        </w:rPr>
        <w:t> 團隊內部病例口冊詳實評估後， 1 個月內回復衛生局 </w:t>
      </w:r>
      <w:r>
        <w:rPr>
          <w:color w:val="231F20"/>
          <w:w w:val="70"/>
        </w:rPr>
        <w:t>（ </w:t>
      </w:r>
      <w:r>
        <w:rPr>
          <w:color w:val="231F20"/>
          <w:spacing w:val="-4"/>
        </w:rPr>
        <w:t>所 ) 評估結果，如未收案，於評估單詳述無法收案之原因，上傳至 </w:t>
      </w:r>
      <w:r>
        <w:rPr>
          <w:color w:val="231F20"/>
        </w:rPr>
        <w:t>TB</w:t>
      </w:r>
      <w:r>
        <w:rPr>
          <w:color w:val="231F20"/>
          <w:spacing w:val="-4"/>
        </w:rPr>
        <w:t> 系統項下之「公衛轉介 </w:t>
      </w:r>
      <w:r>
        <w:rPr>
          <w:color w:val="231F20"/>
          <w:spacing w:val="-3"/>
        </w:rPr>
        <w:t>TMTC</w:t>
      </w:r>
      <w:r>
        <w:rPr>
          <w:color w:val="231F20"/>
          <w:spacing w:val="-5"/>
        </w:rPr>
        <w:t> 團隊暨 </w:t>
      </w:r>
      <w:r>
        <w:rPr>
          <w:color w:val="231F20"/>
          <w:spacing w:val="-3"/>
        </w:rPr>
        <w:t>TMTC 評估清冊」並登打評估結果。若</w:t>
      </w:r>
      <w:r>
        <w:rPr>
          <w:color w:val="231F20"/>
          <w:spacing w:val="2"/>
        </w:rPr>
        <w:t>個案原已在 </w:t>
      </w:r>
      <w:r>
        <w:rPr>
          <w:color w:val="231F20"/>
          <w:spacing w:val="-4"/>
        </w:rPr>
        <w:t>TMTC</w:t>
      </w:r>
      <w:r>
        <w:rPr>
          <w:color w:val="231F20"/>
          <w:spacing w:val="4"/>
        </w:rPr>
        <w:t> 團隊治療，團隊可與衛生局協商，由團隊先行收案，衛生局儘速</w:t>
      </w:r>
      <w:r>
        <w:rPr>
          <w:color w:val="231F20"/>
          <w:spacing w:val="-1"/>
        </w:rPr>
        <w:t>補齊提報縣市級診療諮詢小組，由委員提出轉介 </w:t>
      </w:r>
      <w:r>
        <w:rPr>
          <w:color w:val="231F20"/>
          <w:spacing w:val="-3"/>
        </w:rPr>
        <w:t>TMTC 團隊之建議。</w:t>
      </w:r>
    </w:p>
    <w:p>
      <w:pPr>
        <w:pStyle w:val="BodyText"/>
        <w:spacing w:line="230" w:lineRule="auto"/>
        <w:ind w:left="878" w:right="1126"/>
        <w:jc w:val="both"/>
      </w:pPr>
      <w:r>
        <w:rPr>
          <w:color w:val="231F20"/>
          <w:spacing w:val="2"/>
        </w:rPr>
        <w:t>針對已納入 </w:t>
      </w:r>
      <w:r>
        <w:rPr>
          <w:color w:val="231F20"/>
          <w:spacing w:val="-4"/>
        </w:rPr>
        <w:t>TMTC</w:t>
      </w:r>
      <w:r>
        <w:rPr>
          <w:color w:val="231F20"/>
          <w:spacing w:val="-1"/>
        </w:rPr>
        <w:t> 團隊收案之病人，除每月於團隊內部口冊外，各區 </w:t>
      </w:r>
      <w:r>
        <w:rPr>
          <w:color w:val="231F20"/>
          <w:spacing w:val="-4"/>
        </w:rPr>
        <w:t>TMTC</w:t>
      </w:r>
      <w:r>
        <w:rPr>
          <w:color w:val="231F20"/>
          <w:spacing w:val="2"/>
        </w:rPr>
        <w:t> 團隊應</w:t>
      </w:r>
      <w:r>
        <w:rPr>
          <w:color w:val="231F20"/>
        </w:rPr>
        <w:t>依各類病人抗藥情形，評估有治療失敗可能、或相關治療及診斷疑義等，備妥相關資料提至疾管署召開「抗藥性結核病醫療照護體系檢口暨困難治療個案口冊會」進行口</w:t>
      </w:r>
      <w:r>
        <w:rPr>
          <w:color w:val="231F20"/>
          <w:spacing w:val="-4"/>
        </w:rPr>
        <w:t>冊，所轄衛生局 </w:t>
      </w:r>
      <w:r>
        <w:rPr>
          <w:color w:val="231F20"/>
          <w:spacing w:val="-9"/>
          <w:w w:val="80"/>
        </w:rPr>
        <w:t>／ </w:t>
      </w:r>
      <w:r>
        <w:rPr>
          <w:color w:val="231F20"/>
        </w:rPr>
        <w:t>所亦應派員列席說明個案管理歷程。如經判定為治療失敗不再進行</w:t>
      </w:r>
      <w:r>
        <w:rPr>
          <w:color w:val="231F20"/>
          <w:spacing w:val="4"/>
        </w:rPr>
        <w:t>積極治療者且可判定為慢性傳染性結核病身分者，公衛管理人及 </w:t>
      </w:r>
      <w:r>
        <w:rPr>
          <w:color w:val="231F20"/>
          <w:spacing w:val="-4"/>
        </w:rPr>
        <w:t>TMTC</w:t>
      </w:r>
      <w:r>
        <w:rPr>
          <w:color w:val="231F20"/>
          <w:spacing w:val="3"/>
        </w:rPr>
        <w:t> 團隊須先和</w:t>
      </w:r>
      <w:r>
        <w:rPr>
          <w:color w:val="231F20"/>
        </w:rPr>
        <w:t>病人及家屬溝通，使病人及家屬了解轉為慢性傳染性結核病病人應配合住院隔離或居家隔離治療等管理方式，疾管署慢性組最遲於「抗藥性結核病醫療照護體系檢口暨困</w:t>
      </w:r>
    </w:p>
    <w:p>
      <w:pPr>
        <w:spacing w:after="0" w:line="230" w:lineRule="auto"/>
        <w:jc w:val="both"/>
        <w:sectPr>
          <w:pgSz w:w="11910" w:h="16840"/>
          <w:pgMar w:top="1060" w:bottom="0" w:left="980" w:right="0"/>
        </w:sectPr>
      </w:pPr>
    </w:p>
    <w:p>
      <w:pPr>
        <w:pStyle w:val="BodyText"/>
        <w:spacing w:line="230" w:lineRule="auto" w:before="70"/>
        <w:ind w:left="878" w:right="1129"/>
        <w:jc w:val="both"/>
      </w:pPr>
      <w:r>
        <w:rPr/>
        <w:pict>
          <v:group style="position:absolute;margin-left:-.000001pt;margin-top:286.162994pt;width:37.35pt;height:555.550pt;mso-position-horizontal-relative:page;mso-position-vertical-relative:page;z-index:251927552"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72;top:16271;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114</w:t>
                    </w:r>
                  </w:p>
                </w:txbxContent>
              </v:textbox>
              <w10:wrap type="none"/>
            </v:shape>
            <w10:wrap type="none"/>
          </v:group>
        </w:pict>
      </w:r>
      <w:r>
        <w:rPr>
          <w:color w:val="231F20"/>
        </w:rPr>
        <w:t>難治療個案口冊會」判定為慢性傳染性結核病病人之次月月底前進行 TB 系統註記， 此時 </w:t>
      </w:r>
      <w:r>
        <w:rPr>
          <w:color w:val="231F20"/>
          <w:w w:val="91"/>
        </w:rPr>
        <w:t>T</w:t>
      </w:r>
      <w:r>
        <w:rPr>
          <w:color w:val="231F20"/>
          <w:w w:val="115"/>
        </w:rPr>
        <w:t>M</w:t>
      </w:r>
      <w:r>
        <w:rPr>
          <w:color w:val="231F20"/>
          <w:w w:val="91"/>
        </w:rPr>
        <w:t>T</w:t>
      </w:r>
      <w:r>
        <w:rPr>
          <w:color w:val="231F20"/>
          <w:w w:val="92"/>
        </w:rPr>
        <w:t>C</w:t>
      </w:r>
      <w:r>
        <w:rPr>
          <w:color w:val="231F20"/>
        </w:rPr>
        <w:t> 團隊應將病人以治療失敗退出照護並結案</w:t>
      </w:r>
      <w:r>
        <w:rPr>
          <w:color w:val="231F20"/>
          <w:w w:val="128"/>
        </w:rPr>
        <w:t>(附件</w:t>
      </w:r>
      <w:r>
        <w:rPr>
          <w:color w:val="231F20"/>
        </w:rPr>
        <w:t> </w:t>
      </w:r>
      <w:r>
        <w:rPr>
          <w:color w:val="231F20"/>
          <w:w w:val="104"/>
        </w:rPr>
        <w:t>10</w:t>
      </w:r>
      <w:r>
        <w:rPr>
          <w:color w:val="231F20"/>
          <w:w w:val="129"/>
        </w:rPr>
        <w:t>-</w:t>
      </w:r>
      <w:r>
        <w:rPr>
          <w:color w:val="231F20"/>
          <w:w w:val="104"/>
        </w:rPr>
        <w:t>9</w:t>
      </w:r>
      <w:r>
        <w:rPr>
          <w:color w:val="231F20"/>
          <w:w w:val="300"/>
        </w:rPr>
        <w:t>)</w:t>
      </w:r>
      <w:r>
        <w:rPr>
          <w:color w:val="231F20"/>
        </w:rPr>
        <w:t>，同時與衛生局</w:t>
      </w:r>
    </w:p>
    <w:p>
      <w:pPr>
        <w:pStyle w:val="BodyText"/>
        <w:spacing w:line="230" w:lineRule="auto"/>
        <w:ind w:left="878" w:right="1130"/>
        <w:jc w:val="both"/>
      </w:pPr>
      <w:r>
        <w:rPr>
          <w:color w:val="231F20"/>
          <w:w w:val="80"/>
        </w:rPr>
        <w:t>／ </w:t>
      </w:r>
      <w:r>
        <w:rPr>
          <w:color w:val="231F20"/>
          <w:w w:val="95"/>
        </w:rPr>
        <w:t>所辦理轉銜，由衛生局 </w:t>
      </w:r>
      <w:r>
        <w:rPr>
          <w:color w:val="231F20"/>
          <w:w w:val="80"/>
        </w:rPr>
        <w:t>／ </w:t>
      </w:r>
      <w:r>
        <w:rPr>
          <w:color w:val="231F20"/>
          <w:w w:val="95"/>
        </w:rPr>
        <w:t>所改依慢性傳染性結核病病人規範管理，所需各項醫療費</w:t>
      </w:r>
      <w:r>
        <w:rPr>
          <w:color w:val="231F20"/>
        </w:rPr>
        <w:t>用則轉為—般健保給付(請參見工作手冊第十匹章「防治資源及診療諮詢小組」)。  </w:t>
      </w:r>
      <w:r>
        <w:rPr>
          <w:color w:val="231F20"/>
          <w:w w:val="105"/>
        </w:rPr>
        <w:t>結核病困難個案如無陰轉證據(具傳染力)者，如經 TMTC 團隊評估有治療必要性</w:t>
      </w:r>
      <w:r>
        <w:rPr>
          <w:color w:val="231F20"/>
        </w:rPr>
        <w:t>但個案拒絕治療者，必要時衛生局應採取隔離治療行政處分；餘未納團隊治療者，請</w:t>
      </w:r>
      <w:r>
        <w:rPr>
          <w:color w:val="231F20"/>
          <w:w w:val="105"/>
        </w:rPr>
        <w:t>參照工作手冊第十匹章「防治資源及診療諮詢小組」附件 14-9。</w:t>
      </w:r>
    </w:p>
    <w:p>
      <w:pPr>
        <w:pStyle w:val="BodyText"/>
        <w:spacing w:before="15"/>
        <w:rPr>
          <w:sz w:val="19"/>
        </w:rPr>
      </w:pPr>
    </w:p>
    <w:p>
      <w:pPr>
        <w:pStyle w:val="Heading2"/>
      </w:pPr>
      <w:r>
        <w:rPr>
          <w:color w:val="231F20"/>
        </w:rPr>
        <w:t>捌、MDR-TB 同基因分型的感染源調查</w:t>
      </w:r>
    </w:p>
    <w:p>
      <w:pPr>
        <w:pStyle w:val="BodyText"/>
        <w:spacing w:line="230" w:lineRule="auto" w:before="6"/>
        <w:ind w:left="878" w:right="1075" w:hanging="488"/>
        <w:jc w:val="both"/>
      </w:pPr>
      <w:r>
        <w:rPr>
          <w:color w:val="231F20"/>
          <w:spacing w:val="-13"/>
        </w:rPr>
        <w:t>—、啟動調査定義：病人經分子分型比對結果，符合下面所有條件者，應進行感染源調査， </w:t>
      </w:r>
      <w:r>
        <w:rPr>
          <w:color w:val="231F20"/>
        </w:rPr>
        <w:t>以釐清感染源或確認是否有聚集事件。惟若已符合聚集事件定義，則依聚集事件流程管理為優先(聚集事件定義請參閱第十二章「疑似結核病聚集事件處理」)。</w:t>
      </w:r>
    </w:p>
    <w:p>
      <w:pPr>
        <w:pStyle w:val="BodyText"/>
        <w:spacing w:line="230" w:lineRule="auto"/>
        <w:ind w:left="1349" w:right="1126" w:hanging="720"/>
        <w:jc w:val="both"/>
      </w:pPr>
      <w:r>
        <w:rPr>
          <w:color w:val="231F20"/>
          <w:w w:val="70"/>
        </w:rPr>
        <w:t>（ </w:t>
      </w:r>
      <w:r>
        <w:rPr>
          <w:color w:val="231F20"/>
        </w:rPr>
        <w:t>— ) 病人分類為「新病人」之 MDR-TB、基因比對結果不是「unique」，且不是同</w:t>
      </w:r>
      <w:r>
        <w:rPr>
          <w:color w:val="231F20"/>
          <w:w w:val="105"/>
        </w:rPr>
        <w:t>住接觸者發病。</w:t>
      </w:r>
    </w:p>
    <w:p>
      <w:pPr>
        <w:pStyle w:val="BodyText"/>
        <w:spacing w:line="230" w:lineRule="auto"/>
        <w:ind w:left="1349" w:right="1123" w:hanging="720"/>
        <w:jc w:val="both"/>
      </w:pPr>
      <w:r>
        <w:rPr>
          <w:color w:val="231F20"/>
          <w:w w:val="65"/>
        </w:rPr>
        <w:t>（ </w:t>
      </w:r>
      <w:r>
        <w:rPr>
          <w:color w:val="231F20"/>
        </w:rPr>
        <w:t>二 ) 3 年內與個案為同基因型之其他個案中，通訊地、活動地及戶籍地為「同—縣市」，或「不同縣市，但具有流行病學相關性」。</w:t>
      </w:r>
    </w:p>
    <w:p>
      <w:pPr>
        <w:pStyle w:val="BodyText"/>
        <w:spacing w:line="395" w:lineRule="exact"/>
        <w:ind w:left="391"/>
      </w:pPr>
      <w:r>
        <w:rPr>
          <w:color w:val="231F20"/>
        </w:rPr>
        <w:t>二、基因型別監測：</w:t>
      </w:r>
    </w:p>
    <w:p>
      <w:pPr>
        <w:pStyle w:val="BodyText"/>
        <w:spacing w:line="230" w:lineRule="auto"/>
        <w:ind w:left="878" w:right="1135"/>
      </w:pPr>
      <w:r>
        <w:rPr>
          <w:color w:val="231F20"/>
          <w:w w:val="95"/>
        </w:rPr>
        <w:t>主動査詢「TB 系統」確認基因型別是否已檢出，並於管理清冊 </w:t>
      </w:r>
      <w:r>
        <w:rPr>
          <w:color w:val="231F20"/>
          <w:w w:val="80"/>
        </w:rPr>
        <w:t>／ </w:t>
      </w:r>
      <w:r>
        <w:rPr>
          <w:color w:val="231F20"/>
          <w:w w:val="95"/>
        </w:rPr>
        <w:t>抗藥性結核病個案 </w:t>
      </w:r>
      <w:r>
        <w:rPr>
          <w:color w:val="231F20"/>
          <w:w w:val="80"/>
        </w:rPr>
        <w:t>／ </w:t>
      </w:r>
      <w:r>
        <w:rPr>
          <w:color w:val="231F20"/>
        </w:rPr>
        <w:t>MDR-TB 感染源調査管理項下査詢，確認是否符合啟動調査定義。</w:t>
      </w:r>
    </w:p>
    <w:p>
      <w:pPr>
        <w:pStyle w:val="BodyText"/>
        <w:spacing w:line="395" w:lineRule="exact"/>
        <w:ind w:right="7748"/>
        <w:jc w:val="right"/>
      </w:pPr>
      <w:r>
        <w:rPr>
          <w:color w:val="231F20"/>
        </w:rPr>
        <w:t>三、處理流程 </w:t>
      </w:r>
      <w:r>
        <w:rPr>
          <w:color w:val="231F20"/>
          <w:w w:val="70"/>
        </w:rPr>
        <w:t>（ </w:t>
      </w:r>
      <w:r>
        <w:rPr>
          <w:color w:val="231F20"/>
        </w:rPr>
        <w:t>圖 10-7)：</w:t>
      </w:r>
    </w:p>
    <w:p>
      <w:pPr>
        <w:pStyle w:val="BodyText"/>
        <w:tabs>
          <w:tab w:pos="719" w:val="left" w:leader="none"/>
        </w:tabs>
        <w:spacing w:line="400" w:lineRule="exact"/>
        <w:ind w:right="7654"/>
        <w:jc w:val="right"/>
      </w:pPr>
      <w:r>
        <w:rPr>
          <w:color w:val="231F20"/>
          <w:w w:val="65"/>
        </w:rPr>
        <w:t>（</w:t>
      </w:r>
      <w:r>
        <w:rPr>
          <w:color w:val="231F20"/>
          <w:spacing w:val="1"/>
          <w:w w:val="65"/>
        </w:rPr>
        <w:t> </w:t>
      </w:r>
      <w:r>
        <w:rPr>
          <w:color w:val="231F20"/>
          <w:spacing w:val="-8"/>
        </w:rPr>
        <w:t>— )</w:t>
      </w:r>
      <w:r>
        <w:rPr>
          <w:color w:val="231F20"/>
        </w:rPr>
        <w:tab/>
        <w:t>進行感染源初判：</w:t>
      </w:r>
    </w:p>
    <w:p>
      <w:pPr>
        <w:pStyle w:val="ListParagraph"/>
        <w:numPr>
          <w:ilvl w:val="0"/>
          <w:numId w:val="213"/>
        </w:numPr>
        <w:tabs>
          <w:tab w:pos="1350" w:val="left" w:leader="none"/>
        </w:tabs>
        <w:spacing w:line="230" w:lineRule="auto" w:before="0" w:after="0"/>
        <w:ind w:left="1349" w:right="1075" w:hanging="255"/>
        <w:jc w:val="both"/>
        <w:rPr>
          <w:sz w:val="24"/>
        </w:rPr>
      </w:pPr>
      <w:r>
        <w:rPr>
          <w:color w:val="231F20"/>
          <w:spacing w:val="1"/>
          <w:sz w:val="24"/>
        </w:rPr>
        <w:t>病人註記為 </w:t>
      </w:r>
      <w:r>
        <w:rPr>
          <w:color w:val="231F20"/>
          <w:sz w:val="24"/>
        </w:rPr>
        <w:t>MDR-TB</w:t>
      </w:r>
      <w:r>
        <w:rPr>
          <w:color w:val="231F20"/>
          <w:spacing w:val="-4"/>
          <w:sz w:val="24"/>
        </w:rPr>
        <w:t> 後約 </w:t>
      </w:r>
      <w:r>
        <w:rPr>
          <w:color w:val="231F20"/>
          <w:sz w:val="24"/>
        </w:rPr>
        <w:t>30-90 日檢出基因分型結果 </w:t>
      </w:r>
      <w:r>
        <w:rPr>
          <w:color w:val="231F20"/>
          <w:w w:val="70"/>
          <w:sz w:val="24"/>
        </w:rPr>
        <w:t>（</w:t>
      </w:r>
      <w:r>
        <w:rPr>
          <w:color w:val="231F20"/>
          <w:spacing w:val="10"/>
          <w:w w:val="70"/>
          <w:sz w:val="24"/>
        </w:rPr>
        <w:t> </w:t>
      </w:r>
      <w:r>
        <w:rPr>
          <w:color w:val="231F20"/>
          <w:spacing w:val="6"/>
          <w:sz w:val="24"/>
        </w:rPr>
        <w:t>基因分型檢測時間為收</w:t>
      </w:r>
      <w:r>
        <w:rPr>
          <w:color w:val="231F20"/>
          <w:sz w:val="24"/>
        </w:rPr>
        <w:t>到蔥株起算約 30</w:t>
      </w:r>
      <w:r>
        <w:rPr>
          <w:color w:val="231F20"/>
          <w:spacing w:val="-4"/>
          <w:sz w:val="24"/>
        </w:rPr>
        <w:t> 日 )，衛生局 </w:t>
      </w:r>
      <w:r>
        <w:rPr>
          <w:color w:val="231F20"/>
          <w:spacing w:val="4"/>
          <w:w w:val="70"/>
          <w:sz w:val="24"/>
        </w:rPr>
        <w:t>／ </w:t>
      </w:r>
      <w:r>
        <w:rPr>
          <w:color w:val="231F20"/>
          <w:sz w:val="24"/>
        </w:rPr>
        <w:t>所於基因分型檢測結果日起 10</w:t>
      </w:r>
      <w:r>
        <w:rPr>
          <w:color w:val="231F20"/>
          <w:spacing w:val="-1"/>
          <w:sz w:val="24"/>
        </w:rPr>
        <w:t> 個工作日，確認</w:t>
      </w:r>
      <w:r>
        <w:rPr>
          <w:color w:val="231F20"/>
          <w:spacing w:val="3"/>
          <w:sz w:val="24"/>
        </w:rPr>
        <w:t>病人為新病人、不是「</w:t>
      </w:r>
      <w:r>
        <w:rPr>
          <w:color w:val="231F20"/>
          <w:sz w:val="24"/>
        </w:rPr>
        <w:t>unique</w:t>
      </w:r>
      <w:r>
        <w:rPr>
          <w:color w:val="231F20"/>
          <w:spacing w:val="5"/>
          <w:sz w:val="24"/>
        </w:rPr>
        <w:t>」且確認不是同住接觸者發病、回溯確認近 </w:t>
      </w:r>
      <w:r>
        <w:rPr>
          <w:color w:val="231F20"/>
          <w:sz w:val="24"/>
        </w:rPr>
        <w:t>3</w:t>
      </w:r>
      <w:r>
        <w:rPr>
          <w:color w:val="231F20"/>
          <w:spacing w:val="7"/>
          <w:sz w:val="24"/>
        </w:rPr>
        <w:t> 年</w:t>
      </w:r>
      <w:r>
        <w:rPr>
          <w:color w:val="231F20"/>
          <w:spacing w:val="-5"/>
          <w:sz w:val="24"/>
        </w:rPr>
        <w:t>與個案同基因型的其他個案之通訊地、活動地及戶籍地址判定是否為「同縣市」， </w:t>
      </w:r>
      <w:r>
        <w:rPr>
          <w:color w:val="231F20"/>
          <w:spacing w:val="-1"/>
          <w:sz w:val="24"/>
        </w:rPr>
        <w:t>或「不同縣市，但具有流行病學相關性」，並填報「同基因型 </w:t>
      </w:r>
      <w:r>
        <w:rPr>
          <w:color w:val="231F20"/>
          <w:sz w:val="24"/>
        </w:rPr>
        <w:t>MDR-TB</w:t>
      </w:r>
      <w:r>
        <w:rPr>
          <w:color w:val="231F20"/>
          <w:spacing w:val="3"/>
          <w:sz w:val="24"/>
        </w:rPr>
        <w:t> 病人親</w:t>
      </w:r>
      <w:r>
        <w:rPr>
          <w:color w:val="231F20"/>
          <w:spacing w:val="-2"/>
          <w:w w:val="110"/>
          <w:sz w:val="24"/>
        </w:rPr>
        <w:t>緣性分析申請表」(附件 </w:t>
      </w:r>
      <w:r>
        <w:rPr>
          <w:color w:val="231F20"/>
          <w:w w:val="110"/>
          <w:sz w:val="24"/>
        </w:rPr>
        <w:t>10-10)。</w:t>
      </w:r>
    </w:p>
    <w:p>
      <w:pPr>
        <w:pStyle w:val="ListParagraph"/>
        <w:numPr>
          <w:ilvl w:val="0"/>
          <w:numId w:val="213"/>
        </w:numPr>
        <w:tabs>
          <w:tab w:pos="1350" w:val="left" w:leader="none"/>
        </w:tabs>
        <w:spacing w:line="390" w:lineRule="exact" w:before="0" w:after="0"/>
        <w:ind w:left="1349" w:right="0" w:hanging="256"/>
        <w:jc w:val="both"/>
        <w:rPr>
          <w:sz w:val="24"/>
        </w:rPr>
      </w:pPr>
      <w:r>
        <w:rPr>
          <w:color w:val="231F20"/>
          <w:spacing w:val="4"/>
          <w:w w:val="105"/>
          <w:sz w:val="24"/>
        </w:rPr>
        <w:t>衛生局 </w:t>
      </w:r>
      <w:r>
        <w:rPr>
          <w:color w:val="231F20"/>
          <w:spacing w:val="-5"/>
          <w:w w:val="80"/>
          <w:sz w:val="24"/>
        </w:rPr>
        <w:t>／ </w:t>
      </w:r>
      <w:r>
        <w:rPr>
          <w:color w:val="231F20"/>
          <w:spacing w:val="9"/>
          <w:w w:val="105"/>
          <w:sz w:val="24"/>
        </w:rPr>
        <w:t>所將「同基因型 </w:t>
      </w:r>
      <w:r>
        <w:rPr>
          <w:color w:val="231F20"/>
          <w:w w:val="105"/>
          <w:sz w:val="24"/>
        </w:rPr>
        <w:t>MDR-TB</w:t>
      </w:r>
      <w:r>
        <w:rPr>
          <w:color w:val="231F20"/>
          <w:spacing w:val="10"/>
          <w:w w:val="105"/>
          <w:sz w:val="24"/>
        </w:rPr>
        <w:t> 病人親緣性分析申請表」上傳 </w:t>
      </w:r>
      <w:r>
        <w:rPr>
          <w:color w:val="231F20"/>
          <w:w w:val="105"/>
          <w:sz w:val="24"/>
        </w:rPr>
        <w:t>TB</w:t>
      </w:r>
      <w:r>
        <w:rPr>
          <w:color w:val="231F20"/>
          <w:spacing w:val="10"/>
          <w:w w:val="105"/>
          <w:sz w:val="24"/>
        </w:rPr>
        <w:t> 系統之</w:t>
      </w:r>
    </w:p>
    <w:p>
      <w:pPr>
        <w:pStyle w:val="BodyText"/>
        <w:spacing w:line="400" w:lineRule="exact"/>
        <w:ind w:left="1349"/>
        <w:jc w:val="both"/>
      </w:pPr>
      <w:r>
        <w:rPr>
          <w:color w:val="231F20"/>
        </w:rPr>
        <w:t>「MDR-TB 感染源調査管理」頁面後，並以電子郵件寄送疾管署區管中心審査。</w:t>
      </w:r>
    </w:p>
    <w:p>
      <w:pPr>
        <w:pStyle w:val="ListParagraph"/>
        <w:numPr>
          <w:ilvl w:val="0"/>
          <w:numId w:val="213"/>
        </w:numPr>
        <w:tabs>
          <w:tab w:pos="1351" w:val="left" w:leader="none"/>
        </w:tabs>
        <w:spacing w:line="230" w:lineRule="auto" w:before="2" w:after="0"/>
        <w:ind w:left="1349" w:right="1075" w:hanging="255"/>
        <w:jc w:val="both"/>
        <w:rPr>
          <w:sz w:val="24"/>
        </w:rPr>
      </w:pPr>
      <w:r>
        <w:rPr>
          <w:color w:val="231F20"/>
          <w:spacing w:val="-1"/>
          <w:sz w:val="24"/>
        </w:rPr>
        <w:t>疾管署區管中心於 </w:t>
      </w:r>
      <w:r>
        <w:rPr>
          <w:color w:val="231F20"/>
          <w:sz w:val="24"/>
        </w:rPr>
        <w:t>5</w:t>
      </w:r>
      <w:r>
        <w:rPr>
          <w:color w:val="231F20"/>
          <w:spacing w:val="-2"/>
          <w:sz w:val="24"/>
        </w:rPr>
        <w:t> 個工作天內完成審査，並確認是否符合感染源調査條件及請</w:t>
      </w:r>
      <w:r>
        <w:rPr>
          <w:color w:val="231F20"/>
          <w:w w:val="95"/>
          <w:sz w:val="24"/>
        </w:rPr>
        <w:t>分枝桿蔥實驗室提出同基因型MDR-TB</w:t>
      </w:r>
      <w:r>
        <w:rPr>
          <w:color w:val="231F20"/>
          <w:spacing w:val="6"/>
          <w:w w:val="95"/>
          <w:sz w:val="24"/>
        </w:rPr>
        <w:t> 病人之全基因體定序</w:t>
      </w:r>
      <w:r>
        <w:rPr>
          <w:color w:val="231F20"/>
          <w:w w:val="95"/>
          <w:sz w:val="24"/>
        </w:rPr>
        <w:t>（WGS)</w:t>
      </w:r>
      <w:r>
        <w:rPr>
          <w:color w:val="231F20"/>
          <w:spacing w:val="4"/>
          <w:w w:val="95"/>
          <w:sz w:val="24"/>
        </w:rPr>
        <w:t> 親緣性分析， </w:t>
      </w:r>
      <w:r>
        <w:rPr>
          <w:color w:val="231F20"/>
          <w:sz w:val="24"/>
        </w:rPr>
        <w:t>並副知慢性組，必要時可與慢性組進行口冊。</w:t>
      </w:r>
    </w:p>
    <w:p>
      <w:pPr>
        <w:pStyle w:val="BodyText"/>
        <w:spacing w:line="394" w:lineRule="exact"/>
        <w:ind w:left="629"/>
        <w:jc w:val="both"/>
      </w:pPr>
      <w:r>
        <w:rPr>
          <w:color w:val="231F20"/>
          <w:w w:val="70"/>
        </w:rPr>
        <w:t>（ </w:t>
      </w:r>
      <w:r>
        <w:rPr>
          <w:color w:val="231F20"/>
        </w:rPr>
        <w:t>二 ) WGS 親緣性分析：</w:t>
      </w:r>
    </w:p>
    <w:p>
      <w:pPr>
        <w:pStyle w:val="BodyText"/>
        <w:spacing w:line="230" w:lineRule="auto" w:before="2"/>
        <w:ind w:left="1349" w:right="1135"/>
        <w:jc w:val="both"/>
      </w:pPr>
      <w:r>
        <w:rPr>
          <w:color w:val="231F20"/>
        </w:rPr>
        <w:t>分枝桿蔥實驗室協助執行 3 年內同基因型別蔥株之 WGS 親緣性分析，並於 40 日內提供分析結果予所屬區管中心，並副知慢性組。</w:t>
      </w:r>
    </w:p>
    <w:p>
      <w:pPr>
        <w:pStyle w:val="BodyText"/>
        <w:spacing w:line="404" w:lineRule="exact"/>
        <w:ind w:left="629"/>
        <w:jc w:val="both"/>
      </w:pPr>
      <w:r>
        <w:rPr>
          <w:color w:val="231F20"/>
          <w:w w:val="65"/>
        </w:rPr>
        <w:t>（ </w:t>
      </w:r>
      <w:r>
        <w:rPr>
          <w:color w:val="231F20"/>
        </w:rPr>
        <w:t>三 ) 啟動感染源疫情調査：</w:t>
      </w:r>
    </w:p>
    <w:p>
      <w:pPr>
        <w:spacing w:after="0" w:line="404" w:lineRule="exact"/>
        <w:jc w:val="both"/>
        <w:sectPr>
          <w:pgSz w:w="11910" w:h="16840"/>
          <w:pgMar w:top="1060" w:bottom="0" w:left="980" w:right="0"/>
        </w:sectPr>
      </w:pPr>
    </w:p>
    <w:p>
      <w:pPr>
        <w:pStyle w:val="ListParagraph"/>
        <w:numPr>
          <w:ilvl w:val="0"/>
          <w:numId w:val="214"/>
        </w:numPr>
        <w:tabs>
          <w:tab w:pos="1350" w:val="left" w:leader="none"/>
        </w:tabs>
        <w:spacing w:line="230" w:lineRule="auto" w:before="70" w:after="0"/>
        <w:ind w:left="1349" w:right="1075" w:hanging="255"/>
        <w:jc w:val="both"/>
        <w:rPr>
          <w:sz w:val="24"/>
          <w:szCs w:val="24"/>
        </w:rPr>
      </w:pPr>
      <w:r>
        <w:rPr>
          <w:color w:val="231F20"/>
          <w:spacing w:val="-3"/>
          <w:sz w:val="24"/>
          <w:szCs w:val="24"/>
        </w:rPr>
        <w:t>區管中心取得 </w:t>
      </w:r>
      <w:r>
        <w:rPr>
          <w:color w:val="231F20"/>
          <w:sz w:val="24"/>
          <w:szCs w:val="24"/>
        </w:rPr>
        <w:t>WGS</w:t>
      </w:r>
      <w:r>
        <w:rPr>
          <w:color w:val="231F20"/>
          <w:spacing w:val="-6"/>
          <w:sz w:val="24"/>
          <w:szCs w:val="24"/>
        </w:rPr>
        <w:t> 親緣性分析結果後，若確認個案間 </w:t>
      </w:r>
      <w:r>
        <w:rPr>
          <w:color w:val="231F20"/>
          <w:sz w:val="24"/>
          <w:szCs w:val="24"/>
        </w:rPr>
        <w:t>SNP</w:t>
      </w:r>
      <w:r>
        <w:rPr>
          <w:color w:val="231F20"/>
          <w:spacing w:val="-5"/>
          <w:sz w:val="24"/>
          <w:szCs w:val="24"/>
        </w:rPr>
        <w:t> </w:t>
      </w:r>
      <w:r>
        <w:rPr>
          <w:color w:val="231F20"/>
          <w:w w:val="95"/>
          <w:sz w:val="24"/>
          <w:szCs w:val="24"/>
        </w:rPr>
        <w:t>�</w:t>
      </w:r>
      <w:r>
        <w:rPr>
          <w:color w:val="231F20"/>
          <w:spacing w:val="-17"/>
          <w:w w:val="95"/>
          <w:sz w:val="24"/>
          <w:szCs w:val="24"/>
        </w:rPr>
        <w:t> </w:t>
      </w:r>
      <w:r>
        <w:rPr>
          <w:color w:val="231F20"/>
          <w:sz w:val="24"/>
          <w:szCs w:val="24"/>
        </w:rPr>
        <w:t>5</w:t>
      </w:r>
      <w:r>
        <w:rPr>
          <w:color w:val="231F20"/>
          <w:spacing w:val="-5"/>
          <w:sz w:val="24"/>
          <w:szCs w:val="24"/>
        </w:rPr>
        <w:t> 者，表示親緣性高度相關，列為必要調査對象，需積極釐清關聯性、SNP</w:t>
      </w:r>
      <w:r>
        <w:rPr>
          <w:color w:val="231F20"/>
          <w:spacing w:val="-1"/>
          <w:sz w:val="24"/>
          <w:szCs w:val="24"/>
        </w:rPr>
        <w:t> 介於 </w:t>
      </w:r>
      <w:r>
        <w:rPr>
          <w:color w:val="231F20"/>
          <w:sz w:val="24"/>
          <w:szCs w:val="24"/>
        </w:rPr>
        <w:t>6~15</w:t>
      </w:r>
      <w:r>
        <w:rPr>
          <w:color w:val="231F20"/>
          <w:spacing w:val="-1"/>
          <w:sz w:val="24"/>
          <w:szCs w:val="24"/>
        </w:rPr>
        <w:t> 者，親緣性為可能相關，視疫情狀況列為擴大調査對象、SNP</w:t>
      </w:r>
      <w:r>
        <w:rPr>
          <w:color w:val="231F20"/>
          <w:spacing w:val="-45"/>
          <w:sz w:val="24"/>
          <w:szCs w:val="24"/>
        </w:rPr>
        <w:t> </w:t>
      </w:r>
      <w:r>
        <w:rPr>
          <w:color w:val="231F20"/>
          <w:spacing w:val="-21"/>
          <w:w w:val="95"/>
          <w:sz w:val="24"/>
          <w:szCs w:val="24"/>
        </w:rPr>
        <w:t>三 </w:t>
      </w:r>
      <w:r>
        <w:rPr>
          <w:color w:val="231F20"/>
          <w:sz w:val="24"/>
          <w:szCs w:val="24"/>
        </w:rPr>
        <w:t>16</w:t>
      </w:r>
      <w:r>
        <w:rPr>
          <w:color w:val="231F20"/>
          <w:spacing w:val="-7"/>
          <w:sz w:val="24"/>
          <w:szCs w:val="24"/>
        </w:rPr>
        <w:t> 者，暫不列為調査對象。</w:t>
      </w:r>
    </w:p>
    <w:p>
      <w:pPr>
        <w:pStyle w:val="ListParagraph"/>
        <w:numPr>
          <w:ilvl w:val="0"/>
          <w:numId w:val="214"/>
        </w:numPr>
        <w:tabs>
          <w:tab w:pos="1350" w:val="left" w:leader="none"/>
        </w:tabs>
        <w:spacing w:line="230" w:lineRule="auto" w:before="0" w:after="0"/>
        <w:ind w:left="1349" w:right="1122" w:hanging="255"/>
        <w:jc w:val="both"/>
        <w:rPr>
          <w:sz w:val="24"/>
        </w:rPr>
      </w:pPr>
      <w:r>
        <w:rPr>
          <w:color w:val="231F20"/>
          <w:spacing w:val="-13"/>
          <w:sz w:val="24"/>
        </w:rPr>
        <w:t>依 </w:t>
      </w:r>
      <w:r>
        <w:rPr>
          <w:color w:val="231F20"/>
          <w:sz w:val="24"/>
        </w:rPr>
        <w:t>SNP</w:t>
      </w:r>
      <w:r>
        <w:rPr>
          <w:color w:val="231F20"/>
          <w:spacing w:val="-3"/>
          <w:sz w:val="24"/>
        </w:rPr>
        <w:t> 親緣關係結果，由區管中心通知衛生局 </w:t>
      </w:r>
      <w:r>
        <w:rPr>
          <w:color w:val="231F20"/>
          <w:spacing w:val="-3"/>
          <w:w w:val="70"/>
          <w:sz w:val="24"/>
        </w:rPr>
        <w:t>／ </w:t>
      </w:r>
      <w:r>
        <w:rPr>
          <w:color w:val="231F20"/>
          <w:spacing w:val="4"/>
          <w:sz w:val="24"/>
        </w:rPr>
        <w:t>所啟動調査，調査範圍包含相</w:t>
      </w:r>
      <w:r>
        <w:rPr>
          <w:color w:val="231F20"/>
          <w:sz w:val="24"/>
        </w:rPr>
        <w:t>關聯個案之日常活動範圍、旅遊史、就醫特性、地緣、人際關係等，並填寫「同</w:t>
      </w:r>
      <w:r>
        <w:rPr>
          <w:color w:val="231F20"/>
          <w:spacing w:val="4"/>
          <w:sz w:val="24"/>
        </w:rPr>
        <w:t>基因型 </w:t>
      </w:r>
      <w:r>
        <w:rPr>
          <w:color w:val="231F20"/>
          <w:sz w:val="24"/>
        </w:rPr>
        <w:t>MDR-TB</w:t>
      </w:r>
      <w:r>
        <w:rPr>
          <w:color w:val="231F20"/>
          <w:spacing w:val="8"/>
          <w:sz w:val="24"/>
        </w:rPr>
        <w:t> 感染源調査報告」</w:t>
      </w:r>
      <w:r>
        <w:rPr>
          <w:color w:val="231F20"/>
          <w:w w:val="70"/>
          <w:sz w:val="24"/>
        </w:rPr>
        <w:t>（</w:t>
      </w:r>
      <w:r>
        <w:rPr>
          <w:color w:val="231F20"/>
          <w:spacing w:val="15"/>
          <w:w w:val="70"/>
          <w:sz w:val="24"/>
        </w:rPr>
        <w:t> </w:t>
      </w:r>
      <w:r>
        <w:rPr>
          <w:color w:val="231F20"/>
          <w:spacing w:val="2"/>
          <w:sz w:val="24"/>
        </w:rPr>
        <w:t>附件 </w:t>
      </w:r>
      <w:r>
        <w:rPr>
          <w:color w:val="231F20"/>
          <w:sz w:val="24"/>
        </w:rPr>
        <w:t>10-11)</w:t>
      </w:r>
      <w:r>
        <w:rPr>
          <w:color w:val="231F20"/>
          <w:spacing w:val="-2"/>
          <w:sz w:val="24"/>
        </w:rPr>
        <w:t>，於 </w:t>
      </w:r>
      <w:r>
        <w:rPr>
          <w:color w:val="231F20"/>
          <w:sz w:val="24"/>
        </w:rPr>
        <w:t>30</w:t>
      </w:r>
      <w:r>
        <w:rPr>
          <w:color w:val="231F20"/>
          <w:spacing w:val="9"/>
          <w:sz w:val="24"/>
        </w:rPr>
        <w:t> 日內將調査結果上傳</w:t>
      </w:r>
      <w:r>
        <w:rPr>
          <w:color w:val="231F20"/>
          <w:sz w:val="24"/>
        </w:rPr>
        <w:t>TB</w:t>
      </w:r>
      <w:r>
        <w:rPr>
          <w:color w:val="231F20"/>
          <w:spacing w:val="-1"/>
          <w:sz w:val="24"/>
        </w:rPr>
        <w:t> 系統之「</w:t>
      </w:r>
      <w:r>
        <w:rPr>
          <w:color w:val="231F20"/>
          <w:sz w:val="24"/>
        </w:rPr>
        <w:t>MDR-TB</w:t>
      </w:r>
      <w:r>
        <w:rPr>
          <w:color w:val="231F20"/>
          <w:spacing w:val="1"/>
          <w:sz w:val="24"/>
        </w:rPr>
        <w:t> 感染源調査管理」，同時電子郵件寄送疾管署區管中心。</w:t>
      </w:r>
      <w:r>
        <w:rPr>
          <w:color w:val="231F20"/>
          <w:sz w:val="24"/>
        </w:rPr>
        <w:t>區管中心於 5</w:t>
      </w:r>
      <w:r>
        <w:rPr>
          <w:color w:val="231F20"/>
          <w:spacing w:val="-3"/>
          <w:sz w:val="24"/>
        </w:rPr>
        <w:t> 個工作日內完成審査，並將審査意見送疾管署慢性組，慢性組 </w:t>
      </w:r>
      <w:r>
        <w:rPr>
          <w:color w:val="231F20"/>
          <w:sz w:val="24"/>
        </w:rPr>
        <w:t>5</w:t>
      </w:r>
      <w:r>
        <w:rPr>
          <w:color w:val="231F20"/>
          <w:spacing w:val="-2"/>
          <w:sz w:val="24"/>
        </w:rPr>
        <w:t> 個</w:t>
      </w:r>
      <w:r>
        <w:rPr>
          <w:color w:val="231F20"/>
          <w:spacing w:val="-3"/>
          <w:w w:val="105"/>
          <w:sz w:val="24"/>
        </w:rPr>
        <w:t>工作日內提供防疫建議予區管中心轉交衛生局 </w:t>
      </w:r>
      <w:r>
        <w:rPr>
          <w:color w:val="231F20"/>
          <w:spacing w:val="3"/>
          <w:w w:val="70"/>
          <w:sz w:val="24"/>
        </w:rPr>
        <w:t>／ </w:t>
      </w:r>
      <w:r>
        <w:rPr>
          <w:color w:val="231F20"/>
          <w:w w:val="105"/>
          <w:sz w:val="24"/>
        </w:rPr>
        <w:t>所。</w:t>
      </w:r>
    </w:p>
    <w:p>
      <w:pPr>
        <w:pStyle w:val="BodyText"/>
        <w:spacing w:line="390" w:lineRule="exact"/>
        <w:ind w:left="629"/>
        <w:jc w:val="both"/>
      </w:pPr>
      <w:r>
        <w:rPr>
          <w:color w:val="231F20"/>
          <w:w w:val="65"/>
        </w:rPr>
        <w:t>（ </w:t>
      </w:r>
      <w:r>
        <w:rPr>
          <w:color w:val="231F20"/>
        </w:rPr>
        <w:t>匹 ) 召開調査會議：</w:t>
      </w:r>
    </w:p>
    <w:p>
      <w:pPr>
        <w:pStyle w:val="ListParagraph"/>
        <w:numPr>
          <w:ilvl w:val="0"/>
          <w:numId w:val="215"/>
        </w:numPr>
        <w:tabs>
          <w:tab w:pos="1350" w:val="left" w:leader="none"/>
        </w:tabs>
        <w:spacing w:line="230" w:lineRule="auto" w:before="0" w:after="0"/>
        <w:ind w:left="1349" w:right="1131" w:hanging="255"/>
        <w:jc w:val="both"/>
        <w:rPr>
          <w:sz w:val="24"/>
        </w:rPr>
      </w:pPr>
      <w:r>
        <w:rPr/>
        <w:pict>
          <v:group style="position:absolute;margin-left:557.684509pt;margin-top:29.714464pt;width:37.35pt;height:555.550pt;mso-position-horizontal-relative:page;mso-position-vertical-relative:paragraph;z-index:251929600" coordorigin="11154,594" coordsize="747,11111">
            <v:shape style="position:absolute;left:11283;top:1105;width:439;height:10600" type="#_x0000_t75" stroked="false">
              <v:imagedata r:id="rId102" o:title=""/>
            </v:shape>
            <v:shape style="position:absolute;left:11153;top:594;width:747;height:812" coordorigin="11154,594" coordsize="747,812" path="m11900,594l11536,594,11514,597,11454,630,11188,913,11154,1000,11162,1046,11454,1369,11514,1403,11536,1406,11900,1406,11900,594xe" filled="true" fillcolor="#bd7cb5" stroked="false">
              <v:path arrowok="t"/>
              <v:fill type="solid"/>
            </v:shape>
            <v:shape style="position:absolute;left:11321;top:861;width:374;height:278" type="#_x0000_t75" stroked="false">
              <v:imagedata r:id="rId103" o:title=""/>
            </v:shape>
            <v:shape style="position:absolute;left:11378;top:1541;width:250;height:3599" type="#_x0000_t75" stroked="false">
              <v:imagedata r:id="rId104" o:title=""/>
            </v:shape>
            <v:shape style="position:absolute;left:11374;top:11142;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115</w:t>
                    </w:r>
                  </w:p>
                </w:txbxContent>
              </v:textbox>
              <w10:wrap type="none"/>
            </v:shape>
            <w10:wrap type="none"/>
          </v:group>
        </w:pict>
      </w:r>
      <w:r>
        <w:rPr>
          <w:color w:val="231F20"/>
          <w:spacing w:val="-1"/>
          <w:sz w:val="24"/>
        </w:rPr>
        <w:t>疾管署區管中心可視感染源調査情形召開調査會議 </w:t>
      </w:r>
      <w:r>
        <w:rPr>
          <w:color w:val="231F20"/>
          <w:w w:val="70"/>
          <w:sz w:val="24"/>
        </w:rPr>
        <w:t>（</w:t>
      </w:r>
      <w:r>
        <w:rPr>
          <w:color w:val="231F20"/>
          <w:spacing w:val="3"/>
          <w:w w:val="70"/>
          <w:sz w:val="24"/>
        </w:rPr>
        <w:t> </w:t>
      </w:r>
      <w:r>
        <w:rPr>
          <w:color w:val="231F20"/>
          <w:sz w:val="24"/>
        </w:rPr>
        <w:t>如跨區管可由區管間共同辦</w:t>
      </w:r>
      <w:r>
        <w:rPr>
          <w:color w:val="231F20"/>
          <w:spacing w:val="-1"/>
          <w:sz w:val="24"/>
        </w:rPr>
        <w:t>理 )，調査會議目的為加強橫向聯繫，口冊可能的傳播發生途徑或事件發生地， 並進—步釐清相關事證，以利重新確認感染源及匡列還洞之接觸者。</w:t>
      </w:r>
    </w:p>
    <w:p>
      <w:pPr>
        <w:pStyle w:val="ListParagraph"/>
        <w:numPr>
          <w:ilvl w:val="0"/>
          <w:numId w:val="215"/>
        </w:numPr>
        <w:tabs>
          <w:tab w:pos="1350" w:val="left" w:leader="none"/>
        </w:tabs>
        <w:spacing w:line="230" w:lineRule="auto" w:before="0" w:after="0"/>
        <w:ind w:left="1349" w:right="1135" w:hanging="255"/>
        <w:jc w:val="both"/>
        <w:rPr>
          <w:sz w:val="24"/>
        </w:rPr>
      </w:pPr>
      <w:r>
        <w:rPr>
          <w:color w:val="231F20"/>
          <w:spacing w:val="3"/>
          <w:sz w:val="24"/>
        </w:rPr>
        <w:t>調査會議召開後，由疾管署區管中心於 </w:t>
      </w:r>
      <w:r>
        <w:rPr>
          <w:color w:val="231F20"/>
          <w:sz w:val="24"/>
        </w:rPr>
        <w:t>10</w:t>
      </w:r>
      <w:r>
        <w:rPr>
          <w:color w:val="231F20"/>
          <w:spacing w:val="1"/>
          <w:sz w:val="24"/>
        </w:rPr>
        <w:t> 個工作天內將會議紀錄上傳 </w:t>
      </w:r>
      <w:r>
        <w:rPr>
          <w:color w:val="231F20"/>
          <w:sz w:val="24"/>
        </w:rPr>
        <w:t>TB</w:t>
      </w:r>
      <w:r>
        <w:rPr>
          <w:color w:val="231F20"/>
          <w:spacing w:val="-5"/>
          <w:sz w:val="24"/>
        </w:rPr>
        <w:t> 系統</w:t>
      </w:r>
      <w:r>
        <w:rPr>
          <w:color w:val="231F20"/>
          <w:sz w:val="24"/>
        </w:rPr>
        <w:t>之「MDR-TB</w:t>
      </w:r>
      <w:r>
        <w:rPr>
          <w:color w:val="231F20"/>
          <w:spacing w:val="-3"/>
          <w:sz w:val="24"/>
        </w:rPr>
        <w:t> 感染源調査管理」頁面。</w:t>
      </w:r>
    </w:p>
    <w:p>
      <w:pPr>
        <w:pStyle w:val="ListParagraph"/>
        <w:numPr>
          <w:ilvl w:val="0"/>
          <w:numId w:val="215"/>
        </w:numPr>
        <w:tabs>
          <w:tab w:pos="1350" w:val="left" w:leader="none"/>
        </w:tabs>
        <w:spacing w:line="230" w:lineRule="auto" w:before="0" w:after="0"/>
        <w:ind w:left="1349" w:right="1133" w:hanging="255"/>
        <w:jc w:val="both"/>
        <w:rPr>
          <w:sz w:val="24"/>
        </w:rPr>
      </w:pPr>
      <w:r>
        <w:rPr>
          <w:color w:val="231F20"/>
          <w:sz w:val="24"/>
        </w:rPr>
        <w:t>如會議判定為聚集事件，則依聚集事件流程管理(聚集事件請參閱第十二章「疑</w:t>
      </w:r>
      <w:r>
        <w:rPr>
          <w:color w:val="231F20"/>
          <w:w w:val="105"/>
          <w:sz w:val="24"/>
        </w:rPr>
        <w:t>似結核病聚集事件處理」)。</w:t>
      </w:r>
    </w:p>
    <w:p>
      <w:pPr>
        <w:spacing w:after="0" w:line="230" w:lineRule="auto"/>
        <w:jc w:val="both"/>
        <w:rPr>
          <w:sz w:val="24"/>
        </w:rPr>
        <w:sectPr>
          <w:pgSz w:w="11910" w:h="16840"/>
          <w:pgMar w:top="1060" w:bottom="0" w:left="980" w:right="0"/>
        </w:sectPr>
      </w:pPr>
    </w:p>
    <w:p>
      <w:pPr>
        <w:pStyle w:val="BodyText"/>
        <w:spacing w:before="59"/>
        <w:ind w:left="153"/>
      </w:pPr>
      <w:r>
        <w:rPr/>
        <w:pict>
          <v:group style="position:absolute;margin-left:-.000001pt;margin-top:286.162994pt;width:37.35pt;height:555.550pt;mso-position-horizontal-relative:page;mso-position-vertical-relative:page;z-index:251931648"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72;top:16271;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116</w:t>
                    </w:r>
                  </w:p>
                </w:txbxContent>
              </v:textbox>
              <w10:wrap type="none"/>
            </v:shape>
            <w10:wrap type="none"/>
          </v:group>
        </w:pict>
      </w:r>
      <w:r>
        <w:rPr/>
        <w:pict>
          <v:group style="position:absolute;margin-left:148.662994pt;margin-top:29.80938pt;width:389pt;height:595.15pt;mso-position-horizontal-relative:page;mso-position-vertical-relative:paragraph;z-index:251932672" coordorigin="2973,596" coordsize="7780,11903">
            <v:shape style="position:absolute;left:3016;top:596;width:6530;height:616" coordorigin="3016,596" coordsize="6530,616" path="m9435,596l3126,596,3091,603,3061,619,3037,643,3021,675,3018,685,3017,697,3016,707,3016,1102,3017,1113,3018,1124,3022,1135,3025,1144,3031,1156,3039,1168,3047,1178,3057,1187,3075,1199,3084,1203,3095,1207,3116,1212,9447,1212,9458,1209,9491,1196,9502,1187,3127,1187,3100,1183,3075,1171,3056,1151,3044,1126,3043,1118,3040,1110,3040,697,3046,677,3053,662,3063,649,3079,634,3087,631,3095,627,3106,623,3118,621,3127,621,9502,621,9479,606,9446,597,9435,596xm9502,621l9445,621,9453,623,9479,632,9500,649,9514,672,9521,699,9522,707,9522,1102,9521,1113,9520,1119,9510,1144,9493,1166,9470,1181,9443,1187,9502,1187,9518,1175,9536,1146,9545,1112,9545,695,9543,684,9531,652,9509,625,9502,621xe" filled="true" fillcolor="#93b266" stroked="false">
              <v:path arrowok="t"/>
              <v:fill type="solid"/>
            </v:shape>
            <v:shape style="position:absolute;left:5458;top:830;width:203;height:203" type="#_x0000_t75" stroked="false">
              <v:imagedata r:id="rId120" o:title=""/>
            </v:shape>
            <v:shape style="position:absolute;left:5691;top:828;width:428;height:206" type="#_x0000_t75" stroked="false">
              <v:imagedata r:id="rId121" o:title=""/>
            </v:shape>
            <v:shape style="position:absolute;left:6219;top:846;width:178;height:176" type="#_x0000_t75" stroked="false">
              <v:imagedata r:id="rId122" o:title=""/>
            </v:shape>
            <v:shape style="position:absolute;left:6443;top:846;width:140;height:176" type="#_x0000_t75" stroked="false">
              <v:imagedata r:id="rId123" o:title=""/>
            </v:shape>
            <v:shape style="position:absolute;left:6617;top:846;width:485;height:176" type="#_x0000_t75" stroked="false">
              <v:imagedata r:id="rId124" o:title=""/>
            </v:shape>
            <v:shape style="position:absolute;left:2999;top:1556;width:6546;height:619" type="#_x0000_t75" stroked="false">
              <v:imagedata r:id="rId125" o:title=""/>
            </v:shape>
            <v:shape style="position:absolute;left:6316;top:1200;width:116;height:369" type="#_x0000_t75" stroked="false">
              <v:imagedata r:id="rId126" o:title=""/>
            </v:shape>
            <v:shape style="position:absolute;left:3016;top:2533;width:6530;height:619" type="#_x0000_t75" stroked="false">
              <v:imagedata r:id="rId127" o:title=""/>
            </v:shape>
            <v:shape style="position:absolute;left:6316;top:2163;width:116;height:370" type="#_x0000_t75" stroked="false">
              <v:imagedata r:id="rId128" o:title=""/>
            </v:shape>
            <v:shape style="position:absolute;left:2999;top:3543;width:6546;height:493" type="#_x0000_t75" stroked="false">
              <v:imagedata r:id="rId129" o:title=""/>
            </v:shape>
            <v:shape style="position:absolute;left:6314;top:3141;width:116;height:369" type="#_x0000_t75" stroked="false">
              <v:imagedata r:id="rId130" o:title=""/>
            </v:shape>
            <v:shape style="position:absolute;left:3016;top:4414;width:6530;height:1246" type="#_x0000_t75" stroked="false">
              <v:imagedata r:id="rId131" o:title=""/>
            </v:shape>
            <v:shape style="position:absolute;left:3016;top:6016;width:6530;height:831" type="#_x0000_t75" stroked="false">
              <v:imagedata r:id="rId132" o:title=""/>
            </v:shape>
            <v:shape style="position:absolute;left:6312;top:5649;width:116;height:369" type="#_x0000_t75" stroked="false">
              <v:imagedata r:id="rId133" o:title=""/>
            </v:shape>
            <v:shape style="position:absolute;left:6313;top:4033;width:116;height:370" type="#_x0000_t75" stroked="false">
              <v:imagedata r:id="rId134" o:title=""/>
            </v:shape>
            <v:shape style="position:absolute;left:6309;top:6843;width:116;height:369" type="#_x0000_t75" stroked="false">
              <v:imagedata r:id="rId135" o:title=""/>
            </v:shape>
            <v:shape style="position:absolute;left:10017;top:1454;width:736;height:4084" coordorigin="10018,1455" coordsize="736,4084" path="m10753,1455l10018,1455,10018,5538,10753,5538,10753,5525,10042,5525,10029,5514,10042,5514,10042,1479,10029,1479,10042,1467,10753,1467,10753,1455xm10042,5514l10029,5514,10042,5525,10042,5514xm10729,5514l10042,5514,10042,5525,10729,5525,10729,5514xm10729,1467l10729,5525,10740,5514,10753,5514,10753,1479,10740,1479,10729,1467xm10753,5514l10740,5514,10729,5525,10753,5525,10753,5514xm10042,1467l10029,1479,10042,1479,10042,1467xm10729,1467l10042,1467,10042,1479,10729,1479,10729,1467xm10753,1467l10729,1467,10740,1479,10753,1479,10753,1467xe" filled="true" fillcolor="#93b266" stroked="false">
              <v:path arrowok="t"/>
              <v:fill type="solid"/>
            </v:shape>
            <v:shape style="position:absolute;left:10283;top:1661;width:207;height:199" type="#_x0000_t75" stroked="false">
              <v:imagedata r:id="rId136" o:title=""/>
            </v:shape>
            <v:shape style="position:absolute;left:10284;top:2079;width:204;height:205" type="#_x0000_t75" stroked="false">
              <v:imagedata r:id="rId137" o:title=""/>
            </v:shape>
            <v:shape style="position:absolute;left:10282;top:2502;width:206;height:205" type="#_x0000_t75" stroked="false">
              <v:imagedata r:id="rId138" o:title=""/>
            </v:shape>
            <v:shape style="position:absolute;left:10284;top:2928;width:202;height:204" type="#_x0000_t75" stroked="false">
              <v:imagedata r:id="rId139" o:title=""/>
            </v:shape>
            <v:shape style="position:absolute;left:10284;top:3352;width:202;height:201" type="#_x0000_t75" stroked="false">
              <v:imagedata r:id="rId140" o:title=""/>
            </v:shape>
            <v:shape style="position:absolute;left:10284;top:3773;width:203;height:206" type="#_x0000_t75" stroked="false">
              <v:imagedata r:id="rId141" o:title=""/>
            </v:shape>
            <v:shape style="position:absolute;left:10283;top:4204;width:205;height:200" type="#_x0000_t75" stroked="false">
              <v:imagedata r:id="rId142" o:title=""/>
            </v:shape>
            <v:shape style="position:absolute;left:10284;top:4623;width:196;height:205" type="#_x0000_t75" stroked="false">
              <v:imagedata r:id="rId143" o:title=""/>
            </v:shape>
            <v:shape style="position:absolute;left:10282;top:5047;width:205;height:199" type="#_x0000_t75" stroked="false">
              <v:imagedata r:id="rId144" o:title=""/>
            </v:shape>
            <v:shape style="position:absolute;left:9533;top:1842;width:496;height:3345" coordorigin="9534,1842" coordsize="496,3345" path="m10029,5129l10004,5116,9914,5071,9914,5116,9534,5116,9534,5140,9914,5140,9914,5187,10006,5140,10029,5129m10029,3820l10006,3809,9914,3762,9914,3809,9534,3809,9534,3833,9914,3833,9914,3878,10004,3833,10029,3820m10029,2827l10004,2814,9914,2769,9914,2814,9534,2814,9534,2839,9914,2839,9914,2885,10006,2839,10029,2827m10029,1900l10004,1887,9914,1842,9914,1887,9534,1887,9534,1912,9914,1912,9914,1958,10006,1912,10029,1900e" filled="true" fillcolor="#93b266" stroked="false">
              <v:path arrowok="t"/>
              <v:fill type="solid"/>
            </v:shape>
            <v:shape style="position:absolute;left:2999;top:7203;width:6546;height:852" type="#_x0000_t75" stroked="false">
              <v:imagedata r:id="rId145" o:title=""/>
            </v:shape>
            <v:shape style="position:absolute;left:2999;top:8377;width:6592;height:878" type="#_x0000_t75" stroked="false">
              <v:imagedata r:id="rId146" o:title=""/>
            </v:shape>
            <v:shape style="position:absolute;left:2999;top:9556;width:6612;height:844" type="#_x0000_t75" stroked="false">
              <v:imagedata r:id="rId147" o:title=""/>
            </v:shape>
            <v:shape style="position:absolute;left:6295;top:9228;width:116;height:369" type="#_x0000_t75" stroked="false">
              <v:imagedata r:id="rId148" o:title=""/>
            </v:shape>
            <v:shape style="position:absolute;left:2999;top:10727;width:6592;height:835" type="#_x0000_t75" stroked="false">
              <v:imagedata r:id="rId149" o:title=""/>
            </v:shape>
            <v:shape style="position:absolute;left:6274;top:10373;width:116;height:370" type="#_x0000_t75" stroked="false">
              <v:imagedata r:id="rId150" o:title=""/>
            </v:shape>
            <v:shape style="position:absolute;left:6296;top:8049;width:116;height:369" type="#_x0000_t75" stroked="false">
              <v:imagedata r:id="rId151" o:title=""/>
            </v:shape>
            <v:shape style="position:absolute;left:2973;top:11560;width:6639;height:939" type="#_x0000_t75" stroked="false">
              <v:imagedata r:id="rId152" o:title=""/>
            </v:shape>
            <v:shape style="position:absolute;left:9652;top:1648;width:202;height:198" type="#_x0000_t75" stroked="false">
              <v:imagedata r:id="rId153" o:title=""/>
            </v:shape>
            <v:shape style="position:absolute;left:9652;top:2583;width:202;height:198" type="#_x0000_t75" stroked="false">
              <v:imagedata r:id="rId154" o:title=""/>
            </v:shape>
            <v:shape style="position:absolute;left:9652;top:3577;width:202;height:198" type="#_x0000_t75" stroked="false">
              <v:imagedata r:id="rId155" o:title=""/>
            </v:shape>
            <v:shape style="position:absolute;left:9667;top:4885;width:202;height:198" type="#_x0000_t75" stroked="false">
              <v:imagedata r:id="rId156" o:title=""/>
            </v:shape>
            <v:shape style="position:absolute;left:6514;top:2250;width:205;height:197" type="#_x0000_t75" stroked="false">
              <v:imagedata r:id="rId157" o:title=""/>
            </v:shape>
            <v:shape style="position:absolute;left:6514;top:3254;width:205;height:197" type="#_x0000_t75" stroked="false">
              <v:imagedata r:id="rId158" o:title=""/>
            </v:shape>
            <v:shape style="position:absolute;left:6514;top:4131;width:205;height:197" type="#_x0000_t75" stroked="false">
              <v:imagedata r:id="rId159" o:title=""/>
            </v:shape>
            <v:shape style="position:absolute;left:6528;top:5736;width:205;height:197" type="#_x0000_t75" stroked="false">
              <v:imagedata r:id="rId160" o:title=""/>
            </v:shape>
            <w10:wrap type="none"/>
          </v:group>
        </w:pict>
      </w:r>
      <w:r>
        <w:rPr/>
        <w:pict>
          <v:group style="position:absolute;margin-left:103.099998pt;margin-top:44.239281pt;width:30.2pt;height:567.050pt;mso-position-horizontal-relative:page;mso-position-vertical-relative:paragraph;z-index:251933696" coordorigin="2062,885" coordsize="604,11341">
            <v:line style="position:absolute" from="2159,906" to="2159,12203" stroked="true" strokeweight="2.2pt" strokecolor="#93b266">
              <v:stroke dashstyle="solid"/>
            </v:line>
            <v:line style="position:absolute" from="2090,906" to="2354,906" stroked="true" strokeweight="2.1441pt" strokecolor="#93b266">
              <v:stroke dashstyle="solid"/>
            </v:line>
            <v:shape style="position:absolute;left:2073;top:2910;width:264;height:4838" coordorigin="2074,2910" coordsize="264,4838" path="m2074,7748l2338,7748m2074,2910l2338,2910e" filled="false" stroked="true" strokeweight="2.144pt" strokecolor="#93b266">
              <v:path arrowok="t"/>
              <v:stroke dashstyle="solid"/>
            </v:shape>
            <v:line style="position:absolute" from="2090,9975" to="2354,9975" stroked="true" strokeweight="2.1439pt" strokecolor="#93b266">
              <v:stroke dashstyle="solid"/>
            </v:line>
            <v:shape style="position:absolute;left:2310;top:1689;width:306;height:136" type="#_x0000_t75" stroked="false">
              <v:imagedata r:id="rId161" o:title=""/>
            </v:shape>
            <v:shape style="position:absolute;left:2263;top:1921;width:192;height:136" type="#_x0000_t75" stroked="false">
              <v:imagedata r:id="rId162" o:title=""/>
            </v:shape>
            <v:shape style="position:absolute;left:2534;top:1916;width:115;height:148" type="#_x0000_t75" stroked="false">
              <v:imagedata r:id="rId163" o:title=""/>
            </v:shape>
            <v:shape style="position:absolute;left:2270;top:4948;width:185;height:137" type="#_x0000_t75" stroked="false">
              <v:imagedata r:id="rId164" o:title=""/>
            </v:shape>
            <v:shape style="position:absolute;left:2534;top:4943;width:115;height:148" type="#_x0000_t75" stroked="false">
              <v:imagedata r:id="rId165" o:title=""/>
            </v:shape>
            <v:line style="position:absolute" from="2090,8874" to="2354,8874" stroked="true" strokeweight="2.144pt" strokecolor="#93b266">
              <v:stroke dashstyle="solid"/>
            </v:line>
            <v:shape style="position:absolute;left:2273;top:9536;width:198;height:136" type="#_x0000_t75" stroked="false">
              <v:imagedata r:id="rId166" o:title=""/>
            </v:shape>
            <v:shape style="position:absolute;left:2550;top:9531;width:115;height:148" type="#_x0000_t75" stroked="false">
              <v:imagedata r:id="rId167" o:title=""/>
            </v:shape>
            <v:shape style="position:absolute;left:2337;top:8372;width:77;height:134" coordorigin="2338,8372" coordsize="77,134" path="m2338,8481l2338,8500,2344,8504,2354,8506,2381,8506,2393,8502,2406,8490,2356,8490,2347,8487,2338,8481xm2409,8440l2362,8440,2376,8441,2386,8446,2392,8453,2394,8464,2394,8472,2391,8478,2381,8488,2374,8490,2406,8490,2410,8486,2414,8476,2414,8450,2410,8441,2409,8440xm2408,8372l2342,8372,2342,8441,2350,8440,2357,8440,2409,8440,2395,8427,2385,8424,2359,8424,2359,8389,2408,8389,2408,8372xm2384,8423l2368,8423,2364,8423,2359,8424,2385,8424,2384,8423xe" filled="true" fillcolor="#b3292e" stroked="false">
              <v:path arrowok="t"/>
              <v:fill type="solid"/>
            </v:shape>
            <v:shape style="position:absolute;left:2498;top:8365;width:115;height:148" type="#_x0000_t75" stroked="false">
              <v:imagedata r:id="rId168" o:title=""/>
            </v:shape>
            <v:line style="position:absolute" from="2062,11089" to="2327,11089" stroked="true" strokeweight="2.202pt" strokecolor="#93b266">
              <v:stroke dashstyle="solid"/>
            </v:line>
            <v:shape style="position:absolute;left:2321;top:10528;width:77;height:134" coordorigin="2321,10528" coordsize="77,134" path="m2321,10637l2321,10656,2328,10660,2338,10662,2365,10662,2376,10658,2390,10646,2340,10646,2330,10643,2321,10637xm2393,10595l2367,10595,2378,10604,2378,10628,2375,10634,2365,10643,2358,10646,2390,10646,2394,10642,2398,10632,2398,10606,2394,10596,2393,10595xm2392,10528l2325,10528,2325,10597,2334,10596,2341,10595,2393,10595,2378,10582,2369,10579,2343,10579,2343,10545,2392,10545,2392,10528xm2368,10579l2352,10579,2348,10579,2343,10579,2369,10579,2368,10579xe" filled="true" fillcolor="#b3292e" stroked="false">
              <v:path arrowok="t"/>
              <v:fill type="solid"/>
            </v:shape>
            <v:shape style="position:absolute;left:2482;top:10520;width:115;height:148" type="#_x0000_t75" stroked="false">
              <v:imagedata r:id="rId169" o:title=""/>
            </v:shape>
            <v:line style="position:absolute" from="2090,12203" to="2354,12203" stroked="true" strokeweight="2.202pt" strokecolor="#93b266">
              <v:stroke dashstyle="solid"/>
            </v:line>
            <v:shape style="position:absolute;left:2267;top:11598;width:187;height:136" type="#_x0000_t75" stroked="false">
              <v:imagedata r:id="rId170" o:title=""/>
            </v:shape>
            <v:shape style="position:absolute;left:2534;top:11593;width:115;height:148" type="#_x0000_t75" stroked="false">
              <v:imagedata r:id="rId171" o:title=""/>
            </v:shape>
            <w10:wrap type="none"/>
          </v:group>
        </w:pict>
      </w:r>
      <w:r>
        <w:rPr/>
        <w:pict>
          <v:group style="position:absolute;margin-left:99.928001pt;margin-top:21.66938pt;width:34.35pt;height:6.6pt;mso-position-horizontal-relative:page;mso-position-vertical-relative:paragraph;z-index:-266123264" coordorigin="1999,433" coordsize="687,132">
            <v:shape style="position:absolute;left:1998;top:433;width:140;height:132" type="#_x0000_t75" stroked="false">
              <v:imagedata r:id="rId172" o:title=""/>
            </v:shape>
            <v:shape style="position:absolute;left:2170;top:433;width:515;height:132" type="#_x0000_t75" stroked="false">
              <v:imagedata r:id="rId173" o:title=""/>
            </v:shape>
            <w10:wrap type="none"/>
          </v:group>
        </w:pict>
      </w:r>
      <w:r>
        <w:rPr/>
        <w:pict>
          <v:group style="position:absolute;margin-left:104.525002pt;margin-top:32.567379pt;width:24.05pt;height:7.75pt;mso-position-horizontal-relative:page;mso-position-vertical-relative:paragraph;z-index:251935744" coordorigin="2091,651" coordsize="481,155">
            <v:shape style="position:absolute;left:2090;top:651;width:325;height:155" type="#_x0000_t75" stroked="false">
              <v:imagedata r:id="rId174" o:title=""/>
            </v:shape>
            <v:shape style="position:absolute;left:2455;top:657;width:115;height:148" type="#_x0000_t75" stroked="false">
              <v:imagedata r:id="rId175" o:title=""/>
            </v:shape>
            <w10:wrap type="none"/>
          </v:group>
        </w:pict>
      </w:r>
      <w:r>
        <w:rPr/>
        <w:pict>
          <v:group style="position:absolute;margin-left:56.668999pt;margin-top:30.04138pt;width:35pt;height:616.75pt;mso-position-horizontal-relative:page;mso-position-vertical-relative:paragraph;z-index:251936768" coordorigin="1133,601" coordsize="700,12335">
            <v:shape style="position:absolute;left:1133;top:600;width:700;height:6732" coordorigin="1133,601" coordsize="700,6732" path="m1833,601l1133,601,1133,609,1133,616,1133,7317,1133,7325,1133,7332,1833,7332,1833,7325,1833,7317,1833,616,1833,609,1833,601e" filled="true" fillcolor="#f6dacd" stroked="false">
              <v:path arrowok="t"/>
              <v:fill type="solid"/>
            </v:shape>
            <v:rect style="position:absolute;left:1259;top:2773;width:232;height:348" filled="true" fillcolor="#f5dbcd" stroked="false">
              <v:fill type="solid"/>
            </v:rect>
            <v:shape style="position:absolute;left:1273;top:2857;width:204;height:203" coordorigin="1273,2858" coordsize="204,203" path="m1474,2866l1431,2866,1431,2878,1474,2878,1474,2866xm1387,3033l1376,3033,1376,3060,1387,3060,1387,3033xm1429,3048l1432,3060,1442,3060,1449,3060,1451,3059,1454,3059,1456,3058,1461,3052,1462,3048,1435,3048,1432,3048,1429,3048xm1462,2937l1451,2937,1451,3044,1451,3046,1448,3048,1444,3048,1462,3048,1462,2937xm1347,3000l1336,3000,1331,3033,1429,3033,1429,3022,1344,3022,1347,3000xm1387,3000l1376,3000,1376,3022,1387,3022,1387,3000xm1425,2989l1327,2989,1327,3000,1425,3000,1425,2989xm1387,2973l1376,2973,1376,2989,1387,2989,1387,2973xm1418,2932l1337,2932,1337,2973,1418,2973,1418,2962,1348,2962,1348,2943,1418,2943,1418,2932xm1418,2943l1406,2943,1406,2962,1418,2962,1418,2943xm1476,2926l1428,2926,1428,2937,1476,2937,1476,2926xm1431,2905l1327,2905,1327,2916,1431,2916,1431,2905xm1376,2885l1365,2885,1359,2905,1371,2905,1376,2885xm1415,2874l1336,2874,1336,2885,1404,2885,1404,2905,1415,2905,1415,2874xm1382,2858l1371,2858,1367,2874,1379,2874,1382,2858xm1316,2858l1306,2872,1295,2885,1285,2896,1274,2907,1283,2914,1293,2904,1304,2893,1315,2879,1326,2862,1316,2858xm1312,2962l1300,2962,1300,3060,1312,3060,1312,2962xm1314,2915l1304,2933,1295,2949,1284,2964,1273,2977,1282,2986,1288,2979,1294,2971,1300,2962,1312,2962,1312,2943,1323,2922,1314,2915xe" filled="true" fillcolor="#231f20" stroked="false">
              <v:path arrowok="t"/>
              <v:fill type="solid"/>
            </v:shape>
            <v:rect style="position:absolute;left:1259;top:3121;width:232;height:348" filled="true" fillcolor="#f5dbcd" stroked="false">
              <v:fill type="solid"/>
            </v:rect>
            <v:shape style="position:absolute;left:1272;top:3204;width:206;height:198" coordorigin="1272,3205" coordsize="206,198" path="m1477,3390l1276,3390,1276,3402,1477,3402,1477,3390xm1386,3328l1374,3328,1374,3390,1386,3390,1386,3328xm1463,3315l1299,3315,1299,3328,1463,3328,1463,3315xm1386,3262l1374,3262,1374,3315,1386,3315,1386,3262xm1317,3213l1309,3237,1299,3258,1287,3277,1272,3294,1282,3303,1290,3294,1297,3285,1304,3274,1311,3262,1474,3262,1474,3250,1317,3250,1322,3238,1326,3227,1329,3216,1317,3213xm1386,3205l1374,3205,1374,3250,1386,3250,1386,3205xe" filled="true" fillcolor="#231f20" stroked="false">
              <v:path arrowok="t"/>
              <v:fill type="solid"/>
            </v:shape>
            <v:rect style="position:absolute;left:1259;top:3469;width:328;height:381" filled="true" fillcolor="#f5dbcd" stroked="false">
              <v:fill type="solid"/>
            </v:rect>
            <v:shape style="position:absolute;left:1274;top:3559;width:316;height:214" coordorigin="1274,3559" coordsize="316,214" path="m1422,3668l1410,3668,1410,3680,1410,3711,1348,3711,1348,3680,1410,3680,1410,3668,1336,3668,1336,3723,1422,3723,1422,3711,1422,3680,1422,3668m1469,3636l1312,3636,1312,3612,1463,3612,1463,3601,1463,3571,1463,3559,1451,3559,1451,3571,1451,3601,1312,3601,1312,3571,1451,3571,1451,3559,1300,3559,1300,3631,1298,3664,1293,3695,1285,3722,1274,3747,1285,3755,1296,3731,1304,3705,1309,3677,1311,3648,1457,3648,1457,3664,1457,3668,1456,3681,1455,3697,1454,3713,1453,3725,1451,3734,1449,3738,1447,3742,1442,3743,1432,3743,1424,3743,1413,3743,1418,3755,1428,3755,1434,3755,1448,3754,1453,3752,1461,3745,1461,3743,1463,3740,1465,3727,1466,3714,1467,3694,1468,3677,1468,3664,1469,3648,1469,3636m1590,3569l1572,3569,1488,3773,1506,3773,1590,3569e" filled="true" fillcolor="#231f20" stroked="false">
              <v:path arrowok="t"/>
              <v:fill type="solid"/>
            </v:shape>
            <v:rect style="position:absolute;left:1259;top:3815;width:232;height:381" filled="true" fillcolor="#f5dbcd" stroked="false">
              <v:fill type="solid"/>
            </v:rect>
            <v:shape style="position:absolute;left:1273;top:3899;width:204;height:204" coordorigin="1274,3900" coordsize="204,204" path="m1468,3900l1450,3906,1430,3911,1409,3914,1386,3916,1386,3987,1386,4004,1385,4020,1383,4033,1381,4045,1377,4057,1372,4069,1365,4082,1356,4095,1365,4103,1373,4091,1380,4078,1386,4067,1390,4055,1394,4042,1396,4026,1397,4007,1398,3984,1477,3984,1477,3973,1398,3973,1398,3927,1420,3924,1440,3921,1458,3916,1475,3910,1468,3900xm1451,3984l1440,3984,1440,4103,1451,4103,1451,3984xm1366,3900l1350,3906,1333,3911,1313,3915,1290,3918,1290,4015,1289,4037,1286,4058,1281,4076,1274,4094,1284,4101,1291,4085,1296,4067,1300,4047,1302,4023,1363,4023,1363,4011,1302,4011,1302,3967,1363,3967,1363,3956,1302,3956,1302,3928,1320,3925,1337,3922,1354,3917,1371,3910,1366,3900xm1363,3967l1351,3967,1351,4011,1363,4011,1363,3967xe" filled="true" fillcolor="#231f20" stroked="false">
              <v:path arrowok="t"/>
              <v:fill type="solid"/>
            </v:shape>
            <v:shape style="position:absolute;left:1133;top:7317;width:700;height:3251" coordorigin="1133,7317" coordsize="700,3251" path="m1833,7317l1133,7317,1133,7325,1133,7332,1133,10407,1818,10407,1818,10554,1133,10554,1133,10568,1833,10568,1833,10561,1833,10554,1833,7332,1833,7325,1833,7317e" filled="true" fillcolor="#f0bfa6" stroked="false">
              <v:path arrowok="t"/>
              <v:fill type="solid"/>
            </v:shape>
            <v:shape style="position:absolute;left:1275;top:8181;width:202;height:206" type="#_x0000_t75" stroked="false">
              <v:imagedata r:id="rId176" o:title=""/>
            </v:shape>
            <v:shape style="position:absolute;left:1274;top:8529;width:202;height:204" type="#_x0000_t75" stroked="false">
              <v:imagedata r:id="rId177" o:title=""/>
            </v:shape>
            <v:shape style="position:absolute;left:1274;top:8883;width:203;height:198" type="#_x0000_t75" stroked="false">
              <v:imagedata r:id="rId178" o:title=""/>
            </v:shape>
            <v:shape style="position:absolute;left:1133;top:10399;width:700;height:2536" type="#_x0000_t75" stroked="false">
              <v:imagedata r:id="rId179" o:title=""/>
            </v:shape>
            <w10:wrap type="none"/>
          </v:group>
        </w:pict>
      </w:r>
      <w:r>
        <w:rPr>
          <w:color w:val="231F20"/>
        </w:rPr>
        <w:t>圖 10-7、MDR-TB 同基因分型的感染源調査</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15"/>
        </w:rPr>
      </w:pPr>
    </w:p>
    <w:p>
      <w:pPr>
        <w:pStyle w:val="BodyText"/>
        <w:spacing w:line="230" w:lineRule="auto" w:before="82"/>
        <w:ind w:left="550" w:right="1075" w:hanging="397"/>
      </w:pPr>
      <w:r>
        <w:rPr>
          <w:color w:val="231F20"/>
          <w:spacing w:val="-9"/>
        </w:rPr>
        <w:t>註：</w:t>
      </w:r>
      <w:r>
        <w:rPr>
          <w:color w:val="231F20"/>
          <w:spacing w:val="-4"/>
        </w:rPr>
        <w:t>SNP </w:t>
      </w:r>
      <w:r>
        <w:rPr>
          <w:color w:val="231F20"/>
          <w:w w:val="95"/>
        </w:rPr>
        <w:t>� </w:t>
      </w:r>
      <w:r>
        <w:rPr>
          <w:color w:val="231F20"/>
          <w:spacing w:val="-7"/>
        </w:rPr>
        <w:t>5</w:t>
      </w:r>
      <w:r>
        <w:rPr>
          <w:color w:val="231F20"/>
          <w:spacing w:val="-6"/>
        </w:rPr>
        <w:t>，親緣性高度相關，列為必要調査對象、</w:t>
      </w:r>
      <w:r>
        <w:rPr>
          <w:color w:val="231F20"/>
        </w:rPr>
        <w:t>SNP</w:t>
      </w:r>
      <w:r>
        <w:rPr>
          <w:color w:val="231F20"/>
          <w:spacing w:val="-13"/>
        </w:rPr>
        <w:t> 介於 </w:t>
      </w:r>
      <w:r>
        <w:rPr>
          <w:color w:val="231F20"/>
        </w:rPr>
        <w:t>6~15</w:t>
      </w:r>
      <w:r>
        <w:rPr>
          <w:color w:val="231F20"/>
          <w:spacing w:val="-7"/>
        </w:rPr>
        <w:t> 者，親緣性可能相關， </w:t>
      </w:r>
      <w:r>
        <w:rPr>
          <w:color w:val="231F20"/>
        </w:rPr>
        <w:t>視疫情狀況列為擴大調査對象、SNP </w:t>
      </w:r>
      <w:r>
        <w:rPr>
          <w:color w:val="231F20"/>
          <w:spacing w:val="-3"/>
          <w:w w:val="95"/>
        </w:rPr>
        <w:t>三 </w:t>
      </w:r>
      <w:r>
        <w:rPr>
          <w:color w:val="231F20"/>
        </w:rPr>
        <w:t>16，暫不列為調査對象。</w:t>
      </w:r>
    </w:p>
    <w:p>
      <w:pPr>
        <w:spacing w:after="0" w:line="230" w:lineRule="auto"/>
        <w:sectPr>
          <w:pgSz w:w="11910" w:h="16840"/>
          <w:pgMar w:top="1060" w:bottom="0" w:left="980" w:right="0"/>
        </w:sectPr>
      </w:pPr>
    </w:p>
    <w:p>
      <w:pPr>
        <w:pStyle w:val="Heading2"/>
        <w:spacing w:before="27"/>
      </w:pPr>
      <w:r>
        <w:rPr>
          <w:color w:val="231F20"/>
        </w:rPr>
        <w:t>玖、慢性傳染性結核病病人的管理</w:t>
      </w:r>
    </w:p>
    <w:p>
      <w:pPr>
        <w:pStyle w:val="BodyText"/>
        <w:spacing w:line="230" w:lineRule="auto" w:before="7"/>
        <w:ind w:left="878" w:right="1133" w:hanging="488"/>
        <w:jc w:val="both"/>
      </w:pPr>
      <w:r>
        <w:rPr>
          <w:color w:val="231F20"/>
        </w:rPr>
        <w:t>—、定義：在直接觀察治療下接受完整之二線藥物治療後，仍為痰細蔥學陽性者；未有陰轉證據或仍有傳染之虞，對於大多數—線、二線藥物抗藥或產生嚴重副作用，以致無法選用足夠有效藥物治療或拒絕接受治療，並經「抗藥性結核病醫療照護體系檢口暨困難治療個案口冊會」認定難以完治且有長期隔離療養必要之結核病病人。</w:t>
      </w:r>
    </w:p>
    <w:p>
      <w:pPr>
        <w:pStyle w:val="BodyText"/>
        <w:spacing w:line="392" w:lineRule="exact"/>
        <w:ind w:left="391"/>
      </w:pPr>
      <w:r>
        <w:rPr>
          <w:color w:val="231F20"/>
        </w:rPr>
        <w:t>二、管理：</w:t>
      </w:r>
    </w:p>
    <w:p>
      <w:pPr>
        <w:pStyle w:val="BodyText"/>
        <w:spacing w:line="230" w:lineRule="auto" w:before="2"/>
        <w:ind w:left="1349" w:right="1137" w:hanging="720"/>
        <w:jc w:val="both"/>
      </w:pPr>
      <w:r>
        <w:rPr>
          <w:color w:val="231F20"/>
          <w:w w:val="65"/>
        </w:rPr>
        <w:t>（ </w:t>
      </w:r>
      <w:r>
        <w:rPr>
          <w:color w:val="231F20"/>
        </w:rPr>
        <w:t>— ) 病人經疾管署召開之「抗藥性結核病醫療照護體系檢口暨困難治療個案口冊會」認定為難以完治之慢性傳染性結核病，且有長期隔離療養之必要者，均應執行住院或居家隔離 </w:t>
      </w:r>
      <w:r>
        <w:rPr>
          <w:color w:val="231F20"/>
          <w:w w:val="65"/>
        </w:rPr>
        <w:t>（ </w:t>
      </w:r>
      <w:r>
        <w:rPr>
          <w:color w:val="231F20"/>
        </w:rPr>
        <w:t>治療 )。</w:t>
      </w:r>
    </w:p>
    <w:p>
      <w:pPr>
        <w:pStyle w:val="BodyText"/>
        <w:spacing w:line="230" w:lineRule="auto"/>
        <w:ind w:left="1349" w:right="1130" w:hanging="720"/>
        <w:jc w:val="both"/>
      </w:pPr>
      <w:r>
        <w:rPr/>
        <w:pict>
          <v:group style="position:absolute;margin-left:557.684509pt;margin-top:49.706165pt;width:37.35pt;height:555.550pt;mso-position-horizontal-relative:page;mso-position-vertical-relative:paragraph;z-index:251938816" coordorigin="11154,994" coordsize="747,11111">
            <v:shape style="position:absolute;left:11283;top:1505;width:439;height:10600" type="#_x0000_t75" stroked="false">
              <v:imagedata r:id="rId102" o:title=""/>
            </v:shape>
            <v:shape style="position:absolute;left:11153;top:994;width:747;height:812" coordorigin="11154,994" coordsize="747,812" path="m11900,994l11536,994,11514,996,11454,1030,11188,1312,11154,1400,11162,1446,11454,1769,11514,1803,11536,1805,11900,1805,11900,994xe" filled="true" fillcolor="#bd7cb5" stroked="false">
              <v:path arrowok="t"/>
              <v:fill type="solid"/>
            </v:shape>
            <v:shape style="position:absolute;left:11321;top:1261;width:374;height:278" type="#_x0000_t75" stroked="false">
              <v:imagedata r:id="rId103" o:title=""/>
            </v:shape>
            <v:shape style="position:absolute;left:11378;top:1941;width:250;height:3599" type="#_x0000_t75" stroked="false">
              <v:imagedata r:id="rId104" o:title=""/>
            </v:shape>
            <v:shape style="position:absolute;left:11374;top:11542;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117</w:t>
                    </w:r>
                  </w:p>
                </w:txbxContent>
              </v:textbox>
              <w10:wrap type="none"/>
            </v:shape>
            <w10:wrap type="none"/>
          </v:group>
        </w:pict>
      </w:r>
      <w:r>
        <w:rPr>
          <w:color w:val="231F20"/>
          <w:w w:val="65"/>
        </w:rPr>
        <w:t>（ </w:t>
      </w:r>
      <w:r>
        <w:rPr>
          <w:color w:val="231F20"/>
          <w:spacing w:val="-3"/>
        </w:rPr>
        <w:t>二 ) 執行住院或居家隔離 </w:t>
      </w:r>
      <w:r>
        <w:rPr>
          <w:color w:val="231F20"/>
          <w:w w:val="65"/>
        </w:rPr>
        <w:t>（ </w:t>
      </w:r>
      <w:r>
        <w:rPr>
          <w:color w:val="231F20"/>
          <w:spacing w:val="-5"/>
        </w:rPr>
        <w:t>治療 ) 之慢性傳染性結核病病人，管理單位衛生局 </w:t>
      </w:r>
      <w:r>
        <w:rPr>
          <w:color w:val="231F20"/>
          <w:spacing w:val="-1"/>
          <w:w w:val="65"/>
        </w:rPr>
        <w:t>／ </w:t>
      </w:r>
      <w:r>
        <w:rPr>
          <w:color w:val="231F20"/>
          <w:spacing w:val="2"/>
        </w:rPr>
        <w:t>所應至少每季評估並確認病人治療意願且確認病人持續住院或居家隔離 </w:t>
      </w:r>
      <w:r>
        <w:rPr>
          <w:color w:val="231F20"/>
          <w:w w:val="65"/>
        </w:rPr>
        <w:t>（ </w:t>
      </w:r>
      <w:r>
        <w:rPr>
          <w:color w:val="231F20"/>
          <w:spacing w:val="-9"/>
        </w:rPr>
        <w:t>治療 ) 之適</w:t>
      </w:r>
      <w:r>
        <w:rPr>
          <w:color w:val="231F20"/>
        </w:rPr>
        <w:t>當性等，如病人有重啟治療意願時 </w:t>
      </w:r>
      <w:r>
        <w:rPr>
          <w:color w:val="231F20"/>
          <w:w w:val="65"/>
        </w:rPr>
        <w:t>（ </w:t>
      </w:r>
      <w:r>
        <w:rPr>
          <w:color w:val="231F20"/>
          <w:spacing w:val="1"/>
        </w:rPr>
        <w:t>以新藥或手術等方式治療 )，應協助安排轉</w:t>
      </w:r>
      <w:r>
        <w:rPr>
          <w:color w:val="231F20"/>
        </w:rPr>
        <w:t>介適當醫療院所就醫；重啟治療者，則回歸—般個案管理原則，辦理追蹤及銷案等相關事宜。</w:t>
      </w:r>
    </w:p>
    <w:p>
      <w:pPr>
        <w:pStyle w:val="BodyText"/>
        <w:spacing w:line="391" w:lineRule="exact"/>
        <w:ind w:left="629"/>
        <w:jc w:val="both"/>
      </w:pPr>
      <w:r>
        <w:rPr>
          <w:color w:val="231F20"/>
          <w:w w:val="65"/>
        </w:rPr>
        <w:t>（ </w:t>
      </w:r>
      <w:r>
        <w:rPr>
          <w:color w:val="231F20"/>
        </w:rPr>
        <w:t>三 ) 訪視頻度：</w:t>
      </w:r>
    </w:p>
    <w:p>
      <w:pPr>
        <w:pStyle w:val="ListParagraph"/>
        <w:numPr>
          <w:ilvl w:val="0"/>
          <w:numId w:val="216"/>
        </w:numPr>
        <w:tabs>
          <w:tab w:pos="1349" w:val="left" w:leader="none"/>
        </w:tabs>
        <w:spacing w:line="400" w:lineRule="exact" w:before="0" w:after="0"/>
        <w:ind w:left="1348" w:right="0" w:hanging="255"/>
        <w:jc w:val="both"/>
        <w:rPr>
          <w:sz w:val="24"/>
        </w:rPr>
      </w:pPr>
      <w:r>
        <w:rPr>
          <w:color w:val="231F20"/>
          <w:spacing w:val="-4"/>
          <w:sz w:val="24"/>
        </w:rPr>
        <w:t>第 </w:t>
      </w:r>
      <w:r>
        <w:rPr>
          <w:color w:val="231F20"/>
          <w:sz w:val="24"/>
        </w:rPr>
        <w:t>1</w:t>
      </w:r>
      <w:r>
        <w:rPr>
          <w:color w:val="231F20"/>
          <w:spacing w:val="-4"/>
          <w:sz w:val="24"/>
        </w:rPr>
        <w:t> 個月：收案時家訪 </w:t>
      </w:r>
      <w:r>
        <w:rPr>
          <w:color w:val="231F20"/>
          <w:sz w:val="24"/>
        </w:rPr>
        <w:t>1</w:t>
      </w:r>
      <w:r>
        <w:rPr>
          <w:color w:val="231F20"/>
          <w:spacing w:val="-3"/>
          <w:sz w:val="24"/>
        </w:rPr>
        <w:t> 次</w:t>
      </w:r>
      <w:r>
        <w:rPr>
          <w:color w:val="231F20"/>
          <w:sz w:val="24"/>
        </w:rPr>
        <w:t>，1</w:t>
      </w:r>
      <w:r>
        <w:rPr>
          <w:color w:val="231F20"/>
          <w:spacing w:val="-4"/>
          <w:sz w:val="24"/>
        </w:rPr>
        <w:t> 個月內擇期再訪 </w:t>
      </w:r>
      <w:r>
        <w:rPr>
          <w:color w:val="231F20"/>
          <w:sz w:val="24"/>
        </w:rPr>
        <w:t>1</w:t>
      </w:r>
      <w:r>
        <w:rPr>
          <w:color w:val="231F20"/>
          <w:spacing w:val="-2"/>
          <w:sz w:val="24"/>
        </w:rPr>
        <w:t> 次。</w:t>
      </w:r>
    </w:p>
    <w:p>
      <w:pPr>
        <w:pStyle w:val="ListParagraph"/>
        <w:numPr>
          <w:ilvl w:val="0"/>
          <w:numId w:val="216"/>
        </w:numPr>
        <w:tabs>
          <w:tab w:pos="1350" w:val="left" w:leader="none"/>
        </w:tabs>
        <w:spacing w:line="230" w:lineRule="auto" w:before="0" w:after="0"/>
        <w:ind w:left="1349" w:right="1131" w:hanging="255"/>
        <w:jc w:val="both"/>
        <w:rPr>
          <w:sz w:val="24"/>
        </w:rPr>
      </w:pPr>
      <w:r>
        <w:rPr>
          <w:color w:val="231F20"/>
          <w:spacing w:val="-4"/>
          <w:sz w:val="24"/>
        </w:rPr>
        <w:t>第 </w:t>
      </w:r>
      <w:r>
        <w:rPr>
          <w:color w:val="231F20"/>
          <w:sz w:val="24"/>
        </w:rPr>
        <w:t>2</w:t>
      </w:r>
      <w:r>
        <w:rPr>
          <w:color w:val="231F20"/>
          <w:spacing w:val="-4"/>
          <w:sz w:val="24"/>
        </w:rPr>
        <w:t> 個月起：對住院隔離 </w:t>
      </w:r>
      <w:r>
        <w:rPr>
          <w:color w:val="231F20"/>
          <w:w w:val="65"/>
          <w:sz w:val="24"/>
        </w:rPr>
        <w:t>（</w:t>
      </w:r>
      <w:r>
        <w:rPr>
          <w:color w:val="231F20"/>
          <w:spacing w:val="16"/>
          <w:w w:val="65"/>
          <w:sz w:val="24"/>
        </w:rPr>
        <w:t> </w:t>
      </w:r>
      <w:r>
        <w:rPr>
          <w:color w:val="231F20"/>
          <w:spacing w:val="-5"/>
          <w:sz w:val="24"/>
        </w:rPr>
        <w:t>治療 ) 者，應至少每 </w:t>
      </w:r>
      <w:r>
        <w:rPr>
          <w:color w:val="231F20"/>
          <w:sz w:val="24"/>
        </w:rPr>
        <w:t>3</w:t>
      </w:r>
      <w:r>
        <w:rPr>
          <w:color w:val="231F20"/>
          <w:spacing w:val="-4"/>
          <w:sz w:val="24"/>
        </w:rPr>
        <w:t> 個月訪視病人 </w:t>
      </w:r>
      <w:r>
        <w:rPr>
          <w:color w:val="231F20"/>
          <w:sz w:val="24"/>
        </w:rPr>
        <w:t>1</w:t>
      </w:r>
      <w:r>
        <w:rPr>
          <w:color w:val="231F20"/>
          <w:spacing w:val="-3"/>
          <w:sz w:val="24"/>
        </w:rPr>
        <w:t> 次並主動與隔</w:t>
      </w:r>
      <w:r>
        <w:rPr>
          <w:color w:val="231F20"/>
          <w:spacing w:val="46"/>
          <w:w w:val="95"/>
          <w:sz w:val="24"/>
        </w:rPr>
        <w:t>離</w:t>
      </w:r>
      <w:r>
        <w:rPr>
          <w:color w:val="231F20"/>
          <w:w w:val="65"/>
          <w:sz w:val="24"/>
        </w:rPr>
        <w:t>（</w:t>
      </w:r>
      <w:r>
        <w:rPr>
          <w:color w:val="231F20"/>
          <w:spacing w:val="22"/>
          <w:w w:val="65"/>
          <w:sz w:val="24"/>
        </w:rPr>
        <w:t> </w:t>
      </w:r>
      <w:r>
        <w:rPr>
          <w:color w:val="231F20"/>
          <w:w w:val="95"/>
          <w:sz w:val="24"/>
        </w:rPr>
        <w:t>治療) 醫院連繫，協助提供病人適當之住院 </w:t>
      </w:r>
      <w:r>
        <w:rPr>
          <w:color w:val="231F20"/>
          <w:w w:val="65"/>
          <w:sz w:val="24"/>
        </w:rPr>
        <w:t>（</w:t>
      </w:r>
      <w:r>
        <w:rPr>
          <w:color w:val="231F20"/>
          <w:spacing w:val="22"/>
          <w:w w:val="65"/>
          <w:sz w:val="24"/>
        </w:rPr>
        <w:t> </w:t>
      </w:r>
      <w:r>
        <w:rPr>
          <w:color w:val="231F20"/>
          <w:spacing w:val="-4"/>
          <w:w w:val="95"/>
          <w:sz w:val="24"/>
        </w:rPr>
        <w:t>隔離) 治療處置；對居家隔離 </w:t>
      </w:r>
      <w:r>
        <w:rPr>
          <w:color w:val="231F20"/>
          <w:w w:val="65"/>
          <w:sz w:val="24"/>
        </w:rPr>
        <w:t>（</w:t>
      </w:r>
      <w:r>
        <w:rPr>
          <w:color w:val="231F20"/>
          <w:spacing w:val="23"/>
          <w:w w:val="65"/>
          <w:sz w:val="24"/>
        </w:rPr>
        <w:t> </w:t>
      </w:r>
      <w:r>
        <w:rPr>
          <w:color w:val="231F20"/>
          <w:spacing w:val="-15"/>
          <w:w w:val="95"/>
          <w:sz w:val="24"/>
        </w:rPr>
        <w:t>治</w:t>
      </w:r>
      <w:r>
        <w:rPr>
          <w:color w:val="231F20"/>
          <w:spacing w:val="-4"/>
          <w:sz w:val="24"/>
        </w:rPr>
        <w:t>療 ) 者，應每個月至少 </w:t>
      </w:r>
      <w:r>
        <w:rPr>
          <w:color w:val="231F20"/>
          <w:sz w:val="24"/>
        </w:rPr>
        <w:t>1</w:t>
      </w:r>
      <w:r>
        <w:rPr>
          <w:color w:val="231F20"/>
          <w:spacing w:val="-1"/>
          <w:sz w:val="24"/>
        </w:rPr>
        <w:t> 次或以上之家訪，以評估病人繼續居家隔離 </w:t>
      </w:r>
      <w:r>
        <w:rPr>
          <w:color w:val="231F20"/>
          <w:w w:val="65"/>
          <w:sz w:val="24"/>
        </w:rPr>
        <w:t>（</w:t>
      </w:r>
      <w:r>
        <w:rPr>
          <w:color w:val="231F20"/>
          <w:spacing w:val="8"/>
          <w:w w:val="65"/>
          <w:sz w:val="24"/>
        </w:rPr>
        <w:t> </w:t>
      </w:r>
      <w:r>
        <w:rPr>
          <w:color w:val="231F20"/>
          <w:spacing w:val="-5"/>
          <w:sz w:val="24"/>
        </w:rPr>
        <w:t>治療 ) 之適當性，是否危及社區公共衛生安全。</w:t>
      </w:r>
    </w:p>
    <w:p>
      <w:pPr>
        <w:pStyle w:val="BodyText"/>
        <w:spacing w:line="230" w:lineRule="auto"/>
        <w:ind w:left="1349" w:right="1134" w:hanging="720"/>
        <w:jc w:val="both"/>
      </w:pPr>
      <w:r>
        <w:rPr>
          <w:color w:val="231F20"/>
          <w:w w:val="65"/>
        </w:rPr>
        <w:t>（ </w:t>
      </w:r>
      <w:r>
        <w:rPr>
          <w:color w:val="231F20"/>
        </w:rPr>
        <w:t>匹 ) 管理單位衛生局 </w:t>
      </w:r>
      <w:r>
        <w:rPr>
          <w:color w:val="231F20"/>
          <w:w w:val="65"/>
        </w:rPr>
        <w:t>／ </w:t>
      </w:r>
      <w:r>
        <w:rPr>
          <w:color w:val="231F20"/>
        </w:rPr>
        <w:t>所應定期追蹤病人痰液檢驗及胸部X光檢査，並將結果登打至TB 系統：</w:t>
      </w:r>
    </w:p>
    <w:p>
      <w:pPr>
        <w:pStyle w:val="ListParagraph"/>
        <w:numPr>
          <w:ilvl w:val="0"/>
          <w:numId w:val="217"/>
        </w:numPr>
        <w:tabs>
          <w:tab w:pos="1349" w:val="left" w:leader="none"/>
        </w:tabs>
        <w:spacing w:line="395" w:lineRule="exact" w:before="0" w:after="0"/>
        <w:ind w:left="1348" w:right="0" w:hanging="255"/>
        <w:jc w:val="both"/>
        <w:rPr>
          <w:sz w:val="24"/>
        </w:rPr>
      </w:pPr>
      <w:r>
        <w:rPr>
          <w:color w:val="231F20"/>
          <w:spacing w:val="-2"/>
          <w:sz w:val="24"/>
        </w:rPr>
        <w:t>每月執行 </w:t>
      </w:r>
      <w:r>
        <w:rPr>
          <w:color w:val="231F20"/>
          <w:sz w:val="24"/>
        </w:rPr>
        <w:t>1</w:t>
      </w:r>
      <w:r>
        <w:rPr>
          <w:color w:val="231F20"/>
          <w:spacing w:val="-4"/>
          <w:sz w:val="24"/>
        </w:rPr>
        <w:t> 次痰塗片、培養，且須進行蔥種鑑定 </w:t>
      </w:r>
      <w:r>
        <w:rPr>
          <w:color w:val="231F20"/>
          <w:w w:val="65"/>
          <w:sz w:val="24"/>
        </w:rPr>
        <w:t>（</w:t>
      </w:r>
      <w:r>
        <w:rPr>
          <w:color w:val="231F20"/>
          <w:spacing w:val="14"/>
          <w:w w:val="65"/>
          <w:sz w:val="24"/>
        </w:rPr>
        <w:t> </w:t>
      </w:r>
      <w:r>
        <w:rPr>
          <w:color w:val="231F20"/>
          <w:spacing w:val="-1"/>
          <w:sz w:val="24"/>
        </w:rPr>
        <w:t>視需要執行藥敏檢測 )。</w:t>
      </w:r>
    </w:p>
    <w:p>
      <w:pPr>
        <w:pStyle w:val="ListParagraph"/>
        <w:numPr>
          <w:ilvl w:val="0"/>
          <w:numId w:val="217"/>
        </w:numPr>
        <w:tabs>
          <w:tab w:pos="1349" w:val="left" w:leader="none"/>
        </w:tabs>
        <w:spacing w:line="400" w:lineRule="exact" w:before="0" w:after="0"/>
        <w:ind w:left="1348" w:right="0" w:hanging="255"/>
        <w:jc w:val="both"/>
        <w:rPr>
          <w:sz w:val="24"/>
        </w:rPr>
      </w:pPr>
      <w:r>
        <w:rPr>
          <w:color w:val="231F20"/>
          <w:spacing w:val="-3"/>
          <w:sz w:val="24"/>
        </w:rPr>
        <w:t>每年 </w:t>
      </w:r>
      <w:r>
        <w:rPr>
          <w:color w:val="231F20"/>
          <w:sz w:val="24"/>
        </w:rPr>
        <w:t>1</w:t>
      </w:r>
      <w:r>
        <w:rPr>
          <w:color w:val="231F20"/>
          <w:spacing w:val="-4"/>
          <w:sz w:val="24"/>
        </w:rPr>
        <w:t> 次胸部 </w:t>
      </w:r>
      <w:r>
        <w:rPr>
          <w:color w:val="231F20"/>
          <w:sz w:val="24"/>
        </w:rPr>
        <w:t>X</w:t>
      </w:r>
      <w:r>
        <w:rPr>
          <w:color w:val="231F20"/>
          <w:spacing w:val="-3"/>
          <w:sz w:val="24"/>
        </w:rPr>
        <w:t> 光檢査。</w:t>
      </w:r>
    </w:p>
    <w:p>
      <w:pPr>
        <w:pStyle w:val="BodyText"/>
        <w:spacing w:line="230" w:lineRule="auto"/>
        <w:ind w:left="1349" w:right="1132" w:hanging="720"/>
        <w:jc w:val="both"/>
      </w:pPr>
      <w:r>
        <w:rPr>
          <w:color w:val="231F20"/>
          <w:w w:val="65"/>
        </w:rPr>
        <w:t>（ </w:t>
      </w:r>
      <w:r>
        <w:rPr>
          <w:color w:val="231F20"/>
        </w:rPr>
        <w:t>五 ) 管理單位衛生局 </w:t>
      </w:r>
      <w:r>
        <w:rPr>
          <w:color w:val="231F20"/>
          <w:w w:val="65"/>
        </w:rPr>
        <w:t>／ </w:t>
      </w:r>
      <w:r>
        <w:rPr>
          <w:color w:val="231F20"/>
        </w:rPr>
        <w:t>所應每季將慢性傳染性結核病病人季報表送疾管署區管中心彙整後，提送慢性組。</w:t>
      </w:r>
    </w:p>
    <w:p>
      <w:pPr>
        <w:pStyle w:val="BodyText"/>
        <w:spacing w:line="230" w:lineRule="auto"/>
        <w:ind w:left="1349" w:right="1130" w:hanging="720"/>
        <w:jc w:val="both"/>
      </w:pPr>
      <w:r>
        <w:rPr>
          <w:color w:val="231F20"/>
          <w:w w:val="65"/>
        </w:rPr>
        <w:t>（ </w:t>
      </w:r>
      <w:r>
        <w:rPr>
          <w:color w:val="231F20"/>
        </w:rPr>
        <w:t>六 ) 管理單位衛生局 </w:t>
      </w:r>
      <w:r>
        <w:rPr>
          <w:color w:val="231F20"/>
          <w:w w:val="65"/>
        </w:rPr>
        <w:t>／ </w:t>
      </w:r>
      <w:r>
        <w:rPr>
          <w:color w:val="231F20"/>
        </w:rPr>
        <w:t>所應指導病人於傳染期間，儘量勿出入公共場所或搭乘大眾交通工具，不得已必須外出時，應佩戴口罩。因其他疾病原因就醫時，應主動告知醫師結核病情形。若病人無法配合，以致有造成公共衛生危害之虞，應依法施予住院隔離，且以經本署公告之「慢性傳染性結核病病人住院治療補助指定醫院」為住院隔離醫院。</w:t>
      </w:r>
    </w:p>
    <w:p>
      <w:pPr>
        <w:pStyle w:val="BodyText"/>
        <w:spacing w:line="230" w:lineRule="auto"/>
        <w:ind w:left="1349" w:right="1075" w:hanging="720"/>
        <w:jc w:val="both"/>
      </w:pPr>
      <w:r>
        <w:rPr>
          <w:color w:val="231F20"/>
          <w:w w:val="65"/>
        </w:rPr>
        <w:t>（ </w:t>
      </w:r>
      <w:r>
        <w:rPr>
          <w:color w:val="231F20"/>
          <w:spacing w:val="4"/>
        </w:rPr>
        <w:t>七 ) 衛生局</w:t>
      </w:r>
      <w:r>
        <w:rPr>
          <w:color w:val="231F20"/>
          <w:spacing w:val="-6"/>
          <w:w w:val="65"/>
        </w:rPr>
        <w:t>／ </w:t>
      </w:r>
      <w:r>
        <w:rPr>
          <w:color w:val="231F20"/>
          <w:spacing w:val="3"/>
        </w:rPr>
        <w:t>所應追蹤病人家屬每年接受胸部</w:t>
      </w:r>
      <w:r>
        <w:rPr>
          <w:color w:val="231F20"/>
        </w:rPr>
        <w:t>X</w:t>
      </w:r>
      <w:r>
        <w:rPr>
          <w:color w:val="231F20"/>
          <w:spacing w:val="-11"/>
        </w:rPr>
        <w:t> 光檢査，直到停止與病人接觸後 </w:t>
      </w:r>
      <w:r>
        <w:rPr>
          <w:color w:val="231F20"/>
        </w:rPr>
        <w:t>2</w:t>
      </w:r>
      <w:r>
        <w:rPr>
          <w:color w:val="231F20"/>
          <w:spacing w:val="-29"/>
        </w:rPr>
        <w:t> 年； </w:t>
      </w:r>
      <w:r>
        <w:rPr>
          <w:color w:val="231F20"/>
          <w:spacing w:val="-1"/>
        </w:rPr>
        <w:t>衛教如發生咳嗽 </w:t>
      </w:r>
      <w:r>
        <w:rPr>
          <w:color w:val="231F20"/>
        </w:rPr>
        <w:t>2</w:t>
      </w:r>
      <w:r>
        <w:rPr>
          <w:color w:val="231F20"/>
          <w:spacing w:val="-2"/>
        </w:rPr>
        <w:t> 週以上或發燒等結核病症狀，應主動戴口罩且立即就醫。家中</w:t>
      </w:r>
    </w:p>
    <w:p>
      <w:pPr>
        <w:pStyle w:val="BodyText"/>
        <w:spacing w:line="395" w:lineRule="exact"/>
        <w:ind w:left="1349"/>
        <w:jc w:val="both"/>
      </w:pPr>
      <w:r>
        <w:rPr>
          <w:color w:val="231F20"/>
        </w:rPr>
        <w:t>若有未滿 13 歲或免疫力低下的接觸者，應安排病人住院隔離。</w:t>
      </w:r>
    </w:p>
    <w:p>
      <w:pPr>
        <w:pStyle w:val="BodyText"/>
        <w:spacing w:line="230" w:lineRule="auto"/>
        <w:ind w:left="1349" w:right="1140" w:hanging="720"/>
        <w:jc w:val="both"/>
      </w:pPr>
      <w:r>
        <w:rPr>
          <w:color w:val="231F20"/>
          <w:w w:val="65"/>
        </w:rPr>
        <w:t>（ </w:t>
      </w:r>
      <w:r>
        <w:rPr>
          <w:color w:val="231F20"/>
          <w:spacing w:val="-7"/>
        </w:rPr>
        <w:t>八 ) 慢性傳染性結核病病人於「慢性傳染性結核病病人住院治療補助指定醫院」住院期</w:t>
      </w:r>
      <w:r>
        <w:rPr>
          <w:color w:val="231F20"/>
          <w:spacing w:val="-8"/>
        </w:rPr>
        <w:t>間之費用補助申辦方式，請參見工作手冊第十匹章「防治資源及診療諮詢小組」。</w:t>
      </w:r>
    </w:p>
    <w:p>
      <w:pPr>
        <w:spacing w:after="0" w:line="230" w:lineRule="auto"/>
        <w:jc w:val="both"/>
        <w:sectPr>
          <w:pgSz w:w="11910" w:h="16840"/>
          <w:pgMar w:top="1060" w:bottom="0" w:left="980" w:right="0"/>
        </w:sectPr>
      </w:pPr>
    </w:p>
    <w:p>
      <w:pPr>
        <w:pStyle w:val="Heading2"/>
        <w:spacing w:line="240" w:lineRule="auto" w:before="27"/>
      </w:pPr>
      <w:r>
        <w:rPr/>
        <w:pict>
          <v:group style="position:absolute;margin-left:-.000001pt;margin-top:286.162994pt;width:37.35pt;height:555.550pt;mso-position-horizontal-relative:page;mso-position-vertical-relative:page;z-index:251940864"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72;top:16271;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118</w:t>
                    </w:r>
                  </w:p>
                </w:txbxContent>
              </v:textbox>
              <w10:wrap type="none"/>
            </v:shape>
            <w10:wrap type="none"/>
          </v:group>
        </w:pict>
      </w:r>
      <w:r>
        <w:rPr/>
        <w:pict>
          <v:shape style="position:absolute;margin-left:56.667999pt;margin-top:21.462345pt;width:482.05pt;height:674.2pt;mso-position-horizontal-relative:page;mso-position-vertical-relative:paragraph;z-index:25194188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56"/>
                    <w:gridCol w:w="1204"/>
                    <w:gridCol w:w="942"/>
                    <w:gridCol w:w="882"/>
                    <w:gridCol w:w="5634"/>
                  </w:tblGrid>
                  <w:tr>
                    <w:trPr>
                      <w:trHeight w:val="451" w:hRule="atLeast"/>
                    </w:trPr>
                    <w:tc>
                      <w:tcPr>
                        <w:tcW w:w="3984" w:type="dxa"/>
                        <w:gridSpan w:val="4"/>
                        <w:shd w:val="clear" w:color="auto" w:fill="E6E7E8"/>
                      </w:tcPr>
                      <w:p>
                        <w:pPr>
                          <w:pStyle w:val="TableParagraph"/>
                          <w:spacing w:line="431" w:lineRule="exact"/>
                          <w:ind w:left="1492" w:right="1477"/>
                          <w:jc w:val="center"/>
                          <w:rPr>
                            <w:rFonts w:ascii="微軟正黑體" w:eastAsia="微軟正黑體" w:hint="eastAsia"/>
                            <w:b/>
                            <w:sz w:val="24"/>
                          </w:rPr>
                        </w:pPr>
                        <w:r>
                          <w:rPr>
                            <w:rFonts w:ascii="微軟正黑體" w:eastAsia="微軟正黑體" w:hint="eastAsia"/>
                            <w:b/>
                            <w:color w:val="231F20"/>
                            <w:sz w:val="24"/>
                          </w:rPr>
                          <w:t>主責單位</w:t>
                        </w:r>
                      </w:p>
                    </w:tc>
                    <w:tc>
                      <w:tcPr>
                        <w:tcW w:w="5634" w:type="dxa"/>
                        <w:vMerge w:val="restart"/>
                        <w:shd w:val="clear" w:color="auto" w:fill="E6E7E8"/>
                      </w:tcPr>
                      <w:p>
                        <w:pPr>
                          <w:pStyle w:val="TableParagraph"/>
                          <w:spacing w:before="10"/>
                          <w:rPr>
                            <w:rFonts w:ascii="微軟正黑體"/>
                            <w:b/>
                            <w:sz w:val="23"/>
                          </w:rPr>
                        </w:pPr>
                      </w:p>
                      <w:p>
                        <w:pPr>
                          <w:pStyle w:val="TableParagraph"/>
                          <w:ind w:left="1018"/>
                          <w:rPr>
                            <w:rFonts w:ascii="微軟正黑體" w:eastAsia="微軟正黑體" w:hint="eastAsia"/>
                            <w:b/>
                            <w:sz w:val="24"/>
                          </w:rPr>
                        </w:pPr>
                        <w:r>
                          <w:rPr>
                            <w:rFonts w:ascii="微軟正黑體" w:eastAsia="微軟正黑體" w:hint="eastAsia"/>
                            <w:b/>
                            <w:color w:val="231F20"/>
                            <w:w w:val="105"/>
                            <w:sz w:val="24"/>
                          </w:rPr>
                          <w:t>抗藥性結核病病人監測及通報t呈</w:t>
                        </w:r>
                      </w:p>
                    </w:tc>
                  </w:tr>
                  <w:tr>
                    <w:trPr>
                      <w:trHeight w:val="851" w:hRule="atLeast"/>
                    </w:trPr>
                    <w:tc>
                      <w:tcPr>
                        <w:tcW w:w="956" w:type="dxa"/>
                        <w:shd w:val="clear" w:color="auto" w:fill="E6E7E8"/>
                      </w:tcPr>
                      <w:p>
                        <w:pPr>
                          <w:pStyle w:val="TableParagraph"/>
                          <w:spacing w:before="200"/>
                          <w:ind w:left="97" w:right="83"/>
                          <w:jc w:val="center"/>
                          <w:rPr>
                            <w:rFonts w:ascii="微軟正黑體" w:eastAsia="微軟正黑體" w:hint="eastAsia"/>
                            <w:b/>
                            <w:sz w:val="24"/>
                          </w:rPr>
                        </w:pPr>
                        <w:r>
                          <w:rPr>
                            <w:rFonts w:ascii="微軟正黑體" w:eastAsia="微軟正黑體" w:hint="eastAsia"/>
                            <w:b/>
                            <w:color w:val="231F20"/>
                            <w:sz w:val="24"/>
                          </w:rPr>
                          <w:t>疾管署</w:t>
                        </w:r>
                      </w:p>
                    </w:tc>
                    <w:tc>
                      <w:tcPr>
                        <w:tcW w:w="1204" w:type="dxa"/>
                        <w:shd w:val="clear" w:color="auto" w:fill="E6E7E8"/>
                      </w:tcPr>
                      <w:p>
                        <w:pPr>
                          <w:pStyle w:val="TableParagraph"/>
                          <w:spacing w:line="421" w:lineRule="exact"/>
                          <w:ind w:left="242"/>
                          <w:rPr>
                            <w:rFonts w:ascii="微軟正黑體" w:eastAsia="微軟正黑體" w:hint="eastAsia"/>
                            <w:b/>
                            <w:sz w:val="24"/>
                          </w:rPr>
                        </w:pPr>
                        <w:r>
                          <w:rPr>
                            <w:rFonts w:ascii="微軟正黑體" w:eastAsia="微軟正黑體" w:hint="eastAsia"/>
                            <w:b/>
                            <w:color w:val="231F20"/>
                            <w:sz w:val="24"/>
                          </w:rPr>
                          <w:t>疾管署</w:t>
                        </w:r>
                      </w:p>
                      <w:p>
                        <w:pPr>
                          <w:pStyle w:val="TableParagraph"/>
                          <w:spacing w:line="411" w:lineRule="exact"/>
                          <w:ind w:left="122"/>
                          <w:rPr>
                            <w:rFonts w:ascii="微軟正黑體" w:eastAsia="微軟正黑體" w:hint="eastAsia"/>
                            <w:b/>
                            <w:sz w:val="24"/>
                          </w:rPr>
                        </w:pPr>
                        <w:r>
                          <w:rPr>
                            <w:rFonts w:ascii="微軟正黑體" w:eastAsia="微軟正黑體" w:hint="eastAsia"/>
                            <w:b/>
                            <w:color w:val="231F20"/>
                            <w:sz w:val="24"/>
                          </w:rPr>
                          <w:t>區管中心</w:t>
                        </w:r>
                      </w:p>
                    </w:tc>
                    <w:tc>
                      <w:tcPr>
                        <w:tcW w:w="942" w:type="dxa"/>
                        <w:shd w:val="clear" w:color="auto" w:fill="E6E7E8"/>
                      </w:tcPr>
                      <w:p>
                        <w:pPr>
                          <w:pStyle w:val="TableParagraph"/>
                          <w:spacing w:line="421" w:lineRule="exact"/>
                          <w:ind w:left="113"/>
                          <w:rPr>
                            <w:rFonts w:ascii="微軟正黑體" w:eastAsia="微軟正黑體" w:hint="eastAsia"/>
                            <w:b/>
                            <w:sz w:val="24"/>
                          </w:rPr>
                        </w:pPr>
                        <w:r>
                          <w:rPr>
                            <w:rFonts w:ascii="微軟正黑體" w:eastAsia="微軟正黑體" w:hint="eastAsia"/>
                            <w:b/>
                            <w:color w:val="231F20"/>
                            <w:sz w:val="24"/>
                          </w:rPr>
                          <w:t>衛生局</w:t>
                        </w:r>
                      </w:p>
                      <w:p>
                        <w:pPr>
                          <w:pStyle w:val="TableParagraph"/>
                          <w:spacing w:line="411" w:lineRule="exact"/>
                          <w:ind w:left="268"/>
                          <w:rPr>
                            <w:rFonts w:ascii="微軟正黑體" w:eastAsia="微軟正黑體" w:hint="eastAsia"/>
                            <w:b/>
                            <w:sz w:val="24"/>
                          </w:rPr>
                        </w:pPr>
                        <w:r>
                          <w:rPr>
                            <w:rFonts w:ascii="微軟正黑體" w:eastAsia="微軟正黑體" w:hint="eastAsia"/>
                            <w:b/>
                            <w:color w:val="231F20"/>
                            <w:w w:val="80"/>
                            <w:sz w:val="24"/>
                          </w:rPr>
                          <w:t>／所</w:t>
                        </w:r>
                        <w:r>
                          <w:rPr>
                            <w:rFonts w:ascii="微軟正黑體" w:eastAsia="微軟正黑體" w:hint="eastAsia"/>
                            <w:b/>
                            <w:color w:val="231F20"/>
                            <w:sz w:val="24"/>
                          </w:rPr>
                          <w:t> </w:t>
                        </w:r>
                      </w:p>
                    </w:tc>
                    <w:tc>
                      <w:tcPr>
                        <w:tcW w:w="882" w:type="dxa"/>
                        <w:shd w:val="clear" w:color="auto" w:fill="E6E7E8"/>
                      </w:tcPr>
                      <w:p>
                        <w:pPr>
                          <w:pStyle w:val="TableParagraph"/>
                          <w:spacing w:before="200"/>
                          <w:ind w:left="80" w:right="65"/>
                          <w:jc w:val="center"/>
                          <w:rPr>
                            <w:rFonts w:ascii="微軟正黑體"/>
                            <w:b/>
                            <w:sz w:val="24"/>
                          </w:rPr>
                        </w:pPr>
                        <w:r>
                          <w:rPr>
                            <w:rFonts w:ascii="微軟正黑體"/>
                            <w:b/>
                            <w:color w:val="231F20"/>
                            <w:sz w:val="24"/>
                          </w:rPr>
                          <w:t>TMTC</w:t>
                        </w:r>
                      </w:p>
                    </w:tc>
                    <w:tc>
                      <w:tcPr>
                        <w:tcW w:w="5634" w:type="dxa"/>
                        <w:vMerge/>
                        <w:tcBorders>
                          <w:top w:val="nil"/>
                        </w:tcBorders>
                        <w:shd w:val="clear" w:color="auto" w:fill="E6E7E8"/>
                      </w:tcPr>
                      <w:p>
                        <w:pPr>
                          <w:rPr>
                            <w:sz w:val="2"/>
                            <w:szCs w:val="2"/>
                          </w:rPr>
                        </w:pPr>
                      </w:p>
                    </w:tc>
                  </w:tr>
                  <w:tr>
                    <w:trPr>
                      <w:trHeight w:val="3803" w:hRule="atLeast"/>
                    </w:trPr>
                    <w:tc>
                      <w:tcPr>
                        <w:tcW w:w="956" w:type="dxa"/>
                      </w:tcPr>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10"/>
                          <w:rPr>
                            <w:rFonts w:ascii="微軟正黑體"/>
                            <w:b/>
                            <w:sz w:val="20"/>
                          </w:rPr>
                        </w:pPr>
                      </w:p>
                      <w:p>
                        <w:pPr>
                          <w:pStyle w:val="TableParagraph"/>
                          <w:spacing w:before="1"/>
                          <w:ind w:left="14"/>
                          <w:jc w:val="center"/>
                          <w:rPr>
                            <w:rFonts w:ascii="新細明體" w:eastAsia="新細明體" w:hint="eastAsia"/>
                            <w:sz w:val="24"/>
                          </w:rPr>
                        </w:pPr>
                        <w:r>
                          <w:rPr>
                            <w:rFonts w:ascii="新細明體" w:eastAsia="新細明體" w:hint="eastAsia"/>
                            <w:color w:val="231F20"/>
                            <w:sz w:val="24"/>
                          </w:rPr>
                          <w:t>口</w:t>
                        </w:r>
                      </w:p>
                    </w:tc>
                    <w:tc>
                      <w:tcPr>
                        <w:tcW w:w="1204" w:type="dxa"/>
                      </w:tcPr>
                      <w:p>
                        <w:pPr>
                          <w:pStyle w:val="TableParagraph"/>
                          <w:rPr>
                            <w:rFonts w:ascii="Times New Roman"/>
                            <w:sz w:val="22"/>
                          </w:rPr>
                        </w:pPr>
                      </w:p>
                    </w:tc>
                    <w:tc>
                      <w:tcPr>
                        <w:tcW w:w="942" w:type="dxa"/>
                      </w:tcPr>
                      <w:p>
                        <w:pPr>
                          <w:pStyle w:val="TableParagraph"/>
                          <w:spacing w:before="8"/>
                          <w:rPr>
                            <w:rFonts w:ascii="微軟正黑體"/>
                            <w:b/>
                            <w:sz w:val="25"/>
                          </w:rPr>
                        </w:pPr>
                      </w:p>
                      <w:p>
                        <w:pPr>
                          <w:pStyle w:val="TableParagraph"/>
                          <w:spacing w:line="578" w:lineRule="auto"/>
                          <w:ind w:left="351" w:right="333"/>
                          <w:jc w:val="center"/>
                          <w:rPr>
                            <w:rFonts w:ascii="新細明體" w:eastAsia="新細明體" w:hint="eastAsia"/>
                            <w:sz w:val="24"/>
                          </w:rPr>
                        </w:pPr>
                        <w:r>
                          <w:rPr>
                            <w:rFonts w:ascii="新細明體" w:eastAsia="新細明體" w:hint="eastAsia"/>
                            <w:color w:val="231F20"/>
                            <w:sz w:val="24"/>
                          </w:rPr>
                          <w:t>口口</w:t>
                        </w:r>
                      </w:p>
                    </w:tc>
                    <w:tc>
                      <w:tcPr>
                        <w:tcW w:w="882" w:type="dxa"/>
                      </w:tcPr>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8"/>
                          <w:rPr>
                            <w:rFonts w:ascii="微軟正黑體"/>
                            <w:b/>
                            <w:sz w:val="17"/>
                          </w:rPr>
                        </w:pPr>
                      </w:p>
                      <w:p>
                        <w:pPr>
                          <w:pStyle w:val="TableParagraph"/>
                          <w:ind w:left="15"/>
                          <w:jc w:val="center"/>
                          <w:rPr>
                            <w:rFonts w:ascii="新細明體" w:eastAsia="新細明體" w:hint="eastAsia"/>
                            <w:sz w:val="24"/>
                          </w:rPr>
                        </w:pPr>
                        <w:r>
                          <w:rPr>
                            <w:rFonts w:ascii="新細明體" w:eastAsia="新細明體" w:hint="eastAsia"/>
                            <w:color w:val="231F20"/>
                            <w:sz w:val="24"/>
                          </w:rPr>
                          <w:t>口</w:t>
                        </w:r>
                      </w:p>
                    </w:tc>
                    <w:tc>
                      <w:tcPr>
                        <w:tcW w:w="5634" w:type="dxa"/>
                      </w:tcPr>
                      <w:p>
                        <w:pPr>
                          <w:pStyle w:val="TableParagraph"/>
                          <w:numPr>
                            <w:ilvl w:val="0"/>
                            <w:numId w:val="218"/>
                          </w:numPr>
                          <w:tabs>
                            <w:tab w:pos="358" w:val="left" w:leader="none"/>
                          </w:tabs>
                          <w:spacing w:line="414" w:lineRule="exact" w:before="31" w:after="0"/>
                          <w:ind w:left="357" w:right="0" w:hanging="244"/>
                          <w:jc w:val="left"/>
                          <w:rPr>
                            <w:sz w:val="24"/>
                          </w:rPr>
                        </w:pPr>
                        <w:r>
                          <w:rPr>
                            <w:color w:val="231F20"/>
                            <w:sz w:val="24"/>
                          </w:rPr>
                          <w:t>抗藥性結核病監測</w:t>
                        </w:r>
                      </w:p>
                      <w:p>
                        <w:pPr>
                          <w:pStyle w:val="TableParagraph"/>
                          <w:spacing w:line="230" w:lineRule="auto" w:before="8"/>
                          <w:ind w:left="607" w:right="88" w:hanging="340"/>
                          <w:jc w:val="both"/>
                          <w:rPr>
                            <w:sz w:val="24"/>
                          </w:rPr>
                        </w:pPr>
                        <w:r>
                          <w:rPr>
                            <w:rFonts w:ascii="Wingdings" w:hAnsi="Wingdings" w:eastAsia="Wingdings"/>
                            <w:color w:val="231F20"/>
                            <w:w w:val="115"/>
                            <w:sz w:val="24"/>
                          </w:rPr>
                          <w:t>申</w:t>
                        </w:r>
                        <w:r>
                          <w:rPr>
                            <w:rFonts w:ascii="Times New Roman" w:hAnsi="Times New Roman" w:eastAsia="Times New Roman"/>
                            <w:color w:val="231F20"/>
                            <w:w w:val="115"/>
                            <w:sz w:val="24"/>
                          </w:rPr>
                          <w:t> </w:t>
                        </w:r>
                        <w:r>
                          <w:rPr>
                            <w:color w:val="231F20"/>
                            <w:spacing w:val="5"/>
                            <w:w w:val="105"/>
                            <w:sz w:val="24"/>
                          </w:rPr>
                          <w:t>符合快速分子檢測對象名單，通知醫院或由</w:t>
                        </w:r>
                        <w:r>
                          <w:rPr>
                            <w:color w:val="231F20"/>
                            <w:spacing w:val="-218"/>
                            <w:w w:val="105"/>
                            <w:sz w:val="24"/>
                          </w:rPr>
                          <w:t>公</w:t>
                        </w:r>
                        <w:r>
                          <w:rPr>
                            <w:color w:val="231F20"/>
                            <w:w w:val="105"/>
                            <w:sz w:val="24"/>
                          </w:rPr>
                          <w:t>衛主動送驗。</w:t>
                        </w:r>
                      </w:p>
                      <w:p>
                        <w:pPr>
                          <w:pStyle w:val="TableParagraph"/>
                          <w:spacing w:line="230" w:lineRule="auto" w:before="8"/>
                          <w:ind w:left="607" w:right="87" w:hanging="340"/>
                          <w:jc w:val="both"/>
                          <w:rPr>
                            <w:sz w:val="24"/>
                          </w:rPr>
                        </w:pPr>
                        <w:r>
                          <w:rPr>
                            <w:rFonts w:ascii="Wingdings" w:hAnsi="Wingdings" w:eastAsia="Wingdings"/>
                            <w:color w:val="231F20"/>
                            <w:w w:val="115"/>
                            <w:sz w:val="24"/>
                          </w:rPr>
                          <w:t>申</w:t>
                        </w:r>
                        <w:r>
                          <w:rPr>
                            <w:rFonts w:ascii="Times New Roman" w:hAnsi="Times New Roman" w:eastAsia="Times New Roman"/>
                            <w:color w:val="231F20"/>
                            <w:spacing w:val="-19"/>
                            <w:w w:val="115"/>
                            <w:sz w:val="24"/>
                          </w:rPr>
                          <w:t> </w:t>
                        </w:r>
                        <w:r>
                          <w:rPr>
                            <w:color w:val="231F20"/>
                            <w:spacing w:val="6"/>
                            <w:w w:val="105"/>
                            <w:sz w:val="24"/>
                          </w:rPr>
                          <w:t>應進行分子—線及二線藥敏之送驗對象確認</w:t>
                        </w:r>
                        <w:r>
                          <w:rPr>
                            <w:color w:val="231F20"/>
                            <w:spacing w:val="-223"/>
                            <w:w w:val="105"/>
                            <w:sz w:val="24"/>
                          </w:rPr>
                          <w:t>及</w:t>
                        </w:r>
                        <w:r>
                          <w:rPr>
                            <w:color w:val="231F20"/>
                            <w:w w:val="105"/>
                            <w:sz w:val="24"/>
                          </w:rPr>
                          <w:t>醫院送驗稽催。</w:t>
                        </w:r>
                      </w:p>
                      <w:p>
                        <w:pPr>
                          <w:pStyle w:val="TableParagraph"/>
                          <w:spacing w:line="230" w:lineRule="auto" w:before="64"/>
                          <w:ind w:left="607" w:right="87" w:hanging="340"/>
                          <w:jc w:val="both"/>
                          <w:rPr>
                            <w:sz w:val="24"/>
                          </w:rPr>
                        </w:pPr>
                        <w:r>
                          <w:rPr>
                            <w:rFonts w:ascii="Wingdings" w:hAnsi="Wingdings" w:eastAsia="Wingdings"/>
                            <w:color w:val="231F20"/>
                            <w:w w:val="160"/>
                            <w:sz w:val="24"/>
                          </w:rPr>
                          <w:t>申</w:t>
                        </w:r>
                        <w:r>
                          <w:rPr>
                            <w:rFonts w:ascii="Times New Roman" w:hAnsi="Times New Roman" w:eastAsia="Times New Roman"/>
                            <w:color w:val="231F20"/>
                            <w:spacing w:val="67"/>
                            <w:w w:val="160"/>
                            <w:sz w:val="24"/>
                          </w:rPr>
                          <w:t> </w:t>
                        </w:r>
                        <w:r>
                          <w:rPr>
                            <w:color w:val="231F20"/>
                            <w:spacing w:val="6"/>
                            <w:sz w:val="24"/>
                          </w:rPr>
                          <w:t>疾管署分枝桿蔥實驗室進行蔥株分子—線及</w:t>
                        </w:r>
                        <w:r>
                          <w:rPr>
                            <w:color w:val="231F20"/>
                            <w:spacing w:val="-223"/>
                            <w:sz w:val="24"/>
                          </w:rPr>
                          <w:t>二</w:t>
                        </w:r>
                        <w:r>
                          <w:rPr>
                            <w:color w:val="231F20"/>
                            <w:spacing w:val="4"/>
                            <w:sz w:val="24"/>
                          </w:rPr>
                          <w:t>線藥敏送驗、指定實驗室進行抗藥性結核病高</w:t>
                        </w:r>
                        <w:r>
                          <w:rPr>
                            <w:color w:val="231F20"/>
                            <w:sz w:val="24"/>
                          </w:rPr>
                          <w:t>風險族群快速分子檢測。</w:t>
                        </w:r>
                      </w:p>
                      <w:p>
                        <w:pPr>
                          <w:pStyle w:val="TableParagraph"/>
                          <w:spacing w:line="400" w:lineRule="exact" w:before="51"/>
                          <w:ind w:left="267"/>
                          <w:jc w:val="both"/>
                          <w:rPr>
                            <w:sz w:val="24"/>
                          </w:rPr>
                        </w:pPr>
                        <w:r>
                          <w:rPr>
                            <w:rFonts w:ascii="Wingdings" w:hAnsi="Wingdings" w:eastAsia="Wingdings"/>
                            <w:color w:val="231F20"/>
                            <w:w w:val="155"/>
                            <w:sz w:val="24"/>
                          </w:rPr>
                          <w:t>申</w:t>
                        </w:r>
                        <w:r>
                          <w:rPr>
                            <w:rFonts w:ascii="Times New Roman" w:hAnsi="Times New Roman" w:eastAsia="Times New Roman"/>
                            <w:color w:val="231F20"/>
                            <w:w w:val="155"/>
                            <w:sz w:val="24"/>
                          </w:rPr>
                          <w:t> </w:t>
                        </w:r>
                        <w:r>
                          <w:rPr>
                            <w:color w:val="231F20"/>
                            <w:w w:val="105"/>
                            <w:sz w:val="24"/>
                          </w:rPr>
                          <w:t>TMTC 實驗室進行傳統二線藥敏檢測。</w:t>
                        </w:r>
                      </w:p>
                    </w:tc>
                  </w:tr>
                  <w:tr>
                    <w:trPr>
                      <w:trHeight w:val="2081" w:hRule="atLeast"/>
                    </w:trPr>
                    <w:tc>
                      <w:tcPr>
                        <w:tcW w:w="956" w:type="dxa"/>
                      </w:tcPr>
                      <w:p>
                        <w:pPr>
                          <w:pStyle w:val="TableParagraph"/>
                          <w:rPr>
                            <w:rFonts w:ascii="Times New Roman"/>
                            <w:sz w:val="22"/>
                          </w:rPr>
                        </w:pPr>
                      </w:p>
                    </w:tc>
                    <w:tc>
                      <w:tcPr>
                        <w:tcW w:w="1204" w:type="dxa"/>
                      </w:tcPr>
                      <w:p>
                        <w:pPr>
                          <w:pStyle w:val="TableParagraph"/>
                          <w:spacing w:line="810" w:lineRule="exact" w:before="60"/>
                          <w:ind w:left="481" w:right="465"/>
                          <w:jc w:val="center"/>
                          <w:rPr>
                            <w:rFonts w:ascii="新細明體" w:eastAsia="新細明體" w:hint="eastAsia"/>
                            <w:sz w:val="24"/>
                          </w:rPr>
                        </w:pPr>
                        <w:r>
                          <w:rPr>
                            <w:rFonts w:ascii="新細明體" w:eastAsia="新細明體" w:hint="eastAsia"/>
                            <w:color w:val="231F20"/>
                            <w:sz w:val="24"/>
                          </w:rPr>
                          <w:t>口口</w:t>
                        </w:r>
                      </w:p>
                    </w:tc>
                    <w:tc>
                      <w:tcPr>
                        <w:tcW w:w="942" w:type="dxa"/>
                      </w:tcPr>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14"/>
                          <w:rPr>
                            <w:rFonts w:ascii="微軟正黑體"/>
                            <w:b/>
                            <w:sz w:val="19"/>
                          </w:rPr>
                        </w:pPr>
                      </w:p>
                      <w:p>
                        <w:pPr>
                          <w:pStyle w:val="TableParagraph"/>
                          <w:ind w:left="15"/>
                          <w:jc w:val="center"/>
                          <w:rPr>
                            <w:rFonts w:ascii="新細明體" w:eastAsia="新細明體" w:hint="eastAsia"/>
                            <w:sz w:val="24"/>
                          </w:rPr>
                        </w:pPr>
                        <w:r>
                          <w:rPr>
                            <w:rFonts w:ascii="新細明體" w:eastAsia="新細明體" w:hint="eastAsia"/>
                            <w:color w:val="231F20"/>
                            <w:sz w:val="24"/>
                          </w:rPr>
                          <w:t>口</w:t>
                        </w:r>
                      </w:p>
                    </w:tc>
                    <w:tc>
                      <w:tcPr>
                        <w:tcW w:w="882" w:type="dxa"/>
                      </w:tcPr>
                      <w:p>
                        <w:pPr>
                          <w:pStyle w:val="TableParagraph"/>
                          <w:rPr>
                            <w:rFonts w:ascii="Times New Roman"/>
                            <w:sz w:val="22"/>
                          </w:rPr>
                        </w:pPr>
                      </w:p>
                    </w:tc>
                    <w:tc>
                      <w:tcPr>
                        <w:tcW w:w="5634" w:type="dxa"/>
                      </w:tcPr>
                      <w:p>
                        <w:pPr>
                          <w:pStyle w:val="TableParagraph"/>
                          <w:numPr>
                            <w:ilvl w:val="0"/>
                            <w:numId w:val="219"/>
                          </w:numPr>
                          <w:tabs>
                            <w:tab w:pos="358" w:val="left" w:leader="none"/>
                          </w:tabs>
                          <w:spacing w:line="414" w:lineRule="exact" w:before="31" w:after="0"/>
                          <w:ind w:left="357" w:right="0" w:hanging="244"/>
                          <w:jc w:val="left"/>
                          <w:rPr>
                            <w:sz w:val="24"/>
                          </w:rPr>
                        </w:pPr>
                        <w:r>
                          <w:rPr>
                            <w:color w:val="231F20"/>
                            <w:sz w:val="24"/>
                          </w:rPr>
                          <w:t>RR／MDR-TB</w:t>
                        </w:r>
                        <w:r>
                          <w:rPr>
                            <w:color w:val="231F20"/>
                            <w:spacing w:val="-4"/>
                            <w:sz w:val="24"/>
                          </w:rPr>
                          <w:t> 註記及病人分類</w:t>
                        </w:r>
                      </w:p>
                      <w:p>
                        <w:pPr>
                          <w:pStyle w:val="TableParagraph"/>
                          <w:spacing w:line="230" w:lineRule="auto" w:before="8"/>
                          <w:ind w:left="607" w:right="95" w:hanging="340"/>
                          <w:rPr>
                            <w:sz w:val="24"/>
                          </w:rPr>
                        </w:pPr>
                        <w:r>
                          <w:rPr>
                            <w:rFonts w:ascii="Wingdings" w:hAnsi="Wingdings" w:eastAsia="Wingdings"/>
                            <w:color w:val="231F20"/>
                            <w:w w:val="178"/>
                            <w:sz w:val="24"/>
                          </w:rPr>
                          <w:t>申</w:t>
                        </w:r>
                        <w:r>
                          <w:rPr>
                            <w:rFonts w:ascii="Times New Roman" w:hAnsi="Times New Roman" w:eastAsia="Times New Roman"/>
                            <w:color w:val="231F20"/>
                            <w:spacing w:val="3"/>
                            <w:sz w:val="24"/>
                          </w:rPr>
                          <w:t>  </w:t>
                        </w:r>
                        <w:r>
                          <w:rPr>
                            <w:color w:val="231F20"/>
                            <w:spacing w:val="24"/>
                            <w:sz w:val="24"/>
                          </w:rPr>
                          <w:t>每日査詢「</w:t>
                        </w:r>
                        <w:r>
                          <w:rPr>
                            <w:color w:val="231F20"/>
                            <w:w w:val="91"/>
                            <w:sz w:val="24"/>
                          </w:rPr>
                          <w:t>T</w:t>
                        </w:r>
                        <w:r>
                          <w:rPr>
                            <w:color w:val="231F20"/>
                            <w:w w:val="92"/>
                            <w:sz w:val="24"/>
                          </w:rPr>
                          <w:t>B</w:t>
                        </w:r>
                        <w:r>
                          <w:rPr>
                            <w:color w:val="231F20"/>
                            <w:spacing w:val="16"/>
                            <w:sz w:val="24"/>
                          </w:rPr>
                          <w:t> 系統」，</w:t>
                        </w:r>
                        <w:r>
                          <w:rPr>
                            <w:color w:val="231F20"/>
                            <w:w w:val="104"/>
                            <w:sz w:val="24"/>
                          </w:rPr>
                          <w:t>24</w:t>
                        </w:r>
                        <w:r>
                          <w:rPr>
                            <w:color w:val="231F20"/>
                            <w:spacing w:val="23"/>
                            <w:sz w:val="24"/>
                          </w:rPr>
                          <w:t> 小時內進行 </w:t>
                        </w:r>
                        <w:r>
                          <w:rPr>
                            <w:color w:val="231F20"/>
                            <w:spacing w:val="-75"/>
                            <w:w w:val="88"/>
                            <w:sz w:val="24"/>
                          </w:rPr>
                          <w:t>RR</w:t>
                        </w:r>
                        <w:r>
                          <w:rPr>
                            <w:color w:val="231F20"/>
                            <w:spacing w:val="-74"/>
                            <w:w w:val="41"/>
                            <w:sz w:val="24"/>
                          </w:rPr>
                          <w:t>／</w:t>
                        </w:r>
                        <w:r>
                          <w:rPr>
                            <w:color w:val="231F20"/>
                            <w:w w:val="41"/>
                            <w:sz w:val="24"/>
                          </w:rPr>
                          <w:t> </w:t>
                        </w:r>
                        <w:r>
                          <w:rPr>
                            <w:color w:val="231F20"/>
                            <w:sz w:val="24"/>
                          </w:rPr>
                          <w:t>MDR-TB</w:t>
                        </w:r>
                        <w:r>
                          <w:rPr>
                            <w:color w:val="231F20"/>
                            <w:spacing w:val="-3"/>
                            <w:sz w:val="24"/>
                          </w:rPr>
                          <w:t> 身分註記。</w:t>
                        </w:r>
                      </w:p>
                      <w:p>
                        <w:pPr>
                          <w:pStyle w:val="TableParagraph"/>
                          <w:spacing w:line="410" w:lineRule="exact"/>
                          <w:ind w:left="267"/>
                          <w:rPr>
                            <w:sz w:val="24"/>
                          </w:rPr>
                        </w:pPr>
                        <w:r>
                          <w:rPr>
                            <w:rFonts w:ascii="Wingdings" w:hAnsi="Wingdings" w:eastAsia="Wingdings"/>
                            <w:color w:val="231F20"/>
                            <w:w w:val="150"/>
                            <w:sz w:val="24"/>
                          </w:rPr>
                          <w:t>申</w:t>
                        </w:r>
                        <w:r>
                          <w:rPr>
                            <w:rFonts w:ascii="Times New Roman" w:hAnsi="Times New Roman" w:eastAsia="Times New Roman"/>
                            <w:color w:val="231F20"/>
                            <w:spacing w:val="-15"/>
                            <w:w w:val="150"/>
                            <w:sz w:val="24"/>
                          </w:rPr>
                          <w:t> </w:t>
                        </w:r>
                        <w:r>
                          <w:rPr>
                            <w:color w:val="231F20"/>
                            <w:spacing w:val="-5"/>
                            <w:sz w:val="24"/>
                          </w:rPr>
                          <w:t>於—週內完成 </w:t>
                        </w:r>
                        <w:r>
                          <w:rPr>
                            <w:color w:val="231F20"/>
                            <w:sz w:val="24"/>
                          </w:rPr>
                          <w:t>RR／MDR-TB</w:t>
                        </w:r>
                        <w:r>
                          <w:rPr>
                            <w:color w:val="231F20"/>
                            <w:spacing w:val="-7"/>
                            <w:sz w:val="24"/>
                          </w:rPr>
                          <w:t> 病人分類。</w:t>
                        </w:r>
                      </w:p>
                      <w:p>
                        <w:pPr>
                          <w:pStyle w:val="TableParagraph"/>
                          <w:spacing w:line="396" w:lineRule="exact"/>
                          <w:ind w:left="267"/>
                          <w:rPr>
                            <w:sz w:val="24"/>
                          </w:rPr>
                        </w:pPr>
                        <w:r>
                          <w:rPr>
                            <w:rFonts w:ascii="Wingdings" w:hAnsi="Wingdings" w:eastAsia="Wingdings"/>
                            <w:color w:val="231F20"/>
                            <w:w w:val="150"/>
                            <w:sz w:val="24"/>
                          </w:rPr>
                          <w:t>申</w:t>
                        </w:r>
                        <w:r>
                          <w:rPr>
                            <w:rFonts w:ascii="Times New Roman" w:hAnsi="Times New Roman" w:eastAsia="Times New Roman"/>
                            <w:color w:val="231F20"/>
                            <w:spacing w:val="-43"/>
                            <w:w w:val="150"/>
                            <w:sz w:val="24"/>
                          </w:rPr>
                          <w:t> </w:t>
                        </w:r>
                        <w:r>
                          <w:rPr>
                            <w:color w:val="231F20"/>
                            <w:w w:val="105"/>
                            <w:sz w:val="24"/>
                          </w:rPr>
                          <w:t>MDR-TB</w:t>
                        </w:r>
                        <w:r>
                          <w:rPr>
                            <w:color w:val="231F20"/>
                            <w:spacing w:val="-7"/>
                            <w:w w:val="105"/>
                            <w:sz w:val="24"/>
                          </w:rPr>
                          <w:t> 新病人評估啟動感染源調査。</w:t>
                        </w:r>
                      </w:p>
                    </w:tc>
                  </w:tr>
                  <w:tr>
                    <w:trPr>
                      <w:trHeight w:val="1671" w:hRule="atLeast"/>
                    </w:trPr>
                    <w:tc>
                      <w:tcPr>
                        <w:tcW w:w="956" w:type="dxa"/>
                      </w:tcPr>
                      <w:p>
                        <w:pPr>
                          <w:pStyle w:val="TableParagraph"/>
                          <w:rPr>
                            <w:rFonts w:ascii="微軟正黑體"/>
                            <w:b/>
                            <w:sz w:val="24"/>
                          </w:rPr>
                        </w:pPr>
                      </w:p>
                      <w:p>
                        <w:pPr>
                          <w:pStyle w:val="TableParagraph"/>
                          <w:rPr>
                            <w:rFonts w:ascii="微軟正黑體"/>
                            <w:b/>
                            <w:sz w:val="24"/>
                          </w:rPr>
                        </w:pPr>
                      </w:p>
                      <w:p>
                        <w:pPr>
                          <w:pStyle w:val="TableParagraph"/>
                          <w:spacing w:before="8"/>
                          <w:rPr>
                            <w:rFonts w:ascii="微軟正黑體"/>
                            <w:b/>
                            <w:sz w:val="21"/>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1204" w:type="dxa"/>
                      </w:tcPr>
                      <w:p>
                        <w:pPr>
                          <w:pStyle w:val="TableParagraph"/>
                          <w:spacing w:before="8"/>
                          <w:rPr>
                            <w:rFonts w:ascii="微軟正黑體"/>
                            <w:b/>
                            <w:sz w:val="25"/>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942" w:type="dxa"/>
                      </w:tcPr>
                      <w:p>
                        <w:pPr>
                          <w:pStyle w:val="TableParagraph"/>
                          <w:rPr>
                            <w:rFonts w:ascii="Times New Roman"/>
                            <w:sz w:val="22"/>
                          </w:rPr>
                        </w:pPr>
                      </w:p>
                    </w:tc>
                    <w:tc>
                      <w:tcPr>
                        <w:tcW w:w="882" w:type="dxa"/>
                      </w:tcPr>
                      <w:p>
                        <w:pPr>
                          <w:pStyle w:val="TableParagraph"/>
                          <w:rPr>
                            <w:rFonts w:ascii="Times New Roman"/>
                            <w:sz w:val="22"/>
                          </w:rPr>
                        </w:pPr>
                      </w:p>
                    </w:tc>
                    <w:tc>
                      <w:tcPr>
                        <w:tcW w:w="5634" w:type="dxa"/>
                      </w:tcPr>
                      <w:p>
                        <w:pPr>
                          <w:pStyle w:val="TableParagraph"/>
                          <w:numPr>
                            <w:ilvl w:val="0"/>
                            <w:numId w:val="220"/>
                          </w:numPr>
                          <w:tabs>
                            <w:tab w:pos="358" w:val="left" w:leader="none"/>
                          </w:tabs>
                          <w:spacing w:line="414" w:lineRule="exact" w:before="31" w:after="0"/>
                          <w:ind w:left="357" w:right="0" w:hanging="244"/>
                          <w:jc w:val="left"/>
                          <w:rPr>
                            <w:sz w:val="24"/>
                          </w:rPr>
                        </w:pPr>
                        <w:r>
                          <w:rPr>
                            <w:color w:val="231F20"/>
                            <w:sz w:val="24"/>
                          </w:rPr>
                          <w:t>XDR-TB</w:t>
                        </w:r>
                        <w:r>
                          <w:rPr>
                            <w:color w:val="231F20"/>
                            <w:spacing w:val="-3"/>
                            <w:sz w:val="24"/>
                          </w:rPr>
                          <w:t> 註記</w:t>
                        </w:r>
                      </w:p>
                      <w:p>
                        <w:pPr>
                          <w:pStyle w:val="TableParagraph"/>
                          <w:spacing w:line="230" w:lineRule="auto" w:before="8"/>
                          <w:ind w:left="607" w:right="75" w:hanging="340"/>
                          <w:rPr>
                            <w:sz w:val="24"/>
                          </w:rPr>
                        </w:pPr>
                        <w:r>
                          <w:rPr>
                            <w:rFonts w:ascii="Wingdings" w:hAnsi="Wingdings" w:eastAsia="Wingdings"/>
                            <w:color w:val="231F20"/>
                            <w:w w:val="150"/>
                            <w:sz w:val="24"/>
                          </w:rPr>
                          <w:t>申</w:t>
                        </w:r>
                        <w:r>
                          <w:rPr>
                            <w:rFonts w:ascii="Times New Roman" w:hAnsi="Times New Roman" w:eastAsia="Times New Roman"/>
                            <w:color w:val="231F20"/>
                            <w:w w:val="150"/>
                            <w:sz w:val="24"/>
                          </w:rPr>
                          <w:t> </w:t>
                        </w:r>
                        <w:r>
                          <w:rPr>
                            <w:color w:val="231F20"/>
                            <w:spacing w:val="-7"/>
                            <w:w w:val="105"/>
                            <w:sz w:val="24"/>
                          </w:rPr>
                          <w:t>如為 </w:t>
                        </w:r>
                        <w:r>
                          <w:rPr>
                            <w:color w:val="231F20"/>
                            <w:spacing w:val="2"/>
                            <w:w w:val="105"/>
                            <w:sz w:val="24"/>
                          </w:rPr>
                          <w:t>XDR-TB</w:t>
                        </w:r>
                        <w:r>
                          <w:rPr>
                            <w:color w:val="231F20"/>
                            <w:spacing w:val="-12"/>
                            <w:w w:val="105"/>
                            <w:sz w:val="24"/>
                          </w:rPr>
                          <w:t>，於 </w:t>
                        </w:r>
                        <w:r>
                          <w:rPr>
                            <w:color w:val="231F20"/>
                            <w:w w:val="105"/>
                            <w:sz w:val="24"/>
                          </w:rPr>
                          <w:t>24</w:t>
                        </w:r>
                        <w:r>
                          <w:rPr>
                            <w:color w:val="231F20"/>
                            <w:spacing w:val="11"/>
                            <w:w w:val="105"/>
                            <w:sz w:val="24"/>
                          </w:rPr>
                          <w:t> 小時內掃描確診報告</w:t>
                        </w:r>
                        <w:r>
                          <w:rPr>
                            <w:color w:val="231F20"/>
                            <w:spacing w:val="-209"/>
                            <w:w w:val="105"/>
                            <w:sz w:val="24"/>
                          </w:rPr>
                          <w:t>送</w:t>
                        </w:r>
                        <w:r>
                          <w:rPr>
                            <w:color w:val="231F20"/>
                            <w:w w:val="105"/>
                            <w:sz w:val="24"/>
                          </w:rPr>
                          <w:t>疾管署慢性組。</w:t>
                        </w:r>
                      </w:p>
                      <w:p>
                        <w:pPr>
                          <w:pStyle w:val="TableParagraph"/>
                          <w:spacing w:line="396" w:lineRule="exact"/>
                          <w:ind w:left="267"/>
                          <w:rPr>
                            <w:sz w:val="24"/>
                          </w:rPr>
                        </w:pPr>
                        <w:r>
                          <w:rPr>
                            <w:rFonts w:ascii="Wingdings" w:hAnsi="Wingdings" w:eastAsia="Wingdings"/>
                            <w:color w:val="231F20"/>
                            <w:w w:val="150"/>
                            <w:sz w:val="24"/>
                          </w:rPr>
                          <w:t>申</w:t>
                        </w:r>
                        <w:r>
                          <w:rPr>
                            <w:rFonts w:ascii="Times New Roman" w:hAnsi="Times New Roman" w:eastAsia="Times New Roman"/>
                            <w:color w:val="231F20"/>
                            <w:w w:val="150"/>
                            <w:sz w:val="24"/>
                          </w:rPr>
                          <w:t> </w:t>
                        </w:r>
                        <w:r>
                          <w:rPr>
                            <w:color w:val="231F20"/>
                            <w:w w:val="105"/>
                            <w:sz w:val="24"/>
                          </w:rPr>
                          <w:t>完成 TB 系統 XDR-TB 病人身分註記。</w:t>
                        </w:r>
                      </w:p>
                    </w:tc>
                  </w:tr>
                  <w:tr>
                    <w:trPr>
                      <w:trHeight w:val="4520" w:hRule="atLeast"/>
                    </w:trPr>
                    <w:tc>
                      <w:tcPr>
                        <w:tcW w:w="956" w:type="dxa"/>
                      </w:tcPr>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2"/>
                          <w:rPr>
                            <w:rFonts w:ascii="微軟正黑體"/>
                            <w:b/>
                            <w:sz w:val="34"/>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1204" w:type="dxa"/>
                      </w:tcPr>
                      <w:p>
                        <w:pPr>
                          <w:pStyle w:val="TableParagraph"/>
                          <w:rPr>
                            <w:rFonts w:ascii="微軟正黑體"/>
                            <w:b/>
                            <w:sz w:val="24"/>
                          </w:rPr>
                        </w:pPr>
                      </w:p>
                      <w:p>
                        <w:pPr>
                          <w:pStyle w:val="TableParagraph"/>
                          <w:spacing w:before="13"/>
                          <w:rPr>
                            <w:rFonts w:ascii="微軟正黑體"/>
                            <w:b/>
                            <w:sz w:val="23"/>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2"/>
                          <w:rPr>
                            <w:rFonts w:ascii="微軟正黑體"/>
                            <w:b/>
                            <w:sz w:val="20"/>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spacing w:before="1"/>
                          <w:rPr>
                            <w:rFonts w:ascii="微軟正黑體"/>
                            <w:b/>
                            <w:sz w:val="24"/>
                          </w:rPr>
                        </w:pPr>
                      </w:p>
                      <w:p>
                        <w:pPr>
                          <w:pStyle w:val="TableParagraph"/>
                          <w:spacing w:before="1"/>
                          <w:ind w:left="14"/>
                          <w:jc w:val="center"/>
                          <w:rPr>
                            <w:rFonts w:ascii="新細明體" w:eastAsia="新細明體" w:hint="eastAsia"/>
                            <w:sz w:val="24"/>
                          </w:rPr>
                        </w:pPr>
                        <w:r>
                          <w:rPr>
                            <w:rFonts w:ascii="新細明體" w:eastAsia="新細明體" w:hint="eastAsia"/>
                            <w:color w:val="231F20"/>
                            <w:sz w:val="24"/>
                          </w:rPr>
                          <w:t>口</w:t>
                        </w:r>
                      </w:p>
                    </w:tc>
                    <w:tc>
                      <w:tcPr>
                        <w:tcW w:w="942" w:type="dxa"/>
                      </w:tcPr>
                      <w:p>
                        <w:pPr>
                          <w:pStyle w:val="TableParagraph"/>
                          <w:rPr>
                            <w:rFonts w:ascii="微軟正黑體"/>
                            <w:b/>
                            <w:sz w:val="24"/>
                          </w:rPr>
                        </w:pPr>
                      </w:p>
                      <w:p>
                        <w:pPr>
                          <w:pStyle w:val="TableParagraph"/>
                          <w:spacing w:before="13"/>
                          <w:rPr>
                            <w:rFonts w:ascii="微軟正黑體"/>
                            <w:b/>
                            <w:sz w:val="23"/>
                          </w:rPr>
                        </w:pPr>
                      </w:p>
                      <w:p>
                        <w:pPr>
                          <w:pStyle w:val="TableParagraph"/>
                          <w:spacing w:line="585" w:lineRule="auto"/>
                          <w:ind w:left="351" w:right="333" w:hanging="1"/>
                          <w:jc w:val="center"/>
                          <w:rPr>
                            <w:rFonts w:ascii="新細明體" w:eastAsia="新細明體" w:hint="eastAsia"/>
                            <w:sz w:val="24"/>
                          </w:rPr>
                        </w:pPr>
                        <w:r>
                          <w:rPr>
                            <w:rFonts w:ascii="新細明體" w:eastAsia="新細明體" w:hint="eastAsia"/>
                            <w:color w:val="231F20"/>
                            <w:sz w:val="24"/>
                          </w:rPr>
                          <w:t>口口</w:t>
                        </w:r>
                      </w:p>
                    </w:tc>
                    <w:tc>
                      <w:tcPr>
                        <w:tcW w:w="882" w:type="dxa"/>
                      </w:tcPr>
                      <w:p>
                        <w:pPr>
                          <w:pStyle w:val="TableParagraph"/>
                          <w:rPr>
                            <w:rFonts w:ascii="Times New Roman"/>
                            <w:sz w:val="22"/>
                          </w:rPr>
                        </w:pPr>
                      </w:p>
                    </w:tc>
                    <w:tc>
                      <w:tcPr>
                        <w:tcW w:w="5634" w:type="dxa"/>
                      </w:tcPr>
                      <w:p>
                        <w:pPr>
                          <w:pStyle w:val="TableParagraph"/>
                          <w:numPr>
                            <w:ilvl w:val="0"/>
                            <w:numId w:val="221"/>
                          </w:numPr>
                          <w:tabs>
                            <w:tab w:pos="358" w:val="left" w:leader="none"/>
                          </w:tabs>
                          <w:spacing w:line="414" w:lineRule="exact" w:before="31" w:after="0"/>
                          <w:ind w:left="357" w:right="0" w:hanging="244"/>
                          <w:jc w:val="left"/>
                          <w:rPr>
                            <w:color w:val="231F20"/>
                            <w:sz w:val="22"/>
                          </w:rPr>
                        </w:pPr>
                        <w:r>
                          <w:rPr>
                            <w:color w:val="231F20"/>
                            <w:sz w:val="24"/>
                          </w:rPr>
                          <w:t>DR-TB</w:t>
                        </w:r>
                        <w:r>
                          <w:rPr>
                            <w:color w:val="231F20"/>
                            <w:spacing w:val="-3"/>
                            <w:sz w:val="24"/>
                          </w:rPr>
                          <w:t> 同基因分型的流病調査</w:t>
                        </w:r>
                      </w:p>
                      <w:p>
                        <w:pPr>
                          <w:pStyle w:val="TableParagraph"/>
                          <w:numPr>
                            <w:ilvl w:val="0"/>
                            <w:numId w:val="221"/>
                          </w:numPr>
                          <w:tabs>
                            <w:tab w:pos="358" w:val="left" w:leader="none"/>
                          </w:tabs>
                          <w:spacing w:line="410" w:lineRule="exact" w:before="0" w:after="0"/>
                          <w:ind w:left="357" w:right="0" w:hanging="207"/>
                          <w:jc w:val="left"/>
                          <w:rPr>
                            <w:color w:val="231F20"/>
                            <w:sz w:val="16"/>
                          </w:rPr>
                        </w:pPr>
                        <w:r>
                          <w:rPr>
                            <w:color w:val="231F20"/>
                            <w:sz w:val="24"/>
                          </w:rPr>
                          <w:t>疫情監測</w:t>
                        </w:r>
                      </w:p>
                      <w:p>
                        <w:pPr>
                          <w:pStyle w:val="TableParagraph"/>
                          <w:spacing w:line="410" w:lineRule="exact"/>
                          <w:ind w:left="267"/>
                          <w:jc w:val="both"/>
                          <w:rPr>
                            <w:sz w:val="24"/>
                          </w:rPr>
                        </w:pPr>
                        <w:r>
                          <w:rPr>
                            <w:rFonts w:ascii="Wingdings" w:hAnsi="Wingdings" w:eastAsia="Wingdings"/>
                            <w:color w:val="231F20"/>
                            <w:w w:val="150"/>
                            <w:sz w:val="24"/>
                          </w:rPr>
                          <w:t>申</w:t>
                        </w:r>
                        <w:r>
                          <w:rPr>
                            <w:rFonts w:ascii="Times New Roman" w:hAnsi="Times New Roman" w:eastAsia="Times New Roman"/>
                            <w:color w:val="231F20"/>
                            <w:w w:val="150"/>
                            <w:sz w:val="24"/>
                          </w:rPr>
                          <w:t> </w:t>
                        </w:r>
                        <w:r>
                          <w:rPr>
                            <w:color w:val="231F20"/>
                            <w:w w:val="105"/>
                            <w:sz w:val="24"/>
                          </w:rPr>
                          <w:t>監測 MDR-TB 基因分型結果</w:t>
                        </w:r>
                      </w:p>
                      <w:p>
                        <w:pPr>
                          <w:pStyle w:val="TableParagraph"/>
                          <w:numPr>
                            <w:ilvl w:val="0"/>
                            <w:numId w:val="221"/>
                          </w:numPr>
                          <w:tabs>
                            <w:tab w:pos="358" w:val="left" w:leader="none"/>
                          </w:tabs>
                          <w:spacing w:line="410" w:lineRule="exact" w:before="0" w:after="0"/>
                          <w:ind w:left="357" w:right="0" w:hanging="207"/>
                          <w:jc w:val="left"/>
                          <w:rPr>
                            <w:color w:val="231F20"/>
                            <w:sz w:val="16"/>
                          </w:rPr>
                        </w:pPr>
                        <w:r>
                          <w:rPr>
                            <w:color w:val="231F20"/>
                            <w:sz w:val="24"/>
                          </w:rPr>
                          <w:t>流病調査</w:t>
                        </w:r>
                      </w:p>
                      <w:p>
                        <w:pPr>
                          <w:pStyle w:val="TableParagraph"/>
                          <w:spacing w:line="230" w:lineRule="auto" w:before="8"/>
                          <w:ind w:left="607" w:right="34" w:hanging="340"/>
                          <w:jc w:val="both"/>
                          <w:rPr>
                            <w:sz w:val="24"/>
                          </w:rPr>
                        </w:pPr>
                        <w:r>
                          <w:rPr>
                            <w:rFonts w:ascii="Wingdings" w:hAnsi="Wingdings" w:eastAsia="Wingdings"/>
                            <w:color w:val="231F20"/>
                            <w:w w:val="150"/>
                            <w:sz w:val="24"/>
                          </w:rPr>
                          <w:t>申</w:t>
                        </w:r>
                        <w:r>
                          <w:rPr>
                            <w:rFonts w:ascii="Times New Roman" w:hAnsi="Times New Roman" w:eastAsia="Times New Roman"/>
                            <w:color w:val="231F20"/>
                            <w:spacing w:val="77"/>
                            <w:w w:val="150"/>
                            <w:sz w:val="24"/>
                          </w:rPr>
                          <w:t> </w:t>
                        </w:r>
                        <w:r>
                          <w:rPr>
                            <w:color w:val="231F20"/>
                            <w:spacing w:val="1"/>
                            <w:sz w:val="24"/>
                          </w:rPr>
                          <w:t>填報「同基因型 </w:t>
                        </w:r>
                        <w:r>
                          <w:rPr>
                            <w:color w:val="231F20"/>
                            <w:sz w:val="24"/>
                          </w:rPr>
                          <w:t>MDR-TB 病人親緣性分析申</w:t>
                        </w:r>
                        <w:r>
                          <w:rPr>
                            <w:color w:val="231F20"/>
                            <w:spacing w:val="-168"/>
                            <w:sz w:val="24"/>
                          </w:rPr>
                          <w:t>請</w:t>
                        </w:r>
                        <w:r>
                          <w:rPr>
                            <w:color w:val="231F20"/>
                            <w:spacing w:val="9"/>
                            <w:sz w:val="24"/>
                          </w:rPr>
                          <w:t>表」上傳</w:t>
                        </w:r>
                        <w:r>
                          <w:rPr>
                            <w:color w:val="231F20"/>
                            <w:sz w:val="24"/>
                          </w:rPr>
                          <w:t>TB</w:t>
                        </w:r>
                        <w:r>
                          <w:rPr>
                            <w:color w:val="231F20"/>
                            <w:spacing w:val="-8"/>
                            <w:sz w:val="24"/>
                          </w:rPr>
                          <w:t> 系統「</w:t>
                        </w:r>
                        <w:r>
                          <w:rPr>
                            <w:color w:val="231F20"/>
                            <w:sz w:val="24"/>
                          </w:rPr>
                          <w:t>MDR-TB</w:t>
                        </w:r>
                        <w:r>
                          <w:rPr>
                            <w:color w:val="231F20"/>
                            <w:spacing w:val="-5"/>
                            <w:sz w:val="24"/>
                          </w:rPr>
                          <w:t> 感染源調査管理」</w:t>
                        </w:r>
                        <w:r>
                          <w:rPr>
                            <w:color w:val="231F20"/>
                            <w:sz w:val="24"/>
                          </w:rPr>
                          <w:t>頁面，電子郵件寄送疾管署管制中心。</w:t>
                        </w:r>
                      </w:p>
                      <w:p>
                        <w:pPr>
                          <w:pStyle w:val="TableParagraph"/>
                          <w:spacing w:line="230" w:lineRule="auto" w:before="6"/>
                          <w:ind w:left="607" w:right="85" w:hanging="340"/>
                          <w:jc w:val="both"/>
                          <w:rPr>
                            <w:sz w:val="24"/>
                          </w:rPr>
                        </w:pPr>
                        <w:r>
                          <w:rPr>
                            <w:rFonts w:ascii="Wingdings" w:hAnsi="Wingdings" w:eastAsia="Wingdings"/>
                            <w:color w:val="231F20"/>
                            <w:w w:val="155"/>
                            <w:sz w:val="24"/>
                          </w:rPr>
                          <w:t>申</w:t>
                        </w:r>
                        <w:r>
                          <w:rPr>
                            <w:rFonts w:ascii="Times New Roman" w:hAnsi="Times New Roman" w:eastAsia="Times New Roman"/>
                            <w:color w:val="231F20"/>
                            <w:w w:val="155"/>
                            <w:sz w:val="24"/>
                          </w:rPr>
                          <w:t> </w:t>
                        </w:r>
                        <w:r>
                          <w:rPr>
                            <w:color w:val="231F20"/>
                            <w:spacing w:val="8"/>
                            <w:sz w:val="24"/>
                          </w:rPr>
                          <w:t>區管中心初步硏判及確認是否送 </w:t>
                        </w:r>
                        <w:r>
                          <w:rPr>
                            <w:color w:val="231F20"/>
                            <w:sz w:val="24"/>
                          </w:rPr>
                          <w:t>WGS</w:t>
                        </w:r>
                        <w:r>
                          <w:rPr>
                            <w:color w:val="231F20"/>
                            <w:spacing w:val="8"/>
                            <w:sz w:val="24"/>
                          </w:rPr>
                          <w:t> 親緣</w:t>
                        </w:r>
                        <w:r>
                          <w:rPr>
                            <w:color w:val="231F20"/>
                            <w:spacing w:val="-217"/>
                            <w:sz w:val="24"/>
                          </w:rPr>
                          <w:t>性</w:t>
                        </w:r>
                        <w:r>
                          <w:rPr>
                            <w:color w:val="231F20"/>
                            <w:sz w:val="24"/>
                          </w:rPr>
                          <w:t>分析，副知慢性組。</w:t>
                        </w:r>
                      </w:p>
                      <w:p>
                        <w:pPr>
                          <w:pStyle w:val="TableParagraph"/>
                          <w:spacing w:line="410" w:lineRule="exact"/>
                          <w:ind w:left="267"/>
                          <w:jc w:val="both"/>
                          <w:rPr>
                            <w:sz w:val="24"/>
                          </w:rPr>
                        </w:pPr>
                        <w:r>
                          <w:rPr>
                            <w:rFonts w:ascii="Wingdings" w:hAnsi="Wingdings" w:eastAsia="Wingdings"/>
                            <w:color w:val="231F20"/>
                            <w:w w:val="155"/>
                            <w:sz w:val="24"/>
                          </w:rPr>
                          <w:t>申</w:t>
                        </w:r>
                        <w:r>
                          <w:rPr>
                            <w:rFonts w:ascii="Times New Roman" w:hAnsi="Times New Roman" w:eastAsia="Times New Roman"/>
                            <w:color w:val="231F20"/>
                            <w:spacing w:val="-46"/>
                            <w:w w:val="155"/>
                            <w:sz w:val="24"/>
                          </w:rPr>
                          <w:t> </w:t>
                        </w:r>
                        <w:r>
                          <w:rPr>
                            <w:color w:val="231F20"/>
                            <w:spacing w:val="-3"/>
                            <w:sz w:val="24"/>
                          </w:rPr>
                          <w:t>由分枝桿蔥實驗室進行全基因體定序 </w:t>
                        </w:r>
                        <w:r>
                          <w:rPr>
                            <w:color w:val="231F20"/>
                            <w:sz w:val="24"/>
                          </w:rPr>
                          <w:t>（WGS)</w:t>
                        </w:r>
                        <w:r>
                          <w:rPr>
                            <w:color w:val="231F20"/>
                            <w:spacing w:val="-71"/>
                            <w:sz w:val="24"/>
                          </w:rPr>
                          <w:t>。</w:t>
                        </w:r>
                      </w:p>
                      <w:p>
                        <w:pPr>
                          <w:pStyle w:val="TableParagraph"/>
                          <w:spacing w:line="396" w:lineRule="exact"/>
                          <w:ind w:left="267"/>
                          <w:jc w:val="both"/>
                          <w:rPr>
                            <w:sz w:val="24"/>
                          </w:rPr>
                        </w:pPr>
                        <w:r>
                          <w:rPr>
                            <w:rFonts w:ascii="Wingdings" w:hAnsi="Wingdings" w:eastAsia="Wingdings"/>
                            <w:color w:val="231F20"/>
                            <w:w w:val="155"/>
                            <w:sz w:val="24"/>
                          </w:rPr>
                          <w:t>申</w:t>
                        </w:r>
                        <w:r>
                          <w:rPr>
                            <w:rFonts w:ascii="Times New Roman" w:hAnsi="Times New Roman" w:eastAsia="Times New Roman"/>
                            <w:color w:val="231F20"/>
                            <w:w w:val="155"/>
                            <w:sz w:val="24"/>
                          </w:rPr>
                          <w:t> </w:t>
                        </w:r>
                        <w:r>
                          <w:rPr>
                            <w:color w:val="231F20"/>
                            <w:sz w:val="24"/>
                          </w:rPr>
                          <w:t>依 WGS 判斷感染源調査範圍。</w:t>
                        </w:r>
                      </w:p>
                    </w:tc>
                  </w:tr>
                </w:tbl>
                <w:p>
                  <w:pPr>
                    <w:pStyle w:val="BodyText"/>
                  </w:pPr>
                </w:p>
              </w:txbxContent>
            </v:textbox>
            <w10:wrap type="none"/>
          </v:shape>
        </w:pict>
      </w:r>
      <w:r>
        <w:rPr>
          <w:color w:val="231F20"/>
        </w:rPr>
        <w:t>壹拾、抗藥性結核病管理工作項目檢核表</w:t>
      </w:r>
    </w:p>
    <w:p>
      <w:pPr>
        <w:spacing w:after="0" w:line="240" w:lineRule="auto"/>
        <w:sectPr>
          <w:pgSz w:w="11910" w:h="16840"/>
          <w:pgMar w:top="1060" w:bottom="0" w:left="980" w:right="0"/>
        </w:sectPr>
      </w:pP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56"/>
        <w:gridCol w:w="1204"/>
        <w:gridCol w:w="942"/>
        <w:gridCol w:w="882"/>
        <w:gridCol w:w="5634"/>
      </w:tblGrid>
      <w:tr>
        <w:trPr>
          <w:trHeight w:val="451" w:hRule="atLeast"/>
        </w:trPr>
        <w:tc>
          <w:tcPr>
            <w:tcW w:w="3984" w:type="dxa"/>
            <w:gridSpan w:val="4"/>
            <w:shd w:val="clear" w:color="auto" w:fill="E6E7E8"/>
          </w:tcPr>
          <w:p>
            <w:pPr>
              <w:pStyle w:val="TableParagraph"/>
              <w:spacing w:line="432" w:lineRule="exact"/>
              <w:ind w:left="1492" w:right="1477"/>
              <w:jc w:val="center"/>
              <w:rPr>
                <w:rFonts w:ascii="微軟正黑體" w:eastAsia="微軟正黑體" w:hint="eastAsia"/>
                <w:b/>
                <w:sz w:val="24"/>
              </w:rPr>
            </w:pPr>
            <w:r>
              <w:rPr>
                <w:rFonts w:ascii="微軟正黑體" w:eastAsia="微軟正黑體" w:hint="eastAsia"/>
                <w:b/>
                <w:color w:val="231F20"/>
                <w:sz w:val="24"/>
              </w:rPr>
              <w:t>主責單位</w:t>
            </w:r>
          </w:p>
        </w:tc>
        <w:tc>
          <w:tcPr>
            <w:tcW w:w="5634" w:type="dxa"/>
            <w:vMerge w:val="restart"/>
            <w:shd w:val="clear" w:color="auto" w:fill="E6E7E8"/>
          </w:tcPr>
          <w:p>
            <w:pPr>
              <w:pStyle w:val="TableParagraph"/>
              <w:spacing w:before="3"/>
              <w:rPr>
                <w:rFonts w:ascii="微軟正黑體"/>
                <w:b/>
                <w:sz w:val="23"/>
              </w:rPr>
            </w:pPr>
          </w:p>
          <w:p>
            <w:pPr>
              <w:pStyle w:val="TableParagraph"/>
              <w:ind w:left="1018"/>
              <w:rPr>
                <w:rFonts w:ascii="微軟正黑體" w:eastAsia="微軟正黑體" w:hint="eastAsia"/>
                <w:b/>
                <w:sz w:val="24"/>
              </w:rPr>
            </w:pPr>
            <w:r>
              <w:rPr>
                <w:rFonts w:ascii="微軟正黑體" w:eastAsia="微軟正黑體" w:hint="eastAsia"/>
                <w:b/>
                <w:color w:val="231F20"/>
                <w:w w:val="105"/>
                <w:sz w:val="24"/>
              </w:rPr>
              <w:t>抗藥性結核病病人監測及通報t呈</w:t>
            </w:r>
          </w:p>
        </w:tc>
      </w:tr>
      <w:tr>
        <w:trPr>
          <w:trHeight w:val="851" w:hRule="atLeast"/>
        </w:trPr>
        <w:tc>
          <w:tcPr>
            <w:tcW w:w="956" w:type="dxa"/>
            <w:shd w:val="clear" w:color="auto" w:fill="E6E7E8"/>
          </w:tcPr>
          <w:p>
            <w:pPr>
              <w:pStyle w:val="TableParagraph"/>
              <w:spacing w:before="193"/>
              <w:ind w:left="97" w:right="83"/>
              <w:jc w:val="center"/>
              <w:rPr>
                <w:rFonts w:ascii="微軟正黑體" w:eastAsia="微軟正黑體" w:hint="eastAsia"/>
                <w:b/>
                <w:sz w:val="24"/>
              </w:rPr>
            </w:pPr>
            <w:r>
              <w:rPr>
                <w:rFonts w:ascii="微軟正黑體" w:eastAsia="微軟正黑體" w:hint="eastAsia"/>
                <w:b/>
                <w:color w:val="231F20"/>
                <w:sz w:val="24"/>
              </w:rPr>
              <w:t>疾管署</w:t>
            </w:r>
          </w:p>
        </w:tc>
        <w:tc>
          <w:tcPr>
            <w:tcW w:w="1204" w:type="dxa"/>
            <w:shd w:val="clear" w:color="auto" w:fill="E6E7E8"/>
          </w:tcPr>
          <w:p>
            <w:pPr>
              <w:pStyle w:val="TableParagraph"/>
              <w:spacing w:line="218" w:lineRule="auto" w:before="22"/>
              <w:ind w:left="122" w:right="105" w:firstLine="119"/>
              <w:rPr>
                <w:rFonts w:ascii="微軟正黑體" w:eastAsia="微軟正黑體" w:hint="eastAsia"/>
                <w:b/>
                <w:sz w:val="24"/>
              </w:rPr>
            </w:pPr>
            <w:r>
              <w:rPr>
                <w:rFonts w:ascii="微軟正黑體" w:eastAsia="微軟正黑體" w:hint="eastAsia"/>
                <w:b/>
                <w:color w:val="231F20"/>
                <w:sz w:val="24"/>
              </w:rPr>
              <w:t>疾管署區管中心</w:t>
            </w:r>
          </w:p>
        </w:tc>
        <w:tc>
          <w:tcPr>
            <w:tcW w:w="942" w:type="dxa"/>
            <w:shd w:val="clear" w:color="auto" w:fill="E6E7E8"/>
          </w:tcPr>
          <w:p>
            <w:pPr>
              <w:pStyle w:val="TableParagraph"/>
              <w:spacing w:line="414" w:lineRule="exact"/>
              <w:ind w:left="113"/>
              <w:rPr>
                <w:rFonts w:ascii="微軟正黑體" w:eastAsia="微軟正黑體" w:hint="eastAsia"/>
                <w:b/>
                <w:sz w:val="24"/>
              </w:rPr>
            </w:pPr>
            <w:r>
              <w:rPr>
                <w:rFonts w:ascii="微軟正黑體" w:eastAsia="微軟正黑體" w:hint="eastAsia"/>
                <w:b/>
                <w:color w:val="231F20"/>
                <w:sz w:val="24"/>
              </w:rPr>
              <w:t>衛生局</w:t>
            </w:r>
          </w:p>
          <w:p>
            <w:pPr>
              <w:pStyle w:val="TableParagraph"/>
              <w:spacing w:line="417" w:lineRule="exact"/>
              <w:ind w:left="268"/>
              <w:rPr>
                <w:rFonts w:ascii="微軟正黑體" w:eastAsia="微軟正黑體" w:hint="eastAsia"/>
                <w:b/>
                <w:sz w:val="24"/>
              </w:rPr>
            </w:pPr>
            <w:r>
              <w:rPr>
                <w:rFonts w:ascii="微軟正黑體" w:eastAsia="微軟正黑體" w:hint="eastAsia"/>
                <w:b/>
                <w:color w:val="231F20"/>
                <w:w w:val="80"/>
                <w:sz w:val="24"/>
              </w:rPr>
              <w:t>／所</w:t>
            </w:r>
            <w:r>
              <w:rPr>
                <w:rFonts w:ascii="微軟正黑體" w:eastAsia="微軟正黑體" w:hint="eastAsia"/>
                <w:b/>
                <w:color w:val="231F20"/>
                <w:sz w:val="24"/>
              </w:rPr>
              <w:t> </w:t>
            </w:r>
          </w:p>
        </w:tc>
        <w:tc>
          <w:tcPr>
            <w:tcW w:w="882" w:type="dxa"/>
            <w:shd w:val="clear" w:color="auto" w:fill="E6E7E8"/>
          </w:tcPr>
          <w:p>
            <w:pPr>
              <w:pStyle w:val="TableParagraph"/>
              <w:spacing w:before="193"/>
              <w:ind w:left="80" w:right="65"/>
              <w:jc w:val="center"/>
              <w:rPr>
                <w:rFonts w:ascii="微軟正黑體"/>
                <w:b/>
                <w:sz w:val="24"/>
              </w:rPr>
            </w:pPr>
            <w:r>
              <w:rPr>
                <w:rFonts w:ascii="微軟正黑體"/>
                <w:b/>
                <w:color w:val="231F20"/>
                <w:sz w:val="24"/>
              </w:rPr>
              <w:t>TMTC</w:t>
            </w:r>
          </w:p>
        </w:tc>
        <w:tc>
          <w:tcPr>
            <w:tcW w:w="5634" w:type="dxa"/>
            <w:vMerge/>
            <w:tcBorders>
              <w:top w:val="nil"/>
            </w:tcBorders>
            <w:shd w:val="clear" w:color="auto" w:fill="E6E7E8"/>
          </w:tcPr>
          <w:p>
            <w:pPr>
              <w:rPr>
                <w:sz w:val="2"/>
                <w:szCs w:val="2"/>
              </w:rPr>
            </w:pPr>
          </w:p>
        </w:tc>
      </w:tr>
      <w:tr>
        <w:trPr>
          <w:trHeight w:val="1261" w:hRule="atLeast"/>
        </w:trPr>
        <w:tc>
          <w:tcPr>
            <w:tcW w:w="956" w:type="dxa"/>
          </w:tcPr>
          <w:p>
            <w:pPr>
              <w:pStyle w:val="TableParagraph"/>
              <w:rPr>
                <w:rFonts w:ascii="微軟正黑體"/>
                <w:b/>
                <w:sz w:val="24"/>
              </w:rPr>
            </w:pPr>
          </w:p>
          <w:p>
            <w:pPr>
              <w:pStyle w:val="TableParagraph"/>
              <w:spacing w:before="15"/>
              <w:rPr>
                <w:rFonts w:ascii="微軟正黑體"/>
                <w:b/>
                <w:sz w:val="22"/>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1204" w:type="dxa"/>
          </w:tcPr>
          <w:p>
            <w:pPr>
              <w:pStyle w:val="TableParagraph"/>
              <w:rPr>
                <w:rFonts w:ascii="微軟正黑體"/>
                <w:b/>
                <w:sz w:val="24"/>
              </w:rPr>
            </w:pPr>
          </w:p>
          <w:p>
            <w:pPr>
              <w:pStyle w:val="TableParagraph"/>
              <w:spacing w:before="15"/>
              <w:rPr>
                <w:rFonts w:ascii="微軟正黑體"/>
                <w:b/>
                <w:sz w:val="22"/>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942" w:type="dxa"/>
          </w:tcPr>
          <w:p>
            <w:pPr>
              <w:pStyle w:val="TableParagraph"/>
              <w:spacing w:before="51"/>
              <w:ind w:right="333"/>
              <w:jc w:val="right"/>
              <w:rPr>
                <w:rFonts w:ascii="新細明體" w:eastAsia="新細明體" w:hint="eastAsia"/>
                <w:sz w:val="24"/>
              </w:rPr>
            </w:pPr>
            <w:r>
              <w:rPr>
                <w:rFonts w:ascii="新細明體" w:eastAsia="新細明體" w:hint="eastAsia"/>
                <w:color w:val="231F20"/>
                <w:sz w:val="24"/>
              </w:rPr>
              <w:t>口</w:t>
            </w:r>
          </w:p>
        </w:tc>
        <w:tc>
          <w:tcPr>
            <w:tcW w:w="882" w:type="dxa"/>
          </w:tcPr>
          <w:p>
            <w:pPr>
              <w:pStyle w:val="TableParagraph"/>
              <w:rPr>
                <w:rFonts w:ascii="Times New Roman"/>
                <w:sz w:val="22"/>
              </w:rPr>
            </w:pPr>
          </w:p>
        </w:tc>
        <w:tc>
          <w:tcPr>
            <w:tcW w:w="5634" w:type="dxa"/>
          </w:tcPr>
          <w:p>
            <w:pPr>
              <w:pStyle w:val="TableParagraph"/>
              <w:spacing w:line="230" w:lineRule="auto" w:before="36"/>
              <w:ind w:left="607" w:right="47" w:hanging="340"/>
              <w:rPr>
                <w:sz w:val="24"/>
              </w:rPr>
            </w:pPr>
            <w:r>
              <w:rPr>
                <w:rFonts w:ascii="Wingdings" w:hAnsi="Wingdings" w:eastAsia="Wingdings"/>
                <w:color w:val="231F20"/>
                <w:w w:val="140"/>
                <w:sz w:val="24"/>
              </w:rPr>
              <w:t>申</w:t>
            </w:r>
            <w:r>
              <w:rPr>
                <w:rFonts w:ascii="Times New Roman" w:hAnsi="Times New Roman" w:eastAsia="Times New Roman"/>
                <w:color w:val="231F20"/>
                <w:w w:val="140"/>
                <w:sz w:val="24"/>
              </w:rPr>
              <w:t> </w:t>
            </w:r>
            <w:r>
              <w:rPr>
                <w:color w:val="231F20"/>
                <w:spacing w:val="2"/>
                <w:w w:val="105"/>
                <w:sz w:val="24"/>
              </w:rPr>
              <w:t>啟動感染源調査，並填寫「</w:t>
            </w:r>
            <w:r>
              <w:rPr>
                <w:color w:val="231F20"/>
                <w:w w:val="105"/>
                <w:sz w:val="24"/>
              </w:rPr>
              <w:t>MDR-TB</w:t>
            </w:r>
            <w:r>
              <w:rPr>
                <w:color w:val="231F20"/>
                <w:spacing w:val="-9"/>
                <w:w w:val="105"/>
                <w:sz w:val="24"/>
              </w:rPr>
              <w:t> 同基因</w:t>
            </w:r>
            <w:r>
              <w:rPr>
                <w:color w:val="231F20"/>
                <w:spacing w:val="-223"/>
                <w:w w:val="105"/>
                <w:sz w:val="24"/>
              </w:rPr>
              <w:t>型</w:t>
            </w:r>
            <w:r>
              <w:rPr>
                <w:color w:val="231F20"/>
                <w:w w:val="105"/>
                <w:sz w:val="24"/>
              </w:rPr>
              <w:t>感染源調査報告」。</w:t>
            </w:r>
          </w:p>
          <w:p>
            <w:pPr>
              <w:pStyle w:val="TableParagraph"/>
              <w:spacing w:line="403"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提供感染源調査之防疫建議。</w:t>
            </w:r>
          </w:p>
        </w:tc>
      </w:tr>
      <w:tr>
        <w:trPr>
          <w:trHeight w:val="3280" w:hRule="atLeast"/>
        </w:trPr>
        <w:tc>
          <w:tcPr>
            <w:tcW w:w="956" w:type="dxa"/>
          </w:tcPr>
          <w:p>
            <w:pPr>
              <w:pStyle w:val="TableParagraph"/>
              <w:rPr>
                <w:rFonts w:ascii="Times New Roman"/>
                <w:sz w:val="22"/>
              </w:rPr>
            </w:pPr>
          </w:p>
        </w:tc>
        <w:tc>
          <w:tcPr>
            <w:tcW w:w="1204" w:type="dxa"/>
          </w:tcPr>
          <w:p>
            <w:pPr>
              <w:pStyle w:val="TableParagraph"/>
              <w:rPr>
                <w:rFonts w:ascii="Times New Roman"/>
                <w:sz w:val="22"/>
              </w:rPr>
            </w:pPr>
          </w:p>
        </w:tc>
        <w:tc>
          <w:tcPr>
            <w:tcW w:w="942" w:type="dxa"/>
          </w:tcPr>
          <w:p>
            <w:pPr>
              <w:pStyle w:val="TableParagraph"/>
              <w:spacing w:before="1"/>
              <w:rPr>
                <w:rFonts w:ascii="微軟正黑體"/>
                <w:b/>
                <w:sz w:val="25"/>
              </w:rPr>
            </w:pPr>
          </w:p>
          <w:p>
            <w:pPr>
              <w:pStyle w:val="TableParagraph"/>
              <w:spacing w:line="578" w:lineRule="auto"/>
              <w:ind w:left="351" w:right="333"/>
              <w:jc w:val="center"/>
              <w:rPr>
                <w:rFonts w:ascii="新細明體" w:eastAsia="新細明體" w:hint="eastAsia"/>
                <w:sz w:val="24"/>
              </w:rPr>
            </w:pPr>
            <w:r>
              <w:rPr>
                <w:rFonts w:ascii="新細明體" w:eastAsia="新細明體" w:hint="eastAsia"/>
                <w:color w:val="231F20"/>
                <w:sz w:val="24"/>
              </w:rPr>
              <w:t>口口</w:t>
            </w:r>
          </w:p>
          <w:p>
            <w:pPr>
              <w:pStyle w:val="TableParagraph"/>
              <w:spacing w:before="15"/>
              <w:rPr>
                <w:rFonts w:ascii="微軟正黑體"/>
                <w:b/>
                <w:sz w:val="21"/>
              </w:rPr>
            </w:pPr>
          </w:p>
          <w:p>
            <w:pPr>
              <w:pStyle w:val="TableParagraph"/>
              <w:spacing w:before="1"/>
              <w:ind w:left="15"/>
              <w:jc w:val="center"/>
              <w:rPr>
                <w:rFonts w:ascii="新細明體" w:eastAsia="新細明體" w:hint="eastAsia"/>
                <w:sz w:val="24"/>
              </w:rPr>
            </w:pPr>
            <w:r>
              <w:rPr>
                <w:rFonts w:ascii="新細明體" w:eastAsia="新細明體" w:hint="eastAsia"/>
                <w:color w:val="231F20"/>
                <w:sz w:val="24"/>
              </w:rPr>
              <w:t>口</w:t>
            </w:r>
          </w:p>
        </w:tc>
        <w:tc>
          <w:tcPr>
            <w:tcW w:w="882" w:type="dxa"/>
          </w:tcPr>
          <w:p>
            <w:pPr>
              <w:pStyle w:val="TableParagraph"/>
              <w:rPr>
                <w:rFonts w:ascii="Times New Roman"/>
                <w:sz w:val="22"/>
              </w:rPr>
            </w:pPr>
          </w:p>
        </w:tc>
        <w:tc>
          <w:tcPr>
            <w:tcW w:w="5634" w:type="dxa"/>
          </w:tcPr>
          <w:p>
            <w:pPr>
              <w:pStyle w:val="TableParagraph"/>
              <w:numPr>
                <w:ilvl w:val="0"/>
                <w:numId w:val="222"/>
              </w:numPr>
              <w:tabs>
                <w:tab w:pos="358" w:val="left" w:leader="none"/>
              </w:tabs>
              <w:spacing w:line="414" w:lineRule="exact" w:before="25" w:after="0"/>
              <w:ind w:left="357" w:right="0" w:hanging="244"/>
              <w:jc w:val="left"/>
              <w:rPr>
                <w:sz w:val="24"/>
              </w:rPr>
            </w:pPr>
            <w:r>
              <w:rPr>
                <w:color w:val="231F20"/>
                <w:sz w:val="24"/>
              </w:rPr>
              <w:t>RR／MDR-TB</w:t>
            </w:r>
            <w:r>
              <w:rPr>
                <w:color w:val="231F20"/>
                <w:spacing w:val="-3"/>
                <w:sz w:val="24"/>
              </w:rPr>
              <w:t> 登記收案</w:t>
            </w:r>
          </w:p>
          <w:p>
            <w:pPr>
              <w:pStyle w:val="TableParagraph"/>
              <w:spacing w:line="230" w:lineRule="auto" w:before="7"/>
              <w:ind w:left="607" w:right="96" w:hanging="340"/>
              <w:jc w:val="both"/>
              <w:rPr>
                <w:sz w:val="24"/>
              </w:rPr>
            </w:pPr>
            <w:r>
              <w:rPr>
                <w:rFonts w:ascii="Wingdings" w:hAnsi="Wingdings" w:eastAsia="Wingdings"/>
                <w:color w:val="231F20"/>
                <w:w w:val="178"/>
                <w:sz w:val="24"/>
              </w:rPr>
              <w:t>申</w:t>
            </w:r>
            <w:r>
              <w:rPr>
                <w:rFonts w:ascii="Times New Roman" w:hAnsi="Times New Roman" w:eastAsia="Times New Roman"/>
                <w:color w:val="231F20"/>
                <w:spacing w:val="3"/>
                <w:sz w:val="24"/>
              </w:rPr>
              <w:t>  </w:t>
            </w:r>
            <w:r>
              <w:rPr>
                <w:color w:val="231F20"/>
                <w:spacing w:val="3"/>
                <w:sz w:val="24"/>
              </w:rPr>
              <w:t>疾管署區管中心完成 </w:t>
            </w:r>
            <w:r>
              <w:rPr>
                <w:color w:val="231F20"/>
                <w:spacing w:val="-1"/>
                <w:w w:val="88"/>
                <w:sz w:val="24"/>
              </w:rPr>
              <w:t>RR</w:t>
            </w:r>
            <w:r>
              <w:rPr>
                <w:color w:val="231F20"/>
                <w:w w:val="41"/>
                <w:sz w:val="24"/>
              </w:rPr>
              <w:t>／</w:t>
            </w:r>
            <w:r>
              <w:rPr>
                <w:color w:val="231F20"/>
                <w:spacing w:val="-1"/>
                <w:w w:val="115"/>
                <w:sz w:val="24"/>
              </w:rPr>
              <w:t>M</w:t>
            </w:r>
            <w:r>
              <w:rPr>
                <w:color w:val="231F20"/>
                <w:w w:val="104"/>
                <w:sz w:val="24"/>
              </w:rPr>
              <w:t>D</w:t>
            </w:r>
            <w:r>
              <w:rPr>
                <w:color w:val="231F20"/>
                <w:spacing w:val="-1"/>
                <w:w w:val="88"/>
                <w:sz w:val="24"/>
              </w:rPr>
              <w:t>R</w:t>
            </w:r>
            <w:r>
              <w:rPr>
                <w:color w:val="231F20"/>
                <w:w w:val="129"/>
                <w:sz w:val="24"/>
              </w:rPr>
              <w:t>-</w:t>
            </w:r>
            <w:r>
              <w:rPr>
                <w:color w:val="231F20"/>
                <w:w w:val="91"/>
                <w:sz w:val="24"/>
              </w:rPr>
              <w:t>T</w:t>
            </w:r>
            <w:r>
              <w:rPr>
                <w:color w:val="231F20"/>
                <w:w w:val="92"/>
                <w:sz w:val="24"/>
              </w:rPr>
              <w:t>B</w:t>
            </w:r>
            <w:r>
              <w:rPr>
                <w:color w:val="231F20"/>
                <w:spacing w:val="-3"/>
                <w:sz w:val="24"/>
              </w:rPr>
              <w:t> 註記 </w:t>
            </w:r>
            <w:r>
              <w:rPr>
                <w:color w:val="231F20"/>
                <w:w w:val="104"/>
                <w:sz w:val="24"/>
              </w:rPr>
              <w:t>1</w:t>
            </w:r>
            <w:r>
              <w:rPr>
                <w:color w:val="231F20"/>
                <w:spacing w:val="-1"/>
                <w:sz w:val="24"/>
              </w:rPr>
              <w:t> 個</w:t>
            </w:r>
            <w:r>
              <w:rPr>
                <w:color w:val="231F20"/>
                <w:spacing w:val="-227"/>
                <w:sz w:val="24"/>
              </w:rPr>
              <w:t>工</w:t>
            </w:r>
            <w:r>
              <w:rPr>
                <w:color w:val="231F20"/>
                <w:spacing w:val="-2"/>
                <w:sz w:val="24"/>
              </w:rPr>
              <w:t>作日內，至 </w:t>
            </w:r>
            <w:r>
              <w:rPr>
                <w:color w:val="231F20"/>
                <w:sz w:val="24"/>
              </w:rPr>
              <w:t>TB</w:t>
            </w:r>
            <w:r>
              <w:rPr>
                <w:color w:val="231F20"/>
                <w:spacing w:val="-3"/>
                <w:sz w:val="24"/>
              </w:rPr>
              <w:t> 系統完成登記收案作業。</w:t>
            </w:r>
          </w:p>
          <w:p>
            <w:pPr>
              <w:pStyle w:val="TableParagraph"/>
              <w:spacing w:line="230" w:lineRule="auto" w:before="8"/>
              <w:ind w:left="607" w:right="90" w:hanging="340"/>
              <w:jc w:val="both"/>
              <w:rPr>
                <w:sz w:val="24"/>
              </w:rPr>
            </w:pPr>
            <w:r>
              <w:rPr>
                <w:rFonts w:ascii="Wingdings" w:hAnsi="Wingdings" w:eastAsia="Wingdings"/>
                <w:color w:val="231F20"/>
                <w:w w:val="140"/>
                <w:sz w:val="24"/>
              </w:rPr>
              <w:t>申</w:t>
            </w:r>
            <w:r>
              <w:rPr>
                <w:rFonts w:ascii="Times New Roman" w:hAnsi="Times New Roman" w:eastAsia="Times New Roman"/>
                <w:color w:val="231F20"/>
                <w:w w:val="140"/>
                <w:sz w:val="24"/>
              </w:rPr>
              <w:t> </w:t>
            </w:r>
            <w:r>
              <w:rPr>
                <w:color w:val="231F20"/>
                <w:spacing w:val="-17"/>
                <w:w w:val="105"/>
                <w:sz w:val="24"/>
              </w:rPr>
              <w:t>交付 </w:t>
            </w:r>
            <w:r>
              <w:rPr>
                <w:color w:val="231F20"/>
                <w:w w:val="105"/>
                <w:sz w:val="24"/>
              </w:rPr>
              <w:t>RR-TB</w:t>
            </w:r>
            <w:r>
              <w:rPr>
                <w:color w:val="231F20"/>
                <w:spacing w:val="-8"/>
                <w:w w:val="105"/>
                <w:sz w:val="24"/>
              </w:rPr>
              <w:t> 病人甲類限制搭乘大眾航空器出</w:t>
            </w:r>
            <w:r>
              <w:rPr>
                <w:color w:val="231F20"/>
                <w:spacing w:val="-219"/>
                <w:w w:val="105"/>
                <w:sz w:val="24"/>
              </w:rPr>
              <w:t>國</w:t>
            </w:r>
            <w:r>
              <w:rPr>
                <w:color w:val="231F20"/>
                <w:spacing w:val="2"/>
                <w:sz w:val="24"/>
              </w:rPr>
              <w:t>出境通知單、</w:t>
            </w:r>
            <w:r>
              <w:rPr>
                <w:color w:val="231F20"/>
                <w:sz w:val="24"/>
              </w:rPr>
              <w:t>MDR-TB</w:t>
            </w:r>
            <w:r>
              <w:rPr>
                <w:color w:val="231F20"/>
                <w:spacing w:val="4"/>
                <w:sz w:val="24"/>
              </w:rPr>
              <w:t> 病人乙類限制搭乘大眾</w:t>
            </w:r>
            <w:r>
              <w:rPr>
                <w:color w:val="231F20"/>
                <w:w w:val="105"/>
                <w:sz w:val="24"/>
              </w:rPr>
              <w:t>航空器出國出境通知單。</w:t>
            </w:r>
          </w:p>
          <w:p>
            <w:pPr>
              <w:pStyle w:val="TableParagraph"/>
              <w:spacing w:line="404" w:lineRule="exact"/>
              <w:ind w:left="267"/>
              <w:jc w:val="both"/>
              <w:rPr>
                <w:sz w:val="24"/>
              </w:rPr>
            </w:pPr>
            <w:r>
              <w:rPr>
                <w:rFonts w:ascii="Wingdings" w:hAnsi="Wingdings" w:eastAsia="Wingdings"/>
                <w:color w:val="231F20"/>
                <w:w w:val="150"/>
                <w:sz w:val="24"/>
              </w:rPr>
              <w:t>申</w:t>
            </w:r>
            <w:r>
              <w:rPr>
                <w:rFonts w:ascii="Times New Roman" w:hAnsi="Times New Roman" w:eastAsia="Times New Roman"/>
                <w:color w:val="231F20"/>
                <w:w w:val="150"/>
                <w:sz w:val="24"/>
              </w:rPr>
              <w:t> </w:t>
            </w:r>
            <w:r>
              <w:rPr>
                <w:color w:val="231F20"/>
                <w:spacing w:val="-5"/>
                <w:w w:val="105"/>
                <w:sz w:val="24"/>
              </w:rPr>
              <w:t>衛教病人納入 </w:t>
            </w:r>
            <w:r>
              <w:rPr>
                <w:color w:val="231F20"/>
                <w:spacing w:val="-4"/>
                <w:w w:val="105"/>
                <w:sz w:val="24"/>
              </w:rPr>
              <w:t>TMTC</w:t>
            </w:r>
            <w:r>
              <w:rPr>
                <w:color w:val="231F20"/>
                <w:spacing w:val="-15"/>
                <w:w w:val="105"/>
                <w:sz w:val="24"/>
              </w:rPr>
              <w:t> 團隊治療重要、管理原則</w:t>
            </w:r>
          </w:p>
          <w:p>
            <w:pPr>
              <w:pStyle w:val="TableParagraph"/>
              <w:spacing w:line="397" w:lineRule="exact"/>
              <w:ind w:left="607"/>
              <w:rPr>
                <w:sz w:val="24"/>
              </w:rPr>
            </w:pPr>
            <w:r>
              <w:rPr>
                <w:color w:val="231F20"/>
                <w:sz w:val="24"/>
              </w:rPr>
              <w:t>以及隔離治療規範。</w:t>
            </w:r>
          </w:p>
        </w:tc>
      </w:tr>
      <w:tr>
        <w:trPr>
          <w:trHeight w:val="861" w:hRule="atLeast"/>
        </w:trPr>
        <w:tc>
          <w:tcPr>
            <w:tcW w:w="956" w:type="dxa"/>
          </w:tcPr>
          <w:p>
            <w:pPr>
              <w:pStyle w:val="TableParagraph"/>
              <w:rPr>
                <w:rFonts w:ascii="Times New Roman"/>
                <w:sz w:val="22"/>
              </w:rPr>
            </w:pPr>
          </w:p>
        </w:tc>
        <w:tc>
          <w:tcPr>
            <w:tcW w:w="1204" w:type="dxa"/>
          </w:tcPr>
          <w:p>
            <w:pPr>
              <w:pStyle w:val="TableParagraph"/>
              <w:rPr>
                <w:rFonts w:ascii="Times New Roman"/>
                <w:sz w:val="22"/>
              </w:rPr>
            </w:pPr>
          </w:p>
        </w:tc>
        <w:tc>
          <w:tcPr>
            <w:tcW w:w="942" w:type="dxa"/>
          </w:tcPr>
          <w:p>
            <w:pPr>
              <w:pStyle w:val="TableParagraph"/>
              <w:spacing w:before="1"/>
              <w:rPr>
                <w:rFonts w:ascii="微軟正黑體"/>
                <w:b/>
                <w:sz w:val="25"/>
              </w:rPr>
            </w:pPr>
          </w:p>
          <w:p>
            <w:pPr>
              <w:pStyle w:val="TableParagraph"/>
              <w:ind w:right="333"/>
              <w:jc w:val="right"/>
              <w:rPr>
                <w:rFonts w:ascii="新細明體" w:eastAsia="新細明體" w:hint="eastAsia"/>
                <w:sz w:val="24"/>
              </w:rPr>
            </w:pPr>
            <w:r>
              <w:rPr>
                <w:rFonts w:ascii="新細明體" w:eastAsia="新細明體" w:hint="eastAsia"/>
                <w:color w:val="231F20"/>
                <w:sz w:val="24"/>
              </w:rPr>
              <w:t>口</w:t>
            </w:r>
          </w:p>
        </w:tc>
        <w:tc>
          <w:tcPr>
            <w:tcW w:w="882" w:type="dxa"/>
          </w:tcPr>
          <w:p>
            <w:pPr>
              <w:pStyle w:val="TableParagraph"/>
              <w:rPr>
                <w:rFonts w:ascii="Times New Roman"/>
                <w:sz w:val="22"/>
              </w:rPr>
            </w:pPr>
          </w:p>
        </w:tc>
        <w:tc>
          <w:tcPr>
            <w:tcW w:w="5634" w:type="dxa"/>
          </w:tcPr>
          <w:p>
            <w:pPr>
              <w:pStyle w:val="TableParagraph"/>
              <w:numPr>
                <w:ilvl w:val="0"/>
                <w:numId w:val="223"/>
              </w:numPr>
              <w:tabs>
                <w:tab w:pos="358" w:val="left" w:leader="none"/>
              </w:tabs>
              <w:spacing w:line="414" w:lineRule="exact" w:before="25" w:after="0"/>
              <w:ind w:left="357" w:right="0" w:hanging="244"/>
              <w:jc w:val="left"/>
              <w:rPr>
                <w:sz w:val="24"/>
              </w:rPr>
            </w:pPr>
            <w:r>
              <w:rPr>
                <w:color w:val="231F20"/>
                <w:sz w:val="24"/>
              </w:rPr>
              <w:t>病人訪視</w:t>
            </w:r>
          </w:p>
          <w:p>
            <w:pPr>
              <w:pStyle w:val="TableParagraph"/>
              <w:spacing w:line="403" w:lineRule="exact"/>
              <w:ind w:left="267"/>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依規定按時訪視病人治療情形。</w:t>
            </w:r>
          </w:p>
        </w:tc>
      </w:tr>
      <w:tr>
        <w:trPr>
          <w:trHeight w:val="2071" w:hRule="atLeast"/>
        </w:trPr>
        <w:tc>
          <w:tcPr>
            <w:tcW w:w="956" w:type="dxa"/>
          </w:tcPr>
          <w:p>
            <w:pPr>
              <w:pStyle w:val="TableParagraph"/>
              <w:rPr>
                <w:rFonts w:ascii="Times New Roman"/>
                <w:sz w:val="22"/>
              </w:rPr>
            </w:pPr>
          </w:p>
        </w:tc>
        <w:tc>
          <w:tcPr>
            <w:tcW w:w="1204" w:type="dxa"/>
          </w:tcPr>
          <w:p>
            <w:pPr>
              <w:pStyle w:val="TableParagraph"/>
              <w:rPr>
                <w:rFonts w:ascii="Times New Roman"/>
                <w:sz w:val="22"/>
              </w:rPr>
            </w:pPr>
          </w:p>
        </w:tc>
        <w:tc>
          <w:tcPr>
            <w:tcW w:w="942" w:type="dxa"/>
          </w:tcPr>
          <w:p>
            <w:pPr>
              <w:pStyle w:val="TableParagraph"/>
              <w:spacing w:before="1"/>
              <w:rPr>
                <w:rFonts w:ascii="微軟正黑體"/>
                <w:b/>
                <w:sz w:val="25"/>
              </w:rPr>
            </w:pPr>
          </w:p>
          <w:p>
            <w:pPr>
              <w:pStyle w:val="TableParagraph"/>
              <w:ind w:right="333"/>
              <w:jc w:val="right"/>
              <w:rPr>
                <w:rFonts w:ascii="新細明體" w:eastAsia="新細明體" w:hint="eastAsia"/>
                <w:sz w:val="24"/>
              </w:rPr>
            </w:pPr>
            <w:r>
              <w:rPr>
                <w:rFonts w:ascii="新細明體" w:eastAsia="新細明體" w:hint="eastAsia"/>
                <w:color w:val="231F20"/>
                <w:sz w:val="24"/>
              </w:rPr>
              <w:t>口</w:t>
            </w:r>
          </w:p>
        </w:tc>
        <w:tc>
          <w:tcPr>
            <w:tcW w:w="882" w:type="dxa"/>
          </w:tcPr>
          <w:p>
            <w:pPr>
              <w:pStyle w:val="TableParagraph"/>
              <w:rPr>
                <w:rFonts w:ascii="微軟正黑體"/>
                <w:b/>
                <w:sz w:val="24"/>
              </w:rPr>
            </w:pPr>
          </w:p>
          <w:p>
            <w:pPr>
              <w:pStyle w:val="TableParagraph"/>
              <w:rPr>
                <w:rFonts w:ascii="微軟正黑體"/>
                <w:b/>
                <w:sz w:val="24"/>
              </w:rPr>
            </w:pPr>
          </w:p>
          <w:p>
            <w:pPr>
              <w:pStyle w:val="TableParagraph"/>
              <w:spacing w:before="2"/>
              <w:rPr>
                <w:rFonts w:ascii="微軟正黑體"/>
                <w:b/>
                <w:sz w:val="21"/>
              </w:rPr>
            </w:pPr>
          </w:p>
          <w:p>
            <w:pPr>
              <w:pStyle w:val="TableParagraph"/>
              <w:ind w:left="15"/>
              <w:jc w:val="center"/>
              <w:rPr>
                <w:rFonts w:ascii="新細明體" w:eastAsia="新細明體" w:hint="eastAsia"/>
                <w:sz w:val="24"/>
              </w:rPr>
            </w:pPr>
            <w:r>
              <w:rPr>
                <w:rFonts w:ascii="新細明體" w:eastAsia="新細明體" w:hint="eastAsia"/>
                <w:color w:val="231F20"/>
                <w:sz w:val="24"/>
              </w:rPr>
              <w:t>口</w:t>
            </w:r>
          </w:p>
        </w:tc>
        <w:tc>
          <w:tcPr>
            <w:tcW w:w="5634" w:type="dxa"/>
          </w:tcPr>
          <w:p>
            <w:pPr>
              <w:pStyle w:val="TableParagraph"/>
              <w:numPr>
                <w:ilvl w:val="0"/>
                <w:numId w:val="224"/>
              </w:numPr>
              <w:tabs>
                <w:tab w:pos="358" w:val="left" w:leader="none"/>
              </w:tabs>
              <w:spacing w:line="414" w:lineRule="exact" w:before="25" w:after="0"/>
              <w:ind w:left="357" w:right="0" w:hanging="244"/>
              <w:jc w:val="left"/>
              <w:rPr>
                <w:sz w:val="24"/>
              </w:rPr>
            </w:pPr>
            <w:r>
              <w:rPr>
                <w:color w:val="231F20"/>
                <w:spacing w:val="-3"/>
                <w:sz w:val="24"/>
              </w:rPr>
              <w:t>轉介 TMTC 團隊</w:t>
            </w:r>
          </w:p>
          <w:p>
            <w:pPr>
              <w:pStyle w:val="TableParagraph"/>
              <w:spacing w:line="230" w:lineRule="auto" w:before="7"/>
              <w:ind w:left="607" w:right="26" w:hanging="340"/>
              <w:rPr>
                <w:sz w:val="24"/>
              </w:rPr>
            </w:pPr>
            <w:r>
              <w:rPr>
                <w:rFonts w:ascii="Wingdings" w:hAnsi="Wingdings" w:eastAsia="Wingdings"/>
                <w:color w:val="231F20"/>
                <w:w w:val="155"/>
                <w:sz w:val="24"/>
              </w:rPr>
              <w:t>申</w:t>
            </w:r>
            <w:r>
              <w:rPr>
                <w:rFonts w:ascii="Times New Roman" w:hAnsi="Times New Roman" w:eastAsia="Times New Roman"/>
                <w:color w:val="231F20"/>
                <w:w w:val="155"/>
                <w:sz w:val="24"/>
              </w:rPr>
              <w:t> </w:t>
            </w:r>
            <w:r>
              <w:rPr>
                <w:color w:val="231F20"/>
                <w:spacing w:val="13"/>
                <w:w w:val="105"/>
                <w:sz w:val="24"/>
              </w:rPr>
              <w:t>轉介抗藥性結核病病人至 </w:t>
            </w:r>
            <w:r>
              <w:rPr>
                <w:color w:val="231F20"/>
                <w:spacing w:val="-4"/>
                <w:w w:val="105"/>
                <w:sz w:val="24"/>
              </w:rPr>
              <w:t>TMTC</w:t>
            </w:r>
            <w:r>
              <w:rPr>
                <w:color w:val="231F20"/>
                <w:spacing w:val="6"/>
                <w:w w:val="105"/>
                <w:sz w:val="24"/>
              </w:rPr>
              <w:t> 團隊接受</w:t>
            </w:r>
            <w:r>
              <w:rPr>
                <w:color w:val="231F20"/>
                <w:spacing w:val="-208"/>
                <w:w w:val="105"/>
                <w:sz w:val="24"/>
              </w:rPr>
              <w:t>治</w:t>
            </w:r>
            <w:r>
              <w:rPr>
                <w:color w:val="231F20"/>
                <w:w w:val="105"/>
                <w:sz w:val="24"/>
              </w:rPr>
              <w:t>療。</w:t>
            </w:r>
          </w:p>
          <w:p>
            <w:pPr>
              <w:pStyle w:val="TableParagraph"/>
              <w:spacing w:line="405" w:lineRule="exact"/>
              <w:ind w:left="267"/>
              <w:rPr>
                <w:sz w:val="24"/>
              </w:rPr>
            </w:pPr>
            <w:r>
              <w:rPr>
                <w:rFonts w:ascii="Wingdings" w:hAnsi="Wingdings" w:eastAsia="Wingdings"/>
                <w:color w:val="231F20"/>
                <w:w w:val="105"/>
                <w:sz w:val="24"/>
              </w:rPr>
              <w:t>申</w:t>
            </w:r>
            <w:r>
              <w:rPr>
                <w:rFonts w:ascii="Times New Roman" w:hAnsi="Times New Roman" w:eastAsia="Times New Roman"/>
                <w:color w:val="231F20"/>
                <w:w w:val="105"/>
                <w:sz w:val="24"/>
              </w:rPr>
              <w:t> </w:t>
            </w:r>
            <w:r>
              <w:rPr>
                <w:color w:val="231F20"/>
                <w:spacing w:val="-4"/>
                <w:w w:val="105"/>
                <w:sz w:val="24"/>
              </w:rPr>
              <w:t>TMTC</w:t>
            </w:r>
            <w:r>
              <w:rPr>
                <w:color w:val="231F20"/>
                <w:spacing w:val="31"/>
                <w:w w:val="105"/>
                <w:sz w:val="24"/>
              </w:rPr>
              <w:t> 團隊收案並執行個案管理及 </w:t>
            </w:r>
            <w:r>
              <w:rPr>
                <w:color w:val="231F20"/>
                <w:spacing w:val="-29"/>
                <w:w w:val="105"/>
                <w:sz w:val="24"/>
              </w:rPr>
              <w:t>DOTS-</w:t>
            </w:r>
          </w:p>
          <w:p>
            <w:pPr>
              <w:pStyle w:val="TableParagraph"/>
              <w:spacing w:line="397" w:lineRule="exact"/>
              <w:ind w:left="607"/>
              <w:rPr>
                <w:sz w:val="24"/>
              </w:rPr>
            </w:pPr>
            <w:r>
              <w:rPr>
                <w:color w:val="231F20"/>
                <w:w w:val="105"/>
                <w:sz w:val="24"/>
              </w:rPr>
              <w:t>plus。</w:t>
            </w:r>
          </w:p>
        </w:tc>
      </w:tr>
      <w:tr>
        <w:trPr>
          <w:trHeight w:val="2880" w:hRule="atLeast"/>
        </w:trPr>
        <w:tc>
          <w:tcPr>
            <w:tcW w:w="956" w:type="dxa"/>
          </w:tcPr>
          <w:p>
            <w:pPr>
              <w:pStyle w:val="TableParagraph"/>
              <w:rPr>
                <w:rFonts w:ascii="Times New Roman"/>
                <w:sz w:val="22"/>
              </w:rPr>
            </w:pPr>
          </w:p>
        </w:tc>
        <w:tc>
          <w:tcPr>
            <w:tcW w:w="1204" w:type="dxa"/>
          </w:tcPr>
          <w:p>
            <w:pPr>
              <w:pStyle w:val="TableParagraph"/>
              <w:rPr>
                <w:rFonts w:ascii="Times New Roman"/>
                <w:sz w:val="22"/>
              </w:rPr>
            </w:pPr>
          </w:p>
        </w:tc>
        <w:tc>
          <w:tcPr>
            <w:tcW w:w="942" w:type="dxa"/>
          </w:tcPr>
          <w:p>
            <w:pPr>
              <w:pStyle w:val="TableParagraph"/>
              <w:spacing w:before="1"/>
              <w:rPr>
                <w:rFonts w:ascii="微軟正黑體"/>
                <w:b/>
                <w:sz w:val="25"/>
              </w:rPr>
            </w:pPr>
          </w:p>
          <w:p>
            <w:pPr>
              <w:pStyle w:val="TableParagraph"/>
              <w:spacing w:line="578" w:lineRule="auto"/>
              <w:ind w:left="351" w:right="333"/>
              <w:jc w:val="center"/>
              <w:rPr>
                <w:rFonts w:ascii="新細明體" w:eastAsia="新細明體" w:hint="eastAsia"/>
                <w:sz w:val="24"/>
              </w:rPr>
            </w:pPr>
            <w:r>
              <w:rPr>
                <w:rFonts w:ascii="新細明體" w:eastAsia="新細明體" w:hint="eastAsia"/>
                <w:color w:val="231F20"/>
                <w:sz w:val="24"/>
              </w:rPr>
              <w:t>口口</w:t>
            </w:r>
          </w:p>
          <w:p>
            <w:pPr>
              <w:pStyle w:val="TableParagraph"/>
              <w:spacing w:before="15"/>
              <w:rPr>
                <w:rFonts w:ascii="微軟正黑體"/>
                <w:b/>
                <w:sz w:val="21"/>
              </w:rPr>
            </w:pPr>
          </w:p>
          <w:p>
            <w:pPr>
              <w:pStyle w:val="TableParagraph"/>
              <w:spacing w:before="1"/>
              <w:ind w:left="15"/>
              <w:jc w:val="center"/>
              <w:rPr>
                <w:rFonts w:ascii="新細明體" w:eastAsia="新細明體" w:hint="eastAsia"/>
                <w:sz w:val="24"/>
              </w:rPr>
            </w:pPr>
            <w:r>
              <w:rPr>
                <w:rFonts w:ascii="新細明體" w:eastAsia="新細明體" w:hint="eastAsia"/>
                <w:color w:val="231F20"/>
                <w:sz w:val="24"/>
              </w:rPr>
              <w:t>口</w:t>
            </w:r>
          </w:p>
        </w:tc>
        <w:tc>
          <w:tcPr>
            <w:tcW w:w="882" w:type="dxa"/>
          </w:tcPr>
          <w:p>
            <w:pPr>
              <w:pStyle w:val="TableParagraph"/>
              <w:rPr>
                <w:rFonts w:ascii="Times New Roman"/>
                <w:sz w:val="22"/>
              </w:rPr>
            </w:pPr>
          </w:p>
        </w:tc>
        <w:tc>
          <w:tcPr>
            <w:tcW w:w="5634" w:type="dxa"/>
          </w:tcPr>
          <w:p>
            <w:pPr>
              <w:pStyle w:val="TableParagraph"/>
              <w:numPr>
                <w:ilvl w:val="0"/>
                <w:numId w:val="225"/>
              </w:numPr>
              <w:tabs>
                <w:tab w:pos="358" w:val="left" w:leader="none"/>
              </w:tabs>
              <w:spacing w:line="439" w:lineRule="exact" w:before="0" w:after="0"/>
              <w:ind w:left="357" w:right="0" w:hanging="244"/>
              <w:jc w:val="left"/>
              <w:rPr>
                <w:sz w:val="24"/>
              </w:rPr>
            </w:pPr>
            <w:r>
              <w:rPr>
                <w:color w:val="231F20"/>
                <w:sz w:val="24"/>
              </w:rPr>
              <w:t>若病人</w:t>
            </w:r>
            <w:r>
              <w:rPr>
                <w:rFonts w:ascii="微軟正黑體" w:hAnsi="微軟正黑體" w:eastAsia="微軟正黑體" w:hint="eastAsia"/>
                <w:b/>
                <w:color w:val="231F20"/>
                <w:sz w:val="24"/>
                <w:u w:val="single" w:color="231F20"/>
              </w:rPr>
              <w:t>未納入</w:t>
            </w:r>
            <w:r>
              <w:rPr>
                <w:rFonts w:ascii="微軟正黑體" w:hAnsi="微軟正黑體" w:eastAsia="微軟正黑體" w:hint="eastAsia"/>
                <w:b/>
                <w:color w:val="231F20"/>
                <w:spacing w:val="-2"/>
                <w:sz w:val="24"/>
              </w:rPr>
              <w:t> </w:t>
            </w:r>
            <w:r>
              <w:rPr>
                <w:color w:val="231F20"/>
                <w:spacing w:val="-3"/>
                <w:sz w:val="24"/>
              </w:rPr>
              <w:t>TMTC 團隊</w:t>
            </w:r>
          </w:p>
          <w:p>
            <w:pPr>
              <w:pStyle w:val="TableParagraph"/>
              <w:spacing w:line="230" w:lineRule="auto" w:before="7"/>
              <w:ind w:left="607" w:right="91" w:hanging="340"/>
              <w:jc w:val="both"/>
              <w:rPr>
                <w:sz w:val="24"/>
              </w:rPr>
            </w:pPr>
            <w:r>
              <w:rPr>
                <w:rFonts w:ascii="Wingdings" w:hAnsi="Wingdings" w:eastAsia="Wingdings"/>
                <w:color w:val="231F20"/>
                <w:w w:val="150"/>
                <w:sz w:val="24"/>
              </w:rPr>
              <w:t>申</w:t>
            </w:r>
            <w:r>
              <w:rPr>
                <w:rFonts w:ascii="Times New Roman" w:hAnsi="Times New Roman" w:eastAsia="Times New Roman"/>
                <w:color w:val="231F20"/>
                <w:w w:val="150"/>
                <w:sz w:val="24"/>
              </w:rPr>
              <w:t> </w:t>
            </w:r>
            <w:r>
              <w:rPr>
                <w:color w:val="231F20"/>
                <w:spacing w:val="-11"/>
                <w:w w:val="105"/>
                <w:sz w:val="24"/>
              </w:rPr>
              <w:t>未納入 </w:t>
            </w:r>
            <w:r>
              <w:rPr>
                <w:color w:val="231F20"/>
                <w:spacing w:val="-4"/>
                <w:w w:val="105"/>
                <w:sz w:val="24"/>
              </w:rPr>
              <w:t>TMTC 團隊之抗藥性結核病病人，依</w:t>
            </w:r>
            <w:r>
              <w:rPr>
                <w:color w:val="231F20"/>
                <w:spacing w:val="-219"/>
                <w:w w:val="105"/>
                <w:sz w:val="24"/>
              </w:rPr>
              <w:t>附</w:t>
            </w:r>
            <w:r>
              <w:rPr>
                <w:color w:val="231F20"/>
                <w:spacing w:val="-6"/>
                <w:w w:val="105"/>
                <w:sz w:val="24"/>
              </w:rPr>
              <w:t>件 </w:t>
            </w:r>
            <w:r>
              <w:rPr>
                <w:color w:val="231F20"/>
                <w:w w:val="105"/>
                <w:sz w:val="24"/>
              </w:rPr>
              <w:t>10-4</w:t>
            </w:r>
            <w:r>
              <w:rPr>
                <w:color w:val="231F20"/>
                <w:spacing w:val="-3"/>
                <w:w w:val="105"/>
                <w:sz w:val="24"/>
              </w:rPr>
              <w:t> 管理。</w:t>
            </w:r>
          </w:p>
          <w:p>
            <w:pPr>
              <w:pStyle w:val="TableParagraph"/>
              <w:spacing w:line="230" w:lineRule="auto" w:before="8"/>
              <w:ind w:left="607" w:right="84" w:hanging="340"/>
              <w:jc w:val="both"/>
              <w:rPr>
                <w:sz w:val="24"/>
              </w:rPr>
            </w:pPr>
            <w:r>
              <w:rPr>
                <w:rFonts w:ascii="Wingdings" w:hAnsi="Wingdings" w:eastAsia="Wingdings"/>
                <w:color w:val="231F20"/>
                <w:w w:val="155"/>
                <w:sz w:val="24"/>
              </w:rPr>
              <w:t>申</w:t>
            </w:r>
            <w:r>
              <w:rPr>
                <w:rFonts w:ascii="Times New Roman" w:hAnsi="Times New Roman" w:eastAsia="Times New Roman"/>
                <w:color w:val="231F20"/>
                <w:w w:val="155"/>
                <w:sz w:val="24"/>
              </w:rPr>
              <w:t> </w:t>
            </w:r>
            <w:r>
              <w:rPr>
                <w:color w:val="231F20"/>
                <w:sz w:val="24"/>
              </w:rPr>
              <w:t>「TB</w:t>
            </w:r>
            <w:r>
              <w:rPr>
                <w:color w:val="231F20"/>
                <w:spacing w:val="5"/>
                <w:sz w:val="24"/>
              </w:rPr>
              <w:t> 系統」之 </w:t>
            </w:r>
            <w:r>
              <w:rPr>
                <w:color w:val="231F20"/>
                <w:sz w:val="24"/>
              </w:rPr>
              <w:t>DR-TB</w:t>
            </w:r>
            <w:r>
              <w:rPr>
                <w:color w:val="231F20"/>
                <w:spacing w:val="7"/>
                <w:sz w:val="24"/>
              </w:rPr>
              <w:t> 醫療照護管理入口，</w:t>
            </w:r>
            <w:r>
              <w:rPr>
                <w:color w:val="231F20"/>
                <w:spacing w:val="-218"/>
                <w:sz w:val="24"/>
              </w:rPr>
              <w:t>登</w:t>
            </w:r>
            <w:r>
              <w:rPr>
                <w:color w:val="231F20"/>
                <w:spacing w:val="5"/>
                <w:sz w:val="24"/>
              </w:rPr>
              <w:t>打病人主檔基本資料，必要時進行相關資料維</w:t>
            </w:r>
            <w:r>
              <w:rPr>
                <w:color w:val="231F20"/>
                <w:sz w:val="24"/>
              </w:rPr>
              <w:t>護。</w:t>
            </w:r>
          </w:p>
          <w:p>
            <w:pPr>
              <w:pStyle w:val="TableParagraph"/>
              <w:spacing w:line="401" w:lineRule="exact"/>
              <w:ind w:left="267"/>
              <w:jc w:val="both"/>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依規定 2 星期家訪 1 次。</w:t>
            </w:r>
          </w:p>
        </w:tc>
      </w:tr>
      <w:tr>
        <w:trPr>
          <w:trHeight w:val="2584" w:hRule="atLeast"/>
        </w:trPr>
        <w:tc>
          <w:tcPr>
            <w:tcW w:w="956" w:type="dxa"/>
          </w:tcPr>
          <w:p>
            <w:pPr>
              <w:pStyle w:val="TableParagraph"/>
              <w:rPr>
                <w:rFonts w:ascii="Times New Roman"/>
                <w:sz w:val="22"/>
              </w:rPr>
            </w:pPr>
          </w:p>
        </w:tc>
        <w:tc>
          <w:tcPr>
            <w:tcW w:w="1204" w:type="dxa"/>
          </w:tcPr>
          <w:p>
            <w:pPr>
              <w:pStyle w:val="TableParagraph"/>
              <w:rPr>
                <w:rFonts w:ascii="微軟正黑體"/>
                <w:b/>
                <w:sz w:val="24"/>
              </w:rPr>
            </w:pPr>
          </w:p>
          <w:p>
            <w:pPr>
              <w:pStyle w:val="TableParagraph"/>
              <w:rPr>
                <w:rFonts w:ascii="微軟正黑體"/>
                <w:b/>
                <w:sz w:val="24"/>
              </w:rPr>
            </w:pPr>
          </w:p>
          <w:p>
            <w:pPr>
              <w:pStyle w:val="TableParagraph"/>
              <w:spacing w:before="5"/>
              <w:rPr>
                <w:rFonts w:ascii="微軟正黑體"/>
                <w:b/>
                <w:sz w:val="27"/>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942" w:type="dxa"/>
          </w:tcPr>
          <w:p>
            <w:pPr>
              <w:pStyle w:val="TableParagraph"/>
              <w:spacing w:before="3"/>
              <w:rPr>
                <w:rFonts w:ascii="微軟正黑體"/>
                <w:b/>
                <w:sz w:val="28"/>
              </w:rPr>
            </w:pPr>
          </w:p>
          <w:p>
            <w:pPr>
              <w:pStyle w:val="TableParagraph"/>
              <w:ind w:right="333"/>
              <w:jc w:val="right"/>
              <w:rPr>
                <w:rFonts w:ascii="新細明體" w:eastAsia="新細明體" w:hint="eastAsia"/>
                <w:sz w:val="24"/>
              </w:rPr>
            </w:pPr>
            <w:r>
              <w:rPr>
                <w:rFonts w:ascii="新細明體" w:eastAsia="新細明體" w:hint="eastAsia"/>
                <w:color w:val="231F20"/>
                <w:sz w:val="24"/>
              </w:rPr>
              <w:t>口</w:t>
            </w:r>
          </w:p>
        </w:tc>
        <w:tc>
          <w:tcPr>
            <w:tcW w:w="882" w:type="dxa"/>
          </w:tcPr>
          <w:p>
            <w:pPr>
              <w:pStyle w:val="TableParagraph"/>
              <w:rPr>
                <w:rFonts w:ascii="Times New Roman"/>
                <w:sz w:val="22"/>
              </w:rPr>
            </w:pPr>
          </w:p>
        </w:tc>
        <w:tc>
          <w:tcPr>
            <w:tcW w:w="5634" w:type="dxa"/>
          </w:tcPr>
          <w:p>
            <w:pPr>
              <w:pStyle w:val="TableParagraph"/>
              <w:numPr>
                <w:ilvl w:val="0"/>
                <w:numId w:val="226"/>
              </w:numPr>
              <w:tabs>
                <w:tab w:pos="358" w:val="left" w:leader="none"/>
              </w:tabs>
              <w:spacing w:line="240" w:lineRule="auto" w:before="25" w:after="0"/>
              <w:ind w:left="357" w:right="0" w:hanging="244"/>
              <w:jc w:val="left"/>
              <w:rPr>
                <w:sz w:val="24"/>
              </w:rPr>
            </w:pPr>
            <w:r>
              <w:rPr>
                <w:color w:val="231F20"/>
                <w:sz w:val="24"/>
              </w:rPr>
              <w:t>抗藥性結核病月報表</w:t>
            </w:r>
          </w:p>
          <w:p>
            <w:pPr>
              <w:pStyle w:val="TableParagraph"/>
              <w:spacing w:line="230" w:lineRule="auto" w:before="60"/>
              <w:ind w:left="607" w:right="96" w:hanging="340"/>
              <w:jc w:val="both"/>
              <w:rPr>
                <w:sz w:val="24"/>
              </w:rPr>
            </w:pPr>
            <w:r>
              <w:rPr>
                <w:rFonts w:ascii="Wingdings" w:hAnsi="Wingdings" w:eastAsia="Wingdings"/>
                <w:color w:val="231F20"/>
                <w:w w:val="155"/>
                <w:sz w:val="24"/>
              </w:rPr>
              <w:t>申</w:t>
            </w:r>
            <w:r>
              <w:rPr>
                <w:rFonts w:ascii="Times New Roman" w:hAnsi="Times New Roman" w:eastAsia="Times New Roman"/>
                <w:color w:val="231F20"/>
                <w:spacing w:val="57"/>
                <w:w w:val="155"/>
                <w:sz w:val="24"/>
              </w:rPr>
              <w:t> </w:t>
            </w:r>
            <w:r>
              <w:rPr>
                <w:color w:val="231F20"/>
                <w:spacing w:val="4"/>
                <w:sz w:val="24"/>
              </w:rPr>
              <w:t>每月 </w:t>
            </w:r>
            <w:r>
              <w:rPr>
                <w:color w:val="231F20"/>
                <w:sz w:val="24"/>
              </w:rPr>
              <w:t>5</w:t>
            </w:r>
            <w:r>
              <w:rPr>
                <w:color w:val="231F20"/>
                <w:spacing w:val="6"/>
                <w:sz w:val="24"/>
              </w:rPr>
              <w:t> 日前填報前月通報情形及未納入 </w:t>
            </w:r>
            <w:r>
              <w:rPr>
                <w:color w:val="231F20"/>
                <w:spacing w:val="-62"/>
                <w:sz w:val="24"/>
              </w:rPr>
              <w:t>TMTC </w:t>
            </w:r>
            <w:r>
              <w:rPr>
                <w:color w:val="231F20"/>
                <w:sz w:val="24"/>
              </w:rPr>
              <w:t>團隊病人之原因說明，提供疾管署區管中心。</w:t>
            </w:r>
          </w:p>
          <w:p>
            <w:pPr>
              <w:pStyle w:val="TableParagraph"/>
              <w:spacing w:line="400" w:lineRule="exact" w:before="21"/>
              <w:ind w:left="607" w:right="83" w:hanging="340"/>
              <w:jc w:val="both"/>
              <w:rPr>
                <w:sz w:val="24"/>
              </w:rPr>
            </w:pPr>
            <w:r>
              <w:rPr>
                <w:rFonts w:ascii="Wingdings" w:hAnsi="Wingdings" w:eastAsia="Wingdings"/>
                <w:color w:val="231F20"/>
                <w:w w:val="155"/>
                <w:sz w:val="24"/>
              </w:rPr>
              <w:t>申</w:t>
            </w:r>
            <w:r>
              <w:rPr>
                <w:rFonts w:ascii="Times New Roman" w:hAnsi="Times New Roman" w:eastAsia="Times New Roman"/>
                <w:color w:val="231F20"/>
                <w:spacing w:val="64"/>
                <w:w w:val="155"/>
                <w:sz w:val="24"/>
              </w:rPr>
              <w:t> </w:t>
            </w:r>
            <w:r>
              <w:rPr>
                <w:color w:val="231F20"/>
                <w:spacing w:val="7"/>
                <w:sz w:val="24"/>
              </w:rPr>
              <w:t>每月 </w:t>
            </w:r>
            <w:r>
              <w:rPr>
                <w:color w:val="231F20"/>
                <w:sz w:val="24"/>
              </w:rPr>
              <w:t>10</w:t>
            </w:r>
            <w:r>
              <w:rPr>
                <w:color w:val="231F20"/>
                <w:spacing w:val="11"/>
                <w:sz w:val="24"/>
              </w:rPr>
              <w:t> 日前彙整轄區前月通報情形及未納</w:t>
            </w:r>
            <w:r>
              <w:rPr>
                <w:color w:val="231F20"/>
                <w:spacing w:val="-221"/>
                <w:sz w:val="24"/>
              </w:rPr>
              <w:t>入</w:t>
            </w:r>
            <w:r>
              <w:rPr>
                <w:color w:val="231F20"/>
                <w:spacing w:val="-4"/>
                <w:sz w:val="24"/>
              </w:rPr>
              <w:t>TMTC</w:t>
            </w:r>
            <w:r>
              <w:rPr>
                <w:color w:val="231F20"/>
                <w:spacing w:val="3"/>
                <w:sz w:val="24"/>
              </w:rPr>
              <w:t> 團隊病人之原因說明，提供疾管署慢性</w:t>
            </w:r>
            <w:r>
              <w:rPr>
                <w:color w:val="231F20"/>
                <w:sz w:val="24"/>
              </w:rPr>
              <w:t>組。</w:t>
            </w:r>
          </w:p>
        </w:tc>
      </w:tr>
    </w:tbl>
    <w:p>
      <w:pPr>
        <w:rPr>
          <w:sz w:val="2"/>
          <w:szCs w:val="2"/>
        </w:rPr>
      </w:pPr>
      <w:r>
        <w:rPr/>
        <w:pict>
          <v:group style="position:absolute;margin-left:557.684509pt;margin-top:286.162994pt;width:37.35pt;height:555.550pt;mso-position-horizontal-relative:page;mso-position-vertical-relative:page;z-index:251943936" coordorigin="11154,5723" coordsize="747,11111">
            <v:shape style="position:absolute;left:11283;top:6234;width:439;height:10600" type="#_x0000_t75" stroked="false">
              <v:imagedata r:id="rId102" o:title=""/>
            </v:shape>
            <v:shape style="position:absolute;left:11153;top:5723;width:747;height:812" coordorigin="11154,5723" coordsize="747,812" path="m11900,5723l11536,5723,11514,5726,11454,5759,11188,6042,11154,6129,11162,6175,11454,6498,11514,6532,11536,6535,11900,6535,11900,5723xe" filled="true" fillcolor="#bd7cb5" stroked="false">
              <v:path arrowok="t"/>
              <v:fill type="solid"/>
            </v:shape>
            <v:shape style="position:absolute;left:11321;top:5990;width:374;height:278" type="#_x0000_t75" stroked="false">
              <v:imagedata r:id="rId103" o:title=""/>
            </v:shape>
            <v:shape style="position:absolute;left:11378;top:6670;width:250;height:3599" type="#_x0000_t75" stroked="false">
              <v:imagedata r:id="rId104" o:title=""/>
            </v:shape>
            <v:shape style="position:absolute;left:11374;top:16271;width:275;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119</w:t>
                    </w:r>
                  </w:p>
                </w:txbxContent>
              </v:textbox>
              <w10:wrap type="none"/>
            </v:shape>
            <w10:wrap type="none"/>
          </v:group>
        </w:pict>
      </w:r>
    </w:p>
    <w:p>
      <w:pPr>
        <w:spacing w:after="0"/>
        <w:rPr>
          <w:sz w:val="2"/>
          <w:szCs w:val="2"/>
        </w:rPr>
        <w:sectPr>
          <w:pgSz w:w="11910" w:h="16840"/>
          <w:pgMar w:top="1200" w:bottom="0" w:left="980" w:right="0"/>
        </w:sectPr>
      </w:pPr>
    </w:p>
    <w:p>
      <w:pPr>
        <w:pStyle w:val="BodyText"/>
        <w:spacing w:before="16"/>
        <w:rPr>
          <w:rFonts w:ascii="微軟正黑體"/>
          <w:b/>
          <w:sz w:val="10"/>
        </w:rPr>
      </w:pPr>
      <w:r>
        <w:rPr/>
        <w:pict>
          <v:group style="position:absolute;margin-left:-.000001pt;margin-top:286.162994pt;width:37.35pt;height:555.550pt;mso-position-horizontal-relative:page;mso-position-vertical-relative:page;z-index:251945984" coordorigin="0,5723" coordsize="747,11111">
            <v:shape style="position:absolute;left:178;top:6234;width:439;height:10600" type="#_x0000_t75" stroked="false">
              <v:imagedata r:id="rId105" o:title=""/>
            </v:shape>
            <v:shape style="position:absolute;left:0;top:5723;width:747;height:812" coordorigin="0,5723" coordsize="747,812" path="m365,5723l0,5723,0,6535,365,6535,387,6532,447,6498,713,6216,747,6129,738,6082,447,5759,387,5726,365,5723xe" filled="true" fillcolor="#bd7cb5" stroked="false">
              <v:path arrowok="t"/>
              <v:fill type="solid"/>
            </v:shape>
            <v:shape style="position:absolute;left:216;top:5990;width:374;height:278" type="#_x0000_t75" stroked="false">
              <v:imagedata r:id="rId106" o:title=""/>
            </v:shape>
            <v:shape style="position:absolute;left:273;top:6670;width:250;height:3599" type="#_x0000_t75" stroked="false">
              <v:imagedata r:id="rId107"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120</w:t>
                    </w:r>
                  </w:p>
                </w:txbxContent>
              </v:textbox>
              <w10:wrap type="none"/>
            </v:shape>
            <w10:wrap type="none"/>
          </v:group>
        </w:pict>
      </w:r>
    </w:p>
    <w:p>
      <w:pPr>
        <w:spacing w:after="0"/>
        <w:rPr>
          <w:rFonts w:ascii="微軟正黑體"/>
          <w:sz w:val="10"/>
        </w:rPr>
        <w:sectPr>
          <w:pgSz w:w="11910" w:h="16840"/>
          <w:pgMar w:top="1600" w:bottom="0" w:left="980" w:right="0"/>
        </w:sectPr>
      </w:pPr>
    </w:p>
    <w:p>
      <w:pPr>
        <w:spacing w:line="581" w:lineRule="exact" w:before="0"/>
        <w:ind w:left="2651" w:right="0" w:firstLine="0"/>
        <w:jc w:val="left"/>
        <w:rPr>
          <w:rFonts w:ascii="微軟正黑體" w:eastAsia="微軟正黑體" w:hint="eastAsia"/>
          <w:b/>
          <w:sz w:val="32"/>
        </w:rPr>
      </w:pPr>
      <w:r>
        <w:rPr>
          <w:rFonts w:ascii="微軟正黑體" w:eastAsia="微軟正黑體" w:hint="eastAsia"/>
          <w:b/>
          <w:color w:val="231F20"/>
          <w:sz w:val="32"/>
        </w:rPr>
        <w:t>第十一章 結核病接觸者追蹤管理</w:t>
      </w:r>
    </w:p>
    <w:p>
      <w:pPr>
        <w:spacing w:line="436" w:lineRule="exact" w:before="284"/>
        <w:ind w:left="153" w:right="0" w:firstLine="0"/>
        <w:jc w:val="left"/>
        <w:rPr>
          <w:rFonts w:ascii="微軟正黑體" w:eastAsia="微軟正黑體" w:hint="eastAsia"/>
          <w:b/>
          <w:sz w:val="24"/>
        </w:rPr>
      </w:pPr>
      <w:r>
        <w:rPr>
          <w:rFonts w:ascii="微軟正黑體" w:eastAsia="微軟正黑體" w:hint="eastAsia"/>
          <w:b/>
          <w:color w:val="231F20"/>
          <w:sz w:val="24"/>
        </w:rPr>
        <w:t>壹、目的</w:t>
      </w:r>
    </w:p>
    <w:p>
      <w:pPr>
        <w:pStyle w:val="BodyText"/>
        <w:spacing w:line="230" w:lineRule="auto" w:before="6"/>
        <w:ind w:left="391" w:right="5485"/>
      </w:pPr>
      <w:r>
        <w:rPr>
          <w:color w:val="231F20"/>
        </w:rPr>
        <w:t>—、匡列高風險結核病接觸者進行檢査及衛教。二、提供環境感染管制改善建議。</w:t>
      </w:r>
    </w:p>
    <w:p>
      <w:pPr>
        <w:pStyle w:val="BodyText"/>
        <w:spacing w:line="230" w:lineRule="auto"/>
        <w:ind w:left="391" w:right="1570"/>
      </w:pPr>
      <w:r>
        <w:rPr>
          <w:color w:val="231F20"/>
        </w:rPr>
        <w:t>三、藉胸部 X 光檢査主動發現潛在已發病個案，避免延遲診斷，及時阻斷疾病傳播。匹、藉潛伏結核感染 （LTBI) 檢驗發現潛伏結核感染者予以治療，避免發病。</w:t>
      </w:r>
    </w:p>
    <w:p>
      <w:pPr>
        <w:pStyle w:val="BodyText"/>
        <w:spacing w:line="404" w:lineRule="exact"/>
        <w:ind w:left="391"/>
      </w:pPr>
      <w:r>
        <w:rPr>
          <w:color w:val="231F20"/>
        </w:rPr>
        <w:t>五、衛教接觸者持續進行症狀監測，若日後發病可主動就醫，及早確診。</w:t>
      </w:r>
    </w:p>
    <w:p>
      <w:pPr>
        <w:pStyle w:val="BodyText"/>
        <w:spacing w:before="14"/>
        <w:rPr>
          <w:sz w:val="19"/>
        </w:rPr>
      </w:pPr>
    </w:p>
    <w:p>
      <w:pPr>
        <w:pStyle w:val="Heading2"/>
      </w:pPr>
      <w:r>
        <w:rPr>
          <w:color w:val="231F20"/>
        </w:rPr>
        <w:t>貳、法源依據</w:t>
      </w:r>
    </w:p>
    <w:p>
      <w:pPr>
        <w:pStyle w:val="BodyText"/>
        <w:spacing w:line="413" w:lineRule="exact"/>
        <w:ind w:left="635"/>
      </w:pPr>
      <w:r>
        <w:rPr>
          <w:color w:val="231F20"/>
        </w:rPr>
        <w:t>傳染病防治法第 43 條 </w:t>
      </w:r>
      <w:r>
        <w:rPr>
          <w:color w:val="231F20"/>
          <w:w w:val="65"/>
        </w:rPr>
        <w:t>（ </w:t>
      </w:r>
      <w:r>
        <w:rPr>
          <w:color w:val="231F20"/>
        </w:rPr>
        <w:t>疫情調査 )、第 48 條 </w:t>
      </w:r>
      <w:r>
        <w:rPr>
          <w:color w:val="231F20"/>
          <w:w w:val="65"/>
        </w:rPr>
        <w:t>（ </w:t>
      </w:r>
      <w:r>
        <w:rPr>
          <w:color w:val="231F20"/>
        </w:rPr>
        <w:t>接觸者檢査 ) 及第 67 條 </w:t>
      </w:r>
      <w:r>
        <w:rPr>
          <w:color w:val="231F20"/>
          <w:w w:val="65"/>
        </w:rPr>
        <w:t>（ </w:t>
      </w:r>
      <w:r>
        <w:rPr>
          <w:color w:val="231F20"/>
        </w:rPr>
        <w:t>罰則 )。</w:t>
      </w:r>
    </w:p>
    <w:p>
      <w:pPr>
        <w:pStyle w:val="BodyText"/>
        <w:spacing w:before="16"/>
        <w:rPr>
          <w:sz w:val="19"/>
        </w:rPr>
      </w:pPr>
    </w:p>
    <w:p>
      <w:pPr>
        <w:pStyle w:val="Heading2"/>
        <w:spacing w:before="1"/>
      </w:pPr>
      <w:r>
        <w:rPr/>
        <w:pict>
          <v:group style="position:absolute;margin-left:557.686523pt;margin-top:17.376377pt;width:37.35pt;height:528.550pt;mso-position-horizontal-relative:page;mso-position-vertical-relative:paragraph;z-index:251948032" coordorigin="11154,348" coordsize="747,10571">
            <v:shape style="position:absolute;left:11283;top:858;width:438;height:10060" type="#_x0000_t75" stroked="false">
              <v:imagedata r:id="rId180" o:title=""/>
            </v:shape>
            <v:shape style="position:absolute;left:11153;top:347;width:747;height:812" coordorigin="11154,348" coordsize="747,812" path="m11900,348l11536,348,11514,350,11454,384,11188,666,11154,753,11162,800,11454,1123,11514,1157,11536,1159,11900,1159,11900,348xe" filled="true" fillcolor="#5daf8a" stroked="false">
              <v:path arrowok="t"/>
              <v:fill type="solid"/>
            </v:shape>
            <v:shape style="position:absolute;left:11321;top:614;width:331;height:274" type="#_x0000_t75" stroked="false">
              <v:imagedata r:id="rId181" o:title=""/>
            </v:shape>
            <v:shape style="position:absolute;left:11378;top:1294;width:251;height:3264" type="#_x0000_t75" stroked="false">
              <v:imagedata r:id="rId182" o:title=""/>
            </v:shape>
            <v:shape style="position:absolute;left:11368;top:10355;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121</w:t>
                    </w:r>
                  </w:p>
                </w:txbxContent>
              </v:textbox>
              <w10:wrap type="none"/>
            </v:shape>
            <w10:wrap type="none"/>
          </v:group>
        </w:pict>
      </w:r>
      <w:r>
        <w:rPr>
          <w:color w:val="231F20"/>
        </w:rPr>
        <w:t>參、接觸者調查</w:t>
      </w:r>
    </w:p>
    <w:p>
      <w:pPr>
        <w:pStyle w:val="BodyText"/>
        <w:spacing w:line="230" w:lineRule="auto" w:before="6"/>
        <w:ind w:left="391" w:right="6685"/>
      </w:pPr>
      <w:r>
        <w:rPr>
          <w:color w:val="231F20"/>
        </w:rPr>
        <w:t>—、執行單位：指標個案管理單位。二、啟動時間：</w:t>
      </w:r>
    </w:p>
    <w:p>
      <w:pPr>
        <w:pStyle w:val="BodyText"/>
        <w:tabs>
          <w:tab w:pos="1350" w:val="left" w:leader="none"/>
        </w:tabs>
        <w:spacing w:line="230" w:lineRule="auto"/>
        <w:ind w:left="1349" w:right="1138" w:hanging="720"/>
      </w:pPr>
      <w:r>
        <w:rPr>
          <w:color w:val="231F20"/>
          <w:w w:val="65"/>
        </w:rPr>
        <w:t>（</w:t>
      </w:r>
      <w:r>
        <w:rPr>
          <w:color w:val="231F20"/>
          <w:spacing w:val="1"/>
          <w:w w:val="65"/>
        </w:rPr>
        <w:t> </w:t>
      </w:r>
      <w:r>
        <w:rPr>
          <w:color w:val="231F20"/>
          <w:spacing w:val="-8"/>
        </w:rPr>
        <w:t>— )</w:t>
      </w:r>
      <w:r>
        <w:rPr>
          <w:color w:val="231F20"/>
        </w:rPr>
        <w:tab/>
        <w:tab/>
      </w:r>
      <w:r>
        <w:rPr>
          <w:color w:val="231F20"/>
          <w:spacing w:val="-1"/>
        </w:rPr>
        <w:t>收案後著手準備前置作業，待指標個案確診後應儘速聯繫接觸者進行衛教，並說明應辦理檢査的項目及時間，並於 </w:t>
      </w:r>
      <w:r>
        <w:rPr>
          <w:color w:val="231F20"/>
        </w:rPr>
        <w:t>1</w:t>
      </w:r>
      <w:r>
        <w:rPr>
          <w:color w:val="231F20"/>
          <w:spacing w:val="-3"/>
        </w:rPr>
        <w:t> 個月內安排接觸者應檢査的項目。</w:t>
      </w:r>
    </w:p>
    <w:p>
      <w:pPr>
        <w:pStyle w:val="BodyText"/>
        <w:tabs>
          <w:tab w:pos="1349" w:val="left" w:leader="none"/>
        </w:tabs>
        <w:spacing w:line="395"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通報個案尚未確診，若為以下情形，建議及早進行評估：</w:t>
      </w:r>
    </w:p>
    <w:p>
      <w:pPr>
        <w:pStyle w:val="ListParagraph"/>
        <w:numPr>
          <w:ilvl w:val="0"/>
          <w:numId w:val="227"/>
        </w:numPr>
        <w:tabs>
          <w:tab w:pos="1349" w:val="left" w:leader="none"/>
        </w:tabs>
        <w:spacing w:line="400" w:lineRule="exact" w:before="0" w:after="0"/>
        <w:ind w:left="1348" w:right="0" w:hanging="255"/>
        <w:jc w:val="left"/>
        <w:rPr>
          <w:sz w:val="24"/>
        </w:rPr>
      </w:pPr>
      <w:r>
        <w:rPr>
          <w:color w:val="231F20"/>
          <w:spacing w:val="-3"/>
          <w:sz w:val="24"/>
        </w:rPr>
        <w:t>未滿 </w:t>
      </w:r>
      <w:r>
        <w:rPr>
          <w:color w:val="231F20"/>
          <w:sz w:val="24"/>
        </w:rPr>
        <w:t>5</w:t>
      </w:r>
      <w:r>
        <w:rPr>
          <w:color w:val="231F20"/>
          <w:spacing w:val="-3"/>
          <w:sz w:val="24"/>
        </w:rPr>
        <w:t> 歲兒童具備典型病理報告者，</w:t>
      </w:r>
    </w:p>
    <w:p>
      <w:pPr>
        <w:pStyle w:val="ListParagraph"/>
        <w:numPr>
          <w:ilvl w:val="0"/>
          <w:numId w:val="227"/>
        </w:numPr>
        <w:tabs>
          <w:tab w:pos="1350" w:val="left" w:leader="none"/>
        </w:tabs>
        <w:spacing w:line="230" w:lineRule="auto" w:before="0" w:after="0"/>
        <w:ind w:left="1349" w:right="1137" w:hanging="255"/>
        <w:jc w:val="left"/>
        <w:rPr>
          <w:sz w:val="24"/>
        </w:rPr>
      </w:pPr>
      <w:r>
        <w:rPr>
          <w:color w:val="231F20"/>
          <w:spacing w:val="2"/>
          <w:sz w:val="24"/>
        </w:rPr>
        <w:t>指標個案痰塗片陽性，但醫師認為其幾可確認為結核病而未送驗 </w:t>
      </w:r>
      <w:r>
        <w:rPr>
          <w:color w:val="231F20"/>
          <w:sz w:val="24"/>
        </w:rPr>
        <w:t>NAA</w:t>
      </w:r>
      <w:r>
        <w:rPr>
          <w:color w:val="231F20"/>
          <w:spacing w:val="-13"/>
          <w:sz w:val="24"/>
        </w:rPr>
        <w:t> 者 </w:t>
      </w:r>
      <w:r>
        <w:rPr>
          <w:color w:val="231F20"/>
          <w:w w:val="70"/>
          <w:sz w:val="24"/>
        </w:rPr>
        <w:t>（ </w:t>
      </w:r>
      <w:r>
        <w:rPr>
          <w:color w:val="231F20"/>
          <w:sz w:val="24"/>
        </w:rPr>
        <w:t>如： </w:t>
      </w:r>
      <w:r>
        <w:rPr>
          <w:color w:val="231F20"/>
          <w:spacing w:val="-1"/>
          <w:sz w:val="24"/>
        </w:rPr>
        <w:t>已開始抗結核藥物治療者 )。</w:t>
      </w:r>
    </w:p>
    <w:p>
      <w:pPr>
        <w:pStyle w:val="BodyText"/>
        <w:spacing w:line="230" w:lineRule="auto"/>
        <w:ind w:left="878" w:right="5526" w:hanging="488"/>
      </w:pPr>
      <w:r>
        <w:rPr/>
        <w:pict>
          <v:shape style="position:absolute;margin-left:92.936501pt;margin-top:37.960606pt;width:445.8pt;height:252.65pt;mso-position-horizontal-relative:page;mso-position-vertical-relative:paragraph;z-index:251949056"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3076"/>
                    <w:gridCol w:w="2890"/>
                    <w:gridCol w:w="2928"/>
                  </w:tblGrid>
                  <w:tr>
                    <w:trPr>
                      <w:trHeight w:val="491" w:hRule="atLeast"/>
                    </w:trPr>
                    <w:tc>
                      <w:tcPr>
                        <w:tcW w:w="8894" w:type="dxa"/>
                        <w:gridSpan w:val="3"/>
                        <w:shd w:val="clear" w:color="auto" w:fill="E6E7E8"/>
                      </w:tcPr>
                      <w:p>
                        <w:pPr>
                          <w:pStyle w:val="TableParagraph"/>
                          <w:spacing w:line="472" w:lineRule="exact"/>
                          <w:ind w:left="3446" w:right="3432"/>
                          <w:jc w:val="center"/>
                          <w:rPr>
                            <w:rFonts w:ascii="微軟正黑體" w:eastAsia="微軟正黑體" w:hint="eastAsia"/>
                            <w:b/>
                            <w:sz w:val="28"/>
                          </w:rPr>
                        </w:pPr>
                        <w:r>
                          <w:rPr>
                            <w:rFonts w:ascii="微軟正黑體" w:eastAsia="微軟正黑體" w:hint="eastAsia"/>
                            <w:b/>
                            <w:color w:val="231F20"/>
                            <w:sz w:val="28"/>
                          </w:rPr>
                          <w:t>接觸者調查項目</w:t>
                        </w:r>
                      </w:p>
                    </w:tc>
                  </w:tr>
                  <w:tr>
                    <w:trPr>
                      <w:trHeight w:val="451" w:hRule="atLeast"/>
                    </w:trPr>
                    <w:tc>
                      <w:tcPr>
                        <w:tcW w:w="3076" w:type="dxa"/>
                        <w:shd w:val="clear" w:color="auto" w:fill="E6E7E8"/>
                      </w:tcPr>
                      <w:p>
                        <w:pPr>
                          <w:pStyle w:val="TableParagraph"/>
                          <w:spacing w:line="431" w:lineRule="exact"/>
                          <w:ind w:left="217"/>
                          <w:rPr>
                            <w:rFonts w:ascii="微軟正黑體" w:eastAsia="微軟正黑體" w:hint="eastAsia"/>
                            <w:b/>
                            <w:sz w:val="24"/>
                          </w:rPr>
                        </w:pPr>
                        <w:r>
                          <w:rPr>
                            <w:rFonts w:ascii="微軟正黑體" w:eastAsia="微軟正黑體" w:hint="eastAsia"/>
                            <w:b/>
                            <w:color w:val="231F20"/>
                            <w:sz w:val="24"/>
                          </w:rPr>
                          <w:t>決定接觸者檢查優先順序</w:t>
                        </w:r>
                      </w:p>
                    </w:tc>
                    <w:tc>
                      <w:tcPr>
                        <w:tcW w:w="2890" w:type="dxa"/>
                        <w:shd w:val="clear" w:color="auto" w:fill="E6E7E8"/>
                      </w:tcPr>
                      <w:p>
                        <w:pPr>
                          <w:pStyle w:val="TableParagraph"/>
                          <w:spacing w:line="431" w:lineRule="exact"/>
                          <w:ind w:left="724"/>
                          <w:rPr>
                            <w:rFonts w:ascii="微軟正黑體" w:eastAsia="微軟正黑體" w:hint="eastAsia"/>
                            <w:b/>
                            <w:sz w:val="24"/>
                          </w:rPr>
                        </w:pPr>
                        <w:r>
                          <w:rPr>
                            <w:rFonts w:ascii="微軟正黑體" w:eastAsia="微軟正黑體" w:hint="eastAsia"/>
                            <w:b/>
                            <w:color w:val="231F20"/>
                            <w:sz w:val="24"/>
                          </w:rPr>
                          <w:t>進行環境評估</w:t>
                        </w:r>
                      </w:p>
                    </w:tc>
                    <w:tc>
                      <w:tcPr>
                        <w:tcW w:w="2928" w:type="dxa"/>
                        <w:shd w:val="clear" w:color="auto" w:fill="E6E7E8"/>
                      </w:tcPr>
                      <w:p>
                        <w:pPr>
                          <w:pStyle w:val="TableParagraph"/>
                          <w:spacing w:line="431" w:lineRule="exact"/>
                          <w:ind w:left="264"/>
                          <w:rPr>
                            <w:rFonts w:ascii="微軟正黑體" w:eastAsia="微軟正黑體" w:hint="eastAsia"/>
                            <w:b/>
                            <w:sz w:val="24"/>
                          </w:rPr>
                        </w:pPr>
                        <w:r>
                          <w:rPr>
                            <w:rFonts w:ascii="微軟正黑體" w:eastAsia="微軟正黑體" w:hint="eastAsia"/>
                            <w:b/>
                            <w:color w:val="231F20"/>
                            <w:sz w:val="24"/>
                          </w:rPr>
                          <w:t>匡列可傳染期間接觸者</w:t>
                        </w:r>
                      </w:p>
                    </w:tc>
                  </w:tr>
                  <w:tr>
                    <w:trPr>
                      <w:trHeight w:val="4050" w:hRule="atLeast"/>
                    </w:trPr>
                    <w:tc>
                      <w:tcPr>
                        <w:tcW w:w="3076" w:type="dxa"/>
                      </w:tcPr>
                      <w:p>
                        <w:pPr>
                          <w:pStyle w:val="TableParagraph"/>
                          <w:spacing w:line="409" w:lineRule="exact" w:before="31"/>
                          <w:ind w:left="112"/>
                          <w:rPr>
                            <w:sz w:val="24"/>
                          </w:rPr>
                        </w:pPr>
                        <w:r>
                          <w:rPr>
                            <w:color w:val="231F20"/>
                            <w:spacing w:val="-5"/>
                            <w:sz w:val="24"/>
                          </w:rPr>
                          <w:t>影響因素 </w:t>
                        </w:r>
                        <w:r>
                          <w:rPr>
                            <w:color w:val="231F20"/>
                            <w:w w:val="70"/>
                            <w:sz w:val="24"/>
                          </w:rPr>
                          <w:t>（</w:t>
                        </w:r>
                        <w:r>
                          <w:rPr>
                            <w:color w:val="231F20"/>
                            <w:spacing w:val="-5"/>
                            <w:w w:val="70"/>
                            <w:sz w:val="24"/>
                          </w:rPr>
                          <w:t> </w:t>
                        </w:r>
                        <w:r>
                          <w:rPr>
                            <w:color w:val="231F20"/>
                            <w:spacing w:val="-9"/>
                            <w:sz w:val="24"/>
                          </w:rPr>
                          <w:t>附件 </w:t>
                        </w:r>
                        <w:r>
                          <w:rPr>
                            <w:color w:val="231F20"/>
                            <w:sz w:val="24"/>
                          </w:rPr>
                          <w:t>11-1)：</w:t>
                        </w:r>
                      </w:p>
                      <w:p>
                        <w:pPr>
                          <w:pStyle w:val="TableParagraph"/>
                          <w:numPr>
                            <w:ilvl w:val="0"/>
                            <w:numId w:val="228"/>
                          </w:numPr>
                          <w:tabs>
                            <w:tab w:pos="368" w:val="left" w:leader="none"/>
                          </w:tabs>
                          <w:spacing w:line="400" w:lineRule="exact" w:before="0" w:after="0"/>
                          <w:ind w:left="367" w:right="0" w:hanging="256"/>
                          <w:jc w:val="left"/>
                          <w:rPr>
                            <w:sz w:val="24"/>
                          </w:rPr>
                        </w:pPr>
                        <w:r>
                          <w:rPr>
                            <w:color w:val="231F20"/>
                            <w:sz w:val="24"/>
                          </w:rPr>
                          <w:t>指標個案的傳染力</w:t>
                        </w:r>
                      </w:p>
                      <w:p>
                        <w:pPr>
                          <w:pStyle w:val="TableParagraph"/>
                          <w:numPr>
                            <w:ilvl w:val="0"/>
                            <w:numId w:val="228"/>
                          </w:numPr>
                          <w:tabs>
                            <w:tab w:pos="368" w:val="left" w:leader="none"/>
                          </w:tabs>
                          <w:spacing w:line="400" w:lineRule="exact" w:before="0" w:after="0"/>
                          <w:ind w:left="367" w:right="0" w:hanging="256"/>
                          <w:jc w:val="left"/>
                          <w:rPr>
                            <w:sz w:val="24"/>
                          </w:rPr>
                        </w:pPr>
                        <w:r>
                          <w:rPr>
                            <w:color w:val="231F20"/>
                            <w:sz w:val="24"/>
                          </w:rPr>
                          <w:t>暴露的實際狀況：</w:t>
                        </w:r>
                      </w:p>
                      <w:p>
                        <w:pPr>
                          <w:pStyle w:val="TableParagraph"/>
                          <w:spacing w:line="230" w:lineRule="auto" w:before="3"/>
                          <w:ind w:left="367" w:right="37"/>
                          <w:rPr>
                            <w:sz w:val="24"/>
                          </w:rPr>
                        </w:pPr>
                        <w:r>
                          <w:rPr>
                            <w:color w:val="231F20"/>
                            <w:sz w:val="24"/>
                          </w:rPr>
                          <w:t>所處環境較易發生傳播、暴露頻率與時間長短</w:t>
                        </w:r>
                      </w:p>
                      <w:p>
                        <w:pPr>
                          <w:pStyle w:val="TableParagraph"/>
                          <w:numPr>
                            <w:ilvl w:val="0"/>
                            <w:numId w:val="228"/>
                          </w:numPr>
                          <w:tabs>
                            <w:tab w:pos="368" w:val="left" w:leader="none"/>
                          </w:tabs>
                          <w:spacing w:line="395" w:lineRule="exact" w:before="0" w:after="0"/>
                          <w:ind w:left="367" w:right="0" w:hanging="256"/>
                          <w:jc w:val="left"/>
                          <w:rPr>
                            <w:sz w:val="24"/>
                          </w:rPr>
                        </w:pPr>
                        <w:r>
                          <w:rPr>
                            <w:color w:val="231F20"/>
                            <w:sz w:val="24"/>
                          </w:rPr>
                          <w:t>接觸者易感受性：</w:t>
                        </w:r>
                      </w:p>
                      <w:p>
                        <w:pPr>
                          <w:pStyle w:val="TableParagraph"/>
                          <w:spacing w:line="230" w:lineRule="auto" w:before="2"/>
                          <w:ind w:left="367" w:right="71"/>
                          <w:jc w:val="both"/>
                          <w:rPr>
                            <w:sz w:val="24"/>
                          </w:rPr>
                        </w:pPr>
                        <w:r>
                          <w:rPr>
                            <w:color w:val="231F20"/>
                            <w:sz w:val="24"/>
                          </w:rPr>
                          <w:t>年齡 </w:t>
                        </w:r>
                        <w:r>
                          <w:rPr>
                            <w:color w:val="231F20"/>
                            <w:w w:val="65"/>
                            <w:sz w:val="24"/>
                          </w:rPr>
                          <w:t>（ </w:t>
                        </w:r>
                        <w:r>
                          <w:rPr>
                            <w:color w:val="231F20"/>
                            <w:sz w:val="24"/>
                          </w:rPr>
                          <w:t>特別是未滿 5 歲兒童 )、懷孕、免疫系統狀態、慢性病或其他醫</w:t>
                        </w:r>
                      </w:p>
                      <w:p>
                        <w:pPr>
                          <w:pStyle w:val="TableParagraph"/>
                          <w:spacing w:line="385" w:lineRule="exact"/>
                          <w:ind w:left="367"/>
                          <w:rPr>
                            <w:sz w:val="24"/>
                          </w:rPr>
                        </w:pPr>
                        <w:r>
                          <w:rPr>
                            <w:color w:val="231F20"/>
                            <w:sz w:val="24"/>
                          </w:rPr>
                          <w:t>療狀況等</w:t>
                        </w:r>
                      </w:p>
                    </w:tc>
                    <w:tc>
                      <w:tcPr>
                        <w:tcW w:w="2890" w:type="dxa"/>
                      </w:tcPr>
                      <w:p>
                        <w:pPr>
                          <w:pStyle w:val="TableParagraph"/>
                          <w:spacing w:line="409" w:lineRule="exact" w:before="31"/>
                          <w:ind w:left="112"/>
                          <w:rPr>
                            <w:sz w:val="24"/>
                          </w:rPr>
                        </w:pPr>
                        <w:r>
                          <w:rPr>
                            <w:color w:val="231F20"/>
                            <w:sz w:val="24"/>
                          </w:rPr>
                          <w:t>評估重點：</w:t>
                        </w:r>
                      </w:p>
                      <w:p>
                        <w:pPr>
                          <w:pStyle w:val="TableParagraph"/>
                          <w:numPr>
                            <w:ilvl w:val="0"/>
                            <w:numId w:val="229"/>
                          </w:numPr>
                          <w:tabs>
                            <w:tab w:pos="368" w:val="left" w:leader="none"/>
                          </w:tabs>
                          <w:spacing w:line="400" w:lineRule="exact" w:before="0" w:after="0"/>
                          <w:ind w:left="367" w:right="0" w:hanging="256"/>
                          <w:jc w:val="left"/>
                          <w:rPr>
                            <w:sz w:val="24"/>
                          </w:rPr>
                        </w:pPr>
                        <w:r>
                          <w:rPr>
                            <w:color w:val="231F20"/>
                            <w:sz w:val="24"/>
                          </w:rPr>
                          <w:t>通風狀況：</w:t>
                        </w:r>
                      </w:p>
                      <w:p>
                        <w:pPr>
                          <w:pStyle w:val="TableParagraph"/>
                          <w:spacing w:line="230" w:lineRule="auto" w:before="3"/>
                          <w:ind w:left="367" w:right="95"/>
                          <w:jc w:val="both"/>
                          <w:rPr>
                            <w:sz w:val="24"/>
                          </w:rPr>
                        </w:pPr>
                        <w:r>
                          <w:rPr>
                            <w:color w:val="231F20"/>
                            <w:sz w:val="24"/>
                          </w:rPr>
                          <w:t>房間大小、有無窗戶、空氣流通、陽光照射狀況．</w:t>
                        </w:r>
                      </w:p>
                      <w:p>
                        <w:pPr>
                          <w:pStyle w:val="TableParagraph"/>
                          <w:numPr>
                            <w:ilvl w:val="0"/>
                            <w:numId w:val="229"/>
                          </w:numPr>
                          <w:tabs>
                            <w:tab w:pos="368" w:val="left" w:leader="none"/>
                          </w:tabs>
                          <w:spacing w:line="394" w:lineRule="exact" w:before="0" w:after="0"/>
                          <w:ind w:left="367" w:right="0" w:hanging="256"/>
                          <w:jc w:val="both"/>
                          <w:rPr>
                            <w:sz w:val="24"/>
                          </w:rPr>
                        </w:pPr>
                        <w:r>
                          <w:rPr>
                            <w:color w:val="231F20"/>
                            <w:sz w:val="24"/>
                          </w:rPr>
                          <w:t>可能的暴露人數</w:t>
                        </w:r>
                      </w:p>
                      <w:p>
                        <w:pPr>
                          <w:pStyle w:val="TableParagraph"/>
                          <w:numPr>
                            <w:ilvl w:val="0"/>
                            <w:numId w:val="229"/>
                          </w:numPr>
                          <w:tabs>
                            <w:tab w:pos="368" w:val="left" w:leader="none"/>
                          </w:tabs>
                          <w:spacing w:line="230" w:lineRule="auto" w:before="2" w:after="0"/>
                          <w:ind w:left="112" w:right="97" w:firstLine="0"/>
                          <w:jc w:val="both"/>
                          <w:rPr>
                            <w:sz w:val="24"/>
                          </w:rPr>
                        </w:pPr>
                        <w:r>
                          <w:rPr>
                            <w:color w:val="231F20"/>
                            <w:sz w:val="24"/>
                          </w:rPr>
                          <w:t>生活中的其他線索： </w:t>
                        </w:r>
                        <w:r>
                          <w:rPr>
                            <w:color w:val="231F20"/>
                            <w:spacing w:val="-4"/>
                            <w:sz w:val="24"/>
                          </w:rPr>
                          <w:t>兒童玩具 </w:t>
                        </w:r>
                        <w:r>
                          <w:rPr>
                            <w:color w:val="231F20"/>
                            <w:spacing w:val="-8"/>
                            <w:w w:val="70"/>
                            <w:sz w:val="24"/>
                          </w:rPr>
                          <w:t>／ </w:t>
                        </w:r>
                        <w:r>
                          <w:rPr>
                            <w:color w:val="231F20"/>
                            <w:sz w:val="24"/>
                          </w:rPr>
                          <w:t>用品、酒瓶、</w:t>
                        </w:r>
                      </w:p>
                      <w:p>
                        <w:pPr>
                          <w:pStyle w:val="TableParagraph"/>
                          <w:spacing w:line="404" w:lineRule="exact"/>
                          <w:ind w:left="367"/>
                          <w:rPr>
                            <w:sz w:val="24"/>
                          </w:rPr>
                        </w:pPr>
                        <w:r>
                          <w:rPr>
                            <w:color w:val="231F20"/>
                            <w:sz w:val="24"/>
                          </w:rPr>
                          <w:t>針具．</w:t>
                        </w:r>
                      </w:p>
                    </w:tc>
                    <w:tc>
                      <w:tcPr>
                        <w:tcW w:w="2928" w:type="dxa"/>
                      </w:tcPr>
                      <w:p>
                        <w:pPr>
                          <w:pStyle w:val="TableParagraph"/>
                          <w:spacing w:line="409" w:lineRule="exact" w:before="31"/>
                          <w:ind w:left="112"/>
                          <w:rPr>
                            <w:sz w:val="24"/>
                          </w:rPr>
                        </w:pPr>
                        <w:r>
                          <w:rPr>
                            <w:color w:val="231F20"/>
                            <w:sz w:val="24"/>
                          </w:rPr>
                          <w:t>判斷依據：</w:t>
                        </w:r>
                      </w:p>
                      <w:p>
                        <w:pPr>
                          <w:pStyle w:val="TableParagraph"/>
                          <w:numPr>
                            <w:ilvl w:val="0"/>
                            <w:numId w:val="230"/>
                          </w:numPr>
                          <w:tabs>
                            <w:tab w:pos="368" w:val="left" w:leader="none"/>
                          </w:tabs>
                          <w:spacing w:line="230" w:lineRule="auto" w:before="3" w:after="0"/>
                          <w:ind w:left="367" w:right="57" w:hanging="255"/>
                          <w:jc w:val="both"/>
                          <w:rPr>
                            <w:sz w:val="24"/>
                          </w:rPr>
                        </w:pPr>
                        <w:r>
                          <w:rPr>
                            <w:color w:val="231F20"/>
                            <w:spacing w:val="5"/>
                            <w:sz w:val="24"/>
                          </w:rPr>
                          <w:t>指標個案結核病相關症狀出現的時間，尤須注</w:t>
                        </w:r>
                        <w:r>
                          <w:rPr>
                            <w:color w:val="231F20"/>
                            <w:spacing w:val="18"/>
                            <w:sz w:val="24"/>
                          </w:rPr>
                          <w:t>意胸部 </w:t>
                        </w:r>
                        <w:r>
                          <w:rPr>
                            <w:color w:val="231F20"/>
                            <w:sz w:val="24"/>
                          </w:rPr>
                          <w:t>X</w:t>
                        </w:r>
                        <w:r>
                          <w:rPr>
                            <w:color w:val="231F20"/>
                            <w:spacing w:val="28"/>
                            <w:sz w:val="24"/>
                          </w:rPr>
                          <w:t> 光有空洞個</w:t>
                        </w:r>
                        <w:r>
                          <w:rPr>
                            <w:color w:val="231F20"/>
                            <w:sz w:val="24"/>
                          </w:rPr>
                          <w:t>案。</w:t>
                        </w:r>
                      </w:p>
                      <w:p>
                        <w:pPr>
                          <w:pStyle w:val="TableParagraph"/>
                          <w:numPr>
                            <w:ilvl w:val="0"/>
                            <w:numId w:val="230"/>
                          </w:numPr>
                          <w:tabs>
                            <w:tab w:pos="368" w:val="left" w:leader="none"/>
                          </w:tabs>
                          <w:spacing w:line="230" w:lineRule="auto" w:before="0" w:after="0"/>
                          <w:ind w:left="367" w:right="36" w:hanging="255"/>
                          <w:jc w:val="both"/>
                          <w:rPr>
                            <w:sz w:val="24"/>
                          </w:rPr>
                        </w:pPr>
                        <w:r>
                          <w:rPr>
                            <w:color w:val="231F20"/>
                            <w:spacing w:val="5"/>
                            <w:sz w:val="24"/>
                          </w:rPr>
                          <w:t>個案可傳染期間的例行</w:t>
                        </w:r>
                        <w:r>
                          <w:rPr>
                            <w:color w:val="231F20"/>
                            <w:spacing w:val="-17"/>
                            <w:sz w:val="24"/>
                          </w:rPr>
                          <w:t>活動，如：工作、家庭、</w:t>
                        </w:r>
                        <w:r>
                          <w:rPr>
                            <w:color w:val="231F20"/>
                            <w:spacing w:val="2"/>
                            <w:sz w:val="24"/>
                          </w:rPr>
                          <w:t>嗜好、教會活動、運輸工具、休息室、慢性病</w:t>
                        </w:r>
                      </w:p>
                      <w:p>
                        <w:pPr>
                          <w:pStyle w:val="TableParagraph"/>
                          <w:spacing w:line="384" w:lineRule="exact"/>
                          <w:ind w:left="367"/>
                          <w:rPr>
                            <w:sz w:val="24"/>
                          </w:rPr>
                        </w:pPr>
                        <w:r>
                          <w:rPr>
                            <w:color w:val="231F20"/>
                            <w:sz w:val="24"/>
                          </w:rPr>
                          <w:t>固定就醫場所等。</w:t>
                        </w:r>
                      </w:p>
                    </w:tc>
                  </w:tr>
                </w:tbl>
                <w:p>
                  <w:pPr>
                    <w:pStyle w:val="BodyText"/>
                  </w:pPr>
                </w:p>
              </w:txbxContent>
            </v:textbox>
            <w10:wrap type="none"/>
          </v:shape>
        </w:pict>
      </w:r>
      <w:r>
        <w:rPr>
          <w:color w:val="231F20"/>
          <w:w w:val="105"/>
        </w:rPr>
        <w:t>三、接觸者調査工作項目及重點說明(表 </w:t>
      </w:r>
      <w:r>
        <w:rPr>
          <w:color w:val="231F20"/>
          <w:w w:val="120"/>
        </w:rPr>
        <w:t>1)： </w:t>
      </w:r>
      <w:r>
        <w:rPr>
          <w:color w:val="231F20"/>
          <w:w w:val="105"/>
        </w:rPr>
        <w:t>表 1、接觸者調査工作項目及重點說明</w:t>
      </w:r>
    </w:p>
    <w:p>
      <w:pPr>
        <w:spacing w:after="0" w:line="230" w:lineRule="auto"/>
        <w:sectPr>
          <w:pgSz w:w="11910" w:h="16840"/>
          <w:pgMar w:top="1060" w:bottom="0" w:left="980" w:right="0"/>
        </w:sectPr>
      </w:pPr>
    </w:p>
    <w:p>
      <w:pPr>
        <w:pStyle w:val="BodyText"/>
        <w:spacing w:line="409" w:lineRule="exact" w:before="59"/>
        <w:ind w:left="391"/>
      </w:pPr>
      <w:r>
        <w:rPr/>
        <w:pict>
          <v:group style="position:absolute;margin-left:.0pt;margin-top:313.165009pt;width:37.35pt;height:528.550pt;mso-position-horizontal-relative:page;mso-position-vertical-relative:page;z-index:251951104"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184"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122</w:t>
                    </w:r>
                  </w:p>
                </w:txbxContent>
              </v:textbox>
              <w10:wrap type="none"/>
            </v:shape>
            <w10:wrap type="none"/>
          </v:group>
        </w:pict>
      </w:r>
      <w:r>
        <w:rPr>
          <w:color w:val="231F20"/>
        </w:rPr>
        <w:t>匹、可傳染期計算</w:t>
      </w:r>
    </w:p>
    <w:p>
      <w:pPr>
        <w:pStyle w:val="BodyText"/>
        <w:spacing w:line="230" w:lineRule="auto" w:before="2"/>
        <w:ind w:left="1349" w:right="1138" w:hanging="720"/>
        <w:jc w:val="both"/>
      </w:pPr>
      <w:r>
        <w:rPr>
          <w:color w:val="231F20"/>
          <w:w w:val="65"/>
        </w:rPr>
        <w:t>（ </w:t>
      </w:r>
      <w:r>
        <w:rPr>
          <w:color w:val="231F20"/>
          <w:spacing w:val="-1"/>
        </w:rPr>
        <w:t>— ) 依指標個案特徵進行推估，起日以同—次發病之最早異常日期往前回推，視個案傳染力高低決定回推 </w:t>
      </w:r>
      <w:r>
        <w:rPr>
          <w:color w:val="231F20"/>
        </w:rPr>
        <w:t>3</w:t>
      </w:r>
      <w:r>
        <w:rPr>
          <w:color w:val="231F20"/>
          <w:spacing w:val="-3"/>
        </w:rPr>
        <w:t> 個月或 </w:t>
      </w:r>
      <w:r>
        <w:rPr>
          <w:color w:val="231F20"/>
        </w:rPr>
        <w:t>1</w:t>
      </w:r>
      <w:r>
        <w:rPr>
          <w:color w:val="231F20"/>
          <w:spacing w:val="-3"/>
        </w:rPr>
        <w:t> 個月，並以終止有效暴露日期作為迄日，計算方</w:t>
      </w:r>
      <w:r>
        <w:rPr>
          <w:color w:val="231F20"/>
          <w:spacing w:val="-2"/>
        </w:rPr>
        <w:t>式如圖 </w:t>
      </w:r>
      <w:r>
        <w:rPr>
          <w:color w:val="231F20"/>
        </w:rPr>
        <w:t>1。</w:t>
      </w:r>
    </w:p>
    <w:p>
      <w:pPr>
        <w:pStyle w:val="BodyText"/>
        <w:spacing w:line="403" w:lineRule="exact"/>
        <w:ind w:left="1349"/>
        <w:jc w:val="both"/>
      </w:pPr>
      <w:r>
        <w:rPr/>
        <w:drawing>
          <wp:anchor distT="0" distB="0" distL="0" distR="0" allowOverlap="1" layoutInCell="1" locked="0" behindDoc="1" simplePos="0" relativeHeight="237210624">
            <wp:simplePos x="0" y="0"/>
            <wp:positionH relativeFrom="page">
              <wp:posOffset>1479105</wp:posOffset>
            </wp:positionH>
            <wp:positionV relativeFrom="paragraph">
              <wp:posOffset>191372</wp:posOffset>
            </wp:positionV>
            <wp:extent cx="5357964" cy="2914738"/>
            <wp:effectExtent l="0" t="0" r="0" b="0"/>
            <wp:wrapNone/>
            <wp:docPr id="19" name="image182.jpeg"/>
            <wp:cNvGraphicFramePr>
              <a:graphicFrameLocks noChangeAspect="1"/>
            </wp:cNvGraphicFramePr>
            <a:graphic>
              <a:graphicData uri="http://schemas.openxmlformats.org/drawingml/2006/picture">
                <pic:pic>
                  <pic:nvPicPr>
                    <pic:cNvPr id="20" name="image182.jpeg"/>
                    <pic:cNvPicPr/>
                  </pic:nvPicPr>
                  <pic:blipFill>
                    <a:blip r:embed="rId186" cstate="print"/>
                    <a:stretch>
                      <a:fillRect/>
                    </a:stretch>
                  </pic:blipFill>
                  <pic:spPr>
                    <a:xfrm>
                      <a:off x="0" y="0"/>
                      <a:ext cx="5357964" cy="2914738"/>
                    </a:xfrm>
                    <a:prstGeom prst="rect">
                      <a:avLst/>
                    </a:prstGeom>
                  </pic:spPr>
                </pic:pic>
              </a:graphicData>
            </a:graphic>
          </wp:anchor>
        </w:drawing>
      </w:r>
      <w:r>
        <w:rPr>
          <w:color w:val="231F20"/>
        </w:rPr>
        <w:t>圖 1、可傳染期定義</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9"/>
        <w:rPr>
          <w:sz w:val="34"/>
        </w:rPr>
      </w:pPr>
    </w:p>
    <w:p>
      <w:pPr>
        <w:pStyle w:val="BodyText"/>
        <w:spacing w:line="409" w:lineRule="exact"/>
        <w:ind w:left="1349"/>
      </w:pPr>
      <w:r>
        <w:rPr>
          <w:color w:val="231F20"/>
        </w:rPr>
        <w:t>【註—】終止有效暴露日之條件 </w:t>
      </w:r>
      <w:r>
        <w:rPr>
          <w:color w:val="231F20"/>
          <w:w w:val="65"/>
        </w:rPr>
        <w:t>（ </w:t>
      </w:r>
      <w:r>
        <w:rPr>
          <w:color w:val="231F20"/>
        </w:rPr>
        <w:t>符合下述任—情況最早發生的日期 )</w:t>
      </w:r>
    </w:p>
    <w:p>
      <w:pPr>
        <w:pStyle w:val="BodyText"/>
        <w:spacing w:line="400" w:lineRule="exact"/>
        <w:ind w:left="1349"/>
      </w:pPr>
      <w:r>
        <w:rPr>
          <w:color w:val="231F20"/>
        </w:rPr>
        <w:t>＠未再與指標個案接觸、</w:t>
      </w:r>
    </w:p>
    <w:p>
      <w:pPr>
        <w:pStyle w:val="BodyText"/>
        <w:spacing w:line="400" w:lineRule="exact"/>
        <w:ind w:left="1349"/>
      </w:pPr>
      <w:r>
        <w:rPr>
          <w:color w:val="231F20"/>
        </w:rPr>
        <w:t>＠指標個案接受治療且都治 2 週、</w:t>
      </w:r>
    </w:p>
    <w:p>
      <w:pPr>
        <w:pStyle w:val="BodyText"/>
        <w:spacing w:line="400" w:lineRule="exact"/>
        <w:ind w:left="1349"/>
      </w:pPr>
      <w:r>
        <w:rPr>
          <w:color w:val="231F20"/>
        </w:rPr>
        <w:t>®指標個案痰培養陰轉、</w:t>
      </w:r>
    </w:p>
    <w:p>
      <w:pPr>
        <w:pStyle w:val="BodyText"/>
        <w:spacing w:line="400" w:lineRule="exact"/>
        <w:ind w:left="1349"/>
      </w:pPr>
      <w:r>
        <w:rPr>
          <w:color w:val="231F20"/>
        </w:rPr>
        <w:t>®指標個案持續配戴醫療等級以上口罩、</w:t>
      </w:r>
    </w:p>
    <w:p>
      <w:pPr>
        <w:pStyle w:val="BodyText"/>
        <w:spacing w:line="409" w:lineRule="exact"/>
        <w:ind w:left="1349"/>
      </w:pPr>
      <w:r>
        <w:rPr>
          <w:color w:val="231F20"/>
        </w:rPr>
        <w:t>＠接觸者持續配戴 N95（ 含 ) 等級以上口罩</w:t>
      </w:r>
    </w:p>
    <w:p>
      <w:pPr>
        <w:pStyle w:val="BodyText"/>
        <w:spacing w:before="7"/>
        <w:rPr>
          <w:sz w:val="22"/>
        </w:rPr>
      </w:pPr>
    </w:p>
    <w:p>
      <w:pPr>
        <w:pStyle w:val="BodyText"/>
        <w:spacing w:line="230" w:lineRule="auto" w:before="1"/>
        <w:ind w:left="1349" w:right="1075" w:hanging="720"/>
        <w:jc w:val="both"/>
      </w:pPr>
      <w:r>
        <w:rPr>
          <w:color w:val="231F20"/>
          <w:w w:val="70"/>
        </w:rPr>
        <w:t>（ </w:t>
      </w:r>
      <w:r>
        <w:rPr>
          <w:color w:val="231F20"/>
          <w:spacing w:val="3"/>
        </w:rPr>
        <w:t>二 ) 上述終止有效暴露日後續如因為指標個案檢驗 </w:t>
      </w:r>
      <w:r>
        <w:rPr>
          <w:color w:val="231F20"/>
          <w:w w:val="70"/>
        </w:rPr>
        <w:t>（ </w:t>
      </w:r>
      <w:r>
        <w:rPr>
          <w:color w:val="231F20"/>
          <w:spacing w:val="-13"/>
        </w:rPr>
        <w:t>査 ) 結果 </w:t>
      </w:r>
      <w:r>
        <w:rPr>
          <w:color w:val="231F20"/>
          <w:w w:val="70"/>
        </w:rPr>
        <w:t>（ </w:t>
      </w:r>
      <w:r>
        <w:rPr>
          <w:color w:val="231F20"/>
          <w:spacing w:val="4"/>
        </w:rPr>
        <w:t>痰塗片陽性、痰培養</w:t>
      </w:r>
      <w:r>
        <w:rPr>
          <w:color w:val="231F20"/>
          <w:spacing w:val="-4"/>
        </w:rPr>
        <w:t>為結核蔥、</w:t>
      </w:r>
      <w:r>
        <w:rPr>
          <w:color w:val="231F20"/>
        </w:rPr>
        <w:t>X</w:t>
      </w:r>
      <w:r>
        <w:rPr>
          <w:color w:val="231F20"/>
          <w:spacing w:val="-5"/>
        </w:rPr>
        <w:t> 光有空洞或多重抗藥) 有變化，則應重新界定其可傳染期起迄日期， </w:t>
      </w:r>
      <w:r>
        <w:rPr>
          <w:color w:val="231F20"/>
          <w:spacing w:val="3"/>
        </w:rPr>
        <w:t>再評估是否有新增符合接觸者檢査對象或前次 </w:t>
      </w:r>
      <w:r>
        <w:rPr>
          <w:color w:val="231F20"/>
          <w:spacing w:val="-4"/>
        </w:rPr>
        <w:t>LTBI</w:t>
      </w:r>
      <w:r>
        <w:rPr>
          <w:color w:val="231F20"/>
        </w:rPr>
        <w:t> 檢驗陰性者，須再次進行檢査。</w:t>
      </w:r>
    </w:p>
    <w:p>
      <w:pPr>
        <w:pStyle w:val="BodyText"/>
        <w:spacing w:line="392" w:lineRule="exact"/>
        <w:ind w:left="391"/>
      </w:pPr>
      <w:r>
        <w:rPr>
          <w:color w:val="231F20"/>
        </w:rPr>
        <w:t>五、接觸者匡列</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接觸者定義</w:t>
      </w:r>
    </w:p>
    <w:p>
      <w:pPr>
        <w:pStyle w:val="ListParagraph"/>
        <w:numPr>
          <w:ilvl w:val="0"/>
          <w:numId w:val="231"/>
        </w:numPr>
        <w:tabs>
          <w:tab w:pos="1349" w:val="left" w:leader="none"/>
        </w:tabs>
        <w:spacing w:line="400" w:lineRule="exact" w:before="0" w:after="0"/>
        <w:ind w:left="1348" w:right="0" w:hanging="255"/>
        <w:jc w:val="left"/>
        <w:rPr>
          <w:sz w:val="24"/>
        </w:rPr>
      </w:pPr>
      <w:r>
        <w:rPr>
          <w:color w:val="231F20"/>
          <w:sz w:val="24"/>
        </w:rPr>
        <w:t>與指標個案共同居住者。</w:t>
      </w:r>
    </w:p>
    <w:p>
      <w:pPr>
        <w:pStyle w:val="ListParagraph"/>
        <w:numPr>
          <w:ilvl w:val="0"/>
          <w:numId w:val="231"/>
        </w:numPr>
        <w:tabs>
          <w:tab w:pos="1350" w:val="left" w:leader="none"/>
        </w:tabs>
        <w:spacing w:line="230" w:lineRule="auto" w:before="2" w:after="0"/>
        <w:ind w:left="1349" w:right="1127" w:hanging="255"/>
        <w:jc w:val="left"/>
        <w:rPr>
          <w:sz w:val="24"/>
        </w:rPr>
      </w:pPr>
      <w:r>
        <w:rPr>
          <w:color w:val="231F20"/>
          <w:spacing w:val="3"/>
          <w:sz w:val="24"/>
        </w:rPr>
        <w:t>與指標個案於可傳染期間 </w:t>
      </w:r>
      <w:r>
        <w:rPr>
          <w:color w:val="231F20"/>
          <w:w w:val="104"/>
          <w:sz w:val="24"/>
        </w:rPr>
        <w:t>1</w:t>
      </w:r>
      <w:r>
        <w:rPr>
          <w:color w:val="231F20"/>
          <w:spacing w:val="-1"/>
          <w:sz w:val="24"/>
        </w:rPr>
        <w:t> 天內接觸 </w:t>
      </w:r>
      <w:r>
        <w:rPr>
          <w:color w:val="231F20"/>
          <w:w w:val="104"/>
          <w:sz w:val="24"/>
        </w:rPr>
        <w:t>8</w:t>
      </w:r>
      <w:r>
        <w:rPr>
          <w:color w:val="231F20"/>
          <w:spacing w:val="-3"/>
          <w:sz w:val="24"/>
        </w:rPr>
        <w:t> 小時 </w:t>
      </w:r>
      <w:r>
        <w:rPr>
          <w:color w:val="231F20"/>
          <w:w w:val="32"/>
          <w:sz w:val="24"/>
        </w:rPr>
        <w:t>（</w:t>
      </w:r>
      <w:r>
        <w:rPr>
          <w:color w:val="231F20"/>
          <w:spacing w:val="-4"/>
          <w:sz w:val="24"/>
        </w:rPr>
        <w:t> 含 </w:t>
      </w:r>
      <w:r>
        <w:rPr>
          <w:color w:val="231F20"/>
          <w:w w:val="96"/>
          <w:sz w:val="24"/>
        </w:rPr>
        <w:t>)</w:t>
      </w:r>
      <w:r>
        <w:rPr>
          <w:color w:val="231F20"/>
          <w:sz w:val="24"/>
        </w:rPr>
        <w:t> 以上或累計達 </w:t>
      </w:r>
      <w:r>
        <w:rPr>
          <w:color w:val="231F20"/>
          <w:w w:val="104"/>
          <w:sz w:val="24"/>
        </w:rPr>
        <w:t>4</w:t>
      </w:r>
      <w:r>
        <w:rPr>
          <w:color w:val="231F20"/>
          <w:spacing w:val="-1"/>
          <w:w w:val="104"/>
          <w:sz w:val="24"/>
        </w:rPr>
        <w:t>0</w:t>
      </w:r>
      <w:r>
        <w:rPr>
          <w:color w:val="231F20"/>
          <w:w w:val="32"/>
          <w:sz w:val="24"/>
        </w:rPr>
        <w:t>（</w:t>
      </w:r>
      <w:r>
        <w:rPr>
          <w:color w:val="231F20"/>
          <w:spacing w:val="-4"/>
          <w:sz w:val="24"/>
        </w:rPr>
        <w:t> 含 </w:t>
      </w:r>
      <w:r>
        <w:rPr>
          <w:color w:val="231F20"/>
          <w:w w:val="96"/>
          <w:sz w:val="24"/>
        </w:rPr>
        <w:t>)</w:t>
      </w:r>
      <w:r>
        <w:rPr>
          <w:color w:val="231F20"/>
          <w:spacing w:val="2"/>
          <w:sz w:val="24"/>
        </w:rPr>
        <w:t> 小時以</w:t>
      </w:r>
      <w:r>
        <w:rPr>
          <w:color w:val="231F20"/>
          <w:sz w:val="24"/>
        </w:rPr>
        <w:t>上之接觸者。</w:t>
      </w:r>
    </w:p>
    <w:p>
      <w:pPr>
        <w:pStyle w:val="ListParagraph"/>
        <w:numPr>
          <w:ilvl w:val="0"/>
          <w:numId w:val="231"/>
        </w:numPr>
        <w:tabs>
          <w:tab w:pos="1349" w:val="left" w:leader="none"/>
        </w:tabs>
        <w:spacing w:line="395" w:lineRule="exact" w:before="0" w:after="0"/>
        <w:ind w:left="1348" w:right="0" w:hanging="255"/>
        <w:jc w:val="left"/>
        <w:rPr>
          <w:sz w:val="24"/>
        </w:rPr>
      </w:pPr>
      <w:r>
        <w:rPr>
          <w:color w:val="231F20"/>
          <w:spacing w:val="-4"/>
          <w:sz w:val="24"/>
        </w:rPr>
        <w:t>其他 </w:t>
      </w:r>
      <w:r>
        <w:rPr>
          <w:color w:val="231F20"/>
          <w:w w:val="65"/>
          <w:sz w:val="24"/>
        </w:rPr>
        <w:t>（</w:t>
      </w:r>
      <w:r>
        <w:rPr>
          <w:color w:val="231F20"/>
          <w:spacing w:val="14"/>
          <w:w w:val="65"/>
          <w:sz w:val="24"/>
        </w:rPr>
        <w:t> </w:t>
      </w:r>
      <w:r>
        <w:rPr>
          <w:color w:val="231F20"/>
          <w:spacing w:val="-3"/>
          <w:sz w:val="24"/>
        </w:rPr>
        <w:t>如：聚集事件等 ) 有必要進行接觸者檢査之對象另行專案處理。</w:t>
      </w:r>
    </w:p>
    <w:p>
      <w:pPr>
        <w:pStyle w:val="BodyText"/>
        <w:tabs>
          <w:tab w:pos="1350" w:val="left" w:leader="none"/>
        </w:tabs>
        <w:spacing w:line="230" w:lineRule="auto" w:before="3"/>
        <w:ind w:left="1349" w:right="1138" w:hanging="720"/>
      </w:pPr>
      <w:r>
        <w:rPr>
          <w:color w:val="231F20"/>
          <w:w w:val="65"/>
        </w:rPr>
        <w:t>（</w:t>
      </w:r>
      <w:r>
        <w:rPr>
          <w:color w:val="231F20"/>
          <w:spacing w:val="1"/>
          <w:w w:val="65"/>
        </w:rPr>
        <w:t> </w:t>
      </w:r>
      <w:r>
        <w:rPr>
          <w:color w:val="231F20"/>
        </w:rPr>
        <w:t>二</w:t>
      </w:r>
      <w:r>
        <w:rPr>
          <w:color w:val="231F20"/>
          <w:spacing w:val="-22"/>
        </w:rPr>
        <w:t> </w:t>
      </w:r>
      <w:r>
        <w:rPr>
          <w:color w:val="231F20"/>
        </w:rPr>
        <w:t>)</w:t>
        <w:tab/>
        <w:tab/>
        <w:t>公衛管理人員可依指標個案傳染力，或暴露環境換氣不佳等實際暴露情形，調</w:t>
      </w:r>
      <w:r>
        <w:rPr>
          <w:color w:val="231F20"/>
          <w:spacing w:val="-18"/>
        </w:rPr>
        <w:t>整</w:t>
      </w:r>
      <w:r>
        <w:rPr>
          <w:color w:val="231F20"/>
        </w:rPr>
        <w:t>上述時數規定之標準，意即</w:t>
      </w:r>
      <w:r>
        <w:rPr>
          <w:color w:val="231F20"/>
          <w:spacing w:val="-6"/>
        </w:rPr>
        <w:t> </w:t>
      </w:r>
      <w:r>
        <w:rPr>
          <w:color w:val="231F20"/>
        </w:rPr>
        <w:t>1</w:t>
      </w:r>
      <w:r>
        <w:rPr>
          <w:color w:val="231F20"/>
          <w:spacing w:val="-5"/>
        </w:rPr>
        <w:t> </w:t>
      </w:r>
      <w:r>
        <w:rPr>
          <w:color w:val="231F20"/>
        </w:rPr>
        <w:t>天內接觸未達</w:t>
      </w:r>
      <w:r>
        <w:rPr>
          <w:color w:val="231F20"/>
          <w:spacing w:val="-5"/>
        </w:rPr>
        <w:t> </w:t>
      </w:r>
      <w:r>
        <w:rPr>
          <w:color w:val="231F20"/>
        </w:rPr>
        <w:t>8</w:t>
      </w:r>
      <w:r>
        <w:rPr>
          <w:color w:val="231F20"/>
          <w:spacing w:val="-5"/>
        </w:rPr>
        <w:t> </w:t>
      </w:r>
      <w:r>
        <w:rPr>
          <w:color w:val="231F20"/>
        </w:rPr>
        <w:t>小時或累計未達</w:t>
      </w:r>
      <w:r>
        <w:rPr>
          <w:color w:val="231F20"/>
          <w:spacing w:val="-5"/>
        </w:rPr>
        <w:t> </w:t>
      </w:r>
      <w:r>
        <w:rPr>
          <w:color w:val="231F20"/>
        </w:rPr>
        <w:t>40</w:t>
      </w:r>
      <w:r>
        <w:rPr>
          <w:color w:val="231F20"/>
          <w:spacing w:val="-5"/>
        </w:rPr>
        <w:t> </w:t>
      </w:r>
      <w:r>
        <w:rPr>
          <w:color w:val="231F20"/>
        </w:rPr>
        <w:t>小時亦可。</w:t>
      </w:r>
    </w:p>
    <w:p>
      <w:pPr>
        <w:spacing w:after="0" w:line="230" w:lineRule="auto"/>
        <w:sectPr>
          <w:pgSz w:w="11910" w:h="16840"/>
          <w:pgMar w:top="1060" w:bottom="0" w:left="980" w:right="0"/>
        </w:sectPr>
      </w:pPr>
    </w:p>
    <w:p>
      <w:pPr>
        <w:pStyle w:val="BodyText"/>
        <w:spacing w:line="409" w:lineRule="exact" w:before="59"/>
        <w:ind w:left="391"/>
      </w:pPr>
      <w:r>
        <w:rPr>
          <w:color w:val="231F20"/>
        </w:rPr>
        <w:t>六、其他注意事項</w:t>
      </w:r>
    </w:p>
    <w:p>
      <w:pPr>
        <w:pStyle w:val="BodyText"/>
        <w:spacing w:line="230" w:lineRule="auto" w:before="2"/>
        <w:ind w:left="1349" w:right="1129" w:hanging="720"/>
        <w:jc w:val="both"/>
      </w:pPr>
      <w:r>
        <w:rPr>
          <w:color w:val="231F20"/>
          <w:w w:val="70"/>
        </w:rPr>
        <w:t>（ </w:t>
      </w:r>
      <w:r>
        <w:rPr>
          <w:color w:val="231F20"/>
        </w:rPr>
        <w:t>— ) 考量懷孕期間母子垂直感染結核病的可能性，指標個案若為育齡婦女 </w:t>
      </w:r>
      <w:r>
        <w:rPr>
          <w:color w:val="231F20"/>
          <w:w w:val="70"/>
        </w:rPr>
        <w:t>（ </w:t>
      </w:r>
      <w:r>
        <w:rPr>
          <w:color w:val="231F20"/>
        </w:rPr>
        <w:t>包括所有肺內外確診 )，應詢問其是否處於懷孕或產後狀態，並至「全國性預防接種資訊管理系統」確認該個案是否有新生兒或兒童接觸者。</w:t>
      </w:r>
    </w:p>
    <w:p>
      <w:pPr>
        <w:pStyle w:val="BodyText"/>
        <w:spacing w:line="230" w:lineRule="auto"/>
        <w:ind w:left="1349" w:right="1135" w:hanging="720"/>
        <w:jc w:val="both"/>
      </w:pPr>
      <w:r>
        <w:rPr>
          <w:color w:val="231F20"/>
          <w:w w:val="65"/>
        </w:rPr>
        <w:t>（ </w:t>
      </w:r>
      <w:r>
        <w:rPr>
          <w:color w:val="231F20"/>
        </w:rPr>
        <w:t>二 ) 針對未滿 5 歲個案、單純肺外個案之接觸者調査重點在於尋找感染源，相關說明如本章第陸節。</w:t>
      </w:r>
    </w:p>
    <w:p>
      <w:pPr>
        <w:pStyle w:val="BodyText"/>
        <w:spacing w:line="395" w:lineRule="exact"/>
        <w:ind w:left="391"/>
      </w:pPr>
      <w:r>
        <w:rPr>
          <w:color w:val="231F20"/>
        </w:rPr>
        <w:t>七、參考資源</w:t>
      </w:r>
    </w:p>
    <w:p>
      <w:pPr>
        <w:pStyle w:val="BodyText"/>
        <w:spacing w:line="400" w:lineRule="exact"/>
        <w:ind w:left="878"/>
      </w:pPr>
      <w:r>
        <w:rPr>
          <w:color w:val="231F20"/>
        </w:rPr>
        <w:t>為協助公衛管理人員收集完整資訊，可參考下列輔助工具進行調査：</w:t>
      </w:r>
    </w:p>
    <w:p>
      <w:pPr>
        <w:pStyle w:val="BodyText"/>
        <w:tabs>
          <w:tab w:pos="1349" w:val="left" w:leader="none"/>
        </w:tabs>
        <w:spacing w:line="400" w:lineRule="exact"/>
        <w:ind w:left="629"/>
      </w:pPr>
      <w:r>
        <w:rPr>
          <w:color w:val="231F20"/>
          <w:w w:val="70"/>
        </w:rPr>
        <w:t>（</w:t>
      </w:r>
      <w:r>
        <w:rPr>
          <w:color w:val="231F20"/>
          <w:spacing w:val="-14"/>
          <w:w w:val="70"/>
        </w:rPr>
        <w:t> </w:t>
      </w:r>
      <w:r>
        <w:rPr>
          <w:color w:val="231F20"/>
          <w:spacing w:val="-15"/>
          <w:w w:val="115"/>
        </w:rPr>
        <w:t>— )</w:t>
      </w:r>
      <w:r>
        <w:rPr>
          <w:color w:val="231F20"/>
          <w:w w:val="115"/>
        </w:rPr>
        <w:tab/>
      </w:r>
      <w:r>
        <w:rPr>
          <w:color w:val="231F20"/>
          <w:spacing w:val="-2"/>
          <w:w w:val="115"/>
        </w:rPr>
        <w:t>結核病個案疫情調査評估事項(附件 </w:t>
      </w:r>
      <w:r>
        <w:rPr>
          <w:color w:val="231F20"/>
          <w:w w:val="115"/>
        </w:rPr>
        <w:t>11-2)。</w:t>
      </w:r>
    </w:p>
    <w:p>
      <w:pPr>
        <w:pStyle w:val="BodyText"/>
        <w:tabs>
          <w:tab w:pos="1349" w:val="left" w:leader="none"/>
        </w:tabs>
        <w:spacing w:line="400" w:lineRule="exact"/>
        <w:ind w:left="629"/>
      </w:pPr>
      <w:r>
        <w:rPr>
          <w:color w:val="231F20"/>
          <w:w w:val="70"/>
        </w:rPr>
        <w:t>（</w:t>
      </w:r>
      <w:r>
        <w:rPr>
          <w:color w:val="231F20"/>
          <w:spacing w:val="-11"/>
          <w:w w:val="70"/>
        </w:rPr>
        <w:t> </w:t>
      </w:r>
      <w:r>
        <w:rPr>
          <w:color w:val="231F20"/>
          <w:w w:val="110"/>
        </w:rPr>
        <w:t>二</w:t>
      </w:r>
      <w:r>
        <w:rPr>
          <w:color w:val="231F20"/>
          <w:spacing w:val="-37"/>
          <w:w w:val="110"/>
        </w:rPr>
        <w:t> </w:t>
      </w:r>
      <w:r>
        <w:rPr>
          <w:color w:val="231F20"/>
          <w:w w:val="110"/>
        </w:rPr>
        <w:t>)</w:t>
        <w:tab/>
        <w:t>結核病防治環境評估事項(校園：附件</w:t>
      </w:r>
      <w:r>
        <w:rPr>
          <w:color w:val="231F20"/>
          <w:spacing w:val="-20"/>
          <w:w w:val="110"/>
        </w:rPr>
        <w:t> </w:t>
      </w:r>
      <w:r>
        <w:rPr>
          <w:color w:val="231F20"/>
          <w:w w:val="110"/>
        </w:rPr>
        <w:t>11-3-1；職場：附件</w:t>
      </w:r>
      <w:r>
        <w:rPr>
          <w:color w:val="231F20"/>
          <w:spacing w:val="-21"/>
          <w:w w:val="110"/>
        </w:rPr>
        <w:t> </w:t>
      </w:r>
      <w:r>
        <w:rPr>
          <w:color w:val="231F20"/>
          <w:w w:val="110"/>
        </w:rPr>
        <w:t>11-3-2)。</w:t>
      </w:r>
    </w:p>
    <w:p>
      <w:pPr>
        <w:pStyle w:val="BodyText"/>
        <w:tabs>
          <w:tab w:pos="1349" w:val="left" w:leader="none"/>
        </w:tabs>
        <w:spacing w:line="230" w:lineRule="auto"/>
        <w:ind w:left="1349" w:right="1138" w:hanging="720"/>
      </w:pPr>
      <w:r>
        <w:rPr>
          <w:color w:val="231F20"/>
          <w:w w:val="65"/>
        </w:rPr>
        <w:t>（</w:t>
      </w:r>
      <w:r>
        <w:rPr>
          <w:color w:val="231F20"/>
          <w:spacing w:val="1"/>
          <w:w w:val="65"/>
        </w:rPr>
        <w:t> </w:t>
      </w:r>
      <w:r>
        <w:rPr>
          <w:color w:val="231F20"/>
        </w:rPr>
        <w:t>三</w:t>
      </w:r>
      <w:r>
        <w:rPr>
          <w:color w:val="231F20"/>
          <w:spacing w:val="-22"/>
        </w:rPr>
        <w:t> </w:t>
      </w:r>
      <w:r>
        <w:rPr>
          <w:color w:val="231F20"/>
        </w:rPr>
        <w:t>)</w:t>
        <w:tab/>
        <w:t>結核病接觸者調査相關教材請參閱疾病管制署全球資訊網</w:t>
      </w:r>
      <w:r>
        <w:rPr>
          <w:color w:val="231F20"/>
          <w:spacing w:val="-26"/>
        </w:rPr>
        <w:t> </w:t>
      </w:r>
      <w:r>
        <w:rPr>
          <w:color w:val="231F20"/>
          <w:w w:val="65"/>
        </w:rPr>
        <w:t>（</w:t>
      </w:r>
      <w:r>
        <w:rPr>
          <w:color w:val="231F20"/>
          <w:spacing w:val="-3"/>
          <w:w w:val="65"/>
        </w:rPr>
        <w:t> </w:t>
      </w:r>
      <w:r>
        <w:rPr>
          <w:color w:val="231F20"/>
        </w:rPr>
        <w:t>傳染病與防疫專題</w:t>
      </w:r>
      <w:r>
        <w:rPr>
          <w:color w:val="231F20"/>
          <w:spacing w:val="-26"/>
        </w:rPr>
        <w:t> </w:t>
      </w:r>
      <w:r>
        <w:rPr>
          <w:color w:val="231F20"/>
          <w:w w:val="95"/>
        </w:rPr>
        <w:t>＞ </w:t>
      </w:r>
      <w:r>
        <w:rPr>
          <w:color w:val="231F20"/>
        </w:rPr>
        <w:t>傳染病介紹</w:t>
      </w:r>
      <w:r>
        <w:rPr>
          <w:color w:val="231F20"/>
          <w:spacing w:val="-16"/>
        </w:rPr>
        <w:t> </w:t>
      </w:r>
      <w:r>
        <w:rPr>
          <w:color w:val="231F20"/>
          <w:w w:val="95"/>
        </w:rPr>
        <w:t>＞</w:t>
      </w:r>
      <w:r>
        <w:rPr>
          <w:color w:val="231F20"/>
          <w:spacing w:val="-13"/>
          <w:w w:val="95"/>
        </w:rPr>
        <w:t> </w:t>
      </w:r>
      <w:r>
        <w:rPr>
          <w:color w:val="231F20"/>
        </w:rPr>
        <w:t>第三類法定傳染病</w:t>
      </w:r>
      <w:r>
        <w:rPr>
          <w:color w:val="231F20"/>
          <w:spacing w:val="-15"/>
        </w:rPr>
        <w:t> </w:t>
      </w:r>
      <w:r>
        <w:rPr>
          <w:color w:val="231F20"/>
          <w:w w:val="95"/>
        </w:rPr>
        <w:t>＞</w:t>
      </w:r>
      <w:r>
        <w:rPr>
          <w:color w:val="231F20"/>
          <w:spacing w:val="-13"/>
          <w:w w:val="95"/>
        </w:rPr>
        <w:t> </w:t>
      </w:r>
      <w:r>
        <w:rPr>
          <w:color w:val="231F20"/>
        </w:rPr>
        <w:t>結核病</w:t>
      </w:r>
      <w:r>
        <w:rPr>
          <w:color w:val="231F20"/>
          <w:spacing w:val="-15"/>
        </w:rPr>
        <w:t> </w:t>
      </w:r>
      <w:r>
        <w:rPr>
          <w:color w:val="231F20"/>
          <w:w w:val="95"/>
        </w:rPr>
        <w:t>＞</w:t>
      </w:r>
      <w:r>
        <w:rPr>
          <w:color w:val="231F20"/>
          <w:spacing w:val="-13"/>
          <w:w w:val="95"/>
        </w:rPr>
        <w:t> </w:t>
      </w:r>
      <w:r>
        <w:rPr>
          <w:color w:val="231F20"/>
        </w:rPr>
        <w:t>防治政策</w:t>
      </w:r>
      <w:r>
        <w:rPr>
          <w:color w:val="231F20"/>
          <w:spacing w:val="-15"/>
        </w:rPr>
        <w:t> </w:t>
      </w:r>
      <w:r>
        <w:rPr>
          <w:color w:val="231F20"/>
          <w:w w:val="95"/>
        </w:rPr>
        <w:t>＞</w:t>
      </w:r>
      <w:r>
        <w:rPr>
          <w:color w:val="231F20"/>
          <w:spacing w:val="-13"/>
          <w:w w:val="95"/>
        </w:rPr>
        <w:t> </w:t>
      </w:r>
      <w:r>
        <w:rPr>
          <w:color w:val="231F20"/>
        </w:rPr>
        <w:t>接觸者檢査</w:t>
      </w:r>
      <w:r>
        <w:rPr>
          <w:color w:val="231F20"/>
          <w:spacing w:val="-16"/>
        </w:rPr>
        <w:t> </w:t>
      </w:r>
      <w:r>
        <w:rPr>
          <w:color w:val="231F20"/>
        </w:rPr>
        <w:t>)。</w:t>
      </w:r>
    </w:p>
    <w:p>
      <w:pPr>
        <w:pStyle w:val="BodyText"/>
        <w:tabs>
          <w:tab w:pos="1349" w:val="left" w:leader="none"/>
        </w:tabs>
        <w:spacing w:line="230" w:lineRule="auto"/>
        <w:ind w:left="1349" w:right="5295" w:hanging="720"/>
      </w:pPr>
      <w:r>
        <w:rPr/>
        <w:pict>
          <v:group style="position:absolute;margin-left:557.686523pt;margin-top:16.733006pt;width:37.35pt;height:528.550pt;mso-position-horizontal-relative:page;mso-position-vertical-relative:paragraph;z-index:251954176" coordorigin="11154,335" coordsize="747,10571">
            <v:shape style="position:absolute;left:11283;top:846;width:438;height:10060" type="#_x0000_t75" stroked="false">
              <v:imagedata r:id="rId180" o:title=""/>
            </v:shape>
            <v:shape style="position:absolute;left:11153;top:334;width:747;height:812" coordorigin="11154,335" coordsize="747,812" path="m11900,335l11536,335,11514,337,11454,371,11188,653,11154,740,11162,787,11454,1110,11514,1144,11536,1146,11900,1146,11900,335xe" filled="true" fillcolor="#5daf8a" stroked="false">
              <v:path arrowok="t"/>
              <v:fill type="solid"/>
            </v:shape>
            <v:shape style="position:absolute;left:11321;top:601;width:331;height:274" type="#_x0000_t75" stroked="false">
              <v:imagedata r:id="rId187" o:title=""/>
            </v:shape>
            <v:shape style="position:absolute;left:11378;top:1281;width:251;height:3264" type="#_x0000_t75" stroked="false">
              <v:imagedata r:id="rId182" o:title=""/>
            </v:shape>
            <v:shape style="position:absolute;left:11368;top:10342;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123</w:t>
                    </w:r>
                  </w:p>
                </w:txbxContent>
              </v:textbox>
              <w10:wrap type="none"/>
            </v:shape>
            <w10:wrap type="none"/>
          </v:group>
        </w:pict>
      </w:r>
      <w:r>
        <w:rPr/>
        <w:pict>
          <v:shape style="position:absolute;margin-left:116.452499pt;margin-top:37.952503pt;width:422.35pt;height:234pt;mso-position-horizontal-relative:page;mso-position-vertical-relative:paragraph;z-index:25195520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685"/>
                    <w:gridCol w:w="685"/>
                    <w:gridCol w:w="3528"/>
                    <w:gridCol w:w="3527"/>
                  </w:tblGrid>
                  <w:tr>
                    <w:trPr>
                      <w:trHeight w:val="451" w:hRule="atLeast"/>
                    </w:trPr>
                    <w:tc>
                      <w:tcPr>
                        <w:tcW w:w="1370" w:type="dxa"/>
                        <w:gridSpan w:val="2"/>
                        <w:shd w:val="clear" w:color="auto" w:fill="E6E7E8"/>
                      </w:tcPr>
                      <w:p>
                        <w:pPr>
                          <w:pStyle w:val="TableParagraph"/>
                          <w:spacing w:line="431" w:lineRule="exact"/>
                          <w:ind w:left="204"/>
                          <w:rPr>
                            <w:rFonts w:ascii="微軟正黑體" w:eastAsia="微軟正黑體" w:hint="eastAsia"/>
                            <w:b/>
                            <w:sz w:val="24"/>
                          </w:rPr>
                        </w:pPr>
                        <w:r>
                          <w:rPr>
                            <w:rFonts w:ascii="微軟正黑體" w:eastAsia="微軟正黑體" w:hint="eastAsia"/>
                            <w:b/>
                            <w:color w:val="231F20"/>
                            <w:sz w:val="24"/>
                          </w:rPr>
                          <w:t>面談主題</w:t>
                        </w:r>
                      </w:p>
                    </w:tc>
                    <w:tc>
                      <w:tcPr>
                        <w:tcW w:w="7055" w:type="dxa"/>
                        <w:gridSpan w:val="2"/>
                        <w:shd w:val="clear" w:color="auto" w:fill="E6E7E8"/>
                      </w:tcPr>
                      <w:p>
                        <w:pPr>
                          <w:pStyle w:val="TableParagraph"/>
                          <w:spacing w:line="431" w:lineRule="exact"/>
                          <w:ind w:left="3027" w:right="3013"/>
                          <w:jc w:val="center"/>
                          <w:rPr>
                            <w:rFonts w:ascii="微軟正黑體" w:eastAsia="微軟正黑體" w:hint="eastAsia"/>
                            <w:b/>
                            <w:sz w:val="24"/>
                          </w:rPr>
                        </w:pPr>
                        <w:r>
                          <w:rPr>
                            <w:rFonts w:ascii="微軟正黑體" w:eastAsia="微軟正黑體" w:hint="eastAsia"/>
                            <w:b/>
                            <w:color w:val="231F20"/>
                            <w:sz w:val="24"/>
                          </w:rPr>
                          <w:t>面談要素</w:t>
                        </w:r>
                      </w:p>
                    </w:tc>
                  </w:tr>
                  <w:tr>
                    <w:trPr>
                      <w:trHeight w:val="451" w:hRule="atLeast"/>
                    </w:trPr>
                    <w:tc>
                      <w:tcPr>
                        <w:tcW w:w="1370" w:type="dxa"/>
                        <w:gridSpan w:val="2"/>
                        <w:vMerge w:val="restart"/>
                      </w:tcPr>
                      <w:p>
                        <w:pPr>
                          <w:pStyle w:val="TableParagraph"/>
                          <w:spacing w:before="265"/>
                          <w:ind w:left="84" w:right="-15"/>
                          <w:rPr>
                            <w:sz w:val="24"/>
                          </w:rPr>
                        </w:pPr>
                        <w:r>
                          <w:rPr>
                            <w:color w:val="231F20"/>
                            <w:spacing w:val="5"/>
                            <w:sz w:val="24"/>
                          </w:rPr>
                          <w:t>簡 單 介 紹</w:t>
                        </w:r>
                        <w:r>
                          <w:rPr>
                            <w:color w:val="231F20"/>
                            <w:spacing w:val="13"/>
                            <w:sz w:val="24"/>
                          </w:rPr>
                          <w:t> </w:t>
                        </w:r>
                      </w:p>
                    </w:tc>
                    <w:tc>
                      <w:tcPr>
                        <w:tcW w:w="3528" w:type="dxa"/>
                        <w:tcBorders>
                          <w:right w:val="nil"/>
                        </w:tcBorders>
                      </w:tcPr>
                      <w:p>
                        <w:pPr>
                          <w:pStyle w:val="TableParagraph"/>
                          <w:spacing w:line="400" w:lineRule="exact" w:before="31"/>
                          <w:ind w:left="84"/>
                          <w:rPr>
                            <w:sz w:val="24"/>
                          </w:rPr>
                        </w:pPr>
                        <w:r>
                          <w:rPr>
                            <w:rFonts w:ascii="新細明體" w:eastAsia="新細明體" w:hint="eastAsia"/>
                            <w:color w:val="231F20"/>
                            <w:position w:val="2"/>
                            <w:sz w:val="24"/>
                          </w:rPr>
                          <w:t>口</w:t>
                        </w:r>
                        <w:r>
                          <w:rPr>
                            <w:color w:val="231F20"/>
                            <w:sz w:val="24"/>
                          </w:rPr>
                          <w:t>自我介紹</w:t>
                        </w:r>
                      </w:p>
                    </w:tc>
                    <w:tc>
                      <w:tcPr>
                        <w:tcW w:w="3527" w:type="dxa"/>
                        <w:tcBorders>
                          <w:left w:val="nil"/>
                        </w:tcBorders>
                      </w:tcPr>
                      <w:p>
                        <w:pPr>
                          <w:pStyle w:val="TableParagraph"/>
                          <w:spacing w:line="400" w:lineRule="exact" w:before="31"/>
                          <w:ind w:left="91"/>
                          <w:rPr>
                            <w:sz w:val="24"/>
                          </w:rPr>
                        </w:pPr>
                        <w:r>
                          <w:rPr>
                            <w:rFonts w:ascii="新細明體" w:eastAsia="新細明體" w:hint="eastAsia"/>
                            <w:color w:val="231F20"/>
                            <w:position w:val="2"/>
                            <w:sz w:val="24"/>
                          </w:rPr>
                          <w:t>口</w:t>
                        </w:r>
                        <w:r>
                          <w:rPr>
                            <w:color w:val="231F20"/>
                            <w:sz w:val="24"/>
                          </w:rPr>
                          <w:t>說明面談目的</w:t>
                        </w:r>
                      </w:p>
                    </w:tc>
                  </w:tr>
                  <w:tr>
                    <w:trPr>
                      <w:trHeight w:val="451" w:hRule="atLeast"/>
                    </w:trPr>
                    <w:tc>
                      <w:tcPr>
                        <w:tcW w:w="1370" w:type="dxa"/>
                        <w:gridSpan w:val="2"/>
                        <w:vMerge/>
                        <w:tcBorders>
                          <w:top w:val="nil"/>
                        </w:tcBorders>
                      </w:tcPr>
                      <w:p>
                        <w:pPr>
                          <w:rPr>
                            <w:sz w:val="2"/>
                            <w:szCs w:val="2"/>
                          </w:rPr>
                        </w:pPr>
                      </w:p>
                    </w:tc>
                    <w:tc>
                      <w:tcPr>
                        <w:tcW w:w="7055" w:type="dxa"/>
                        <w:gridSpan w:val="2"/>
                      </w:tcPr>
                      <w:p>
                        <w:pPr>
                          <w:pStyle w:val="TableParagraph"/>
                          <w:spacing w:line="400" w:lineRule="exact" w:before="31"/>
                          <w:ind w:left="84"/>
                          <w:rPr>
                            <w:sz w:val="24"/>
                          </w:rPr>
                        </w:pPr>
                        <w:r>
                          <w:rPr>
                            <w:rFonts w:ascii="新細明體" w:eastAsia="新細明體" w:hint="eastAsia"/>
                            <w:color w:val="231F20"/>
                            <w:position w:val="2"/>
                            <w:sz w:val="24"/>
                          </w:rPr>
                          <w:t>口</w:t>
                        </w:r>
                        <w:r>
                          <w:rPr>
                            <w:color w:val="231F20"/>
                            <w:sz w:val="24"/>
                          </w:rPr>
                          <w:t>宣達權利 </w:t>
                        </w:r>
                        <w:r>
                          <w:rPr>
                            <w:color w:val="231F20"/>
                            <w:w w:val="65"/>
                            <w:sz w:val="24"/>
                          </w:rPr>
                          <w:t>（ </w:t>
                        </w:r>
                        <w:r>
                          <w:rPr>
                            <w:color w:val="231F20"/>
                            <w:sz w:val="24"/>
                          </w:rPr>
                          <w:t>隱私權保護 ) 與義務 </w:t>
                        </w:r>
                        <w:r>
                          <w:rPr>
                            <w:color w:val="231F20"/>
                            <w:w w:val="65"/>
                            <w:sz w:val="24"/>
                          </w:rPr>
                          <w:t>（ </w:t>
                        </w:r>
                        <w:r>
                          <w:rPr>
                            <w:color w:val="231F20"/>
                            <w:sz w:val="24"/>
                          </w:rPr>
                          <w:t>配合傳染病防治 )</w:t>
                        </w:r>
                      </w:p>
                    </w:tc>
                  </w:tr>
                  <w:tr>
                    <w:trPr>
                      <w:trHeight w:val="451" w:hRule="atLeast"/>
                    </w:trPr>
                    <w:tc>
                      <w:tcPr>
                        <w:tcW w:w="1370" w:type="dxa"/>
                        <w:gridSpan w:val="2"/>
                        <w:vMerge w:val="restart"/>
                      </w:tcPr>
                      <w:p>
                        <w:pPr>
                          <w:pStyle w:val="TableParagraph"/>
                          <w:spacing w:before="265"/>
                          <w:ind w:left="84"/>
                          <w:rPr>
                            <w:sz w:val="24"/>
                          </w:rPr>
                        </w:pPr>
                        <w:r>
                          <w:rPr>
                            <w:color w:val="231F20"/>
                            <w:sz w:val="24"/>
                          </w:rPr>
                          <w:t>資訊與衛教</w:t>
                        </w:r>
                      </w:p>
                    </w:tc>
                    <w:tc>
                      <w:tcPr>
                        <w:tcW w:w="3528" w:type="dxa"/>
                        <w:tcBorders>
                          <w:right w:val="nil"/>
                        </w:tcBorders>
                      </w:tcPr>
                      <w:p>
                        <w:pPr>
                          <w:pStyle w:val="TableParagraph"/>
                          <w:spacing w:line="400" w:lineRule="exact" w:before="31"/>
                          <w:ind w:left="84"/>
                          <w:rPr>
                            <w:sz w:val="24"/>
                          </w:rPr>
                        </w:pPr>
                        <w:r>
                          <w:rPr>
                            <w:rFonts w:ascii="新細明體" w:hAnsi="新細明體" w:eastAsia="新細明體" w:hint="eastAsia"/>
                            <w:color w:val="231F20"/>
                            <w:position w:val="2"/>
                            <w:sz w:val="24"/>
                          </w:rPr>
                          <w:t>口</w:t>
                        </w:r>
                        <w:r>
                          <w:rPr>
                            <w:color w:val="231F20"/>
                            <w:sz w:val="24"/>
                          </w:rPr>
                          <w:t>—般結核病衛教</w:t>
                        </w:r>
                      </w:p>
                    </w:tc>
                    <w:tc>
                      <w:tcPr>
                        <w:tcW w:w="3527" w:type="dxa"/>
                        <w:tcBorders>
                          <w:left w:val="nil"/>
                        </w:tcBorders>
                      </w:tcPr>
                      <w:p>
                        <w:pPr>
                          <w:pStyle w:val="TableParagraph"/>
                          <w:spacing w:line="400" w:lineRule="exact" w:before="31"/>
                          <w:ind w:left="91"/>
                          <w:rPr>
                            <w:sz w:val="24"/>
                          </w:rPr>
                        </w:pPr>
                        <w:r>
                          <w:rPr>
                            <w:rFonts w:ascii="新細明體" w:eastAsia="新細明體" w:hint="eastAsia"/>
                            <w:color w:val="231F20"/>
                            <w:position w:val="2"/>
                            <w:sz w:val="24"/>
                          </w:rPr>
                          <w:t>口</w:t>
                        </w:r>
                        <w:r>
                          <w:rPr>
                            <w:color w:val="231F20"/>
                            <w:sz w:val="24"/>
                          </w:rPr>
                          <w:t>依個案診斷結果之個別性衛教</w:t>
                        </w:r>
                      </w:p>
                    </w:tc>
                  </w:tr>
                  <w:tr>
                    <w:trPr>
                      <w:trHeight w:val="451" w:hRule="atLeast"/>
                    </w:trPr>
                    <w:tc>
                      <w:tcPr>
                        <w:tcW w:w="1370" w:type="dxa"/>
                        <w:gridSpan w:val="2"/>
                        <w:vMerge/>
                        <w:tcBorders>
                          <w:top w:val="nil"/>
                        </w:tcBorders>
                      </w:tcPr>
                      <w:p>
                        <w:pPr>
                          <w:rPr>
                            <w:sz w:val="2"/>
                            <w:szCs w:val="2"/>
                          </w:rPr>
                        </w:pPr>
                      </w:p>
                    </w:tc>
                    <w:tc>
                      <w:tcPr>
                        <w:tcW w:w="3528" w:type="dxa"/>
                        <w:tcBorders>
                          <w:right w:val="nil"/>
                        </w:tcBorders>
                      </w:tcPr>
                      <w:p>
                        <w:pPr>
                          <w:pStyle w:val="TableParagraph"/>
                          <w:spacing w:line="400" w:lineRule="exact" w:before="31"/>
                          <w:ind w:left="84"/>
                          <w:rPr>
                            <w:sz w:val="24"/>
                          </w:rPr>
                        </w:pPr>
                        <w:r>
                          <w:rPr>
                            <w:rFonts w:ascii="新細明體" w:eastAsia="新細明體" w:hint="eastAsia"/>
                            <w:color w:val="231F20"/>
                            <w:position w:val="2"/>
                            <w:sz w:val="24"/>
                          </w:rPr>
                          <w:t>口</w:t>
                        </w:r>
                        <w:r>
                          <w:rPr>
                            <w:color w:val="231F20"/>
                            <w:sz w:val="24"/>
                          </w:rPr>
                          <w:t>說明提供接觸者名單重要性</w:t>
                        </w:r>
                      </w:p>
                    </w:tc>
                    <w:tc>
                      <w:tcPr>
                        <w:tcW w:w="3527" w:type="dxa"/>
                        <w:tcBorders>
                          <w:left w:val="nil"/>
                        </w:tcBorders>
                      </w:tcPr>
                      <w:p>
                        <w:pPr>
                          <w:pStyle w:val="TableParagraph"/>
                          <w:spacing w:line="400" w:lineRule="exact" w:before="31"/>
                          <w:ind w:left="91"/>
                          <w:rPr>
                            <w:sz w:val="24"/>
                          </w:rPr>
                        </w:pPr>
                        <w:r>
                          <w:rPr>
                            <w:rFonts w:ascii="新細明體" w:eastAsia="新細明體" w:hint="eastAsia"/>
                            <w:color w:val="231F20"/>
                            <w:position w:val="2"/>
                            <w:sz w:val="24"/>
                          </w:rPr>
                          <w:t>口</w:t>
                        </w:r>
                        <w:r>
                          <w:rPr>
                            <w:color w:val="231F20"/>
                            <w:sz w:val="24"/>
                          </w:rPr>
                          <w:t>接觸者檢査目的與流程之衛教</w:t>
                        </w:r>
                      </w:p>
                    </w:tc>
                  </w:tr>
                  <w:tr>
                    <w:trPr>
                      <w:trHeight w:val="451" w:hRule="atLeast"/>
                    </w:trPr>
                    <w:tc>
                      <w:tcPr>
                        <w:tcW w:w="1370" w:type="dxa"/>
                        <w:gridSpan w:val="2"/>
                        <w:vMerge w:val="restart"/>
                      </w:tcPr>
                      <w:p>
                        <w:pPr>
                          <w:pStyle w:val="TableParagraph"/>
                          <w:rPr>
                            <w:sz w:val="42"/>
                          </w:rPr>
                        </w:pPr>
                      </w:p>
                      <w:p>
                        <w:pPr>
                          <w:pStyle w:val="TableParagraph"/>
                          <w:ind w:left="84"/>
                          <w:rPr>
                            <w:sz w:val="24"/>
                          </w:rPr>
                        </w:pPr>
                        <w:r>
                          <w:rPr>
                            <w:color w:val="231F20"/>
                            <w:sz w:val="24"/>
                          </w:rPr>
                          <w:t>接觸者辨識</w:t>
                        </w:r>
                      </w:p>
                    </w:tc>
                    <w:tc>
                      <w:tcPr>
                        <w:tcW w:w="3528" w:type="dxa"/>
                        <w:tcBorders>
                          <w:right w:val="nil"/>
                        </w:tcBorders>
                      </w:tcPr>
                      <w:p>
                        <w:pPr>
                          <w:pStyle w:val="TableParagraph"/>
                          <w:spacing w:line="400" w:lineRule="exact" w:before="31"/>
                          <w:ind w:left="84"/>
                          <w:rPr>
                            <w:sz w:val="24"/>
                          </w:rPr>
                        </w:pPr>
                        <w:r>
                          <w:rPr>
                            <w:rFonts w:ascii="新細明體" w:eastAsia="新細明體" w:hint="eastAsia"/>
                            <w:color w:val="231F20"/>
                            <w:position w:val="2"/>
                            <w:sz w:val="24"/>
                          </w:rPr>
                          <w:t>口</w:t>
                        </w:r>
                        <w:r>
                          <w:rPr>
                            <w:color w:val="231F20"/>
                            <w:sz w:val="24"/>
                          </w:rPr>
                          <w:t>確認本次結核病發病過程</w:t>
                        </w:r>
                      </w:p>
                    </w:tc>
                    <w:tc>
                      <w:tcPr>
                        <w:tcW w:w="3527" w:type="dxa"/>
                        <w:tcBorders>
                          <w:left w:val="nil"/>
                        </w:tcBorders>
                      </w:tcPr>
                      <w:p>
                        <w:pPr>
                          <w:pStyle w:val="TableParagraph"/>
                          <w:spacing w:line="400" w:lineRule="exact" w:before="31"/>
                          <w:ind w:left="91"/>
                          <w:rPr>
                            <w:sz w:val="24"/>
                          </w:rPr>
                        </w:pPr>
                        <w:r>
                          <w:rPr>
                            <w:rFonts w:ascii="新細明體" w:eastAsia="新細明體" w:hint="eastAsia"/>
                            <w:color w:val="231F20"/>
                            <w:position w:val="2"/>
                            <w:sz w:val="24"/>
                          </w:rPr>
                          <w:t>口</w:t>
                        </w:r>
                        <w:r>
                          <w:rPr>
                            <w:color w:val="231F20"/>
                            <w:sz w:val="24"/>
                          </w:rPr>
                          <w:t>本次結核病診斷與治療情形</w:t>
                        </w:r>
                      </w:p>
                    </w:tc>
                  </w:tr>
                  <w:tr>
                    <w:trPr>
                      <w:trHeight w:val="451" w:hRule="atLeast"/>
                    </w:trPr>
                    <w:tc>
                      <w:tcPr>
                        <w:tcW w:w="1370" w:type="dxa"/>
                        <w:gridSpan w:val="2"/>
                        <w:vMerge/>
                        <w:tcBorders>
                          <w:top w:val="nil"/>
                        </w:tcBorders>
                      </w:tcPr>
                      <w:p>
                        <w:pPr>
                          <w:rPr>
                            <w:sz w:val="2"/>
                            <w:szCs w:val="2"/>
                          </w:rPr>
                        </w:pPr>
                      </w:p>
                    </w:tc>
                    <w:tc>
                      <w:tcPr>
                        <w:tcW w:w="3528" w:type="dxa"/>
                        <w:tcBorders>
                          <w:right w:val="nil"/>
                        </w:tcBorders>
                      </w:tcPr>
                      <w:p>
                        <w:pPr>
                          <w:pStyle w:val="TableParagraph"/>
                          <w:spacing w:line="400" w:lineRule="exact" w:before="31"/>
                          <w:ind w:left="84"/>
                          <w:rPr>
                            <w:sz w:val="24"/>
                          </w:rPr>
                        </w:pPr>
                        <w:r>
                          <w:rPr>
                            <w:rFonts w:ascii="新細明體" w:eastAsia="新細明體" w:hint="eastAsia"/>
                            <w:color w:val="231F20"/>
                            <w:position w:val="2"/>
                            <w:sz w:val="24"/>
                          </w:rPr>
                          <w:t>口</w:t>
                        </w:r>
                        <w:r>
                          <w:rPr>
                            <w:color w:val="231F20"/>
                            <w:sz w:val="24"/>
                          </w:rPr>
                          <w:t>結核病相關症狀</w:t>
                        </w:r>
                      </w:p>
                    </w:tc>
                    <w:tc>
                      <w:tcPr>
                        <w:tcW w:w="3527" w:type="dxa"/>
                        <w:tcBorders>
                          <w:left w:val="nil"/>
                        </w:tcBorders>
                      </w:tcPr>
                      <w:p>
                        <w:pPr>
                          <w:pStyle w:val="TableParagraph"/>
                          <w:spacing w:line="400" w:lineRule="exact" w:before="31"/>
                          <w:ind w:left="91"/>
                          <w:rPr>
                            <w:sz w:val="24"/>
                          </w:rPr>
                        </w:pPr>
                        <w:r>
                          <w:rPr>
                            <w:rFonts w:ascii="新細明體" w:eastAsia="新細明體" w:hint="eastAsia"/>
                            <w:color w:val="231F20"/>
                            <w:position w:val="2"/>
                            <w:sz w:val="24"/>
                          </w:rPr>
                          <w:t>口</w:t>
                        </w:r>
                        <w:r>
                          <w:rPr>
                            <w:color w:val="231F20"/>
                            <w:sz w:val="24"/>
                          </w:rPr>
                          <w:t>症狀起始日</w:t>
                        </w:r>
                      </w:p>
                    </w:tc>
                  </w:tr>
                  <w:tr>
                    <w:trPr>
                      <w:trHeight w:val="451" w:hRule="atLeast"/>
                    </w:trPr>
                    <w:tc>
                      <w:tcPr>
                        <w:tcW w:w="1370" w:type="dxa"/>
                        <w:gridSpan w:val="2"/>
                        <w:vMerge/>
                        <w:tcBorders>
                          <w:top w:val="nil"/>
                        </w:tcBorders>
                      </w:tcPr>
                      <w:p>
                        <w:pPr>
                          <w:rPr>
                            <w:sz w:val="2"/>
                            <w:szCs w:val="2"/>
                          </w:rPr>
                        </w:pPr>
                      </w:p>
                    </w:tc>
                    <w:tc>
                      <w:tcPr>
                        <w:tcW w:w="3528" w:type="dxa"/>
                        <w:tcBorders>
                          <w:right w:val="nil"/>
                        </w:tcBorders>
                      </w:tcPr>
                      <w:p>
                        <w:pPr>
                          <w:pStyle w:val="TableParagraph"/>
                          <w:spacing w:line="400" w:lineRule="exact" w:before="31"/>
                          <w:ind w:left="84"/>
                          <w:rPr>
                            <w:sz w:val="24"/>
                          </w:rPr>
                        </w:pPr>
                        <w:r>
                          <w:rPr>
                            <w:rFonts w:ascii="新細明體" w:eastAsia="新細明體" w:hint="eastAsia"/>
                            <w:color w:val="231F20"/>
                            <w:position w:val="2"/>
                            <w:sz w:val="24"/>
                          </w:rPr>
                          <w:t>口</w:t>
                        </w:r>
                        <w:r>
                          <w:rPr>
                            <w:color w:val="231F20"/>
                            <w:sz w:val="24"/>
                          </w:rPr>
                          <w:t>可傳染期之活動地點</w:t>
                        </w:r>
                      </w:p>
                    </w:tc>
                    <w:tc>
                      <w:tcPr>
                        <w:tcW w:w="3527" w:type="dxa"/>
                        <w:tcBorders>
                          <w:left w:val="nil"/>
                        </w:tcBorders>
                      </w:tcPr>
                      <w:p>
                        <w:pPr>
                          <w:pStyle w:val="TableParagraph"/>
                          <w:spacing w:line="400" w:lineRule="exact" w:before="31"/>
                          <w:ind w:left="91"/>
                          <w:rPr>
                            <w:sz w:val="24"/>
                          </w:rPr>
                        </w:pPr>
                        <w:r>
                          <w:rPr>
                            <w:rFonts w:ascii="新細明體" w:eastAsia="新細明體" w:hint="eastAsia"/>
                            <w:color w:val="231F20"/>
                            <w:position w:val="2"/>
                            <w:sz w:val="24"/>
                          </w:rPr>
                          <w:t>口</w:t>
                        </w:r>
                        <w:r>
                          <w:rPr>
                            <w:color w:val="231F20"/>
                            <w:sz w:val="24"/>
                          </w:rPr>
                          <w:t>活動地點之環境評估</w:t>
                        </w:r>
                      </w:p>
                    </w:tc>
                  </w:tr>
                  <w:tr>
                    <w:trPr>
                      <w:trHeight w:val="451" w:hRule="atLeast"/>
                    </w:trPr>
                    <w:tc>
                      <w:tcPr>
                        <w:tcW w:w="1370" w:type="dxa"/>
                        <w:gridSpan w:val="2"/>
                        <w:vMerge/>
                        <w:tcBorders>
                          <w:top w:val="nil"/>
                        </w:tcBorders>
                      </w:tcPr>
                      <w:p>
                        <w:pPr>
                          <w:rPr>
                            <w:sz w:val="2"/>
                            <w:szCs w:val="2"/>
                          </w:rPr>
                        </w:pPr>
                      </w:p>
                    </w:tc>
                    <w:tc>
                      <w:tcPr>
                        <w:tcW w:w="3528" w:type="dxa"/>
                        <w:tcBorders>
                          <w:right w:val="nil"/>
                        </w:tcBorders>
                      </w:tcPr>
                      <w:p>
                        <w:pPr>
                          <w:pStyle w:val="TableParagraph"/>
                          <w:spacing w:line="400" w:lineRule="exact" w:before="31"/>
                          <w:ind w:left="84"/>
                          <w:rPr>
                            <w:sz w:val="24"/>
                          </w:rPr>
                        </w:pPr>
                        <w:r>
                          <w:rPr>
                            <w:rFonts w:ascii="新細明體" w:eastAsia="新細明體" w:hint="eastAsia"/>
                            <w:color w:val="231F20"/>
                            <w:position w:val="2"/>
                            <w:sz w:val="24"/>
                          </w:rPr>
                          <w:t>口</w:t>
                        </w:r>
                        <w:r>
                          <w:rPr>
                            <w:color w:val="231F20"/>
                            <w:sz w:val="24"/>
                          </w:rPr>
                          <w:t>接觸者名單及終止有效暴露日</w:t>
                        </w:r>
                      </w:p>
                    </w:tc>
                    <w:tc>
                      <w:tcPr>
                        <w:tcW w:w="3527" w:type="dxa"/>
                        <w:tcBorders>
                          <w:left w:val="nil"/>
                        </w:tcBorders>
                      </w:tcPr>
                      <w:p>
                        <w:pPr>
                          <w:pStyle w:val="TableParagraph"/>
                          <w:spacing w:line="400" w:lineRule="exact" w:before="31"/>
                          <w:ind w:left="91"/>
                          <w:rPr>
                            <w:sz w:val="24"/>
                          </w:rPr>
                        </w:pPr>
                        <w:r>
                          <w:rPr>
                            <w:rFonts w:ascii="新細明體" w:eastAsia="新細明體" w:hint="eastAsia"/>
                            <w:color w:val="231F20"/>
                            <w:position w:val="2"/>
                            <w:sz w:val="24"/>
                          </w:rPr>
                          <w:t>口</w:t>
                        </w:r>
                        <w:r>
                          <w:rPr>
                            <w:color w:val="231F20"/>
                            <w:sz w:val="24"/>
                          </w:rPr>
                          <w:t>接觸者聯絡方式</w:t>
                        </w:r>
                      </w:p>
                    </w:tc>
                  </w:tr>
                  <w:tr>
                    <w:trPr>
                      <w:trHeight w:val="451" w:hRule="atLeast"/>
                    </w:trPr>
                    <w:tc>
                      <w:tcPr>
                        <w:tcW w:w="685" w:type="dxa"/>
                        <w:tcBorders>
                          <w:right w:val="nil"/>
                        </w:tcBorders>
                      </w:tcPr>
                      <w:p>
                        <w:pPr>
                          <w:pStyle w:val="TableParagraph"/>
                          <w:spacing w:line="400" w:lineRule="exact" w:before="31"/>
                          <w:ind w:left="84"/>
                          <w:rPr>
                            <w:sz w:val="24"/>
                          </w:rPr>
                        </w:pPr>
                        <w:r>
                          <w:rPr>
                            <w:color w:val="231F20"/>
                            <w:sz w:val="24"/>
                          </w:rPr>
                          <w:t>結</w:t>
                        </w:r>
                      </w:p>
                    </w:tc>
                    <w:tc>
                      <w:tcPr>
                        <w:tcW w:w="685" w:type="dxa"/>
                        <w:tcBorders>
                          <w:left w:val="nil"/>
                        </w:tcBorders>
                      </w:tcPr>
                      <w:p>
                        <w:pPr>
                          <w:pStyle w:val="TableParagraph"/>
                          <w:spacing w:line="400" w:lineRule="exact" w:before="31"/>
                          <w:ind w:left="367"/>
                          <w:rPr>
                            <w:sz w:val="24"/>
                          </w:rPr>
                        </w:pPr>
                        <w:r>
                          <w:rPr>
                            <w:color w:val="231F20"/>
                            <w:sz w:val="24"/>
                          </w:rPr>
                          <w:t>冊</w:t>
                        </w:r>
                      </w:p>
                    </w:tc>
                    <w:tc>
                      <w:tcPr>
                        <w:tcW w:w="3528" w:type="dxa"/>
                        <w:tcBorders>
                          <w:right w:val="nil"/>
                        </w:tcBorders>
                      </w:tcPr>
                      <w:p>
                        <w:pPr>
                          <w:pStyle w:val="TableParagraph"/>
                          <w:spacing w:line="400" w:lineRule="exact" w:before="31"/>
                          <w:ind w:left="84"/>
                          <w:rPr>
                            <w:sz w:val="24"/>
                          </w:rPr>
                        </w:pPr>
                        <w:r>
                          <w:rPr>
                            <w:rFonts w:ascii="新細明體" w:eastAsia="新細明體" w:hint="eastAsia"/>
                            <w:color w:val="231F20"/>
                            <w:position w:val="2"/>
                            <w:sz w:val="24"/>
                          </w:rPr>
                          <w:t>口</w:t>
                        </w:r>
                        <w:r>
                          <w:rPr>
                            <w:color w:val="231F20"/>
                            <w:sz w:val="24"/>
                          </w:rPr>
                          <w:t>總結及預訂下次約訪時間</w:t>
                        </w:r>
                      </w:p>
                    </w:tc>
                    <w:tc>
                      <w:tcPr>
                        <w:tcW w:w="3527" w:type="dxa"/>
                        <w:tcBorders>
                          <w:left w:val="nil"/>
                        </w:tcBorders>
                      </w:tcPr>
                      <w:p>
                        <w:pPr>
                          <w:pStyle w:val="TableParagraph"/>
                          <w:spacing w:line="400" w:lineRule="exact" w:before="31"/>
                          <w:ind w:left="91"/>
                          <w:rPr>
                            <w:sz w:val="24"/>
                          </w:rPr>
                        </w:pPr>
                        <w:r>
                          <w:rPr>
                            <w:rFonts w:ascii="新細明體" w:eastAsia="新細明體" w:hint="eastAsia"/>
                            <w:color w:val="231F20"/>
                            <w:position w:val="2"/>
                            <w:sz w:val="24"/>
                          </w:rPr>
                          <w:t>口</w:t>
                        </w:r>
                        <w:r>
                          <w:rPr>
                            <w:color w:val="231F20"/>
                            <w:sz w:val="24"/>
                          </w:rPr>
                          <w:t>公衛管理人員之聯絡方式</w:t>
                        </w:r>
                      </w:p>
                    </w:tc>
                  </w:tr>
                </w:tbl>
                <w:p>
                  <w:pPr>
                    <w:pStyle w:val="BodyText"/>
                  </w:pPr>
                </w:p>
              </w:txbxContent>
            </v:textbox>
            <w10:wrap type="none"/>
          </v:shape>
        </w:pict>
      </w:r>
      <w:r>
        <w:rPr>
          <w:color w:val="231F20"/>
          <w:w w:val="70"/>
        </w:rPr>
        <w:t>（</w:t>
      </w:r>
      <w:r>
        <w:rPr>
          <w:color w:val="231F20"/>
          <w:spacing w:val="-5"/>
          <w:w w:val="70"/>
        </w:rPr>
        <w:t> </w:t>
      </w:r>
      <w:r>
        <w:rPr>
          <w:color w:val="231F20"/>
        </w:rPr>
        <w:t>匹</w:t>
      </w:r>
      <w:r>
        <w:rPr>
          <w:color w:val="231F20"/>
          <w:spacing w:val="-24"/>
        </w:rPr>
        <w:t> </w:t>
      </w:r>
      <w:r>
        <w:rPr>
          <w:color w:val="231F20"/>
        </w:rPr>
        <w:t>)</w:t>
        <w:tab/>
        <w:t>接觸者調査之個案面談要素(如表</w:t>
      </w:r>
      <w:r>
        <w:rPr>
          <w:color w:val="231F20"/>
          <w:spacing w:val="9"/>
        </w:rPr>
        <w:t> </w:t>
      </w:r>
      <w:r>
        <w:rPr>
          <w:color w:val="231F20"/>
          <w:w w:val="125"/>
        </w:rPr>
        <w:t>2)</w:t>
      </w:r>
      <w:r>
        <w:rPr>
          <w:color w:val="231F20"/>
          <w:spacing w:val="-19"/>
          <w:w w:val="125"/>
        </w:rPr>
        <w:t>。</w:t>
      </w:r>
      <w:r>
        <w:rPr>
          <w:color w:val="231F20"/>
        </w:rPr>
        <w:t>表</w:t>
      </w:r>
      <w:r>
        <w:rPr>
          <w:color w:val="231F20"/>
          <w:spacing w:val="-7"/>
        </w:rPr>
        <w:t> </w:t>
      </w:r>
      <w:r>
        <w:rPr>
          <w:color w:val="231F20"/>
        </w:rPr>
        <w:t>2、接觸者調査之個案面談要素</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2"/>
        <w:rPr>
          <w:sz w:val="36"/>
        </w:rPr>
      </w:pPr>
    </w:p>
    <w:p>
      <w:pPr>
        <w:pStyle w:val="Heading2"/>
      </w:pPr>
      <w:r>
        <w:rPr>
          <w:color w:val="231F20"/>
        </w:rPr>
        <w:t>肆、接觸者管理模式：以接觸者為中心</w:t>
      </w:r>
    </w:p>
    <w:p>
      <w:pPr>
        <w:pStyle w:val="BodyText"/>
        <w:spacing w:line="230" w:lineRule="auto" w:before="6"/>
        <w:ind w:left="878" w:right="1132" w:hanging="488"/>
        <w:jc w:val="both"/>
      </w:pPr>
      <w:r>
        <w:rPr>
          <w:color w:val="231F20"/>
        </w:rPr>
        <w:t>—、由指標個案管理單位將所匡列之接觸者名單於結核病追蹤管理系統 </w:t>
      </w:r>
      <w:r>
        <w:rPr>
          <w:color w:val="231F20"/>
          <w:w w:val="70"/>
        </w:rPr>
        <w:t>（ </w:t>
      </w:r>
      <w:r>
        <w:rPr>
          <w:color w:val="231F20"/>
        </w:rPr>
        <w:t>以下簡稱系統 ) 完成資料登錄，接觸者管理單位以居住地為優先 </w:t>
      </w:r>
      <w:r>
        <w:rPr>
          <w:color w:val="231F20"/>
          <w:w w:val="70"/>
        </w:rPr>
        <w:t>（ </w:t>
      </w:r>
      <w:r>
        <w:rPr>
          <w:color w:val="231F20"/>
        </w:rPr>
        <w:t>團體除外 )，必要時以可達成接觸者檢査及提供 LTBI 衛教之目標，依主要活動地或團體所在地之實際狀況調整。</w:t>
      </w:r>
    </w:p>
    <w:p>
      <w:pPr>
        <w:pStyle w:val="BodyText"/>
        <w:spacing w:line="230" w:lineRule="auto"/>
        <w:ind w:left="878" w:right="1127" w:hanging="488"/>
        <w:jc w:val="both"/>
      </w:pPr>
      <w:r>
        <w:rPr>
          <w:color w:val="231F20"/>
        </w:rPr>
        <w:t>二、團體 </w:t>
      </w:r>
      <w:r>
        <w:rPr>
          <w:color w:val="231F20"/>
          <w:w w:val="65"/>
        </w:rPr>
        <w:t>（ </w:t>
      </w:r>
      <w:r>
        <w:rPr>
          <w:color w:val="231F20"/>
        </w:rPr>
        <w:t>校園 </w:t>
      </w:r>
      <w:r>
        <w:rPr>
          <w:color w:val="231F20"/>
          <w:w w:val="65"/>
        </w:rPr>
        <w:t>／ </w:t>
      </w:r>
      <w:r>
        <w:rPr>
          <w:color w:val="231F20"/>
        </w:rPr>
        <w:t>人口密集機構 </w:t>
      </w:r>
      <w:r>
        <w:rPr>
          <w:color w:val="231F20"/>
          <w:w w:val="65"/>
        </w:rPr>
        <w:t>／ </w:t>
      </w:r>
      <w:r>
        <w:rPr>
          <w:color w:val="231F20"/>
        </w:rPr>
        <w:t>職場 ) 接觸者由團體所在地優先管理，以利召開衛教說明會及辦理接觸者檢査；如接觸者轉學、離職、實留．等因素離開該團體，或主要活動時間在該團體以外之情形，則依前述原則辦理。</w:t>
      </w:r>
    </w:p>
    <w:p>
      <w:pPr>
        <w:spacing w:after="0" w:line="230" w:lineRule="auto"/>
        <w:jc w:val="both"/>
        <w:sectPr>
          <w:pgSz w:w="11910" w:h="16840"/>
          <w:pgMar w:top="1060" w:bottom="0" w:left="980" w:right="0"/>
        </w:sectPr>
      </w:pPr>
    </w:p>
    <w:p>
      <w:pPr>
        <w:pStyle w:val="BodyText"/>
        <w:spacing w:line="409" w:lineRule="exact" w:before="42"/>
        <w:ind w:left="391"/>
      </w:pPr>
      <w:r>
        <w:rPr/>
        <w:pict>
          <v:group style="position:absolute;margin-left:.0pt;margin-top:313.165009pt;width:37.35pt;height:528.550pt;mso-position-horizontal-relative:page;mso-position-vertical-relative:page;z-index:251957248"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188"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124</w:t>
                    </w:r>
                  </w:p>
                </w:txbxContent>
              </v:textbox>
              <w10:wrap type="none"/>
            </v:shape>
            <w10:wrap type="none"/>
          </v:group>
        </w:pict>
      </w:r>
      <w:r>
        <w:rPr>
          <w:color w:val="231F20"/>
        </w:rPr>
        <w:t>三、接觸者與指標個案「關係」別</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考量接觸之密切程度，應依以下優先順序登錄：</w:t>
      </w:r>
    </w:p>
    <w:p>
      <w:pPr>
        <w:pStyle w:val="BodyText"/>
        <w:spacing w:line="230" w:lineRule="auto" w:before="3"/>
        <w:ind w:left="1349" w:right="1129"/>
      </w:pPr>
      <w:r>
        <w:rPr>
          <w:color w:val="231F20"/>
        </w:rPr>
        <w:t>共同居住</w:t>
      </w:r>
      <w:r>
        <w:rPr>
          <w:color w:val="231F20"/>
          <w:w w:val="150"/>
        </w:rPr>
        <w:t>(家屬)</w:t>
      </w:r>
      <w:r>
        <w:rPr>
          <w:color w:val="231F20"/>
          <w:w w:val="73"/>
        </w:rPr>
        <w:t>＞</w:t>
      </w:r>
      <w:r>
        <w:rPr>
          <w:color w:val="231F20"/>
        </w:rPr>
        <w:t> 共同居住</w:t>
      </w:r>
      <w:r>
        <w:rPr>
          <w:color w:val="231F20"/>
          <w:w w:val="300"/>
        </w:rPr>
        <w:t>(</w:t>
      </w:r>
      <w:r>
        <w:rPr>
          <w:color w:val="231F20"/>
          <w:w w:val="120"/>
        </w:rPr>
        <w:t>非家屬)</w:t>
      </w:r>
      <w:r>
        <w:rPr>
          <w:color w:val="231F20"/>
          <w:w w:val="73"/>
        </w:rPr>
        <w:t>＞</w:t>
      </w:r>
      <w:r>
        <w:rPr>
          <w:color w:val="231F20"/>
        </w:rPr>
        <w:t> 學校接觸者 </w:t>
      </w:r>
      <w:r>
        <w:rPr>
          <w:color w:val="231F20"/>
          <w:w w:val="73"/>
        </w:rPr>
        <w:t>＞</w:t>
      </w:r>
      <w:r>
        <w:rPr>
          <w:color w:val="231F20"/>
        </w:rPr>
        <w:t> 人口密集機構 </w:t>
      </w:r>
      <w:r>
        <w:rPr>
          <w:color w:val="231F20"/>
          <w:w w:val="73"/>
        </w:rPr>
        <w:t>＞</w:t>
      </w:r>
      <w:r>
        <w:rPr>
          <w:color w:val="231F20"/>
        </w:rPr>
        <w:t> 職場</w:t>
      </w:r>
      <w:r>
        <w:rPr>
          <w:color w:val="231F20"/>
          <w:w w:val="105"/>
        </w:rPr>
        <w:t>接觸者 </w:t>
      </w:r>
      <w:r>
        <w:rPr>
          <w:color w:val="231F20"/>
        </w:rPr>
        <w:t>＞ </w:t>
      </w:r>
      <w:r>
        <w:rPr>
          <w:color w:val="231F20"/>
          <w:w w:val="105"/>
        </w:rPr>
        <w:t>航空器接觸者、其他。</w:t>
      </w:r>
    </w:p>
    <w:p>
      <w:pPr>
        <w:pStyle w:val="BodyText"/>
        <w:tabs>
          <w:tab w:pos="1349" w:val="left" w:leader="none"/>
        </w:tabs>
        <w:spacing w:line="230" w:lineRule="auto"/>
        <w:ind w:left="391" w:right="3713" w:firstLine="238"/>
      </w:pPr>
      <w:r>
        <w:rPr>
          <w:color w:val="231F20"/>
          <w:w w:val="70"/>
        </w:rPr>
        <w:t>（</w:t>
      </w:r>
      <w:r>
        <w:rPr>
          <w:color w:val="231F20"/>
          <w:spacing w:val="-5"/>
          <w:w w:val="70"/>
        </w:rPr>
        <w:t> </w:t>
      </w:r>
      <w:r>
        <w:rPr>
          <w:color w:val="231F20"/>
        </w:rPr>
        <w:t>二</w:t>
      </w:r>
      <w:r>
        <w:rPr>
          <w:color w:val="231F20"/>
          <w:spacing w:val="-24"/>
        </w:rPr>
        <w:t> </w:t>
      </w:r>
      <w:r>
        <w:rPr>
          <w:color w:val="231F20"/>
        </w:rPr>
        <w:t>)</w:t>
        <w:tab/>
        <w:t>接觸者與指標個案之</w:t>
      </w:r>
      <w:r>
        <w:rPr>
          <w:color w:val="231F20"/>
          <w:spacing w:val="-8"/>
        </w:rPr>
        <w:t> </w:t>
      </w:r>
      <w:r>
        <w:rPr>
          <w:color w:val="231F20"/>
          <w:w w:val="70"/>
        </w:rPr>
        <w:t>「</w:t>
      </w:r>
      <w:r>
        <w:rPr>
          <w:color w:val="231F20"/>
          <w:spacing w:val="11"/>
          <w:w w:val="70"/>
        </w:rPr>
        <w:t> </w:t>
      </w:r>
      <w:r>
        <w:rPr>
          <w:color w:val="231F20"/>
        </w:rPr>
        <w:t>關係別</w:t>
      </w:r>
      <w:r>
        <w:rPr>
          <w:color w:val="231F20"/>
          <w:spacing w:val="-8"/>
        </w:rPr>
        <w:t> </w:t>
      </w:r>
      <w:r>
        <w:rPr>
          <w:color w:val="231F20"/>
        </w:rPr>
        <w:t>J</w:t>
      </w:r>
      <w:r>
        <w:rPr>
          <w:color w:val="231F20"/>
          <w:spacing w:val="-9"/>
        </w:rPr>
        <w:t> </w:t>
      </w:r>
      <w:r>
        <w:rPr>
          <w:color w:val="231F20"/>
        </w:rPr>
        <w:t>歸類原則如附件</w:t>
      </w:r>
      <w:r>
        <w:rPr>
          <w:color w:val="231F20"/>
          <w:spacing w:val="-8"/>
        </w:rPr>
        <w:t> </w:t>
      </w:r>
      <w:r>
        <w:rPr>
          <w:color w:val="231F20"/>
        </w:rPr>
        <w:t>11-4</w:t>
      </w:r>
      <w:r>
        <w:rPr>
          <w:color w:val="231F20"/>
          <w:spacing w:val="-17"/>
        </w:rPr>
        <w:t>。</w:t>
      </w:r>
      <w:r>
        <w:rPr>
          <w:color w:val="231F20"/>
        </w:rPr>
        <w:t>匹</w:t>
      </w:r>
      <w:r>
        <w:rPr>
          <w:color w:val="231F20"/>
          <w:spacing w:val="7"/>
        </w:rPr>
        <w:t>、</w:t>
      </w:r>
      <w:r>
        <w:rPr>
          <w:color w:val="231F20"/>
        </w:rPr>
        <w:t>接觸者登記及管理單位遷入作業</w:t>
      </w:r>
    </w:p>
    <w:p>
      <w:pPr>
        <w:pStyle w:val="BodyText"/>
        <w:spacing w:line="230" w:lineRule="auto"/>
        <w:ind w:left="878" w:right="1133"/>
      </w:pPr>
      <w:r>
        <w:rPr>
          <w:color w:val="231F20"/>
        </w:rPr>
        <w:t>接觸者初次建檔後需經登記作業以確認接觸者管理單位；後續如欲轉換管理單位時， 需進行接觸者管理單位遷入作業，相關流程如附件 11-5。</w:t>
      </w:r>
    </w:p>
    <w:p>
      <w:pPr>
        <w:pStyle w:val="BodyText"/>
        <w:spacing w:before="15"/>
        <w:rPr>
          <w:sz w:val="19"/>
        </w:rPr>
      </w:pPr>
    </w:p>
    <w:p>
      <w:pPr>
        <w:pStyle w:val="Heading2"/>
      </w:pPr>
      <w:r>
        <w:rPr>
          <w:color w:val="231F20"/>
        </w:rPr>
        <w:t>伍、接觸者檢查</w:t>
      </w:r>
    </w:p>
    <w:p>
      <w:pPr>
        <w:pStyle w:val="BodyText"/>
        <w:spacing w:line="230" w:lineRule="auto" w:before="7"/>
        <w:ind w:left="391" w:right="6925"/>
      </w:pPr>
      <w:r>
        <w:rPr>
          <w:color w:val="231F20"/>
          <w:spacing w:val="-2"/>
        </w:rPr>
        <w:t>—、執行單位：接觸者管理單位。</w:t>
      </w:r>
      <w:r>
        <w:rPr>
          <w:color w:val="231F20"/>
        </w:rPr>
        <w:t>二、啟動時間：同接觸者調査。 三、作業程序：</w:t>
      </w:r>
    </w:p>
    <w:p>
      <w:pPr>
        <w:pStyle w:val="BodyText"/>
        <w:tabs>
          <w:tab w:pos="1349" w:val="left" w:leader="none"/>
        </w:tabs>
        <w:spacing w:line="394" w:lineRule="exact"/>
        <w:ind w:left="629"/>
      </w:pPr>
      <w:r>
        <w:rPr>
          <w:color w:val="231F20"/>
          <w:spacing w:val="40"/>
          <w:w w:val="90"/>
        </w:rPr>
        <w:t>（—)</w:t>
        <w:tab/>
      </w:r>
      <w:r>
        <w:rPr>
          <w:color w:val="231F20"/>
        </w:rPr>
        <w:t>聯繫</w:t>
      </w:r>
    </w:p>
    <w:p>
      <w:pPr>
        <w:pStyle w:val="ListParagraph"/>
        <w:numPr>
          <w:ilvl w:val="0"/>
          <w:numId w:val="232"/>
        </w:numPr>
        <w:tabs>
          <w:tab w:pos="1349" w:val="left" w:leader="none"/>
        </w:tabs>
        <w:spacing w:line="400" w:lineRule="exact" w:before="0" w:after="0"/>
        <w:ind w:left="1348" w:right="0" w:hanging="255"/>
        <w:jc w:val="left"/>
        <w:rPr>
          <w:sz w:val="24"/>
        </w:rPr>
      </w:pPr>
      <w:r>
        <w:rPr>
          <w:color w:val="231F20"/>
          <w:sz w:val="24"/>
        </w:rPr>
        <w:t>聯繫接觸者進行訪談</w:t>
      </w:r>
    </w:p>
    <w:p>
      <w:pPr>
        <w:pStyle w:val="ListParagraph"/>
        <w:numPr>
          <w:ilvl w:val="0"/>
          <w:numId w:val="232"/>
        </w:numPr>
        <w:tabs>
          <w:tab w:pos="1349" w:val="left" w:leader="none"/>
        </w:tabs>
        <w:spacing w:line="400" w:lineRule="exact" w:before="0" w:after="0"/>
        <w:ind w:left="1348" w:right="0" w:hanging="255"/>
        <w:jc w:val="left"/>
        <w:rPr>
          <w:sz w:val="24"/>
        </w:rPr>
      </w:pPr>
      <w:r>
        <w:rPr>
          <w:color w:val="231F20"/>
          <w:sz w:val="24"/>
        </w:rPr>
        <w:t>安排於保護接觸者隱私之場所進行訪談，並確認與指標個案終止有效暴露日</w:t>
      </w:r>
    </w:p>
    <w:p>
      <w:pPr>
        <w:pStyle w:val="BodyText"/>
        <w:tabs>
          <w:tab w:pos="1349" w:val="left" w:leader="none"/>
        </w:tabs>
        <w:spacing w:line="400" w:lineRule="exact"/>
        <w:ind w:left="629"/>
      </w:pPr>
      <w:r>
        <w:rPr>
          <w:color w:val="231F20"/>
          <w:spacing w:val="60"/>
          <w:w w:val="90"/>
        </w:rPr>
        <w:t>（二</w:t>
      </w:r>
      <w:r>
        <w:rPr>
          <w:color w:val="231F20"/>
          <w:w w:val="90"/>
        </w:rPr>
        <w:t>)</w:t>
        <w:tab/>
      </w:r>
      <w:r>
        <w:rPr>
          <w:color w:val="231F20"/>
          <w:w w:val="95"/>
        </w:rPr>
        <w:t>衛教</w:t>
      </w:r>
    </w:p>
    <w:p>
      <w:pPr>
        <w:pStyle w:val="ListParagraph"/>
        <w:numPr>
          <w:ilvl w:val="0"/>
          <w:numId w:val="233"/>
        </w:numPr>
        <w:tabs>
          <w:tab w:pos="1351" w:val="left" w:leader="none"/>
        </w:tabs>
        <w:spacing w:line="230" w:lineRule="auto" w:before="2" w:after="0"/>
        <w:ind w:left="1349" w:right="1136" w:hanging="255"/>
        <w:jc w:val="left"/>
        <w:rPr>
          <w:sz w:val="24"/>
        </w:rPr>
      </w:pPr>
      <w:r>
        <w:rPr>
          <w:color w:val="231F20"/>
          <w:spacing w:val="-2"/>
          <w:sz w:val="24"/>
        </w:rPr>
        <w:t>依指標個案傳染力給予個別性衛教 </w:t>
      </w:r>
      <w:r>
        <w:rPr>
          <w:color w:val="231F20"/>
          <w:spacing w:val="-1"/>
          <w:w w:val="70"/>
          <w:sz w:val="24"/>
        </w:rPr>
        <w:t>／ </w:t>
      </w:r>
      <w:r>
        <w:rPr>
          <w:color w:val="231F20"/>
          <w:sz w:val="24"/>
        </w:rPr>
        <w:t>召開衛教說明會，並向相關人員說明，不得洩露指標個案個資及應維護相關權益之法條規定</w:t>
      </w:r>
    </w:p>
    <w:p>
      <w:pPr>
        <w:pStyle w:val="ListParagraph"/>
        <w:numPr>
          <w:ilvl w:val="0"/>
          <w:numId w:val="233"/>
        </w:numPr>
        <w:tabs>
          <w:tab w:pos="1349" w:val="left" w:leader="none"/>
        </w:tabs>
        <w:spacing w:line="395" w:lineRule="exact" w:before="0" w:after="0"/>
        <w:ind w:left="1348" w:right="0" w:hanging="255"/>
        <w:jc w:val="left"/>
        <w:rPr>
          <w:sz w:val="24"/>
        </w:rPr>
      </w:pPr>
      <w:r>
        <w:rPr>
          <w:color w:val="231F20"/>
          <w:sz w:val="24"/>
        </w:rPr>
        <w:t>說明結核病傳染途徑、發病機率、檢査方法、症狀及治療等觀念</w:t>
      </w:r>
    </w:p>
    <w:p>
      <w:pPr>
        <w:pStyle w:val="ListParagraph"/>
        <w:numPr>
          <w:ilvl w:val="0"/>
          <w:numId w:val="233"/>
        </w:numPr>
        <w:tabs>
          <w:tab w:pos="1349" w:val="left" w:leader="none"/>
        </w:tabs>
        <w:spacing w:line="400" w:lineRule="exact" w:before="0" w:after="0"/>
        <w:ind w:left="1348" w:right="0" w:hanging="255"/>
        <w:jc w:val="left"/>
        <w:rPr>
          <w:sz w:val="24"/>
        </w:rPr>
      </w:pPr>
      <w:r>
        <w:rPr>
          <w:color w:val="231F20"/>
          <w:sz w:val="24"/>
        </w:rPr>
        <w:t>說明接觸者檢査的項目、時間、重要性與目的</w:t>
      </w:r>
    </w:p>
    <w:p>
      <w:pPr>
        <w:pStyle w:val="BodyText"/>
        <w:tabs>
          <w:tab w:pos="1349" w:val="left" w:leader="none"/>
        </w:tabs>
        <w:spacing w:line="400" w:lineRule="exact"/>
        <w:ind w:left="629"/>
      </w:pPr>
      <w:r>
        <w:rPr>
          <w:color w:val="231F20"/>
          <w:spacing w:val="60"/>
          <w:w w:val="90"/>
        </w:rPr>
        <w:t>（三</w:t>
      </w:r>
      <w:r>
        <w:rPr>
          <w:color w:val="231F20"/>
          <w:w w:val="90"/>
        </w:rPr>
        <w:t>)</w:t>
        <w:tab/>
      </w:r>
      <w:r>
        <w:rPr>
          <w:color w:val="231F20"/>
          <w:w w:val="95"/>
        </w:rPr>
        <w:t>檢査</w:t>
      </w:r>
    </w:p>
    <w:p>
      <w:pPr>
        <w:pStyle w:val="BodyText"/>
        <w:spacing w:line="230" w:lineRule="auto" w:before="3"/>
        <w:ind w:left="1349" w:right="1137"/>
      </w:pPr>
      <w:r>
        <w:rPr>
          <w:color w:val="231F20"/>
        </w:rPr>
        <w:t>依指標個案傳染力、與指標個案終止有效暴露日及接觸者健唐狀態，協助安排至相關醫療單位接受需要之檢査項目及時間</w:t>
      </w:r>
    </w:p>
    <w:p>
      <w:pPr>
        <w:pStyle w:val="BodyText"/>
        <w:tabs>
          <w:tab w:pos="1349" w:val="left" w:leader="none"/>
        </w:tabs>
        <w:spacing w:line="395" w:lineRule="exact"/>
        <w:ind w:left="629"/>
      </w:pPr>
      <w:r>
        <w:rPr>
          <w:color w:val="231F20"/>
          <w:w w:val="65"/>
        </w:rPr>
        <w:t>（</w:t>
      </w:r>
      <w:r>
        <w:rPr>
          <w:color w:val="231F20"/>
          <w:spacing w:val="1"/>
          <w:w w:val="65"/>
        </w:rPr>
        <w:t> </w:t>
      </w:r>
      <w:r>
        <w:rPr>
          <w:color w:val="231F20"/>
        </w:rPr>
        <w:t>匹</w:t>
      </w:r>
      <w:r>
        <w:rPr>
          <w:color w:val="231F20"/>
          <w:spacing w:val="-22"/>
        </w:rPr>
        <w:t> </w:t>
      </w:r>
      <w:r>
        <w:rPr>
          <w:color w:val="231F20"/>
        </w:rPr>
        <w:t>)</w:t>
        <w:tab/>
        <w:t>自系統產出開立「TB</w:t>
      </w:r>
      <w:r>
        <w:rPr>
          <w:color w:val="231F20"/>
          <w:spacing w:val="-8"/>
        </w:rPr>
        <w:t> </w:t>
      </w:r>
      <w:r>
        <w:rPr>
          <w:color w:val="231F20"/>
        </w:rPr>
        <w:t>接觸者就醫轉介單」並說明使用方式追蹤</w:t>
      </w:r>
    </w:p>
    <w:p>
      <w:pPr>
        <w:pStyle w:val="ListParagraph"/>
        <w:numPr>
          <w:ilvl w:val="0"/>
          <w:numId w:val="234"/>
        </w:numPr>
        <w:tabs>
          <w:tab w:pos="1349" w:val="left" w:leader="none"/>
        </w:tabs>
        <w:spacing w:line="400" w:lineRule="exact" w:before="0" w:after="0"/>
        <w:ind w:left="1348" w:right="0" w:hanging="255"/>
        <w:jc w:val="left"/>
        <w:rPr>
          <w:sz w:val="24"/>
        </w:rPr>
      </w:pPr>
      <w:r>
        <w:rPr>
          <w:color w:val="231F20"/>
          <w:sz w:val="24"/>
        </w:rPr>
        <w:t>追蹤接觸者檢査結果，異常者轉介檢査、治療及追蹤</w:t>
      </w:r>
    </w:p>
    <w:p>
      <w:pPr>
        <w:pStyle w:val="ListParagraph"/>
        <w:numPr>
          <w:ilvl w:val="0"/>
          <w:numId w:val="234"/>
        </w:numPr>
        <w:tabs>
          <w:tab w:pos="1349" w:val="left" w:leader="none"/>
        </w:tabs>
        <w:spacing w:line="400" w:lineRule="exact" w:before="0" w:after="0"/>
        <w:ind w:left="1348" w:right="0" w:hanging="255"/>
        <w:jc w:val="left"/>
        <w:rPr>
          <w:sz w:val="24"/>
        </w:rPr>
      </w:pPr>
      <w:r>
        <w:rPr>
          <w:color w:val="231F20"/>
          <w:spacing w:val="-1"/>
          <w:sz w:val="24"/>
        </w:rPr>
        <w:t>接觸者如潛伏結核感染，轉介 </w:t>
      </w:r>
      <w:r>
        <w:rPr>
          <w:color w:val="231F20"/>
          <w:spacing w:val="-4"/>
          <w:sz w:val="24"/>
        </w:rPr>
        <w:t>LTBI</w:t>
      </w:r>
      <w:r>
        <w:rPr>
          <w:color w:val="231F20"/>
          <w:spacing w:val="-3"/>
          <w:sz w:val="24"/>
        </w:rPr>
        <w:t> 治療評估</w:t>
      </w:r>
    </w:p>
    <w:p>
      <w:pPr>
        <w:pStyle w:val="ListParagraph"/>
        <w:numPr>
          <w:ilvl w:val="0"/>
          <w:numId w:val="234"/>
        </w:numPr>
        <w:tabs>
          <w:tab w:pos="1349" w:val="left" w:leader="none"/>
        </w:tabs>
        <w:spacing w:line="230" w:lineRule="auto" w:before="3" w:after="0"/>
        <w:ind w:left="391" w:right="5255" w:firstLine="702"/>
        <w:jc w:val="left"/>
        <w:rPr>
          <w:sz w:val="24"/>
        </w:rPr>
      </w:pPr>
      <w:r>
        <w:rPr>
          <w:color w:val="231F20"/>
          <w:spacing w:val="-1"/>
          <w:sz w:val="24"/>
        </w:rPr>
        <w:t>系統維護接觸者檢査結果並追蹤治療情形</w:t>
      </w:r>
      <w:r>
        <w:rPr>
          <w:color w:val="231F20"/>
          <w:sz w:val="24"/>
        </w:rPr>
        <w:t>匹、執行方式：</w:t>
      </w:r>
    </w:p>
    <w:p>
      <w:pPr>
        <w:pStyle w:val="BodyText"/>
        <w:spacing w:line="230" w:lineRule="auto"/>
        <w:ind w:left="1349" w:right="1128" w:hanging="720"/>
        <w:jc w:val="both"/>
      </w:pPr>
      <w:r>
        <w:rPr>
          <w:color w:val="231F20"/>
          <w:w w:val="70"/>
        </w:rPr>
        <w:t>（ </w:t>
      </w:r>
      <w:r>
        <w:rPr>
          <w:color w:val="231F20"/>
        </w:rPr>
        <w:t>— )  進行檢査前應先確認接觸者是否有結核病症狀或免疫方面的疾病(如：愛滋病毒感染者、使用免疫抑制劑等)，以便轉介就醫或於 LTBI 檢驗時，注意不同的結果判定標準，結核病接觸者檢査及衛教前注意事項詳細內容請參見附件 11-6。</w:t>
      </w:r>
    </w:p>
    <w:p>
      <w:pPr>
        <w:pStyle w:val="BodyText"/>
        <w:spacing w:line="230" w:lineRule="auto"/>
        <w:ind w:left="1349" w:right="1131" w:hanging="720"/>
        <w:jc w:val="both"/>
      </w:pPr>
      <w:r>
        <w:rPr>
          <w:color w:val="231F20"/>
          <w:w w:val="70"/>
        </w:rPr>
        <w:t>（ </w:t>
      </w:r>
      <w:r>
        <w:rPr>
          <w:color w:val="231F20"/>
        </w:rPr>
        <w:t>二 ) 接觸者檢査依指標個案傳染力、接觸者年齡，執行時間及方式重點如下，詳細內容可參見如下表 3、圖 2 及附件 11-7、11-8。</w:t>
      </w:r>
    </w:p>
    <w:p>
      <w:pPr>
        <w:pStyle w:val="ListParagraph"/>
        <w:numPr>
          <w:ilvl w:val="1"/>
          <w:numId w:val="234"/>
        </w:numPr>
        <w:tabs>
          <w:tab w:pos="1592" w:val="left" w:leader="none"/>
        </w:tabs>
        <w:spacing w:line="395" w:lineRule="exact" w:before="0" w:after="0"/>
        <w:ind w:left="1591" w:right="0" w:hanging="356"/>
        <w:jc w:val="both"/>
        <w:rPr>
          <w:sz w:val="24"/>
        </w:rPr>
      </w:pPr>
      <w:r>
        <w:rPr>
          <w:color w:val="231F20"/>
          <w:spacing w:val="-4"/>
          <w:sz w:val="24"/>
        </w:rPr>
        <w:t>第 </w:t>
      </w:r>
      <w:r>
        <w:rPr>
          <w:color w:val="231F20"/>
          <w:sz w:val="24"/>
        </w:rPr>
        <w:t>1</w:t>
      </w:r>
      <w:r>
        <w:rPr>
          <w:color w:val="231F20"/>
          <w:spacing w:val="-4"/>
          <w:sz w:val="24"/>
        </w:rPr>
        <w:t> 個月胸部 </w:t>
      </w:r>
      <w:r>
        <w:rPr>
          <w:color w:val="231F20"/>
          <w:sz w:val="24"/>
        </w:rPr>
        <w:t>X</w:t>
      </w:r>
      <w:r>
        <w:rPr>
          <w:color w:val="231F20"/>
          <w:spacing w:val="-3"/>
          <w:sz w:val="24"/>
        </w:rPr>
        <w:t> 光檢査：</w:t>
      </w:r>
    </w:p>
    <w:p>
      <w:pPr>
        <w:pStyle w:val="BodyText"/>
        <w:spacing w:line="409" w:lineRule="exact"/>
        <w:ind w:left="1485"/>
        <w:jc w:val="both"/>
      </w:pPr>
      <w:r>
        <w:rPr>
          <w:color w:val="231F20"/>
          <w:w w:val="95"/>
        </w:rPr>
        <w:t>（1) 對象：所有接觸者皆須執行。</w:t>
      </w:r>
    </w:p>
    <w:p>
      <w:pPr>
        <w:spacing w:after="0" w:line="409" w:lineRule="exact"/>
        <w:jc w:val="both"/>
        <w:sectPr>
          <w:pgSz w:w="11910" w:h="16840"/>
          <w:pgMar w:top="1080" w:bottom="0" w:left="980" w:right="0"/>
        </w:sectPr>
      </w:pPr>
    </w:p>
    <w:p>
      <w:pPr>
        <w:pStyle w:val="BodyText"/>
        <w:spacing w:line="230" w:lineRule="auto" w:before="70"/>
        <w:ind w:left="1825" w:right="1134" w:hanging="341"/>
        <w:jc w:val="both"/>
      </w:pPr>
      <w:r>
        <w:rPr>
          <w:color w:val="231F20"/>
          <w:w w:val="70"/>
        </w:rPr>
        <w:t>（2) </w:t>
      </w:r>
      <w:r>
        <w:rPr>
          <w:color w:val="231F20"/>
          <w:spacing w:val="-2"/>
        </w:rPr>
        <w:t>檢査時間：於指標個案確診 </w:t>
      </w:r>
      <w:r>
        <w:rPr>
          <w:color w:val="231F20"/>
        </w:rPr>
        <w:t>1</w:t>
      </w:r>
      <w:r>
        <w:rPr>
          <w:color w:val="231F20"/>
          <w:spacing w:val="-8"/>
        </w:rPr>
        <w:t> 個月內完成 </w:t>
      </w:r>
      <w:r>
        <w:rPr>
          <w:color w:val="231F20"/>
          <w:w w:val="70"/>
        </w:rPr>
        <w:t>（ </w:t>
      </w:r>
      <w:r>
        <w:rPr>
          <w:color w:val="231F20"/>
          <w:spacing w:val="-7"/>
        </w:rPr>
        <w:t>如於 </w:t>
      </w:r>
      <w:r>
        <w:rPr>
          <w:color w:val="231F20"/>
        </w:rPr>
        <w:t>3</w:t>
      </w:r>
      <w:r>
        <w:rPr>
          <w:color w:val="231F20"/>
          <w:spacing w:val="-7"/>
        </w:rPr>
        <w:t> 個月內曾照胸部 </w:t>
      </w:r>
      <w:r>
        <w:rPr>
          <w:color w:val="231F20"/>
        </w:rPr>
        <w:t>X</w:t>
      </w:r>
      <w:r>
        <w:rPr>
          <w:color w:val="231F20"/>
          <w:spacing w:val="-6"/>
        </w:rPr>
        <w:t> 光且結</w:t>
      </w:r>
      <w:r>
        <w:rPr>
          <w:color w:val="231F20"/>
          <w:spacing w:val="-7"/>
        </w:rPr>
        <w:t>果正常者，可不須再做 )。</w:t>
      </w:r>
    </w:p>
    <w:p>
      <w:pPr>
        <w:pStyle w:val="ListParagraph"/>
        <w:numPr>
          <w:ilvl w:val="1"/>
          <w:numId w:val="234"/>
        </w:numPr>
        <w:tabs>
          <w:tab w:pos="1592" w:val="left" w:leader="none"/>
        </w:tabs>
        <w:spacing w:line="395" w:lineRule="exact" w:before="0" w:after="0"/>
        <w:ind w:left="1591" w:right="0" w:hanging="356"/>
        <w:jc w:val="both"/>
        <w:rPr>
          <w:sz w:val="24"/>
        </w:rPr>
      </w:pPr>
      <w:r>
        <w:rPr>
          <w:color w:val="231F20"/>
          <w:spacing w:val="-4"/>
          <w:sz w:val="24"/>
        </w:rPr>
        <w:t>LTBI</w:t>
      </w:r>
      <w:r>
        <w:rPr>
          <w:color w:val="231F20"/>
          <w:spacing w:val="-3"/>
          <w:sz w:val="24"/>
        </w:rPr>
        <w:t> 檢驗：</w:t>
      </w:r>
    </w:p>
    <w:p>
      <w:pPr>
        <w:pStyle w:val="BodyText"/>
        <w:spacing w:line="400" w:lineRule="exact"/>
        <w:ind w:left="1485"/>
        <w:jc w:val="both"/>
      </w:pPr>
      <w:r>
        <w:rPr>
          <w:color w:val="231F20"/>
          <w:w w:val="85"/>
        </w:rPr>
        <w:t>（1) 對象：</w:t>
      </w:r>
    </w:p>
    <w:p>
      <w:pPr>
        <w:pStyle w:val="ListParagraph"/>
        <w:numPr>
          <w:ilvl w:val="2"/>
          <w:numId w:val="234"/>
        </w:numPr>
        <w:tabs>
          <w:tab w:pos="2069" w:val="left" w:leader="none"/>
        </w:tabs>
        <w:spacing w:line="400" w:lineRule="exact" w:before="0" w:after="0"/>
        <w:ind w:left="2068" w:right="0" w:hanging="341"/>
        <w:jc w:val="both"/>
        <w:rPr>
          <w:sz w:val="24"/>
        </w:rPr>
      </w:pPr>
      <w:r>
        <w:rPr>
          <w:color w:val="231F20"/>
          <w:spacing w:val="1"/>
          <w:sz w:val="24"/>
        </w:rPr>
        <w:t>高傳染力指標(塗片陽性且培養鑑定為     </w:t>
      </w:r>
      <w:r>
        <w:rPr>
          <w:color w:val="231F20"/>
          <w:sz w:val="24"/>
        </w:rPr>
        <w:t>MTBC)之全年齡層接觸者，</w:t>
      </w:r>
    </w:p>
    <w:p>
      <w:pPr>
        <w:pStyle w:val="ListParagraph"/>
        <w:numPr>
          <w:ilvl w:val="2"/>
          <w:numId w:val="234"/>
        </w:numPr>
        <w:tabs>
          <w:tab w:pos="2069" w:val="left" w:leader="none"/>
        </w:tabs>
        <w:spacing w:line="400" w:lineRule="exact" w:before="0" w:after="0"/>
        <w:ind w:left="2068" w:right="0" w:hanging="341"/>
        <w:jc w:val="both"/>
        <w:rPr>
          <w:sz w:val="24"/>
        </w:rPr>
      </w:pPr>
      <w:r>
        <w:rPr>
          <w:color w:val="231F20"/>
          <w:spacing w:val="-1"/>
          <w:w w:val="105"/>
          <w:sz w:val="24"/>
        </w:rPr>
        <w:t>中傳染力指標(塗片陰性但培養鑑定為 </w:t>
      </w:r>
      <w:r>
        <w:rPr>
          <w:color w:val="231F20"/>
          <w:w w:val="105"/>
          <w:sz w:val="24"/>
        </w:rPr>
        <w:t>MTBC)之</w:t>
      </w:r>
    </w:p>
    <w:p>
      <w:pPr>
        <w:pStyle w:val="BodyText"/>
        <w:spacing w:line="400" w:lineRule="exact"/>
        <w:ind w:left="1966"/>
        <w:jc w:val="both"/>
      </w:pPr>
      <w:r>
        <w:rPr>
          <w:color w:val="231F20"/>
          <w:w w:val="95"/>
        </w:rPr>
        <w:t>（A) </w:t>
      </w:r>
      <w:r>
        <w:rPr>
          <w:color w:val="231F20"/>
        </w:rPr>
        <w:t>未滿 13 歲接觸者，</w:t>
      </w:r>
    </w:p>
    <w:p>
      <w:pPr>
        <w:pStyle w:val="BodyText"/>
        <w:spacing w:line="230" w:lineRule="auto" w:before="3"/>
        <w:ind w:left="2306" w:right="1136" w:hanging="341"/>
        <w:jc w:val="both"/>
      </w:pPr>
      <w:r>
        <w:rPr>
          <w:color w:val="231F20"/>
          <w:w w:val="32"/>
        </w:rPr>
        <w:t>（</w:t>
      </w:r>
      <w:r>
        <w:rPr>
          <w:color w:val="231F20"/>
          <w:w w:val="92"/>
        </w:rPr>
        <w:t>B</w:t>
      </w:r>
      <w:r>
        <w:rPr>
          <w:color w:val="231F20"/>
          <w:w w:val="96"/>
        </w:rPr>
        <w:t>)</w:t>
      </w:r>
      <w:r>
        <w:rPr>
          <w:color w:val="231F20"/>
        </w:rPr>
        <w:t> </w:t>
      </w:r>
      <w:r>
        <w:rPr>
          <w:color w:val="231F20"/>
          <w:w w:val="104"/>
        </w:rPr>
        <w:t>13</w:t>
      </w:r>
      <w:r>
        <w:rPr>
          <w:color w:val="231F20"/>
        </w:rPr>
        <w:t> 歲 </w:t>
      </w:r>
      <w:r>
        <w:rPr>
          <w:color w:val="231F20"/>
          <w:w w:val="32"/>
        </w:rPr>
        <w:t>（</w:t>
      </w:r>
      <w:r>
        <w:rPr>
          <w:color w:val="231F20"/>
        </w:rPr>
        <w:t> 含 </w:t>
      </w:r>
      <w:r>
        <w:rPr>
          <w:color w:val="231F20"/>
          <w:w w:val="96"/>
        </w:rPr>
        <w:t>)</w:t>
      </w:r>
      <w:r>
        <w:rPr>
          <w:color w:val="231F20"/>
        </w:rPr>
        <w:t> 以上：共同居住接觸者或接觸者患有慢性病 </w:t>
      </w:r>
      <w:r>
        <w:rPr>
          <w:color w:val="231F20"/>
          <w:w w:val="32"/>
        </w:rPr>
        <w:t>（</w:t>
      </w:r>
      <w:r>
        <w:rPr>
          <w:color w:val="231F20"/>
        </w:rPr>
        <w:t> 如：糖尿病、腎臟病、使用免疫抑制劑、器官移植、愛滋感染者等；不冊其為家庭、校園或職場暴露 </w:t>
      </w:r>
      <w:r>
        <w:rPr>
          <w:color w:val="231F20"/>
          <w:w w:val="95"/>
        </w:rPr>
        <w:t>)</w:t>
      </w:r>
    </w:p>
    <w:p>
      <w:pPr>
        <w:pStyle w:val="BodyText"/>
        <w:spacing w:line="230" w:lineRule="auto"/>
        <w:ind w:left="1825" w:right="1075" w:hanging="341"/>
        <w:jc w:val="both"/>
      </w:pPr>
      <w:r>
        <w:rPr/>
        <w:pict>
          <v:group style="position:absolute;margin-left:557.686523pt;margin-top:56.715244pt;width:37.35pt;height:528.550pt;mso-position-horizontal-relative:page;mso-position-vertical-relative:paragraph;z-index:251959296" coordorigin="11154,1134" coordsize="747,10571">
            <v:shape style="position:absolute;left:11283;top:1645;width:438;height:10060" type="#_x0000_t75" stroked="false">
              <v:imagedata r:id="rId180" o:title=""/>
            </v:shape>
            <v:shape style="position:absolute;left:11153;top:1134;width:747;height:812" coordorigin="11154,1134" coordsize="747,812" path="m11900,1134l11536,1134,11514,1137,11454,1170,11188,1453,11154,1540,11162,1586,11454,1909,11514,1943,11536,1946,11900,1946,11900,1134xe" filled="true" fillcolor="#5daf8a" stroked="false">
              <v:path arrowok="t"/>
              <v:fill type="solid"/>
            </v:shape>
            <v:shape style="position:absolute;left:11321;top:1401;width:331;height:274" type="#_x0000_t75" stroked="false">
              <v:imagedata r:id="rId189" o:title=""/>
            </v:shape>
            <v:shape style="position:absolute;left:11378;top:2081;width:251;height:3264" type="#_x0000_t75" stroked="false">
              <v:imagedata r:id="rId182" o:title=""/>
            </v:shape>
            <v:shape style="position:absolute;left:11368;top:11142;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125</w:t>
                    </w:r>
                  </w:p>
                </w:txbxContent>
              </v:textbox>
              <w10:wrap type="none"/>
            </v:shape>
            <w10:wrap type="none"/>
          </v:group>
        </w:pict>
      </w:r>
      <w:r>
        <w:rPr>
          <w:color w:val="231F20"/>
          <w:w w:val="70"/>
        </w:rPr>
        <w:t>（2) </w:t>
      </w:r>
      <w:r>
        <w:rPr>
          <w:color w:val="231F20"/>
          <w:spacing w:val="-11"/>
        </w:rPr>
        <w:t>檢驗時間：指標個案確診後，於與指標個案終止有效暴露滿 </w:t>
      </w:r>
      <w:r>
        <w:rPr>
          <w:color w:val="231F20"/>
        </w:rPr>
        <w:t>8</w:t>
      </w:r>
      <w:r>
        <w:rPr>
          <w:color w:val="231F20"/>
          <w:spacing w:val="-11"/>
        </w:rPr>
        <w:t> 週後儘速執行； </w:t>
      </w:r>
      <w:r>
        <w:rPr>
          <w:color w:val="231F20"/>
          <w:spacing w:val="-8"/>
        </w:rPr>
        <w:t>過早 </w:t>
      </w:r>
      <w:r>
        <w:rPr>
          <w:color w:val="231F20"/>
          <w:w w:val="70"/>
        </w:rPr>
        <w:t>（ </w:t>
      </w:r>
      <w:r>
        <w:rPr>
          <w:color w:val="231F20"/>
          <w:spacing w:val="-5"/>
        </w:rPr>
        <w:t>未達滿 </w:t>
      </w:r>
      <w:r>
        <w:rPr>
          <w:color w:val="231F20"/>
        </w:rPr>
        <w:t>8</w:t>
      </w:r>
      <w:r>
        <w:rPr>
          <w:color w:val="231F20"/>
          <w:spacing w:val="-12"/>
        </w:rPr>
        <w:t> 週 ) 執行 </w:t>
      </w:r>
      <w:r>
        <w:rPr>
          <w:color w:val="231F20"/>
          <w:spacing w:val="-4"/>
        </w:rPr>
        <w:t>LTBI</w:t>
      </w:r>
      <w:r>
        <w:rPr>
          <w:color w:val="231F20"/>
          <w:spacing w:val="-5"/>
        </w:rPr>
        <w:t> 檢驗，可能會因接觸者感染結核蔥後尚處於空</w:t>
      </w:r>
      <w:r>
        <w:rPr>
          <w:color w:val="231F20"/>
          <w:spacing w:val="-7"/>
        </w:rPr>
        <w:t>窗期 </w:t>
      </w:r>
      <w:r>
        <w:rPr>
          <w:color w:val="231F20"/>
        </w:rPr>
        <w:t>（window period)，檢驗結果出現偽陰性的情況。</w:t>
      </w:r>
    </w:p>
    <w:p>
      <w:pPr>
        <w:pStyle w:val="BodyText"/>
        <w:spacing w:line="394" w:lineRule="exact"/>
        <w:ind w:left="1825"/>
        <w:jc w:val="both"/>
      </w:pPr>
      <w:r>
        <w:rPr>
          <w:color w:val="231F20"/>
        </w:rPr>
        <w:t>未滿 5 歲接觸者請見 </w:t>
      </w:r>
      <w:r>
        <w:rPr>
          <w:color w:val="231F20"/>
          <w:w w:val="70"/>
        </w:rPr>
        <w:t>（ </w:t>
      </w:r>
      <w:r>
        <w:rPr>
          <w:color w:val="231F20"/>
        </w:rPr>
        <w:t>三 ) 未滿 5 歲兒童接觸者 LTBI 檢驗注意事項。</w:t>
      </w:r>
    </w:p>
    <w:p>
      <w:pPr>
        <w:pStyle w:val="BodyText"/>
        <w:spacing w:line="230" w:lineRule="auto"/>
        <w:ind w:left="1825" w:right="1128" w:hanging="341"/>
        <w:jc w:val="both"/>
      </w:pPr>
      <w:r>
        <w:rPr>
          <w:color w:val="231F20"/>
          <w:w w:val="32"/>
        </w:rPr>
        <w:t>（</w:t>
      </w:r>
      <w:r>
        <w:rPr>
          <w:color w:val="231F20"/>
          <w:w w:val="104"/>
        </w:rPr>
        <w:t>3</w:t>
      </w:r>
      <w:r>
        <w:rPr>
          <w:color w:val="231F20"/>
          <w:w w:val="96"/>
        </w:rPr>
        <w:t>)</w:t>
      </w:r>
      <w:r>
        <w:rPr>
          <w:color w:val="231F20"/>
        </w:rPr>
        <w:t> 接觸者與指標個案終止有效暴露日：為即早辦理 </w:t>
      </w:r>
      <w:r>
        <w:rPr>
          <w:color w:val="231F20"/>
          <w:w w:val="90"/>
        </w:rPr>
        <w:t>L</w:t>
      </w:r>
      <w:r>
        <w:rPr>
          <w:color w:val="231F20"/>
          <w:w w:val="91"/>
        </w:rPr>
        <w:t>T</w:t>
      </w:r>
      <w:r>
        <w:rPr>
          <w:color w:val="231F20"/>
          <w:w w:val="92"/>
        </w:rPr>
        <w:t>B</w:t>
      </w:r>
      <w:r>
        <w:rPr>
          <w:color w:val="231F20"/>
          <w:w w:val="102"/>
        </w:rPr>
        <w:t>I</w:t>
      </w:r>
      <w:r>
        <w:rPr>
          <w:color w:val="231F20"/>
        </w:rPr>
        <w:t> 檢驗及治療評估，符合下述任—情況最早發生的日期，以計算 LTBI 檢驗日：</w:t>
      </w:r>
    </w:p>
    <w:p>
      <w:pPr>
        <w:pStyle w:val="ListParagraph"/>
        <w:numPr>
          <w:ilvl w:val="0"/>
          <w:numId w:val="235"/>
        </w:numPr>
        <w:tabs>
          <w:tab w:pos="2069" w:val="left" w:leader="none"/>
        </w:tabs>
        <w:spacing w:line="395" w:lineRule="exact" w:before="0" w:after="0"/>
        <w:ind w:left="2068" w:right="0" w:hanging="341"/>
        <w:jc w:val="left"/>
        <w:rPr>
          <w:sz w:val="24"/>
        </w:rPr>
      </w:pPr>
      <w:r>
        <w:rPr>
          <w:color w:val="231F20"/>
          <w:sz w:val="24"/>
        </w:rPr>
        <w:t>接觸者未再與指標個案接觸、</w:t>
      </w:r>
    </w:p>
    <w:p>
      <w:pPr>
        <w:pStyle w:val="ListParagraph"/>
        <w:numPr>
          <w:ilvl w:val="0"/>
          <w:numId w:val="235"/>
        </w:numPr>
        <w:tabs>
          <w:tab w:pos="2069" w:val="left" w:leader="none"/>
        </w:tabs>
        <w:spacing w:line="400" w:lineRule="exact" w:before="0" w:after="0"/>
        <w:ind w:left="2068" w:right="0" w:hanging="341"/>
        <w:jc w:val="left"/>
        <w:rPr>
          <w:sz w:val="24"/>
        </w:rPr>
      </w:pPr>
      <w:r>
        <w:rPr>
          <w:color w:val="231F20"/>
          <w:spacing w:val="-1"/>
          <w:sz w:val="24"/>
        </w:rPr>
        <w:t>指標個案接受治療且都治 </w:t>
      </w:r>
      <w:r>
        <w:rPr>
          <w:color w:val="231F20"/>
          <w:sz w:val="24"/>
        </w:rPr>
        <w:t>2</w:t>
      </w:r>
      <w:r>
        <w:rPr>
          <w:color w:val="231F20"/>
          <w:spacing w:val="-3"/>
          <w:sz w:val="24"/>
        </w:rPr>
        <w:t> 週、</w:t>
      </w:r>
    </w:p>
    <w:p>
      <w:pPr>
        <w:pStyle w:val="ListParagraph"/>
        <w:numPr>
          <w:ilvl w:val="0"/>
          <w:numId w:val="235"/>
        </w:numPr>
        <w:tabs>
          <w:tab w:pos="2069" w:val="left" w:leader="none"/>
        </w:tabs>
        <w:spacing w:line="400" w:lineRule="exact" w:before="0" w:after="0"/>
        <w:ind w:left="2068" w:right="0" w:hanging="341"/>
        <w:jc w:val="left"/>
        <w:rPr>
          <w:sz w:val="24"/>
        </w:rPr>
      </w:pPr>
      <w:r>
        <w:rPr>
          <w:color w:val="231F20"/>
          <w:sz w:val="24"/>
        </w:rPr>
        <w:t>指標個案痰培養陰轉、</w:t>
      </w:r>
    </w:p>
    <w:p>
      <w:pPr>
        <w:pStyle w:val="ListParagraph"/>
        <w:numPr>
          <w:ilvl w:val="0"/>
          <w:numId w:val="235"/>
        </w:numPr>
        <w:tabs>
          <w:tab w:pos="2069" w:val="left" w:leader="none"/>
        </w:tabs>
        <w:spacing w:line="400" w:lineRule="exact" w:before="0" w:after="0"/>
        <w:ind w:left="2068" w:right="0" w:hanging="341"/>
        <w:jc w:val="left"/>
        <w:rPr>
          <w:sz w:val="24"/>
        </w:rPr>
      </w:pPr>
      <w:r>
        <w:rPr>
          <w:color w:val="231F20"/>
          <w:sz w:val="24"/>
        </w:rPr>
        <w:t>指標個案持續配戴醫療等級以上口罩、</w:t>
      </w:r>
    </w:p>
    <w:p>
      <w:pPr>
        <w:pStyle w:val="ListParagraph"/>
        <w:numPr>
          <w:ilvl w:val="0"/>
          <w:numId w:val="235"/>
        </w:numPr>
        <w:tabs>
          <w:tab w:pos="2069" w:val="left" w:leader="none"/>
        </w:tabs>
        <w:spacing w:line="400" w:lineRule="exact" w:before="0" w:after="0"/>
        <w:ind w:left="2068" w:right="0" w:hanging="341"/>
        <w:jc w:val="left"/>
        <w:rPr>
          <w:sz w:val="24"/>
        </w:rPr>
      </w:pPr>
      <w:r>
        <w:rPr>
          <w:color w:val="231F20"/>
          <w:spacing w:val="-2"/>
          <w:sz w:val="24"/>
        </w:rPr>
        <w:t>接觸者持續配戴 </w:t>
      </w:r>
      <w:r>
        <w:rPr>
          <w:color w:val="231F20"/>
          <w:sz w:val="24"/>
        </w:rPr>
        <w:t>N95（</w:t>
      </w:r>
      <w:r>
        <w:rPr>
          <w:color w:val="231F20"/>
          <w:spacing w:val="-6"/>
          <w:sz w:val="24"/>
        </w:rPr>
        <w:t> 含 ) 等級以上口罩。</w:t>
      </w:r>
    </w:p>
    <w:p>
      <w:pPr>
        <w:pStyle w:val="BodyText"/>
        <w:spacing w:line="230" w:lineRule="auto" w:before="1"/>
        <w:ind w:left="1825" w:right="1128" w:hanging="341"/>
        <w:jc w:val="both"/>
      </w:pPr>
      <w:r>
        <w:rPr>
          <w:color w:val="231F20"/>
          <w:w w:val="32"/>
        </w:rPr>
        <w:t>（</w:t>
      </w:r>
      <w:r>
        <w:rPr>
          <w:color w:val="231F20"/>
          <w:w w:val="104"/>
        </w:rPr>
        <w:t>4</w:t>
      </w:r>
      <w:r>
        <w:rPr>
          <w:color w:val="231F20"/>
          <w:w w:val="96"/>
        </w:rPr>
        <w:t>)</w:t>
      </w:r>
      <w:r>
        <w:rPr>
          <w:color w:val="231F20"/>
        </w:rPr>
        <w:t> 接觸者進行 </w:t>
      </w:r>
      <w:r>
        <w:rPr>
          <w:color w:val="231F20"/>
          <w:spacing w:val="-15"/>
          <w:w w:val="90"/>
        </w:rPr>
        <w:t>L</w:t>
      </w:r>
      <w:r>
        <w:rPr>
          <w:color w:val="231F20"/>
          <w:w w:val="91"/>
        </w:rPr>
        <w:t>T</w:t>
      </w:r>
      <w:r>
        <w:rPr>
          <w:color w:val="231F20"/>
          <w:spacing w:val="-1"/>
          <w:w w:val="92"/>
        </w:rPr>
        <w:t>B</w:t>
      </w:r>
      <w:r>
        <w:rPr>
          <w:color w:val="231F20"/>
          <w:w w:val="102"/>
        </w:rPr>
        <w:t>I</w:t>
      </w:r>
      <w:r>
        <w:rPr>
          <w:color w:val="231F20"/>
          <w:spacing w:val="2"/>
        </w:rPr>
        <w:t> 檢驗結果陰性者，倘持續暴露結核蔥 </w:t>
      </w:r>
      <w:r>
        <w:rPr>
          <w:color w:val="231F20"/>
          <w:w w:val="32"/>
        </w:rPr>
        <w:t>（</w:t>
      </w:r>
      <w:r>
        <w:rPr>
          <w:color w:val="231F20"/>
          <w:spacing w:val="3"/>
        </w:rPr>
        <w:t> 例如：指標個案未</w:t>
      </w:r>
      <w:r>
        <w:rPr>
          <w:color w:val="231F20"/>
          <w:spacing w:val="-4"/>
        </w:rPr>
        <w:t>陰轉或產生抗藥性等 ) 應重新判定終止有效暴露日，決定是否再次執行 LTBI </w:t>
      </w:r>
      <w:r>
        <w:rPr>
          <w:color w:val="231F20"/>
        </w:rPr>
        <w:t>檢驗。</w:t>
      </w:r>
    </w:p>
    <w:p>
      <w:pPr>
        <w:pStyle w:val="ListParagraph"/>
        <w:numPr>
          <w:ilvl w:val="1"/>
          <w:numId w:val="234"/>
        </w:numPr>
        <w:tabs>
          <w:tab w:pos="1592" w:val="left" w:leader="none"/>
        </w:tabs>
        <w:spacing w:line="394" w:lineRule="exact" w:before="0" w:after="0"/>
        <w:ind w:left="1591" w:right="0" w:hanging="356"/>
        <w:jc w:val="both"/>
        <w:rPr>
          <w:sz w:val="24"/>
        </w:rPr>
      </w:pPr>
      <w:r>
        <w:rPr>
          <w:color w:val="231F20"/>
          <w:spacing w:val="-4"/>
          <w:sz w:val="24"/>
        </w:rPr>
        <w:t>第 </w:t>
      </w:r>
      <w:r>
        <w:rPr>
          <w:color w:val="231F20"/>
          <w:sz w:val="24"/>
        </w:rPr>
        <w:t>12</w:t>
      </w:r>
      <w:r>
        <w:rPr>
          <w:color w:val="231F20"/>
          <w:spacing w:val="-4"/>
          <w:sz w:val="24"/>
        </w:rPr>
        <w:t> 個月胸部 </w:t>
      </w:r>
      <w:r>
        <w:rPr>
          <w:color w:val="231F20"/>
          <w:sz w:val="24"/>
        </w:rPr>
        <w:t>X</w:t>
      </w:r>
      <w:r>
        <w:rPr>
          <w:color w:val="231F20"/>
          <w:spacing w:val="-3"/>
          <w:sz w:val="24"/>
        </w:rPr>
        <w:t> 光檢査：</w:t>
      </w:r>
    </w:p>
    <w:p>
      <w:pPr>
        <w:pStyle w:val="BodyText"/>
        <w:spacing w:line="400" w:lineRule="exact"/>
        <w:ind w:left="1485"/>
        <w:jc w:val="both"/>
      </w:pPr>
      <w:r>
        <w:rPr>
          <w:color w:val="231F20"/>
          <w:w w:val="95"/>
        </w:rPr>
        <w:t>（1) 對象：</w:t>
      </w:r>
    </w:p>
    <w:p>
      <w:pPr>
        <w:pStyle w:val="ListParagraph"/>
        <w:numPr>
          <w:ilvl w:val="2"/>
          <w:numId w:val="234"/>
        </w:numPr>
        <w:tabs>
          <w:tab w:pos="2069" w:val="left" w:leader="none"/>
        </w:tabs>
        <w:spacing w:line="230" w:lineRule="auto" w:before="3" w:after="0"/>
        <w:ind w:left="2068" w:right="1132" w:hanging="340"/>
        <w:jc w:val="both"/>
        <w:rPr>
          <w:sz w:val="24"/>
        </w:rPr>
      </w:pPr>
      <w:r>
        <w:rPr>
          <w:color w:val="231F20"/>
          <w:spacing w:val="-5"/>
          <w:sz w:val="24"/>
        </w:rPr>
        <w:t>應執行 </w:t>
      </w:r>
      <w:r>
        <w:rPr>
          <w:color w:val="231F20"/>
          <w:spacing w:val="-4"/>
          <w:sz w:val="24"/>
        </w:rPr>
        <w:t>LTBI 檢驗而未執行者，或過早執行 LTBI</w:t>
      </w:r>
      <w:r>
        <w:rPr>
          <w:color w:val="231F20"/>
          <w:spacing w:val="-2"/>
          <w:sz w:val="24"/>
        </w:rPr>
        <w:t> 檢驗結果陰性者而未有終</w:t>
      </w:r>
      <w:r>
        <w:rPr>
          <w:color w:val="231F20"/>
          <w:spacing w:val="-1"/>
          <w:sz w:val="24"/>
        </w:rPr>
        <w:t>止有效暴露滿 </w:t>
      </w:r>
      <w:r>
        <w:rPr>
          <w:color w:val="231F20"/>
          <w:sz w:val="24"/>
        </w:rPr>
        <w:t>8</w:t>
      </w:r>
      <w:r>
        <w:rPr>
          <w:color w:val="231F20"/>
          <w:spacing w:val="-3"/>
          <w:sz w:val="24"/>
        </w:rPr>
        <w:t> 週之檢驗結果，</w:t>
      </w:r>
    </w:p>
    <w:p>
      <w:pPr>
        <w:pStyle w:val="ListParagraph"/>
        <w:numPr>
          <w:ilvl w:val="2"/>
          <w:numId w:val="234"/>
        </w:numPr>
        <w:tabs>
          <w:tab w:pos="2069" w:val="left" w:leader="none"/>
        </w:tabs>
        <w:spacing w:line="395" w:lineRule="exact" w:before="0" w:after="0"/>
        <w:ind w:left="2068" w:right="0" w:hanging="341"/>
        <w:jc w:val="left"/>
        <w:rPr>
          <w:sz w:val="24"/>
        </w:rPr>
      </w:pPr>
      <w:r>
        <w:rPr>
          <w:color w:val="231F20"/>
          <w:spacing w:val="-4"/>
          <w:sz w:val="24"/>
        </w:rPr>
        <w:t>LTBI 檢驗陽性應加入而未完成 LTBI</w:t>
      </w:r>
      <w:r>
        <w:rPr>
          <w:color w:val="231F20"/>
          <w:spacing w:val="-3"/>
          <w:sz w:val="24"/>
        </w:rPr>
        <w:t> 治療者。</w:t>
      </w:r>
    </w:p>
    <w:p>
      <w:pPr>
        <w:pStyle w:val="BodyText"/>
        <w:spacing w:line="400" w:lineRule="exact"/>
        <w:ind w:left="1485"/>
      </w:pPr>
      <w:r>
        <w:rPr>
          <w:color w:val="231F20"/>
          <w:w w:val="95"/>
        </w:rPr>
        <w:t>（2) </w:t>
      </w:r>
      <w:r>
        <w:rPr>
          <w:color w:val="231F20"/>
        </w:rPr>
        <w:t>公衛人員於通知執行該次胸部 X 光檢査時，應再次提醒</w:t>
      </w:r>
    </w:p>
    <w:p>
      <w:pPr>
        <w:pStyle w:val="ListParagraph"/>
        <w:numPr>
          <w:ilvl w:val="0"/>
          <w:numId w:val="236"/>
        </w:numPr>
        <w:tabs>
          <w:tab w:pos="2069" w:val="left" w:leader="none"/>
        </w:tabs>
        <w:spacing w:line="400" w:lineRule="exact" w:before="0" w:after="0"/>
        <w:ind w:left="2068" w:right="0" w:hanging="341"/>
        <w:jc w:val="left"/>
        <w:rPr>
          <w:sz w:val="24"/>
        </w:rPr>
      </w:pPr>
      <w:r>
        <w:rPr>
          <w:color w:val="231F20"/>
          <w:spacing w:val="-1"/>
          <w:sz w:val="24"/>
        </w:rPr>
        <w:t>未執行或過早執行檢驗之陰性者，仍應完成 </w:t>
      </w:r>
      <w:r>
        <w:rPr>
          <w:color w:val="231F20"/>
          <w:spacing w:val="-4"/>
          <w:sz w:val="24"/>
        </w:rPr>
        <w:t>LTBI</w:t>
      </w:r>
      <w:r>
        <w:rPr>
          <w:color w:val="231F20"/>
          <w:spacing w:val="-3"/>
          <w:sz w:val="24"/>
        </w:rPr>
        <w:t> 檢驗，</w:t>
      </w:r>
    </w:p>
    <w:p>
      <w:pPr>
        <w:pStyle w:val="ListParagraph"/>
        <w:numPr>
          <w:ilvl w:val="0"/>
          <w:numId w:val="236"/>
        </w:numPr>
        <w:tabs>
          <w:tab w:pos="2069" w:val="left" w:leader="none"/>
        </w:tabs>
        <w:spacing w:line="230" w:lineRule="auto" w:before="2" w:after="0"/>
        <w:ind w:left="2068" w:right="1075" w:hanging="340"/>
        <w:jc w:val="left"/>
        <w:rPr>
          <w:sz w:val="24"/>
        </w:rPr>
      </w:pPr>
      <w:r>
        <w:rPr>
          <w:color w:val="231F20"/>
          <w:spacing w:val="13"/>
          <w:w w:val="95"/>
          <w:sz w:val="24"/>
        </w:rPr>
        <w:t>未完成</w:t>
      </w:r>
      <w:r>
        <w:rPr>
          <w:color w:val="231F20"/>
          <w:spacing w:val="-4"/>
          <w:w w:val="95"/>
          <w:sz w:val="24"/>
        </w:rPr>
        <w:t>LTBI</w:t>
      </w:r>
      <w:r>
        <w:rPr>
          <w:color w:val="231F20"/>
          <w:spacing w:val="21"/>
          <w:w w:val="95"/>
          <w:sz w:val="24"/>
        </w:rPr>
        <w:t> 治療者</w:t>
      </w:r>
      <w:r>
        <w:rPr>
          <w:color w:val="231F20"/>
          <w:w w:val="70"/>
          <w:sz w:val="24"/>
        </w:rPr>
        <w:t>（</w:t>
      </w:r>
      <w:r>
        <w:rPr>
          <w:color w:val="231F20"/>
          <w:spacing w:val="17"/>
          <w:w w:val="70"/>
          <w:sz w:val="24"/>
        </w:rPr>
        <w:t> </w:t>
      </w:r>
      <w:r>
        <w:rPr>
          <w:color w:val="231F20"/>
          <w:spacing w:val="-1"/>
          <w:w w:val="95"/>
          <w:sz w:val="24"/>
        </w:rPr>
        <w:t>陽性者未加入治療，或中斷治療者) 應鼓勵加入治療， </w:t>
      </w:r>
      <w:r>
        <w:rPr>
          <w:color w:val="231F20"/>
          <w:sz w:val="24"/>
        </w:rPr>
        <w:t>直至完成治療為止。</w:t>
      </w:r>
    </w:p>
    <w:p>
      <w:pPr>
        <w:pStyle w:val="ListParagraph"/>
        <w:numPr>
          <w:ilvl w:val="1"/>
          <w:numId w:val="234"/>
        </w:numPr>
        <w:tabs>
          <w:tab w:pos="1592" w:val="left" w:leader="none"/>
        </w:tabs>
        <w:spacing w:line="395" w:lineRule="exact" w:before="0" w:after="0"/>
        <w:ind w:left="1591" w:right="0" w:hanging="356"/>
        <w:jc w:val="left"/>
        <w:rPr>
          <w:sz w:val="24"/>
        </w:rPr>
      </w:pPr>
      <w:r>
        <w:rPr>
          <w:color w:val="231F20"/>
          <w:spacing w:val="-1"/>
          <w:sz w:val="24"/>
        </w:rPr>
        <w:t>特殊情況：參見第十章 </w:t>
      </w:r>
      <w:r>
        <w:rPr>
          <w:color w:val="231F20"/>
          <w:spacing w:val="3"/>
          <w:w w:val="80"/>
          <w:sz w:val="24"/>
        </w:rPr>
        <w:t>「 </w:t>
      </w:r>
      <w:r>
        <w:rPr>
          <w:color w:val="231F20"/>
          <w:sz w:val="24"/>
        </w:rPr>
        <w:t>抗藥性結核病照護與管理」</w:t>
      </w:r>
    </w:p>
    <w:p>
      <w:pPr>
        <w:pStyle w:val="BodyText"/>
        <w:spacing w:line="230" w:lineRule="auto" w:before="3"/>
        <w:ind w:left="1825" w:right="1134" w:hanging="341"/>
        <w:jc w:val="both"/>
      </w:pPr>
      <w:r>
        <w:rPr>
          <w:color w:val="231F20"/>
          <w:w w:val="32"/>
        </w:rPr>
        <w:t>（</w:t>
      </w:r>
      <w:r>
        <w:rPr>
          <w:color w:val="231F20"/>
          <w:w w:val="104"/>
        </w:rPr>
        <w:t>1</w:t>
      </w:r>
      <w:r>
        <w:rPr>
          <w:color w:val="231F20"/>
          <w:w w:val="96"/>
        </w:rPr>
        <w:t>)</w:t>
      </w:r>
      <w:r>
        <w:rPr>
          <w:color w:val="231F20"/>
        </w:rPr>
        <w:t> 抗藥性結核病 </w:t>
      </w:r>
      <w:r>
        <w:rPr>
          <w:color w:val="231F20"/>
          <w:w w:val="32"/>
        </w:rPr>
        <w:t>（</w:t>
      </w:r>
      <w:r>
        <w:rPr>
          <w:color w:val="231F20"/>
          <w:w w:val="115"/>
        </w:rPr>
        <w:t>M</w:t>
      </w:r>
      <w:r>
        <w:rPr>
          <w:color w:val="231F20"/>
          <w:w w:val="104"/>
        </w:rPr>
        <w:t>D</w:t>
      </w:r>
      <w:r>
        <w:rPr>
          <w:color w:val="231F20"/>
          <w:w w:val="88"/>
        </w:rPr>
        <w:t>R</w:t>
      </w:r>
      <w:r>
        <w:rPr>
          <w:color w:val="231F20"/>
          <w:w w:val="41"/>
        </w:rPr>
        <w:t>／</w:t>
      </w:r>
      <w:r>
        <w:rPr>
          <w:color w:val="231F20"/>
          <w:w w:val="88"/>
        </w:rPr>
        <w:t>RR</w:t>
      </w:r>
      <w:r>
        <w:rPr>
          <w:color w:val="231F20"/>
          <w:w w:val="129"/>
        </w:rPr>
        <w:t>-</w:t>
      </w:r>
      <w:r>
        <w:rPr>
          <w:color w:val="231F20"/>
          <w:w w:val="91"/>
        </w:rPr>
        <w:t>T</w:t>
      </w:r>
      <w:r>
        <w:rPr>
          <w:color w:val="231F20"/>
          <w:w w:val="92"/>
        </w:rPr>
        <w:t>B</w:t>
      </w:r>
      <w:r>
        <w:rPr>
          <w:color w:val="231F20"/>
          <w:w w:val="96"/>
        </w:rPr>
        <w:t>)</w:t>
      </w:r>
      <w:r>
        <w:rPr>
          <w:color w:val="231F20"/>
        </w:rPr>
        <w:t> 個案之接觸者：自系統登記為 </w:t>
      </w:r>
      <w:r>
        <w:rPr>
          <w:color w:val="231F20"/>
          <w:w w:val="115"/>
        </w:rPr>
        <w:t>M</w:t>
      </w:r>
      <w:r>
        <w:rPr>
          <w:color w:val="231F20"/>
          <w:w w:val="104"/>
        </w:rPr>
        <w:t>D</w:t>
      </w:r>
      <w:r>
        <w:rPr>
          <w:color w:val="231F20"/>
          <w:w w:val="88"/>
        </w:rPr>
        <w:t>R</w:t>
      </w:r>
      <w:r>
        <w:rPr>
          <w:color w:val="231F20"/>
          <w:w w:val="41"/>
        </w:rPr>
        <w:t>／</w:t>
      </w:r>
      <w:r>
        <w:rPr>
          <w:color w:val="231F20"/>
          <w:w w:val="88"/>
        </w:rPr>
        <w:t>RR</w:t>
      </w:r>
      <w:r>
        <w:rPr>
          <w:color w:val="231F20"/>
          <w:w w:val="129"/>
        </w:rPr>
        <w:t>-</w:t>
      </w:r>
      <w:r>
        <w:rPr>
          <w:color w:val="231F20"/>
          <w:w w:val="91"/>
        </w:rPr>
        <w:t>T</w:t>
      </w:r>
      <w:r>
        <w:rPr>
          <w:color w:val="231F20"/>
          <w:w w:val="92"/>
        </w:rPr>
        <w:t>B</w:t>
      </w:r>
      <w:r>
        <w:rPr>
          <w:color w:val="231F20"/>
        </w:rPr>
        <w:t> 起 1 個月內，應再次確認其抗藥性可傳染期及符合接觸者檢査之對象，接觸者</w:t>
      </w:r>
    </w:p>
    <w:p>
      <w:pPr>
        <w:spacing w:after="0" w:line="230" w:lineRule="auto"/>
        <w:jc w:val="both"/>
        <w:sectPr>
          <w:pgSz w:w="11910" w:h="16840"/>
          <w:pgMar w:top="1060" w:bottom="0" w:left="980" w:right="0"/>
        </w:sectPr>
      </w:pPr>
    </w:p>
    <w:p>
      <w:pPr>
        <w:pStyle w:val="BodyText"/>
        <w:spacing w:line="230" w:lineRule="auto" w:before="70"/>
        <w:ind w:left="1825" w:right="1079"/>
      </w:pPr>
      <w:r>
        <w:rPr/>
        <w:pict>
          <v:group style="position:absolute;margin-left:.0pt;margin-top:313.165009pt;width:37.35pt;height:528.550pt;mso-position-horizontal-relative:page;mso-position-vertical-relative:page;z-index:251961344"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190"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126</w:t>
                    </w:r>
                  </w:p>
                </w:txbxContent>
              </v:textbox>
              <w10:wrap type="none"/>
            </v:shape>
            <w10:wrap type="none"/>
          </v:group>
        </w:pict>
      </w:r>
      <w:r>
        <w:rPr>
          <w:color w:val="231F20"/>
        </w:rPr>
        <w:t>如無最近 3 個月內之胸部 X 光檢査結果，應立即進行檢査；後續每隔半年進行 1 次胸部 X 光檢査，直至以下任—情況：</w:t>
      </w:r>
    </w:p>
    <w:p>
      <w:pPr>
        <w:pStyle w:val="ListParagraph"/>
        <w:numPr>
          <w:ilvl w:val="2"/>
          <w:numId w:val="234"/>
        </w:numPr>
        <w:tabs>
          <w:tab w:pos="2069" w:val="left" w:leader="none"/>
        </w:tabs>
        <w:spacing w:line="395" w:lineRule="exact" w:before="0" w:after="0"/>
        <w:ind w:left="2068" w:right="0" w:hanging="341"/>
        <w:jc w:val="both"/>
        <w:rPr>
          <w:sz w:val="24"/>
        </w:rPr>
      </w:pPr>
      <w:r>
        <w:rPr>
          <w:color w:val="231F20"/>
          <w:spacing w:val="-1"/>
          <w:sz w:val="24"/>
        </w:rPr>
        <w:t>與指標個案終止有效暴露滿 </w:t>
      </w:r>
      <w:r>
        <w:rPr>
          <w:color w:val="231F20"/>
          <w:sz w:val="24"/>
        </w:rPr>
        <w:t>8</w:t>
      </w:r>
      <w:r>
        <w:rPr>
          <w:color w:val="231F20"/>
          <w:spacing w:val="-4"/>
          <w:sz w:val="24"/>
        </w:rPr>
        <w:t> 週之 LTBI</w:t>
      </w:r>
      <w:r>
        <w:rPr>
          <w:color w:val="231F20"/>
          <w:spacing w:val="-3"/>
          <w:sz w:val="24"/>
        </w:rPr>
        <w:t> 檢驗結果為陰性，</w:t>
      </w:r>
    </w:p>
    <w:p>
      <w:pPr>
        <w:pStyle w:val="ListParagraph"/>
        <w:numPr>
          <w:ilvl w:val="2"/>
          <w:numId w:val="234"/>
        </w:numPr>
        <w:tabs>
          <w:tab w:pos="2069" w:val="left" w:leader="none"/>
        </w:tabs>
        <w:spacing w:line="400" w:lineRule="exact" w:before="0" w:after="0"/>
        <w:ind w:left="2068" w:right="0" w:hanging="341"/>
        <w:jc w:val="both"/>
        <w:rPr>
          <w:sz w:val="24"/>
        </w:rPr>
      </w:pPr>
      <w:r>
        <w:rPr>
          <w:color w:val="231F20"/>
          <w:spacing w:val="-4"/>
          <w:sz w:val="24"/>
        </w:rPr>
        <w:t>LTBI</w:t>
      </w:r>
      <w:r>
        <w:rPr>
          <w:color w:val="231F20"/>
          <w:spacing w:val="-5"/>
          <w:sz w:val="24"/>
        </w:rPr>
        <w:t> 檢驗結果陽性者完成 </w:t>
      </w:r>
      <w:r>
        <w:rPr>
          <w:color w:val="231F20"/>
          <w:spacing w:val="-4"/>
          <w:sz w:val="24"/>
        </w:rPr>
        <w:t>LTBI</w:t>
      </w:r>
      <w:r>
        <w:rPr>
          <w:color w:val="231F20"/>
          <w:spacing w:val="-9"/>
          <w:sz w:val="24"/>
        </w:rPr>
        <w:t> 治療 </w:t>
      </w:r>
      <w:r>
        <w:rPr>
          <w:color w:val="231F20"/>
          <w:sz w:val="24"/>
        </w:rPr>
        <w:t>（MDR-TB</w:t>
      </w:r>
      <w:r>
        <w:rPr>
          <w:color w:val="231F20"/>
          <w:spacing w:val="-6"/>
          <w:sz w:val="24"/>
        </w:rPr>
        <w:t> 接觸者限於 </w:t>
      </w:r>
      <w:r>
        <w:rPr>
          <w:color w:val="231F20"/>
          <w:spacing w:val="-3"/>
          <w:sz w:val="24"/>
        </w:rPr>
        <w:t>TMTC</w:t>
      </w:r>
      <w:r>
        <w:rPr>
          <w:color w:val="231F20"/>
          <w:spacing w:val="-6"/>
          <w:sz w:val="24"/>
        </w:rPr>
        <w:t> 團隊 )，</w:t>
      </w:r>
    </w:p>
    <w:p>
      <w:pPr>
        <w:pStyle w:val="ListParagraph"/>
        <w:numPr>
          <w:ilvl w:val="2"/>
          <w:numId w:val="234"/>
        </w:numPr>
        <w:tabs>
          <w:tab w:pos="2069" w:val="left" w:leader="none"/>
        </w:tabs>
        <w:spacing w:line="400" w:lineRule="exact" w:before="0" w:after="0"/>
        <w:ind w:left="2068" w:right="0" w:hanging="341"/>
        <w:jc w:val="both"/>
        <w:rPr>
          <w:sz w:val="24"/>
        </w:rPr>
      </w:pPr>
      <w:r>
        <w:rPr>
          <w:color w:val="231F20"/>
          <w:spacing w:val="-1"/>
          <w:sz w:val="24"/>
        </w:rPr>
        <w:t>終止有效暴露後滿 </w:t>
      </w:r>
      <w:r>
        <w:rPr>
          <w:color w:val="231F20"/>
          <w:sz w:val="24"/>
        </w:rPr>
        <w:t>2</w:t>
      </w:r>
      <w:r>
        <w:rPr>
          <w:color w:val="231F20"/>
          <w:spacing w:val="-3"/>
          <w:sz w:val="24"/>
        </w:rPr>
        <w:t> 年。</w:t>
      </w:r>
    </w:p>
    <w:p>
      <w:pPr>
        <w:pStyle w:val="BodyText"/>
        <w:spacing w:line="230" w:lineRule="auto" w:before="3"/>
        <w:ind w:left="1825" w:right="1133" w:hanging="341"/>
        <w:jc w:val="both"/>
      </w:pPr>
      <w:r>
        <w:rPr>
          <w:color w:val="231F20"/>
          <w:w w:val="95"/>
        </w:rPr>
        <w:t>（2) 慢性傳染性結核病個案之接觸者：每年進行追蹤胸部 X 光檢査直至終止有效</w:t>
      </w:r>
      <w:r>
        <w:rPr>
          <w:color w:val="231F20"/>
          <w:spacing w:val="-5"/>
        </w:rPr>
        <w:t>暴露滿 </w:t>
      </w:r>
      <w:r>
        <w:rPr>
          <w:color w:val="231F20"/>
        </w:rPr>
        <w:t>8</w:t>
      </w:r>
      <w:r>
        <w:rPr>
          <w:color w:val="231F20"/>
          <w:spacing w:val="-9"/>
        </w:rPr>
        <w:t> 週之 </w:t>
      </w:r>
      <w:r>
        <w:rPr>
          <w:color w:val="231F20"/>
          <w:spacing w:val="-4"/>
        </w:rPr>
        <w:t>LTBI 檢驗結果為陰性、LTBI</w:t>
      </w:r>
      <w:r>
        <w:rPr>
          <w:color w:val="231F20"/>
          <w:spacing w:val="-6"/>
        </w:rPr>
        <w:t> 檢驗結果陽性者完成 </w:t>
      </w:r>
      <w:r>
        <w:rPr>
          <w:color w:val="231F20"/>
          <w:spacing w:val="-4"/>
        </w:rPr>
        <w:t>LTBI</w:t>
      </w:r>
      <w:r>
        <w:rPr>
          <w:color w:val="231F20"/>
          <w:spacing w:val="-5"/>
        </w:rPr>
        <w:t> 治療或</w:t>
      </w:r>
      <w:r>
        <w:rPr>
          <w:color w:val="231F20"/>
          <w:spacing w:val="-6"/>
        </w:rPr>
        <w:t>與指標個案終止有效暴露後滿 </w:t>
      </w:r>
      <w:r>
        <w:rPr>
          <w:color w:val="231F20"/>
        </w:rPr>
        <w:t>2</w:t>
      </w:r>
      <w:r>
        <w:rPr>
          <w:color w:val="231F20"/>
          <w:spacing w:val="-3"/>
        </w:rPr>
        <w:t> 年。</w:t>
      </w:r>
    </w:p>
    <w:p>
      <w:pPr>
        <w:pStyle w:val="ListParagraph"/>
        <w:numPr>
          <w:ilvl w:val="1"/>
          <w:numId w:val="234"/>
        </w:numPr>
        <w:tabs>
          <w:tab w:pos="1592" w:val="left" w:leader="none"/>
        </w:tabs>
        <w:spacing w:line="394" w:lineRule="exact" w:before="0" w:after="0"/>
        <w:ind w:left="1591" w:right="0" w:hanging="356"/>
        <w:jc w:val="both"/>
        <w:rPr>
          <w:sz w:val="24"/>
        </w:rPr>
      </w:pPr>
      <w:r>
        <w:rPr>
          <w:color w:val="231F20"/>
          <w:spacing w:val="-4"/>
          <w:sz w:val="24"/>
        </w:rPr>
        <w:t>LTBI</w:t>
      </w:r>
      <w:r>
        <w:rPr>
          <w:color w:val="231F20"/>
          <w:spacing w:val="-3"/>
          <w:sz w:val="24"/>
        </w:rPr>
        <w:t> 檢驗及治療對象將隨政策適時調整。</w:t>
      </w:r>
    </w:p>
    <w:p>
      <w:pPr>
        <w:pStyle w:val="BodyText"/>
        <w:spacing w:line="400" w:lineRule="exact"/>
        <w:ind w:left="629"/>
        <w:jc w:val="both"/>
      </w:pPr>
      <w:r>
        <w:rPr>
          <w:color w:val="231F20"/>
          <w:w w:val="70"/>
        </w:rPr>
        <w:t>（ </w:t>
      </w:r>
      <w:r>
        <w:rPr>
          <w:color w:val="231F20"/>
        </w:rPr>
        <w:t>三 ) 未滿 5 歲兒童接觸者 LTBI 檢驗注意事項：</w:t>
      </w:r>
    </w:p>
    <w:p>
      <w:pPr>
        <w:pStyle w:val="ListParagraph"/>
        <w:numPr>
          <w:ilvl w:val="0"/>
          <w:numId w:val="237"/>
        </w:numPr>
        <w:tabs>
          <w:tab w:pos="1594" w:val="left" w:leader="none"/>
        </w:tabs>
        <w:spacing w:line="400" w:lineRule="exact" w:before="0" w:after="0"/>
        <w:ind w:left="1593" w:right="0" w:hanging="245"/>
        <w:jc w:val="left"/>
        <w:rPr>
          <w:sz w:val="24"/>
        </w:rPr>
      </w:pPr>
      <w:r>
        <w:rPr>
          <w:color w:val="231F20"/>
          <w:sz w:val="24"/>
        </w:rPr>
        <w:t>檢驗方式：</w:t>
      </w:r>
    </w:p>
    <w:p>
      <w:pPr>
        <w:pStyle w:val="BodyText"/>
        <w:spacing w:line="400" w:lineRule="exact"/>
        <w:ind w:left="1485"/>
      </w:pPr>
      <w:r>
        <w:rPr>
          <w:color w:val="231F20"/>
          <w:w w:val="95"/>
        </w:rPr>
        <w:t>（1) </w:t>
      </w:r>
      <w:r>
        <w:rPr>
          <w:color w:val="231F20"/>
        </w:rPr>
        <w:t>未滿 2 歲，以結核蔥素皮膚測驗 </w:t>
      </w:r>
      <w:r>
        <w:rPr>
          <w:color w:val="231F20"/>
          <w:w w:val="95"/>
        </w:rPr>
        <w:t>（TST) </w:t>
      </w:r>
      <w:r>
        <w:rPr>
          <w:color w:val="231F20"/>
        </w:rPr>
        <w:t>方式檢驗。</w:t>
      </w:r>
    </w:p>
    <w:p>
      <w:pPr>
        <w:pStyle w:val="BodyText"/>
        <w:spacing w:line="400" w:lineRule="exact"/>
        <w:ind w:left="1485"/>
      </w:pPr>
      <w:r>
        <w:rPr>
          <w:color w:val="231F20"/>
          <w:w w:val="70"/>
        </w:rPr>
        <w:t>（2) </w:t>
      </w:r>
      <w:r>
        <w:rPr>
          <w:color w:val="231F20"/>
        </w:rPr>
        <w:t>2 歲 </w:t>
      </w:r>
      <w:r>
        <w:rPr>
          <w:color w:val="231F20"/>
          <w:w w:val="70"/>
        </w:rPr>
        <w:t>（ </w:t>
      </w:r>
      <w:r>
        <w:rPr>
          <w:color w:val="231F20"/>
        </w:rPr>
        <w:t>含 ) 以上，以抽血 IGRA 方式檢驗。</w:t>
      </w:r>
    </w:p>
    <w:p>
      <w:pPr>
        <w:pStyle w:val="BodyText"/>
        <w:spacing w:line="400" w:lineRule="exact"/>
        <w:ind w:left="1825"/>
      </w:pPr>
      <w:r>
        <w:rPr>
          <w:color w:val="231F20"/>
        </w:rPr>
        <w:t>2 歲 </w:t>
      </w:r>
      <w:r>
        <w:rPr>
          <w:color w:val="231F20"/>
          <w:w w:val="70"/>
        </w:rPr>
        <w:t>（ </w:t>
      </w:r>
      <w:r>
        <w:rPr>
          <w:color w:val="231F20"/>
        </w:rPr>
        <w:t>含 ) 至未滿 5 歲，無法執行 IGRA 檢驗者，得使用 TST 檢驗。</w:t>
      </w:r>
    </w:p>
    <w:p>
      <w:pPr>
        <w:pStyle w:val="ListParagraph"/>
        <w:numPr>
          <w:ilvl w:val="0"/>
          <w:numId w:val="237"/>
        </w:numPr>
        <w:tabs>
          <w:tab w:pos="1594" w:val="left" w:leader="none"/>
        </w:tabs>
        <w:spacing w:line="400" w:lineRule="exact" w:before="0" w:after="0"/>
        <w:ind w:left="1593" w:right="0" w:hanging="245"/>
        <w:jc w:val="left"/>
        <w:rPr>
          <w:sz w:val="24"/>
        </w:rPr>
      </w:pPr>
      <w:r>
        <w:rPr>
          <w:color w:val="231F20"/>
          <w:sz w:val="24"/>
        </w:rPr>
        <w:t>檢驗時間及次數：</w:t>
      </w:r>
    </w:p>
    <w:p>
      <w:pPr>
        <w:pStyle w:val="BodyText"/>
        <w:spacing w:line="230" w:lineRule="auto" w:before="2"/>
        <w:ind w:left="1825" w:right="1127" w:hanging="341"/>
      </w:pPr>
      <w:r>
        <w:rPr>
          <w:color w:val="231F20"/>
          <w:w w:val="32"/>
        </w:rPr>
        <w:t>（</w:t>
      </w:r>
      <w:r>
        <w:rPr>
          <w:color w:val="231F20"/>
          <w:w w:val="104"/>
        </w:rPr>
        <w:t>1</w:t>
      </w:r>
      <w:r>
        <w:rPr>
          <w:color w:val="231F20"/>
          <w:w w:val="96"/>
        </w:rPr>
        <w:t>)</w:t>
      </w:r>
      <w:r>
        <w:rPr>
          <w:color w:val="231F20"/>
        </w:rPr>
        <w:t> 新生兒 </w:t>
      </w:r>
      <w:r>
        <w:rPr>
          <w:color w:val="231F20"/>
          <w:w w:val="32"/>
        </w:rPr>
        <w:t>（</w:t>
      </w:r>
      <w:r>
        <w:rPr>
          <w:color w:val="231F20"/>
        </w:rPr>
        <w:t> 胎兒時期至出生 </w:t>
      </w:r>
      <w:r>
        <w:rPr>
          <w:color w:val="231F20"/>
          <w:w w:val="104"/>
        </w:rPr>
        <w:t>30</w:t>
      </w:r>
      <w:r>
        <w:rPr>
          <w:color w:val="231F20"/>
        </w:rPr>
        <w:t> 日內 </w:t>
      </w:r>
      <w:r>
        <w:rPr>
          <w:color w:val="231F20"/>
          <w:w w:val="96"/>
        </w:rPr>
        <w:t>)</w:t>
      </w:r>
      <w:r>
        <w:rPr>
          <w:color w:val="231F20"/>
        </w:rPr>
        <w:t> 時期暴露：指標個案確診後，無須進行 TST 檢驗，於排除結核病後，儘速接受預防性治療。</w:t>
      </w:r>
    </w:p>
    <w:p>
      <w:pPr>
        <w:pStyle w:val="BodyText"/>
        <w:spacing w:line="230" w:lineRule="auto"/>
        <w:ind w:left="1825" w:right="1126" w:hanging="341"/>
      </w:pPr>
      <w:r>
        <w:rPr>
          <w:color w:val="231F20"/>
          <w:w w:val="32"/>
        </w:rPr>
        <w:t>（</w:t>
      </w:r>
      <w:r>
        <w:rPr>
          <w:color w:val="231F20"/>
          <w:w w:val="104"/>
        </w:rPr>
        <w:t>2</w:t>
      </w:r>
      <w:r>
        <w:rPr>
          <w:color w:val="231F20"/>
          <w:w w:val="96"/>
        </w:rPr>
        <w:t>)</w:t>
      </w:r>
      <w:r>
        <w:rPr>
          <w:color w:val="231F20"/>
        </w:rPr>
        <w:t> 未滿 </w:t>
      </w:r>
      <w:r>
        <w:rPr>
          <w:color w:val="231F20"/>
          <w:w w:val="104"/>
        </w:rPr>
        <w:t>2</w:t>
      </w:r>
      <w:r>
        <w:rPr>
          <w:color w:val="231F20"/>
        </w:rPr>
        <w:t> 歲：指標個案確診後，儘速執行 </w:t>
      </w:r>
      <w:r>
        <w:rPr>
          <w:color w:val="231F20"/>
          <w:w w:val="91"/>
        </w:rPr>
        <w:t>T</w:t>
      </w:r>
      <w:r>
        <w:rPr>
          <w:color w:val="231F20"/>
          <w:w w:val="85"/>
        </w:rPr>
        <w:t>S</w:t>
      </w:r>
      <w:r>
        <w:rPr>
          <w:color w:val="231F20"/>
          <w:w w:val="91"/>
        </w:rPr>
        <w:t>T</w:t>
      </w:r>
      <w:r>
        <w:rPr>
          <w:color w:val="231F20"/>
        </w:rPr>
        <w:t> 檢驗，依以下情況決定是否進行第 2 次檢驗：</w:t>
      </w:r>
    </w:p>
    <w:p>
      <w:pPr>
        <w:pStyle w:val="ListParagraph"/>
        <w:numPr>
          <w:ilvl w:val="1"/>
          <w:numId w:val="237"/>
        </w:numPr>
        <w:tabs>
          <w:tab w:pos="2069" w:val="left" w:leader="none"/>
        </w:tabs>
        <w:spacing w:line="395" w:lineRule="exact" w:before="0" w:after="0"/>
        <w:ind w:left="2068" w:right="0" w:hanging="341"/>
        <w:jc w:val="both"/>
        <w:rPr>
          <w:sz w:val="24"/>
        </w:rPr>
      </w:pPr>
      <w:r>
        <w:rPr>
          <w:color w:val="231F20"/>
          <w:sz w:val="24"/>
        </w:rPr>
        <w:t>TST</w:t>
      </w:r>
      <w:r>
        <w:rPr>
          <w:color w:val="231F20"/>
          <w:spacing w:val="-3"/>
          <w:sz w:val="24"/>
        </w:rPr>
        <w:t> 陽性者：LTBI</w:t>
      </w:r>
      <w:r>
        <w:rPr>
          <w:color w:val="231F20"/>
          <w:spacing w:val="-4"/>
          <w:sz w:val="24"/>
        </w:rPr>
        <w:t> 治療直至完治，無須進行第 </w:t>
      </w:r>
      <w:r>
        <w:rPr>
          <w:color w:val="231F20"/>
          <w:sz w:val="24"/>
        </w:rPr>
        <w:t>2</w:t>
      </w:r>
      <w:r>
        <w:rPr>
          <w:color w:val="231F20"/>
          <w:spacing w:val="-7"/>
          <w:sz w:val="24"/>
        </w:rPr>
        <w:t> 次 </w:t>
      </w:r>
      <w:r>
        <w:rPr>
          <w:color w:val="231F20"/>
          <w:sz w:val="24"/>
        </w:rPr>
        <w:t>TST</w:t>
      </w:r>
      <w:r>
        <w:rPr>
          <w:color w:val="231F20"/>
          <w:spacing w:val="-3"/>
          <w:sz w:val="24"/>
        </w:rPr>
        <w:t> 檢驗。</w:t>
      </w:r>
    </w:p>
    <w:p>
      <w:pPr>
        <w:pStyle w:val="ListParagraph"/>
        <w:numPr>
          <w:ilvl w:val="1"/>
          <w:numId w:val="237"/>
        </w:numPr>
        <w:tabs>
          <w:tab w:pos="2069" w:val="left" w:leader="none"/>
        </w:tabs>
        <w:spacing w:line="230" w:lineRule="auto" w:before="1" w:after="0"/>
        <w:ind w:left="2068" w:right="1075" w:hanging="340"/>
        <w:jc w:val="left"/>
        <w:rPr>
          <w:sz w:val="24"/>
        </w:rPr>
      </w:pPr>
      <w:r>
        <w:rPr>
          <w:color w:val="231F20"/>
          <w:sz w:val="24"/>
        </w:rPr>
        <w:t>TST</w:t>
      </w:r>
      <w:r>
        <w:rPr>
          <w:color w:val="231F20"/>
          <w:spacing w:val="-13"/>
          <w:sz w:val="24"/>
        </w:rPr>
        <w:t> 陰性者：待與指標個案終止有效暴露滿 </w:t>
      </w:r>
      <w:r>
        <w:rPr>
          <w:color w:val="231F20"/>
          <w:sz w:val="24"/>
        </w:rPr>
        <w:t>8</w:t>
      </w:r>
      <w:r>
        <w:rPr>
          <w:color w:val="231F20"/>
          <w:spacing w:val="-15"/>
          <w:sz w:val="24"/>
        </w:rPr>
        <w:t> 週後，進行第 </w:t>
      </w:r>
      <w:r>
        <w:rPr>
          <w:color w:val="231F20"/>
          <w:sz w:val="24"/>
        </w:rPr>
        <w:t>2</w:t>
      </w:r>
      <w:r>
        <w:rPr>
          <w:color w:val="231F20"/>
          <w:spacing w:val="3"/>
          <w:sz w:val="24"/>
        </w:rPr>
        <w:t> 次</w:t>
      </w:r>
      <w:r>
        <w:rPr>
          <w:color w:val="231F20"/>
          <w:sz w:val="24"/>
        </w:rPr>
        <w:t>TST</w:t>
      </w:r>
      <w:r>
        <w:rPr>
          <w:color w:val="231F20"/>
          <w:spacing w:val="-13"/>
          <w:sz w:val="24"/>
        </w:rPr>
        <w:t> 檢驗， </w:t>
      </w:r>
      <w:r>
        <w:rPr>
          <w:color w:val="231F20"/>
          <w:spacing w:val="-2"/>
          <w:sz w:val="24"/>
        </w:rPr>
        <w:t>且須與前次 </w:t>
      </w:r>
      <w:r>
        <w:rPr>
          <w:color w:val="231F20"/>
          <w:sz w:val="24"/>
        </w:rPr>
        <w:t>TST</w:t>
      </w:r>
      <w:r>
        <w:rPr>
          <w:color w:val="231F20"/>
          <w:spacing w:val="-4"/>
          <w:sz w:val="24"/>
        </w:rPr>
        <w:t> 檢驗間隔滿 </w:t>
      </w:r>
      <w:r>
        <w:rPr>
          <w:color w:val="231F20"/>
          <w:sz w:val="24"/>
        </w:rPr>
        <w:t>8</w:t>
      </w:r>
      <w:r>
        <w:rPr>
          <w:color w:val="231F20"/>
          <w:spacing w:val="-7"/>
          <w:sz w:val="24"/>
        </w:rPr>
        <w:t> 週 </w:t>
      </w:r>
      <w:r>
        <w:rPr>
          <w:color w:val="231F20"/>
          <w:w w:val="70"/>
          <w:sz w:val="24"/>
        </w:rPr>
        <w:t>（</w:t>
      </w:r>
      <w:r>
        <w:rPr>
          <w:color w:val="231F20"/>
          <w:spacing w:val="11"/>
          <w:w w:val="70"/>
          <w:sz w:val="24"/>
        </w:rPr>
        <w:t> </w:t>
      </w:r>
      <w:r>
        <w:rPr>
          <w:color w:val="231F20"/>
          <w:spacing w:val="-3"/>
          <w:sz w:val="24"/>
        </w:rPr>
        <w:t>註 )。</w:t>
      </w:r>
    </w:p>
    <w:p>
      <w:pPr>
        <w:pStyle w:val="BodyText"/>
        <w:spacing w:line="230" w:lineRule="auto"/>
        <w:ind w:left="2068" w:right="1135"/>
      </w:pPr>
      <w:r>
        <w:rPr>
          <w:color w:val="231F20"/>
        </w:rPr>
        <w:t>倘第 1 次檢驗時間已與指標個案終止有效暴露達 8 週，無須辦理第 2 次檢驗。</w:t>
      </w:r>
    </w:p>
    <w:p>
      <w:pPr>
        <w:pStyle w:val="BodyText"/>
        <w:spacing w:line="395" w:lineRule="exact"/>
        <w:ind w:left="1485"/>
      </w:pPr>
      <w:r>
        <w:rPr>
          <w:color w:val="231F20"/>
          <w:w w:val="70"/>
        </w:rPr>
        <w:t>（3) </w:t>
      </w:r>
      <w:r>
        <w:rPr>
          <w:color w:val="231F20"/>
        </w:rPr>
        <w:t>2 歲 </w:t>
      </w:r>
      <w:r>
        <w:rPr>
          <w:color w:val="231F20"/>
          <w:w w:val="70"/>
        </w:rPr>
        <w:t>（ </w:t>
      </w:r>
      <w:r>
        <w:rPr>
          <w:color w:val="231F20"/>
        </w:rPr>
        <w:t>含 ) 以上至未滿 5 歲：於指標個案確診後，儘速執行 LTBI 檢驗，</w:t>
      </w:r>
    </w:p>
    <w:p>
      <w:pPr>
        <w:pStyle w:val="ListParagraph"/>
        <w:numPr>
          <w:ilvl w:val="0"/>
          <w:numId w:val="238"/>
        </w:numPr>
        <w:tabs>
          <w:tab w:pos="2069" w:val="left" w:leader="none"/>
        </w:tabs>
        <w:spacing w:line="400" w:lineRule="exact" w:before="0" w:after="0"/>
        <w:ind w:left="2068" w:right="0" w:hanging="341"/>
        <w:jc w:val="left"/>
        <w:rPr>
          <w:sz w:val="24"/>
        </w:rPr>
      </w:pPr>
      <w:r>
        <w:rPr>
          <w:color w:val="231F20"/>
          <w:spacing w:val="-6"/>
          <w:sz w:val="24"/>
        </w:rPr>
        <w:t>以 </w:t>
      </w:r>
      <w:r>
        <w:rPr>
          <w:color w:val="231F20"/>
          <w:sz w:val="24"/>
        </w:rPr>
        <w:t>IGRA</w:t>
      </w:r>
      <w:r>
        <w:rPr>
          <w:color w:val="231F20"/>
          <w:spacing w:val="-4"/>
          <w:sz w:val="24"/>
        </w:rPr>
        <w:t> 檢驗者，依下情況決定是否進行第 </w:t>
      </w:r>
      <w:r>
        <w:rPr>
          <w:color w:val="231F20"/>
          <w:sz w:val="24"/>
        </w:rPr>
        <w:t>2</w:t>
      </w:r>
      <w:r>
        <w:rPr>
          <w:color w:val="231F20"/>
          <w:spacing w:val="-8"/>
          <w:sz w:val="24"/>
        </w:rPr>
        <w:t> 次 </w:t>
      </w:r>
      <w:r>
        <w:rPr>
          <w:color w:val="231F20"/>
          <w:w w:val="70"/>
          <w:sz w:val="24"/>
        </w:rPr>
        <w:t>（</w:t>
      </w:r>
      <w:r>
        <w:rPr>
          <w:color w:val="231F20"/>
          <w:spacing w:val="9"/>
          <w:w w:val="70"/>
          <w:sz w:val="24"/>
        </w:rPr>
        <w:t> </w:t>
      </w:r>
      <w:r>
        <w:rPr>
          <w:color w:val="231F20"/>
          <w:spacing w:val="-6"/>
          <w:sz w:val="24"/>
        </w:rPr>
        <w:t>滿 </w:t>
      </w:r>
      <w:r>
        <w:rPr>
          <w:color w:val="231F20"/>
          <w:sz w:val="24"/>
        </w:rPr>
        <w:t>8</w:t>
      </w:r>
      <w:r>
        <w:rPr>
          <w:color w:val="231F20"/>
          <w:spacing w:val="-8"/>
          <w:sz w:val="24"/>
        </w:rPr>
        <w:t> 週 </w:t>
      </w:r>
      <w:r>
        <w:rPr>
          <w:color w:val="231F20"/>
          <w:sz w:val="24"/>
        </w:rPr>
        <w:t>)IGRA</w:t>
      </w:r>
      <w:r>
        <w:rPr>
          <w:color w:val="231F20"/>
          <w:spacing w:val="-3"/>
          <w:sz w:val="24"/>
        </w:rPr>
        <w:t> 檢驗：</w:t>
      </w:r>
    </w:p>
    <w:p>
      <w:pPr>
        <w:pStyle w:val="BodyText"/>
        <w:spacing w:line="400" w:lineRule="exact"/>
        <w:ind w:left="2029"/>
      </w:pPr>
      <w:r>
        <w:rPr>
          <w:color w:val="231F20"/>
        </w:rPr>
        <w:t>（A) IGRA 陽性者：LTBI 治療直至完治，無須進行第 2 次檢驗。</w:t>
      </w:r>
    </w:p>
    <w:p>
      <w:pPr>
        <w:pStyle w:val="BodyText"/>
        <w:spacing w:line="230" w:lineRule="auto"/>
        <w:ind w:left="2369" w:right="1125" w:hanging="340"/>
      </w:pPr>
      <w:r>
        <w:rPr>
          <w:color w:val="231F20"/>
          <w:w w:val="95"/>
        </w:rPr>
        <w:t>（B) </w:t>
      </w:r>
      <w:r>
        <w:rPr>
          <w:color w:val="231F20"/>
        </w:rPr>
        <w:t>IGRA</w:t>
      </w:r>
      <w:r>
        <w:rPr>
          <w:color w:val="231F20"/>
          <w:spacing w:val="-6"/>
        </w:rPr>
        <w:t> 陰性者：與指標個案終止有效暴露滿 </w:t>
      </w:r>
      <w:r>
        <w:rPr>
          <w:color w:val="231F20"/>
        </w:rPr>
        <w:t>8</w:t>
      </w:r>
      <w:r>
        <w:rPr>
          <w:color w:val="231F20"/>
          <w:spacing w:val="-8"/>
        </w:rPr>
        <w:t> 週後進行第 </w:t>
      </w:r>
      <w:r>
        <w:rPr>
          <w:color w:val="231F20"/>
        </w:rPr>
        <w:t>2</w:t>
      </w:r>
      <w:r>
        <w:rPr>
          <w:color w:val="231F20"/>
          <w:spacing w:val="-5"/>
        </w:rPr>
        <w:t> 次檢驗。</w:t>
      </w:r>
      <w:r>
        <w:rPr>
          <w:color w:val="231F20"/>
        </w:rPr>
        <w:t>倘第 1</w:t>
      </w:r>
      <w:r>
        <w:rPr>
          <w:color w:val="231F20"/>
          <w:spacing w:val="-5"/>
        </w:rPr>
        <w:t> 次 </w:t>
      </w:r>
      <w:r>
        <w:rPr>
          <w:color w:val="231F20"/>
        </w:rPr>
        <w:t>IGRA</w:t>
      </w:r>
      <w:r>
        <w:rPr>
          <w:color w:val="231F20"/>
          <w:spacing w:val="4"/>
        </w:rPr>
        <w:t> 檢驗已達與指標個案終止有效暴露滿 </w:t>
      </w:r>
      <w:r>
        <w:rPr>
          <w:color w:val="231F20"/>
        </w:rPr>
        <w:t>8</w:t>
      </w:r>
      <w:r>
        <w:rPr>
          <w:color w:val="231F20"/>
          <w:spacing w:val="3"/>
        </w:rPr>
        <w:t> 週，無須進行</w:t>
      </w:r>
      <w:r>
        <w:rPr>
          <w:color w:val="231F20"/>
          <w:spacing w:val="-2"/>
        </w:rPr>
        <w:t>第 </w:t>
      </w:r>
      <w:r>
        <w:rPr>
          <w:color w:val="231F20"/>
        </w:rPr>
        <w:t>2</w:t>
      </w:r>
      <w:r>
        <w:rPr>
          <w:color w:val="231F20"/>
          <w:spacing w:val="-3"/>
        </w:rPr>
        <w:t> 次檢驗。</w:t>
      </w:r>
    </w:p>
    <w:p>
      <w:pPr>
        <w:pStyle w:val="ListParagraph"/>
        <w:numPr>
          <w:ilvl w:val="0"/>
          <w:numId w:val="238"/>
        </w:numPr>
        <w:tabs>
          <w:tab w:pos="2069" w:val="left" w:leader="none"/>
        </w:tabs>
        <w:spacing w:line="394" w:lineRule="exact" w:before="0" w:after="0"/>
        <w:ind w:left="2068" w:right="0" w:hanging="341"/>
        <w:jc w:val="left"/>
        <w:rPr>
          <w:sz w:val="24"/>
        </w:rPr>
      </w:pPr>
      <w:r>
        <w:rPr>
          <w:color w:val="231F20"/>
          <w:spacing w:val="-5"/>
          <w:sz w:val="24"/>
        </w:rPr>
        <w:t>以 </w:t>
      </w:r>
      <w:r>
        <w:rPr>
          <w:color w:val="231F20"/>
          <w:sz w:val="24"/>
        </w:rPr>
        <w:t>TST</w:t>
      </w:r>
      <w:r>
        <w:rPr>
          <w:color w:val="231F20"/>
          <w:spacing w:val="-4"/>
          <w:sz w:val="24"/>
        </w:rPr>
        <w:t> 檢驗者，依下情況決定進行第 </w:t>
      </w:r>
      <w:r>
        <w:rPr>
          <w:color w:val="231F20"/>
          <w:sz w:val="24"/>
        </w:rPr>
        <w:t>2</w:t>
      </w:r>
      <w:r>
        <w:rPr>
          <w:color w:val="231F20"/>
          <w:spacing w:val="-7"/>
          <w:sz w:val="24"/>
        </w:rPr>
        <w:t> 次 </w:t>
      </w:r>
      <w:r>
        <w:rPr>
          <w:color w:val="231F20"/>
          <w:w w:val="70"/>
          <w:sz w:val="24"/>
        </w:rPr>
        <w:t>（</w:t>
      </w:r>
      <w:r>
        <w:rPr>
          <w:color w:val="231F20"/>
          <w:spacing w:val="10"/>
          <w:w w:val="70"/>
          <w:sz w:val="24"/>
        </w:rPr>
        <w:t> </w:t>
      </w:r>
      <w:r>
        <w:rPr>
          <w:color w:val="231F20"/>
          <w:spacing w:val="-5"/>
          <w:sz w:val="24"/>
        </w:rPr>
        <w:t>滿 </w:t>
      </w:r>
      <w:r>
        <w:rPr>
          <w:color w:val="231F20"/>
          <w:sz w:val="24"/>
        </w:rPr>
        <w:t>8</w:t>
      </w:r>
      <w:r>
        <w:rPr>
          <w:color w:val="231F20"/>
          <w:spacing w:val="-6"/>
          <w:sz w:val="24"/>
        </w:rPr>
        <w:t> 週 ) 檢驗：</w:t>
      </w:r>
    </w:p>
    <w:p>
      <w:pPr>
        <w:pStyle w:val="BodyText"/>
        <w:spacing w:line="230" w:lineRule="auto" w:before="2"/>
        <w:ind w:left="2369" w:right="1131" w:hanging="340"/>
        <w:jc w:val="both"/>
      </w:pPr>
      <w:r>
        <w:rPr>
          <w:color w:val="231F20"/>
          <w:w w:val="70"/>
        </w:rPr>
        <w:t>（A) </w:t>
      </w:r>
      <w:r>
        <w:rPr>
          <w:color w:val="231F20"/>
          <w:w w:val="95"/>
        </w:rPr>
        <w:t>TST</w:t>
      </w:r>
      <w:r>
        <w:rPr>
          <w:color w:val="231F20"/>
          <w:spacing w:val="-1"/>
          <w:w w:val="95"/>
        </w:rPr>
        <w:t> 陽性者：為避免因卡介苗接種，造成偽陽性結果，建議與指標個案</w:t>
      </w:r>
      <w:r>
        <w:rPr>
          <w:color w:val="231F20"/>
          <w:spacing w:val="-3"/>
        </w:rPr>
        <w:t>終止有效暴露滿 </w:t>
      </w:r>
      <w:r>
        <w:rPr>
          <w:color w:val="231F20"/>
        </w:rPr>
        <w:t>8</w:t>
      </w:r>
      <w:r>
        <w:rPr>
          <w:color w:val="231F20"/>
          <w:spacing w:val="-7"/>
        </w:rPr>
        <w:t> 週後，再以 </w:t>
      </w:r>
      <w:r>
        <w:rPr>
          <w:color w:val="231F20"/>
        </w:rPr>
        <w:t>IGRA</w:t>
      </w:r>
      <w:r>
        <w:rPr>
          <w:color w:val="231F20"/>
          <w:spacing w:val="-9"/>
        </w:rPr>
        <w:t> 進行第 </w:t>
      </w:r>
      <w:r>
        <w:rPr>
          <w:color w:val="231F20"/>
        </w:rPr>
        <w:t>2</w:t>
      </w:r>
      <w:r>
        <w:rPr>
          <w:color w:val="231F20"/>
          <w:spacing w:val="-9"/>
        </w:rPr>
        <w:t> 次檢驗 </w:t>
      </w:r>
      <w:r>
        <w:rPr>
          <w:color w:val="231F20"/>
          <w:w w:val="70"/>
        </w:rPr>
        <w:t>（ </w:t>
      </w:r>
      <w:r>
        <w:rPr>
          <w:color w:val="231F20"/>
        </w:rPr>
        <w:t>無須考慮與前次TST</w:t>
      </w:r>
      <w:r>
        <w:rPr>
          <w:color w:val="231F20"/>
          <w:spacing w:val="-7"/>
        </w:rPr>
        <w:t> 間隔時間 )，如不再進行 </w:t>
      </w:r>
      <w:r>
        <w:rPr>
          <w:color w:val="231F20"/>
        </w:rPr>
        <w:t>IGRA</w:t>
      </w:r>
      <w:r>
        <w:rPr>
          <w:color w:val="231F20"/>
          <w:spacing w:val="-5"/>
        </w:rPr>
        <w:t> 檢驗，則以該次 </w:t>
      </w:r>
      <w:r>
        <w:rPr>
          <w:color w:val="231F20"/>
        </w:rPr>
        <w:t>TST</w:t>
      </w:r>
      <w:r>
        <w:rPr>
          <w:color w:val="231F20"/>
          <w:spacing w:val="-3"/>
        </w:rPr>
        <w:t> 陽性結果完成</w:t>
      </w:r>
      <w:r>
        <w:rPr>
          <w:color w:val="231F20"/>
          <w:spacing w:val="-4"/>
        </w:rPr>
        <w:t>LTBI</w:t>
      </w:r>
      <w:r>
        <w:rPr>
          <w:color w:val="231F20"/>
          <w:spacing w:val="-3"/>
        </w:rPr>
        <w:t> 治療。</w:t>
      </w:r>
    </w:p>
    <w:p>
      <w:pPr>
        <w:pStyle w:val="BodyText"/>
        <w:spacing w:line="401" w:lineRule="exact"/>
        <w:ind w:left="2029"/>
      </w:pPr>
      <w:r>
        <w:rPr>
          <w:color w:val="231F20"/>
        </w:rPr>
        <w:t>（B) TST 陰性者：為避免因空窗期 （window period)，造成偽陰性結果，俟</w:t>
      </w:r>
    </w:p>
    <w:p>
      <w:pPr>
        <w:spacing w:after="0" w:line="401" w:lineRule="exact"/>
        <w:sectPr>
          <w:pgSz w:w="11910" w:h="16840"/>
          <w:pgMar w:top="1060" w:bottom="0" w:left="980" w:right="0"/>
        </w:sectPr>
      </w:pPr>
    </w:p>
    <w:p>
      <w:pPr>
        <w:pStyle w:val="BodyText"/>
        <w:spacing w:line="230" w:lineRule="auto" w:before="70"/>
        <w:ind w:left="2369" w:right="1124"/>
      </w:pPr>
      <w:r>
        <w:rPr>
          <w:color w:val="231F20"/>
        </w:rPr>
        <w:t>與指標個案終止有效暴露滿 8 週，建議以 IGRA 進行第 2 次檢驗；倘再以 TST 方式進行者，須與前次 TST 檢驗間隔滿 8 週 </w:t>
      </w:r>
      <w:r>
        <w:rPr>
          <w:color w:val="231F20"/>
          <w:w w:val="70"/>
        </w:rPr>
        <w:t>（ </w:t>
      </w:r>
      <w:r>
        <w:rPr>
          <w:color w:val="231F20"/>
        </w:rPr>
        <w:t>註 )。</w:t>
      </w:r>
    </w:p>
    <w:p>
      <w:pPr>
        <w:pStyle w:val="BodyText"/>
        <w:spacing w:line="230" w:lineRule="auto"/>
        <w:ind w:left="1485" w:right="1075"/>
      </w:pPr>
      <w:r>
        <w:rPr>
          <w:color w:val="231F20"/>
          <w:spacing w:val="-9"/>
        </w:rPr>
        <w:t>倘第 </w:t>
      </w:r>
      <w:r>
        <w:rPr>
          <w:color w:val="231F20"/>
        </w:rPr>
        <w:t>1</w:t>
      </w:r>
      <w:r>
        <w:rPr>
          <w:color w:val="231F20"/>
          <w:spacing w:val="10"/>
        </w:rPr>
        <w:t> 次</w:t>
      </w:r>
      <w:r>
        <w:rPr>
          <w:color w:val="231F20"/>
        </w:rPr>
        <w:t>TST</w:t>
      </w:r>
      <w:r>
        <w:rPr>
          <w:color w:val="231F20"/>
          <w:spacing w:val="-7"/>
        </w:rPr>
        <w:t> 檢驗已達與指標個案終止有效暴露滿 </w:t>
      </w:r>
      <w:r>
        <w:rPr>
          <w:color w:val="231F20"/>
        </w:rPr>
        <w:t>8</w:t>
      </w:r>
      <w:r>
        <w:rPr>
          <w:color w:val="231F20"/>
          <w:spacing w:val="-10"/>
        </w:rPr>
        <w:t> 週，無須進行第 </w:t>
      </w:r>
      <w:r>
        <w:rPr>
          <w:color w:val="231F20"/>
        </w:rPr>
        <w:t>2</w:t>
      </w:r>
      <w:r>
        <w:rPr>
          <w:color w:val="231F20"/>
          <w:spacing w:val="-9"/>
        </w:rPr>
        <w:t> 次檢驗。</w:t>
      </w:r>
      <w:r>
        <w:rPr>
          <w:color w:val="231F20"/>
          <w:spacing w:val="-2"/>
        </w:rPr>
        <w:t>註：結核蔥素增強效應 </w:t>
      </w:r>
      <w:r>
        <w:rPr>
          <w:color w:val="231F20"/>
        </w:rPr>
        <w:t>（booster effect)：為避免近期重複施打結核蔥素造成增</w:t>
      </w:r>
    </w:p>
    <w:p>
      <w:pPr>
        <w:pStyle w:val="BodyText"/>
        <w:spacing w:line="395" w:lineRule="exact"/>
        <w:ind w:left="1825"/>
      </w:pPr>
      <w:r>
        <w:rPr>
          <w:color w:val="231F20"/>
        </w:rPr>
        <w:t>強效應，導致偽陽性結果，2 次 TST 檢驗需間隔達 8 週。</w:t>
      </w:r>
    </w:p>
    <w:p>
      <w:pPr>
        <w:pStyle w:val="BodyText"/>
        <w:spacing w:line="400" w:lineRule="exact"/>
        <w:ind w:left="1485"/>
      </w:pPr>
      <w:r>
        <w:rPr>
          <w:color w:val="231F20"/>
        </w:rPr>
        <w:t>倘 2 次 TST 檢査時間未間隔 8 週，第 2 次檢査結果判讀依據如下：</w:t>
      </w:r>
    </w:p>
    <w:p>
      <w:pPr>
        <w:pStyle w:val="ListParagraph"/>
        <w:numPr>
          <w:ilvl w:val="0"/>
          <w:numId w:val="239"/>
        </w:numPr>
        <w:tabs>
          <w:tab w:pos="1826" w:val="left" w:leader="none"/>
        </w:tabs>
        <w:spacing w:line="400" w:lineRule="exact" w:before="0" w:after="0"/>
        <w:ind w:left="1825" w:right="0" w:hanging="341"/>
        <w:jc w:val="left"/>
        <w:rPr>
          <w:sz w:val="24"/>
        </w:rPr>
      </w:pPr>
      <w:r>
        <w:rPr>
          <w:color w:val="231F20"/>
          <w:spacing w:val="-1"/>
          <w:sz w:val="24"/>
        </w:rPr>
        <w:t>陽性：</w:t>
      </w:r>
      <w:r>
        <w:rPr>
          <w:color w:val="231F20"/>
          <w:spacing w:val="-3"/>
          <w:sz w:val="24"/>
        </w:rPr>
        <w:t>LTBI 視為陽性。</w:t>
      </w:r>
    </w:p>
    <w:p>
      <w:pPr>
        <w:pStyle w:val="ListParagraph"/>
        <w:numPr>
          <w:ilvl w:val="0"/>
          <w:numId w:val="239"/>
        </w:numPr>
        <w:tabs>
          <w:tab w:pos="1826" w:val="left" w:leader="none"/>
        </w:tabs>
        <w:spacing w:line="400" w:lineRule="exact" w:before="0" w:after="0"/>
        <w:ind w:left="1825" w:right="0" w:hanging="341"/>
        <w:jc w:val="left"/>
        <w:rPr>
          <w:sz w:val="24"/>
        </w:rPr>
      </w:pPr>
      <w:r>
        <w:rPr>
          <w:color w:val="231F20"/>
          <w:sz w:val="24"/>
        </w:rPr>
        <w:t>陰性：依與指標個案終止有效暴露時間判斷如下：</w:t>
      </w:r>
    </w:p>
    <w:p>
      <w:pPr>
        <w:pStyle w:val="BodyText"/>
        <w:spacing w:line="400" w:lineRule="exact"/>
        <w:ind w:left="2029"/>
      </w:pPr>
      <w:r>
        <w:rPr>
          <w:color w:val="231F20"/>
        </w:rPr>
        <w:t>＠ 已滿 8 週，LTBI 視為陰性結果。</w:t>
      </w:r>
    </w:p>
    <w:p>
      <w:pPr>
        <w:pStyle w:val="BodyText"/>
        <w:spacing w:line="230" w:lineRule="auto" w:before="1"/>
        <w:ind w:left="2369" w:right="1135" w:hanging="341"/>
      </w:pPr>
      <w:r>
        <w:rPr>
          <w:color w:val="231F20"/>
        </w:rPr>
        <w:t>＠  未滿 </w:t>
      </w:r>
      <w:r>
        <w:rPr>
          <w:color w:val="231F20"/>
          <w:w w:val="104"/>
        </w:rPr>
        <w:t>8</w:t>
      </w:r>
      <w:r>
        <w:rPr>
          <w:color w:val="231F20"/>
        </w:rPr>
        <w:t> 週，可能處於空窗期 </w:t>
      </w:r>
      <w:r>
        <w:rPr>
          <w:color w:val="231F20"/>
          <w:w w:val="32"/>
        </w:rPr>
        <w:t>（</w:t>
      </w:r>
      <w:r>
        <w:rPr>
          <w:color w:val="231F20"/>
          <w:w w:val="107"/>
        </w:rPr>
        <w:t>w</w:t>
      </w:r>
      <w:r>
        <w:rPr>
          <w:color w:val="231F20"/>
          <w:w w:val="116"/>
        </w:rPr>
        <w:t>i</w:t>
      </w:r>
      <w:r>
        <w:rPr>
          <w:color w:val="231F20"/>
          <w:w w:val="109"/>
        </w:rPr>
        <w:t>n</w:t>
      </w:r>
      <w:r>
        <w:rPr>
          <w:color w:val="231F20"/>
          <w:w w:val="113"/>
        </w:rPr>
        <w:t>d</w:t>
      </w:r>
      <w:r>
        <w:rPr>
          <w:color w:val="231F20"/>
          <w:w w:val="113"/>
        </w:rPr>
        <w:t>o</w:t>
      </w:r>
      <w:r>
        <w:rPr>
          <w:color w:val="231F20"/>
          <w:w w:val="107"/>
        </w:rPr>
        <w:t>w</w:t>
      </w:r>
      <w:r>
        <w:rPr>
          <w:color w:val="231F20"/>
        </w:rPr>
        <w:t> </w:t>
      </w:r>
      <w:r>
        <w:rPr>
          <w:color w:val="231F20"/>
          <w:w w:val="113"/>
        </w:rPr>
        <w:t>p</w:t>
      </w:r>
      <w:r>
        <w:rPr>
          <w:color w:val="231F20"/>
          <w:w w:val="101"/>
        </w:rPr>
        <w:t>e</w:t>
      </w:r>
      <w:r>
        <w:rPr>
          <w:color w:val="231F20"/>
          <w:w w:val="111"/>
        </w:rPr>
        <w:t>r</w:t>
      </w:r>
      <w:r>
        <w:rPr>
          <w:color w:val="231F20"/>
          <w:w w:val="116"/>
        </w:rPr>
        <w:t>i</w:t>
      </w:r>
      <w:r>
        <w:rPr>
          <w:color w:val="231F20"/>
          <w:w w:val="113"/>
        </w:rPr>
        <w:t>o</w:t>
      </w:r>
      <w:r>
        <w:rPr>
          <w:color w:val="231F20"/>
          <w:w w:val="113"/>
        </w:rPr>
        <w:t>d</w:t>
      </w:r>
      <w:r>
        <w:rPr>
          <w:color w:val="231F20"/>
          <w:w w:val="96"/>
        </w:rPr>
        <w:t>)</w:t>
      </w:r>
      <w:r>
        <w:rPr>
          <w:color w:val="231F20"/>
        </w:rPr>
        <w:t> 未陽轉之偽陰性結果，待滿 8 週後再次執行檢驗。</w:t>
      </w:r>
    </w:p>
    <w:p>
      <w:pPr>
        <w:pStyle w:val="BodyText"/>
        <w:spacing w:line="404" w:lineRule="exact"/>
        <w:ind w:left="153"/>
      </w:pPr>
      <w:r>
        <w:rPr/>
        <w:pict>
          <v:group style="position:absolute;margin-left:557.686523pt;margin-top:36.599850pt;width:37.35pt;height:528.550pt;mso-position-horizontal-relative:page;mso-position-vertical-relative:paragraph;z-index:251963392" coordorigin="11154,732" coordsize="747,10571">
            <v:shape style="position:absolute;left:11283;top:1243;width:438;height:10060" type="#_x0000_t75" stroked="false">
              <v:imagedata r:id="rId180" o:title=""/>
            </v:shape>
            <v:shape style="position:absolute;left:11153;top:732;width:747;height:812" coordorigin="11154,732" coordsize="747,812" path="m11900,732l11536,732,11514,734,11454,768,11188,1050,11154,1138,11162,1184,11454,1507,11514,1541,11536,1543,11900,1543,11900,732xe" filled="true" fillcolor="#5daf8a" stroked="false">
              <v:path arrowok="t"/>
              <v:fill type="solid"/>
            </v:shape>
            <v:shape style="position:absolute;left:11321;top:999;width:331;height:274" type="#_x0000_t75" stroked="false">
              <v:imagedata r:id="rId191" o:title=""/>
            </v:shape>
            <v:shape style="position:absolute;left:11378;top:1679;width:251;height:3264" type="#_x0000_t75" stroked="false">
              <v:imagedata r:id="rId182" o:title=""/>
            </v:shape>
            <v:shape style="position:absolute;left:11368;top:10740;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127</w:t>
                    </w:r>
                  </w:p>
                </w:txbxContent>
              </v:textbox>
              <w10:wrap type="none"/>
            </v:shape>
            <w10:wrap type="none"/>
          </v:group>
        </w:pict>
      </w:r>
      <w:r>
        <w:rPr/>
        <w:pict>
          <v:shape style="position:absolute;margin-left:56.669998pt;margin-top:17.836351pt;width:482.05pt;height:400.6pt;mso-position-horizontal-relative:page;mso-position-vertical-relative:paragraph;z-index:251964416"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824"/>
                    <w:gridCol w:w="2644"/>
                    <w:gridCol w:w="2795"/>
                    <w:gridCol w:w="3355"/>
                  </w:tblGrid>
                  <w:tr>
                    <w:trPr>
                      <w:trHeight w:val="451" w:hRule="atLeast"/>
                    </w:trPr>
                    <w:tc>
                      <w:tcPr>
                        <w:tcW w:w="824" w:type="dxa"/>
                        <w:vMerge w:val="restart"/>
                        <w:shd w:val="clear" w:color="auto" w:fill="E6E7E8"/>
                      </w:tcPr>
                      <w:p>
                        <w:pPr>
                          <w:pStyle w:val="TableParagraph"/>
                          <w:spacing w:line="218" w:lineRule="auto" w:before="62"/>
                          <w:ind w:left="171" w:right="155"/>
                          <w:rPr>
                            <w:rFonts w:ascii="微軟正黑體" w:eastAsia="微軟正黑體" w:hint="eastAsia"/>
                            <w:b/>
                            <w:sz w:val="24"/>
                          </w:rPr>
                        </w:pPr>
                        <w:r>
                          <w:rPr>
                            <w:rFonts w:ascii="微軟正黑體" w:eastAsia="微軟正黑體" w:hint="eastAsia"/>
                            <w:b/>
                            <w:color w:val="231F20"/>
                            <w:sz w:val="24"/>
                          </w:rPr>
                          <w:t>檢查項目</w:t>
                        </w:r>
                      </w:p>
                    </w:tc>
                    <w:tc>
                      <w:tcPr>
                        <w:tcW w:w="2644" w:type="dxa"/>
                        <w:vMerge w:val="restart"/>
                        <w:shd w:val="clear" w:color="auto" w:fill="E6E7E8"/>
                      </w:tcPr>
                      <w:p>
                        <w:pPr>
                          <w:pStyle w:val="TableParagraph"/>
                          <w:spacing w:before="233"/>
                          <w:ind w:left="582"/>
                          <w:rPr>
                            <w:rFonts w:ascii="微軟正黑體" w:eastAsia="微軟正黑體" w:hint="eastAsia"/>
                            <w:b/>
                            <w:sz w:val="24"/>
                          </w:rPr>
                        </w:pPr>
                        <w:r>
                          <w:rPr>
                            <w:rFonts w:ascii="微軟正黑體" w:eastAsia="微軟正黑體" w:hint="eastAsia"/>
                            <w:b/>
                            <w:color w:val="231F20"/>
                            <w:sz w:val="24"/>
                          </w:rPr>
                          <w:t>胸部 X 光檢查</w:t>
                        </w:r>
                      </w:p>
                    </w:tc>
                    <w:tc>
                      <w:tcPr>
                        <w:tcW w:w="6150" w:type="dxa"/>
                        <w:gridSpan w:val="2"/>
                        <w:shd w:val="clear" w:color="auto" w:fill="E6E7E8"/>
                      </w:tcPr>
                      <w:p>
                        <w:pPr>
                          <w:pStyle w:val="TableParagraph"/>
                          <w:spacing w:line="431" w:lineRule="exact"/>
                          <w:ind w:left="735" w:right="719"/>
                          <w:jc w:val="center"/>
                          <w:rPr>
                            <w:rFonts w:ascii="微軟正黑體" w:eastAsia="微軟正黑體" w:hint="eastAsia"/>
                            <w:b/>
                            <w:sz w:val="24"/>
                          </w:rPr>
                        </w:pPr>
                        <w:r>
                          <w:rPr>
                            <w:rFonts w:ascii="微軟正黑體" w:eastAsia="微軟正黑體" w:hint="eastAsia"/>
                            <w:b/>
                            <w:color w:val="231F20"/>
                            <w:sz w:val="24"/>
                          </w:rPr>
                          <w:t>潛伏結核感染檢驗</w:t>
                        </w:r>
                      </w:p>
                    </w:tc>
                  </w:tr>
                  <w:tr>
                    <w:trPr>
                      <w:trHeight w:val="451" w:hRule="atLeast"/>
                    </w:trPr>
                    <w:tc>
                      <w:tcPr>
                        <w:tcW w:w="824" w:type="dxa"/>
                        <w:vMerge/>
                        <w:tcBorders>
                          <w:top w:val="nil"/>
                        </w:tcBorders>
                        <w:shd w:val="clear" w:color="auto" w:fill="E6E7E8"/>
                      </w:tcPr>
                      <w:p>
                        <w:pPr>
                          <w:rPr>
                            <w:sz w:val="2"/>
                            <w:szCs w:val="2"/>
                          </w:rPr>
                        </w:pPr>
                      </w:p>
                    </w:tc>
                    <w:tc>
                      <w:tcPr>
                        <w:tcW w:w="2644" w:type="dxa"/>
                        <w:vMerge/>
                        <w:tcBorders>
                          <w:top w:val="nil"/>
                        </w:tcBorders>
                        <w:shd w:val="clear" w:color="auto" w:fill="E6E7E8"/>
                      </w:tcPr>
                      <w:p>
                        <w:pPr>
                          <w:rPr>
                            <w:sz w:val="2"/>
                            <w:szCs w:val="2"/>
                          </w:rPr>
                        </w:pPr>
                      </w:p>
                    </w:tc>
                    <w:tc>
                      <w:tcPr>
                        <w:tcW w:w="2795" w:type="dxa"/>
                        <w:shd w:val="clear" w:color="auto" w:fill="E6E7E8"/>
                      </w:tcPr>
                      <w:p>
                        <w:pPr>
                          <w:pStyle w:val="TableParagraph"/>
                          <w:spacing w:line="431" w:lineRule="exact"/>
                          <w:ind w:left="236" w:right="221"/>
                          <w:jc w:val="center"/>
                          <w:rPr>
                            <w:rFonts w:ascii="微軟正黑體" w:eastAsia="微軟正黑體" w:hint="eastAsia"/>
                            <w:b/>
                            <w:sz w:val="24"/>
                          </w:rPr>
                        </w:pPr>
                        <w:r>
                          <w:rPr>
                            <w:rFonts w:ascii="微軟正黑體" w:eastAsia="微軟正黑體" w:hint="eastAsia"/>
                            <w:b/>
                            <w:color w:val="231F20"/>
                            <w:w w:val="95"/>
                            <w:sz w:val="24"/>
                          </w:rPr>
                          <w:t>結核菌素測驗 （TST）</w:t>
                        </w:r>
                      </w:p>
                    </w:tc>
                    <w:tc>
                      <w:tcPr>
                        <w:tcW w:w="3355" w:type="dxa"/>
                        <w:shd w:val="clear" w:color="auto" w:fill="E6E7E8"/>
                      </w:tcPr>
                      <w:p>
                        <w:pPr>
                          <w:pStyle w:val="TableParagraph"/>
                          <w:spacing w:line="431" w:lineRule="exact"/>
                          <w:ind w:left="97" w:right="80"/>
                          <w:jc w:val="center"/>
                          <w:rPr>
                            <w:rFonts w:ascii="微軟正黑體" w:eastAsia="微軟正黑體" w:hint="eastAsia"/>
                            <w:b/>
                            <w:sz w:val="24"/>
                          </w:rPr>
                        </w:pPr>
                        <w:r>
                          <w:rPr>
                            <w:rFonts w:ascii="微軟正黑體" w:eastAsia="微軟正黑體" w:hint="eastAsia"/>
                            <w:b/>
                            <w:color w:val="231F20"/>
                            <w:w w:val="95"/>
                            <w:sz w:val="24"/>
                          </w:rPr>
                          <w:t>丙型干擾素釋放試驗 （IGRA）</w:t>
                        </w:r>
                      </w:p>
                    </w:tc>
                  </w:tr>
                  <w:tr>
                    <w:trPr>
                      <w:trHeight w:val="851" w:hRule="atLeast"/>
                    </w:trPr>
                    <w:tc>
                      <w:tcPr>
                        <w:tcW w:w="824" w:type="dxa"/>
                      </w:tcPr>
                      <w:p>
                        <w:pPr>
                          <w:pStyle w:val="TableParagraph"/>
                          <w:spacing w:before="231"/>
                          <w:ind w:left="112"/>
                          <w:rPr>
                            <w:sz w:val="24"/>
                          </w:rPr>
                        </w:pPr>
                        <w:r>
                          <w:rPr>
                            <w:color w:val="231F20"/>
                            <w:sz w:val="24"/>
                          </w:rPr>
                          <w:t>目的</w:t>
                        </w:r>
                      </w:p>
                    </w:tc>
                    <w:tc>
                      <w:tcPr>
                        <w:tcW w:w="2644" w:type="dxa"/>
                      </w:tcPr>
                      <w:p>
                        <w:pPr>
                          <w:pStyle w:val="TableParagraph"/>
                          <w:spacing w:line="409" w:lineRule="exact" w:before="31"/>
                          <w:ind w:left="112"/>
                          <w:rPr>
                            <w:sz w:val="24"/>
                          </w:rPr>
                        </w:pPr>
                        <w:r>
                          <w:rPr>
                            <w:color w:val="231F20"/>
                            <w:spacing w:val="32"/>
                            <w:sz w:val="24"/>
                          </w:rPr>
                          <w:t>確認是否為結核病個</w:t>
                        </w:r>
                      </w:p>
                      <w:p>
                        <w:pPr>
                          <w:pStyle w:val="TableParagraph"/>
                          <w:spacing w:line="391" w:lineRule="exact"/>
                          <w:ind w:left="112"/>
                          <w:rPr>
                            <w:sz w:val="24"/>
                          </w:rPr>
                        </w:pPr>
                        <w:r>
                          <w:rPr>
                            <w:color w:val="231F20"/>
                            <w:sz w:val="24"/>
                          </w:rPr>
                          <w:t>案，及早轉介就醫治療</w:t>
                        </w:r>
                      </w:p>
                    </w:tc>
                    <w:tc>
                      <w:tcPr>
                        <w:tcW w:w="6150" w:type="dxa"/>
                        <w:gridSpan w:val="2"/>
                      </w:tcPr>
                      <w:p>
                        <w:pPr>
                          <w:pStyle w:val="TableParagraph"/>
                          <w:spacing w:line="409" w:lineRule="exact" w:before="31"/>
                          <w:ind w:left="113"/>
                          <w:rPr>
                            <w:sz w:val="24"/>
                          </w:rPr>
                        </w:pPr>
                        <w:r>
                          <w:rPr>
                            <w:color w:val="231F20"/>
                            <w:sz w:val="24"/>
                          </w:rPr>
                          <w:t>確認是否感染結核蔥，及早轉介潛伏結核感染者評估接</w:t>
                        </w:r>
                      </w:p>
                      <w:p>
                        <w:pPr>
                          <w:pStyle w:val="TableParagraph"/>
                          <w:spacing w:line="391" w:lineRule="exact"/>
                          <w:ind w:left="113"/>
                          <w:rPr>
                            <w:sz w:val="24"/>
                          </w:rPr>
                        </w:pPr>
                        <w:r>
                          <w:rPr>
                            <w:smallCaps/>
                            <w:color w:val="231F20"/>
                            <w:sz w:val="24"/>
                          </w:rPr>
                          <w:t>受</w:t>
                        </w:r>
                        <w:r>
                          <w:rPr>
                            <w:smallCaps w:val="0"/>
                            <w:color w:val="231F20"/>
                            <w:spacing w:val="-7"/>
                            <w:sz w:val="24"/>
                          </w:rPr>
                          <w:t> </w:t>
                        </w:r>
                        <w:r>
                          <w:rPr>
                            <w:smallCaps w:val="0"/>
                            <w:color w:val="231F20"/>
                            <w:spacing w:val="-15"/>
                            <w:w w:val="90"/>
                            <w:sz w:val="24"/>
                          </w:rPr>
                          <w:t>L</w:t>
                        </w:r>
                        <w:r>
                          <w:rPr>
                            <w:smallCaps w:val="0"/>
                            <w:color w:val="231F20"/>
                            <w:w w:val="93"/>
                            <w:sz w:val="24"/>
                          </w:rPr>
                          <w:t>TBI</w:t>
                        </w:r>
                        <w:r>
                          <w:rPr>
                            <w:smallCaps w:val="0"/>
                            <w:color w:val="231F20"/>
                            <w:spacing w:val="-7"/>
                            <w:sz w:val="24"/>
                          </w:rPr>
                          <w:t> </w:t>
                        </w:r>
                        <w:r>
                          <w:rPr>
                            <w:smallCaps w:val="0"/>
                            <w:color w:val="231F20"/>
                            <w:sz w:val="24"/>
                          </w:rPr>
                          <w:t>治療，以降低日後發病風險</w:t>
                        </w:r>
                      </w:p>
                    </w:tc>
                  </w:tr>
                  <w:tr>
                    <w:trPr>
                      <w:trHeight w:val="451" w:hRule="atLeast"/>
                    </w:trPr>
                    <w:tc>
                      <w:tcPr>
                        <w:tcW w:w="824" w:type="dxa"/>
                        <w:vMerge w:val="restart"/>
                      </w:tcPr>
                      <w:p>
                        <w:pPr>
                          <w:pStyle w:val="TableParagraph"/>
                          <w:spacing w:before="265"/>
                          <w:ind w:left="112"/>
                          <w:rPr>
                            <w:sz w:val="24"/>
                          </w:rPr>
                        </w:pPr>
                        <w:r>
                          <w:rPr>
                            <w:color w:val="231F20"/>
                            <w:sz w:val="24"/>
                          </w:rPr>
                          <w:t>對象</w:t>
                        </w:r>
                      </w:p>
                    </w:tc>
                    <w:tc>
                      <w:tcPr>
                        <w:tcW w:w="2644" w:type="dxa"/>
                        <w:vMerge w:val="restart"/>
                      </w:tcPr>
                      <w:p>
                        <w:pPr>
                          <w:pStyle w:val="TableParagraph"/>
                          <w:spacing w:before="265"/>
                          <w:ind w:left="722"/>
                          <w:rPr>
                            <w:sz w:val="24"/>
                          </w:rPr>
                        </w:pPr>
                        <w:r>
                          <w:rPr>
                            <w:color w:val="231F20"/>
                            <w:sz w:val="24"/>
                          </w:rPr>
                          <w:t>所有接觸者</w:t>
                        </w:r>
                      </w:p>
                    </w:tc>
                    <w:tc>
                      <w:tcPr>
                        <w:tcW w:w="6150" w:type="dxa"/>
                        <w:gridSpan w:val="2"/>
                      </w:tcPr>
                      <w:p>
                        <w:pPr>
                          <w:pStyle w:val="TableParagraph"/>
                          <w:spacing w:line="400" w:lineRule="exact" w:before="31"/>
                          <w:ind w:left="1347"/>
                          <w:rPr>
                            <w:sz w:val="24"/>
                          </w:rPr>
                        </w:pPr>
                        <w:r>
                          <w:rPr>
                            <w:color w:val="231F20"/>
                            <w:sz w:val="24"/>
                          </w:rPr>
                          <w:t>符合 LTBI 治療政策對象之接觸者</w:t>
                        </w:r>
                      </w:p>
                    </w:tc>
                  </w:tr>
                  <w:tr>
                    <w:trPr>
                      <w:trHeight w:val="451" w:hRule="atLeast"/>
                    </w:trPr>
                    <w:tc>
                      <w:tcPr>
                        <w:tcW w:w="824" w:type="dxa"/>
                        <w:vMerge/>
                        <w:tcBorders>
                          <w:top w:val="nil"/>
                        </w:tcBorders>
                      </w:tcPr>
                      <w:p>
                        <w:pPr>
                          <w:rPr>
                            <w:sz w:val="2"/>
                            <w:szCs w:val="2"/>
                          </w:rPr>
                        </w:pPr>
                      </w:p>
                    </w:tc>
                    <w:tc>
                      <w:tcPr>
                        <w:tcW w:w="2644" w:type="dxa"/>
                        <w:vMerge/>
                        <w:tcBorders>
                          <w:top w:val="nil"/>
                        </w:tcBorders>
                      </w:tcPr>
                      <w:p>
                        <w:pPr>
                          <w:rPr>
                            <w:sz w:val="2"/>
                            <w:szCs w:val="2"/>
                          </w:rPr>
                        </w:pPr>
                      </w:p>
                    </w:tc>
                    <w:tc>
                      <w:tcPr>
                        <w:tcW w:w="2795" w:type="dxa"/>
                      </w:tcPr>
                      <w:p>
                        <w:pPr>
                          <w:pStyle w:val="TableParagraph"/>
                          <w:spacing w:line="400" w:lineRule="exact" w:before="31"/>
                          <w:ind w:left="236" w:right="160"/>
                          <w:jc w:val="center"/>
                          <w:rPr>
                            <w:sz w:val="24"/>
                          </w:rPr>
                        </w:pPr>
                        <w:r>
                          <w:rPr>
                            <w:color w:val="231F20"/>
                            <w:spacing w:val="-3"/>
                            <w:sz w:val="24"/>
                          </w:rPr>
                          <w:t>未滿 </w:t>
                        </w:r>
                        <w:r>
                          <w:rPr>
                            <w:color w:val="231F20"/>
                            <w:spacing w:val="60"/>
                            <w:sz w:val="24"/>
                          </w:rPr>
                          <w:t>2</w:t>
                        </w:r>
                        <w:r>
                          <w:rPr>
                            <w:color w:val="231F20"/>
                            <w:sz w:val="24"/>
                          </w:rPr>
                          <w:t>歲</w:t>
                        </w:r>
                        <w:r>
                          <w:rPr>
                            <w:color w:val="231F20"/>
                            <w:spacing w:val="-7"/>
                            <w:sz w:val="24"/>
                          </w:rPr>
                          <w:t> </w:t>
                        </w:r>
                      </w:p>
                    </w:tc>
                    <w:tc>
                      <w:tcPr>
                        <w:tcW w:w="3355" w:type="dxa"/>
                      </w:tcPr>
                      <w:p>
                        <w:pPr>
                          <w:pStyle w:val="TableParagraph"/>
                          <w:spacing w:line="400" w:lineRule="exact" w:before="31"/>
                          <w:ind w:left="97" w:right="79"/>
                          <w:jc w:val="center"/>
                          <w:rPr>
                            <w:sz w:val="24"/>
                          </w:rPr>
                        </w:pPr>
                        <w:r>
                          <w:rPr>
                            <w:color w:val="231F20"/>
                            <w:spacing w:val="60"/>
                            <w:sz w:val="24"/>
                          </w:rPr>
                          <w:t>2歲（</w:t>
                        </w:r>
                        <w:r>
                          <w:rPr>
                            <w:color w:val="231F20"/>
                            <w:spacing w:val="8"/>
                            <w:sz w:val="24"/>
                          </w:rPr>
                          <w:t>含) 以上</w:t>
                        </w:r>
                      </w:p>
                    </w:tc>
                  </w:tr>
                  <w:tr>
                    <w:trPr>
                      <w:trHeight w:val="5249" w:hRule="atLeast"/>
                    </w:trPr>
                    <w:tc>
                      <w:tcPr>
                        <w:tcW w:w="824" w:type="dxa"/>
                      </w:tcPr>
                      <w:p>
                        <w:pPr>
                          <w:pStyle w:val="TableParagraph"/>
                          <w:rPr>
                            <w:sz w:val="32"/>
                          </w:rPr>
                        </w:pPr>
                      </w:p>
                      <w:p>
                        <w:pPr>
                          <w:pStyle w:val="TableParagraph"/>
                          <w:rPr>
                            <w:sz w:val="32"/>
                          </w:rPr>
                        </w:pPr>
                      </w:p>
                      <w:p>
                        <w:pPr>
                          <w:pStyle w:val="TableParagraph"/>
                          <w:rPr>
                            <w:sz w:val="32"/>
                          </w:rPr>
                        </w:pPr>
                      </w:p>
                      <w:p>
                        <w:pPr>
                          <w:pStyle w:val="TableParagraph"/>
                          <w:spacing w:before="14"/>
                          <w:rPr>
                            <w:sz w:val="32"/>
                          </w:rPr>
                        </w:pPr>
                      </w:p>
                      <w:p>
                        <w:pPr>
                          <w:pStyle w:val="TableParagraph"/>
                          <w:spacing w:line="230" w:lineRule="auto"/>
                          <w:ind w:left="112" w:right="214"/>
                          <w:rPr>
                            <w:sz w:val="24"/>
                          </w:rPr>
                        </w:pPr>
                        <w:r>
                          <w:rPr>
                            <w:color w:val="231F20"/>
                            <w:sz w:val="24"/>
                          </w:rPr>
                          <w:t>執行時程</w:t>
                        </w:r>
                      </w:p>
                    </w:tc>
                    <w:tc>
                      <w:tcPr>
                        <w:tcW w:w="2644" w:type="dxa"/>
                      </w:tcPr>
                      <w:p>
                        <w:pPr>
                          <w:pStyle w:val="TableParagraph"/>
                          <w:numPr>
                            <w:ilvl w:val="0"/>
                            <w:numId w:val="240"/>
                          </w:numPr>
                          <w:tabs>
                            <w:tab w:pos="357" w:val="left" w:leader="none"/>
                          </w:tabs>
                          <w:spacing w:line="230" w:lineRule="auto" w:before="43" w:after="0"/>
                          <w:ind w:left="356" w:right="94" w:hanging="244"/>
                          <w:jc w:val="both"/>
                          <w:rPr>
                            <w:sz w:val="24"/>
                          </w:rPr>
                        </w:pPr>
                        <w:r>
                          <w:rPr>
                            <w:color w:val="231F20"/>
                            <w:spacing w:val="-1"/>
                            <w:sz w:val="24"/>
                          </w:rPr>
                          <w:t>指標個案確診後 </w:t>
                        </w:r>
                        <w:r>
                          <w:rPr>
                            <w:color w:val="231F20"/>
                            <w:sz w:val="24"/>
                          </w:rPr>
                          <w:t>1</w:t>
                        </w:r>
                        <w:r>
                          <w:rPr>
                            <w:color w:val="231F20"/>
                            <w:spacing w:val="-11"/>
                            <w:sz w:val="24"/>
                          </w:rPr>
                          <w:t> 個</w:t>
                        </w:r>
                        <w:r>
                          <w:rPr>
                            <w:color w:val="231F20"/>
                            <w:spacing w:val="-1"/>
                            <w:sz w:val="24"/>
                          </w:rPr>
                          <w:t>月內完成 </w:t>
                        </w:r>
                        <w:r>
                          <w:rPr>
                            <w:color w:val="231F20"/>
                            <w:w w:val="65"/>
                            <w:sz w:val="24"/>
                          </w:rPr>
                          <w:t>（</w:t>
                        </w:r>
                        <w:r>
                          <w:rPr>
                            <w:color w:val="231F20"/>
                            <w:spacing w:val="1"/>
                            <w:w w:val="65"/>
                            <w:sz w:val="24"/>
                          </w:rPr>
                          <w:t> </w:t>
                        </w:r>
                        <w:r>
                          <w:rPr>
                            <w:color w:val="231F20"/>
                            <w:spacing w:val="-6"/>
                            <w:sz w:val="24"/>
                          </w:rPr>
                          <w:t>未滿 </w:t>
                        </w:r>
                        <w:r>
                          <w:rPr>
                            <w:color w:val="231F20"/>
                            <w:sz w:val="24"/>
                          </w:rPr>
                          <w:t>5</w:t>
                        </w:r>
                        <w:r>
                          <w:rPr>
                            <w:color w:val="231F20"/>
                            <w:spacing w:val="-17"/>
                            <w:sz w:val="24"/>
                          </w:rPr>
                          <w:t> 歲</w:t>
                        </w:r>
                        <w:r>
                          <w:rPr>
                            <w:color w:val="231F20"/>
                            <w:sz w:val="24"/>
                          </w:rPr>
                          <w:t>兒童接觸者應及早完</w:t>
                        </w:r>
                        <w:r>
                          <w:rPr>
                            <w:color w:val="231F20"/>
                            <w:spacing w:val="-2"/>
                            <w:sz w:val="24"/>
                          </w:rPr>
                          <w:t>成檢査，以尋找傳染</w:t>
                        </w:r>
                        <w:r>
                          <w:rPr>
                            <w:color w:val="231F20"/>
                            <w:w w:val="140"/>
                            <w:sz w:val="24"/>
                          </w:rPr>
                          <w:t>源)</w:t>
                        </w:r>
                      </w:p>
                      <w:p>
                        <w:pPr>
                          <w:pStyle w:val="TableParagraph"/>
                          <w:numPr>
                            <w:ilvl w:val="0"/>
                            <w:numId w:val="240"/>
                          </w:numPr>
                          <w:tabs>
                            <w:tab w:pos="357" w:val="left" w:leader="none"/>
                          </w:tabs>
                          <w:spacing w:line="230" w:lineRule="auto" w:before="0" w:after="0"/>
                          <w:ind w:left="356" w:right="94" w:hanging="244"/>
                          <w:jc w:val="both"/>
                          <w:rPr>
                            <w:sz w:val="24"/>
                          </w:rPr>
                        </w:pPr>
                        <w:r>
                          <w:rPr>
                            <w:color w:val="231F20"/>
                            <w:spacing w:val="20"/>
                            <w:sz w:val="24"/>
                          </w:rPr>
                          <w:t>未按規完成 </w:t>
                        </w:r>
                        <w:r>
                          <w:rPr>
                            <w:color w:val="231F20"/>
                            <w:spacing w:val="-4"/>
                            <w:sz w:val="24"/>
                          </w:rPr>
                          <w:t>LTBI</w:t>
                        </w:r>
                        <w:r>
                          <w:rPr>
                            <w:color w:val="231F20"/>
                            <w:spacing w:val="-13"/>
                            <w:sz w:val="24"/>
                          </w:rPr>
                          <w:t> 檢</w:t>
                        </w:r>
                        <w:r>
                          <w:rPr>
                            <w:color w:val="231F20"/>
                            <w:spacing w:val="-2"/>
                            <w:sz w:val="24"/>
                          </w:rPr>
                          <w:t>驗，或應接受治療未完成治療者，另須進</w:t>
                        </w:r>
                        <w:r>
                          <w:rPr>
                            <w:color w:val="231F20"/>
                            <w:spacing w:val="8"/>
                            <w:sz w:val="24"/>
                          </w:rPr>
                          <w:t>行第 </w:t>
                        </w:r>
                        <w:r>
                          <w:rPr>
                            <w:color w:val="231F20"/>
                            <w:sz w:val="24"/>
                          </w:rPr>
                          <w:t>12</w:t>
                        </w:r>
                        <w:r>
                          <w:rPr>
                            <w:color w:val="231F20"/>
                            <w:spacing w:val="12"/>
                            <w:sz w:val="24"/>
                          </w:rPr>
                          <w:t> 個月胸部 </w:t>
                        </w:r>
                        <w:r>
                          <w:rPr>
                            <w:color w:val="231F20"/>
                            <w:spacing w:val="-13"/>
                            <w:sz w:val="24"/>
                          </w:rPr>
                          <w:t>X </w:t>
                        </w:r>
                        <w:r>
                          <w:rPr>
                            <w:color w:val="231F20"/>
                            <w:spacing w:val="-2"/>
                            <w:sz w:val="24"/>
                          </w:rPr>
                          <w:t>光檢査，以追蹤是否發病，並藉由此次追蹤，再次鼓勵完成檢</w:t>
                        </w:r>
                      </w:p>
                      <w:p>
                        <w:pPr>
                          <w:pStyle w:val="TableParagraph"/>
                          <w:spacing w:line="380" w:lineRule="exact"/>
                          <w:ind w:left="356"/>
                          <w:rPr>
                            <w:sz w:val="24"/>
                          </w:rPr>
                        </w:pPr>
                        <w:r>
                          <w:rPr>
                            <w:color w:val="231F20"/>
                            <w:sz w:val="24"/>
                          </w:rPr>
                          <w:t>驗及治療</w:t>
                        </w:r>
                      </w:p>
                    </w:tc>
                    <w:tc>
                      <w:tcPr>
                        <w:tcW w:w="6150" w:type="dxa"/>
                        <w:gridSpan w:val="2"/>
                      </w:tcPr>
                      <w:p>
                        <w:pPr>
                          <w:pStyle w:val="TableParagraph"/>
                          <w:numPr>
                            <w:ilvl w:val="0"/>
                            <w:numId w:val="241"/>
                          </w:numPr>
                          <w:tabs>
                            <w:tab w:pos="358" w:val="left" w:leader="none"/>
                          </w:tabs>
                          <w:spacing w:line="230" w:lineRule="auto" w:before="43" w:after="0"/>
                          <w:ind w:left="357" w:right="89" w:hanging="244"/>
                          <w:jc w:val="both"/>
                          <w:rPr>
                            <w:sz w:val="24"/>
                          </w:rPr>
                        </w:pPr>
                        <w:r>
                          <w:rPr>
                            <w:color w:val="231F20"/>
                            <w:spacing w:val="-4"/>
                            <w:sz w:val="24"/>
                          </w:rPr>
                          <w:t>未滿 </w:t>
                        </w:r>
                        <w:r>
                          <w:rPr>
                            <w:color w:val="231F20"/>
                            <w:sz w:val="24"/>
                          </w:rPr>
                          <w:t>5</w:t>
                        </w:r>
                        <w:r>
                          <w:rPr>
                            <w:color w:val="231F20"/>
                            <w:spacing w:val="-1"/>
                            <w:sz w:val="24"/>
                          </w:rPr>
                          <w:t> 歲接觸者：指標個案確診後，應儘速執行 </w:t>
                        </w:r>
                        <w:r>
                          <w:rPr>
                            <w:color w:val="231F20"/>
                            <w:spacing w:val="-4"/>
                            <w:sz w:val="24"/>
                          </w:rPr>
                          <w:t>LTBI </w:t>
                        </w:r>
                        <w:r>
                          <w:rPr>
                            <w:color w:val="231F20"/>
                            <w:spacing w:val="2"/>
                            <w:sz w:val="24"/>
                          </w:rPr>
                          <w:t>檢驗，並於 </w:t>
                        </w:r>
                        <w:r>
                          <w:rPr>
                            <w:color w:val="231F20"/>
                            <w:sz w:val="24"/>
                          </w:rPr>
                          <w:t>1</w:t>
                        </w:r>
                        <w:r>
                          <w:rPr>
                            <w:color w:val="231F20"/>
                            <w:spacing w:val="3"/>
                            <w:sz w:val="24"/>
                          </w:rPr>
                          <w:t> 個月內完成，並依檢驗結果判斷於與指</w:t>
                        </w:r>
                        <w:r>
                          <w:rPr>
                            <w:color w:val="231F20"/>
                            <w:spacing w:val="-1"/>
                            <w:sz w:val="24"/>
                          </w:rPr>
                          <w:t>標個案終止有效暴露滿 </w:t>
                        </w:r>
                        <w:r>
                          <w:rPr>
                            <w:color w:val="231F20"/>
                            <w:sz w:val="24"/>
                          </w:rPr>
                          <w:t>8</w:t>
                        </w:r>
                        <w:r>
                          <w:rPr>
                            <w:color w:val="231F20"/>
                            <w:spacing w:val="-3"/>
                            <w:sz w:val="24"/>
                          </w:rPr>
                          <w:t> 週執行第 </w:t>
                        </w:r>
                        <w:r>
                          <w:rPr>
                            <w:color w:val="231F20"/>
                            <w:sz w:val="24"/>
                          </w:rPr>
                          <w:t>2</w:t>
                        </w:r>
                        <w:r>
                          <w:rPr>
                            <w:color w:val="231F20"/>
                            <w:spacing w:val="-2"/>
                            <w:sz w:val="24"/>
                          </w:rPr>
                          <w:t> 次檢驗</w:t>
                        </w:r>
                      </w:p>
                      <w:p>
                        <w:pPr>
                          <w:pStyle w:val="TableParagraph"/>
                          <w:spacing w:line="394" w:lineRule="exact"/>
                          <w:ind w:left="357"/>
                          <w:jc w:val="both"/>
                          <w:rPr>
                            <w:sz w:val="24"/>
                          </w:rPr>
                        </w:pPr>
                        <w:r>
                          <w:rPr>
                            <w:color w:val="231F20"/>
                            <w:sz w:val="24"/>
                          </w:rPr>
                          <w:t>參見未滿 5 歲接觸者 LTBI 檢驗注意事項</w:t>
                        </w:r>
                      </w:p>
                      <w:p>
                        <w:pPr>
                          <w:pStyle w:val="TableParagraph"/>
                          <w:numPr>
                            <w:ilvl w:val="0"/>
                            <w:numId w:val="241"/>
                          </w:numPr>
                          <w:tabs>
                            <w:tab w:pos="358" w:val="left" w:leader="none"/>
                          </w:tabs>
                          <w:spacing w:line="230" w:lineRule="auto" w:before="2" w:after="0"/>
                          <w:ind w:left="357" w:right="92" w:hanging="244"/>
                          <w:jc w:val="both"/>
                          <w:rPr>
                            <w:sz w:val="24"/>
                          </w:rPr>
                        </w:pPr>
                        <w:r>
                          <w:rPr>
                            <w:color w:val="231F20"/>
                            <w:sz w:val="24"/>
                          </w:rPr>
                          <w:t>5</w:t>
                        </w:r>
                        <w:r>
                          <w:rPr>
                            <w:color w:val="231F20"/>
                            <w:spacing w:val="-12"/>
                            <w:sz w:val="24"/>
                          </w:rPr>
                          <w:t> 歲 </w:t>
                        </w:r>
                        <w:r>
                          <w:rPr>
                            <w:color w:val="231F20"/>
                            <w:w w:val="70"/>
                            <w:sz w:val="24"/>
                          </w:rPr>
                          <w:t>（</w:t>
                        </w:r>
                        <w:r>
                          <w:rPr>
                            <w:color w:val="231F20"/>
                            <w:spacing w:val="4"/>
                            <w:w w:val="70"/>
                            <w:sz w:val="24"/>
                          </w:rPr>
                          <w:t> </w:t>
                        </w:r>
                        <w:r>
                          <w:rPr>
                            <w:color w:val="231F20"/>
                            <w:spacing w:val="-6"/>
                            <w:sz w:val="24"/>
                          </w:rPr>
                          <w:t>含 ) 以上接觸者：指標個案確診後，於與指標個</w:t>
                        </w:r>
                        <w:r>
                          <w:rPr>
                            <w:color w:val="231F20"/>
                            <w:spacing w:val="9"/>
                            <w:sz w:val="24"/>
                          </w:rPr>
                          <w:t>案終止有效暴露滿 </w:t>
                        </w:r>
                        <w:r>
                          <w:rPr>
                            <w:color w:val="231F20"/>
                            <w:sz w:val="24"/>
                          </w:rPr>
                          <w:t>8</w:t>
                        </w:r>
                        <w:r>
                          <w:rPr>
                            <w:color w:val="231F20"/>
                            <w:spacing w:val="4"/>
                            <w:sz w:val="24"/>
                          </w:rPr>
                          <w:t> 週，儘速執行 </w:t>
                        </w:r>
                        <w:r>
                          <w:rPr>
                            <w:color w:val="231F20"/>
                            <w:sz w:val="24"/>
                          </w:rPr>
                          <w:t>IGRA</w:t>
                        </w:r>
                        <w:r>
                          <w:rPr>
                            <w:color w:val="231F20"/>
                            <w:spacing w:val="3"/>
                            <w:sz w:val="24"/>
                          </w:rPr>
                          <w:t> 檢驗並於 </w:t>
                        </w:r>
                        <w:r>
                          <w:rPr>
                            <w:color w:val="231F20"/>
                            <w:sz w:val="24"/>
                          </w:rPr>
                          <w:t>3 個月內完成</w:t>
                        </w:r>
                      </w:p>
                    </w:tc>
                  </w:tr>
                </w:tbl>
                <w:p>
                  <w:pPr>
                    <w:pStyle w:val="BodyText"/>
                  </w:pPr>
                </w:p>
              </w:txbxContent>
            </v:textbox>
            <w10:wrap type="none"/>
          </v:shape>
        </w:pict>
      </w:r>
      <w:r>
        <w:rPr>
          <w:color w:val="231F20"/>
        </w:rPr>
        <w:t>表 3、接觸者檢査項目與執行方式</w:t>
      </w:r>
    </w:p>
    <w:p>
      <w:pPr>
        <w:spacing w:after="0" w:line="404" w:lineRule="exact"/>
        <w:sectPr>
          <w:pgSz w:w="11910" w:h="16840"/>
          <w:pgMar w:top="1060" w:bottom="0" w:left="980" w:right="0"/>
        </w:sectPr>
      </w:pP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824"/>
        <w:gridCol w:w="2644"/>
        <w:gridCol w:w="2795"/>
        <w:gridCol w:w="3355"/>
      </w:tblGrid>
      <w:tr>
        <w:trPr>
          <w:trHeight w:val="451" w:hRule="atLeast"/>
        </w:trPr>
        <w:tc>
          <w:tcPr>
            <w:tcW w:w="824" w:type="dxa"/>
            <w:vMerge w:val="restart"/>
            <w:shd w:val="clear" w:color="auto" w:fill="E6E7E8"/>
          </w:tcPr>
          <w:p>
            <w:pPr>
              <w:pStyle w:val="TableParagraph"/>
              <w:spacing w:line="218" w:lineRule="auto" w:before="55"/>
              <w:ind w:left="171" w:right="155"/>
              <w:rPr>
                <w:rFonts w:ascii="微軟正黑體" w:eastAsia="微軟正黑體" w:hint="eastAsia"/>
                <w:b/>
                <w:sz w:val="24"/>
              </w:rPr>
            </w:pPr>
            <w:r>
              <w:rPr>
                <w:rFonts w:ascii="微軟正黑體" w:eastAsia="微軟正黑體" w:hint="eastAsia"/>
                <w:b/>
                <w:color w:val="231F20"/>
                <w:sz w:val="24"/>
              </w:rPr>
              <w:t>檢查項目</w:t>
            </w:r>
          </w:p>
        </w:tc>
        <w:tc>
          <w:tcPr>
            <w:tcW w:w="2644" w:type="dxa"/>
            <w:vMerge w:val="restart"/>
            <w:shd w:val="clear" w:color="auto" w:fill="E6E7E8"/>
          </w:tcPr>
          <w:p>
            <w:pPr>
              <w:pStyle w:val="TableParagraph"/>
              <w:spacing w:before="227"/>
              <w:ind w:left="582"/>
              <w:rPr>
                <w:rFonts w:ascii="微軟正黑體" w:eastAsia="微軟正黑體" w:hint="eastAsia"/>
                <w:b/>
                <w:sz w:val="24"/>
              </w:rPr>
            </w:pPr>
            <w:r>
              <w:rPr>
                <w:rFonts w:ascii="微軟正黑體" w:eastAsia="微軟正黑體" w:hint="eastAsia"/>
                <w:b/>
                <w:color w:val="231F20"/>
                <w:sz w:val="24"/>
              </w:rPr>
              <w:t>胸部 X 光檢查</w:t>
            </w:r>
          </w:p>
        </w:tc>
        <w:tc>
          <w:tcPr>
            <w:tcW w:w="6150" w:type="dxa"/>
            <w:gridSpan w:val="2"/>
            <w:shd w:val="clear" w:color="auto" w:fill="E6E7E8"/>
          </w:tcPr>
          <w:p>
            <w:pPr>
              <w:pStyle w:val="TableParagraph"/>
              <w:spacing w:line="432" w:lineRule="exact"/>
              <w:ind w:left="735" w:right="719"/>
              <w:jc w:val="center"/>
              <w:rPr>
                <w:rFonts w:ascii="微軟正黑體" w:eastAsia="微軟正黑體" w:hint="eastAsia"/>
                <w:b/>
                <w:sz w:val="24"/>
              </w:rPr>
            </w:pPr>
            <w:r>
              <w:rPr>
                <w:rFonts w:ascii="微軟正黑體" w:eastAsia="微軟正黑體" w:hint="eastAsia"/>
                <w:b/>
                <w:color w:val="231F20"/>
                <w:sz w:val="24"/>
              </w:rPr>
              <w:t>潛伏結核感染檢驗</w:t>
            </w:r>
          </w:p>
        </w:tc>
      </w:tr>
      <w:tr>
        <w:trPr>
          <w:trHeight w:val="451" w:hRule="atLeast"/>
        </w:trPr>
        <w:tc>
          <w:tcPr>
            <w:tcW w:w="824" w:type="dxa"/>
            <w:vMerge/>
            <w:tcBorders>
              <w:top w:val="nil"/>
            </w:tcBorders>
            <w:shd w:val="clear" w:color="auto" w:fill="E6E7E8"/>
          </w:tcPr>
          <w:p>
            <w:pPr>
              <w:rPr>
                <w:sz w:val="2"/>
                <w:szCs w:val="2"/>
              </w:rPr>
            </w:pPr>
          </w:p>
        </w:tc>
        <w:tc>
          <w:tcPr>
            <w:tcW w:w="2644" w:type="dxa"/>
            <w:vMerge/>
            <w:tcBorders>
              <w:top w:val="nil"/>
            </w:tcBorders>
            <w:shd w:val="clear" w:color="auto" w:fill="E6E7E8"/>
          </w:tcPr>
          <w:p>
            <w:pPr>
              <w:rPr>
                <w:sz w:val="2"/>
                <w:szCs w:val="2"/>
              </w:rPr>
            </w:pPr>
          </w:p>
        </w:tc>
        <w:tc>
          <w:tcPr>
            <w:tcW w:w="2795" w:type="dxa"/>
            <w:shd w:val="clear" w:color="auto" w:fill="E6E7E8"/>
          </w:tcPr>
          <w:p>
            <w:pPr>
              <w:pStyle w:val="TableParagraph"/>
              <w:spacing w:line="432" w:lineRule="exact"/>
              <w:ind w:left="352"/>
              <w:rPr>
                <w:rFonts w:ascii="微軟正黑體" w:eastAsia="微軟正黑體" w:hint="eastAsia"/>
                <w:b/>
                <w:sz w:val="24"/>
              </w:rPr>
            </w:pPr>
            <w:r>
              <w:rPr>
                <w:rFonts w:ascii="微軟正黑體" w:eastAsia="微軟正黑體" w:hint="eastAsia"/>
                <w:b/>
                <w:color w:val="231F20"/>
                <w:w w:val="95"/>
                <w:sz w:val="24"/>
              </w:rPr>
              <w:t>結核菌素測驗 （TST）</w:t>
            </w:r>
          </w:p>
        </w:tc>
        <w:tc>
          <w:tcPr>
            <w:tcW w:w="3355" w:type="dxa"/>
            <w:shd w:val="clear" w:color="auto" w:fill="E6E7E8"/>
          </w:tcPr>
          <w:p>
            <w:pPr>
              <w:pStyle w:val="TableParagraph"/>
              <w:spacing w:line="432" w:lineRule="exact"/>
              <w:ind w:left="191"/>
              <w:rPr>
                <w:rFonts w:ascii="微軟正黑體" w:eastAsia="微軟正黑體" w:hint="eastAsia"/>
                <w:b/>
                <w:sz w:val="24"/>
              </w:rPr>
            </w:pPr>
            <w:r>
              <w:rPr>
                <w:rFonts w:ascii="微軟正黑體" w:eastAsia="微軟正黑體" w:hint="eastAsia"/>
                <w:b/>
                <w:color w:val="231F20"/>
                <w:w w:val="95"/>
                <w:sz w:val="24"/>
              </w:rPr>
              <w:t>丙型干擾素釋放試驗 （IGRA）</w:t>
            </w:r>
          </w:p>
        </w:tc>
      </w:tr>
      <w:tr>
        <w:trPr>
          <w:trHeight w:val="5649" w:hRule="atLeast"/>
        </w:trPr>
        <w:tc>
          <w:tcPr>
            <w:tcW w:w="824" w:type="dxa"/>
            <w:vMerge w:val="restart"/>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5"/>
              <w:rPr>
                <w:sz w:val="25"/>
              </w:rPr>
            </w:pPr>
          </w:p>
          <w:p>
            <w:pPr>
              <w:pStyle w:val="TableParagraph"/>
              <w:spacing w:line="230" w:lineRule="auto"/>
              <w:ind w:left="112" w:right="214"/>
              <w:rPr>
                <w:sz w:val="24"/>
              </w:rPr>
            </w:pPr>
            <w:r>
              <w:rPr>
                <w:color w:val="231F20"/>
                <w:sz w:val="24"/>
              </w:rPr>
              <w:t>結果判讀</w:t>
            </w:r>
          </w:p>
        </w:tc>
        <w:tc>
          <w:tcPr>
            <w:tcW w:w="2644" w:type="dxa"/>
            <w:vMerge w:val="restart"/>
          </w:tcPr>
          <w:p>
            <w:pPr>
              <w:pStyle w:val="TableParagraph"/>
              <w:numPr>
                <w:ilvl w:val="0"/>
                <w:numId w:val="242"/>
              </w:numPr>
              <w:tabs>
                <w:tab w:pos="357" w:val="left" w:leader="none"/>
              </w:tabs>
              <w:spacing w:line="409" w:lineRule="exact" w:before="25" w:after="0"/>
              <w:ind w:left="356" w:right="0" w:hanging="245"/>
              <w:jc w:val="left"/>
              <w:rPr>
                <w:sz w:val="24"/>
              </w:rPr>
            </w:pPr>
            <w:r>
              <w:rPr>
                <w:color w:val="231F20"/>
                <w:sz w:val="24"/>
              </w:rPr>
              <w:t>正常</w:t>
            </w:r>
          </w:p>
          <w:p>
            <w:pPr>
              <w:pStyle w:val="TableParagraph"/>
              <w:numPr>
                <w:ilvl w:val="0"/>
                <w:numId w:val="242"/>
              </w:numPr>
              <w:tabs>
                <w:tab w:pos="357" w:val="left" w:leader="none"/>
              </w:tabs>
              <w:spacing w:line="230" w:lineRule="auto" w:before="2" w:after="0"/>
              <w:ind w:left="356" w:right="96" w:hanging="244"/>
              <w:jc w:val="left"/>
              <w:rPr>
                <w:sz w:val="24"/>
              </w:rPr>
            </w:pPr>
            <w:r>
              <w:rPr>
                <w:color w:val="231F20"/>
                <w:spacing w:val="2"/>
                <w:sz w:val="24"/>
              </w:rPr>
              <w:t>異常 </w:t>
            </w:r>
            <w:r>
              <w:rPr>
                <w:color w:val="231F20"/>
                <w:w w:val="70"/>
                <w:sz w:val="24"/>
              </w:rPr>
              <w:t>（</w:t>
            </w:r>
            <w:r>
              <w:rPr>
                <w:color w:val="231F20"/>
                <w:spacing w:val="-4"/>
                <w:w w:val="70"/>
                <w:sz w:val="24"/>
              </w:rPr>
              <w:t> </w:t>
            </w:r>
            <w:r>
              <w:rPr>
                <w:color w:val="231F20"/>
                <w:spacing w:val="-4"/>
                <w:sz w:val="24"/>
              </w:rPr>
              <w:t>肺浸潤 )， 應</w:t>
            </w:r>
            <w:r>
              <w:rPr>
                <w:color w:val="231F20"/>
                <w:sz w:val="24"/>
              </w:rPr>
              <w:t>追蹤至排除結核病</w:t>
            </w:r>
          </w:p>
          <w:p>
            <w:pPr>
              <w:pStyle w:val="TableParagraph"/>
              <w:numPr>
                <w:ilvl w:val="0"/>
                <w:numId w:val="242"/>
              </w:numPr>
              <w:tabs>
                <w:tab w:pos="357" w:val="left" w:leader="none"/>
              </w:tabs>
              <w:spacing w:line="395" w:lineRule="exact" w:before="0" w:after="0"/>
              <w:ind w:left="356" w:right="0" w:hanging="245"/>
              <w:jc w:val="left"/>
              <w:rPr>
                <w:sz w:val="24"/>
              </w:rPr>
            </w:pPr>
            <w:r>
              <w:rPr>
                <w:color w:val="231F20"/>
                <w:sz w:val="24"/>
              </w:rPr>
              <w:t>異常無關結核</w:t>
            </w:r>
          </w:p>
          <w:p>
            <w:pPr>
              <w:pStyle w:val="TableParagraph"/>
              <w:numPr>
                <w:ilvl w:val="0"/>
                <w:numId w:val="242"/>
              </w:numPr>
              <w:tabs>
                <w:tab w:pos="357" w:val="left" w:leader="none"/>
              </w:tabs>
              <w:spacing w:line="230" w:lineRule="auto" w:before="3" w:after="0"/>
              <w:ind w:left="356" w:right="96" w:hanging="244"/>
              <w:jc w:val="left"/>
              <w:rPr>
                <w:sz w:val="24"/>
              </w:rPr>
            </w:pPr>
            <w:r>
              <w:rPr>
                <w:color w:val="231F20"/>
                <w:sz w:val="24"/>
              </w:rPr>
              <w:t>疑似肺結核 </w:t>
            </w:r>
            <w:r>
              <w:rPr>
                <w:color w:val="231F20"/>
                <w:w w:val="65"/>
                <w:sz w:val="24"/>
              </w:rPr>
              <w:t>（</w:t>
            </w:r>
            <w:r>
              <w:rPr>
                <w:color w:val="231F20"/>
                <w:spacing w:val="-15"/>
                <w:w w:val="65"/>
                <w:sz w:val="24"/>
              </w:rPr>
              <w:t> </w:t>
            </w:r>
            <w:r>
              <w:rPr>
                <w:color w:val="231F20"/>
                <w:spacing w:val="-2"/>
                <w:sz w:val="24"/>
              </w:rPr>
              <w:t>異常、</w:t>
            </w:r>
            <w:r>
              <w:rPr>
                <w:color w:val="231F20"/>
                <w:spacing w:val="-6"/>
                <w:sz w:val="24"/>
              </w:rPr>
              <w:t>有 </w:t>
            </w:r>
            <w:r>
              <w:rPr>
                <w:color w:val="231F20"/>
                <w:spacing w:val="6"/>
                <w:w w:val="65"/>
                <w:sz w:val="24"/>
              </w:rPr>
              <w:t>／ </w:t>
            </w:r>
            <w:r>
              <w:rPr>
                <w:color w:val="231F20"/>
                <w:spacing w:val="-3"/>
                <w:sz w:val="24"/>
              </w:rPr>
              <w:t>無空洞 )</w:t>
            </w:r>
          </w:p>
          <w:p>
            <w:pPr>
              <w:pStyle w:val="TableParagraph"/>
              <w:spacing w:line="230" w:lineRule="auto"/>
              <w:ind w:left="296" w:right="153" w:hanging="244"/>
              <w:rPr>
                <w:sz w:val="24"/>
              </w:rPr>
            </w:pPr>
            <w:r>
              <w:rPr>
                <w:rFonts w:ascii="Wingdings" w:hAnsi="Wingdings" w:eastAsia="Wingdings"/>
                <w:color w:val="231F20"/>
                <w:w w:val="160"/>
                <w:sz w:val="24"/>
              </w:rPr>
              <w:t>申</w:t>
            </w:r>
            <w:r>
              <w:rPr>
                <w:rFonts w:ascii="Times New Roman" w:hAnsi="Times New Roman" w:eastAsia="Times New Roman"/>
                <w:color w:val="231F20"/>
                <w:spacing w:val="-71"/>
                <w:w w:val="160"/>
                <w:sz w:val="24"/>
              </w:rPr>
              <w:t> </w:t>
            </w:r>
            <w:r>
              <w:rPr>
                <w:color w:val="231F20"/>
                <w:spacing w:val="-2"/>
                <w:w w:val="105"/>
                <w:sz w:val="24"/>
              </w:rPr>
              <w:t>請接觸者佩戴醫療</w:t>
            </w:r>
            <w:r>
              <w:rPr>
                <w:color w:val="231F20"/>
                <w:sz w:val="24"/>
              </w:rPr>
              <w:t>等級以上口罩並協助</w:t>
            </w:r>
            <w:r>
              <w:rPr>
                <w:color w:val="231F20"/>
                <w:w w:val="105"/>
                <w:sz w:val="24"/>
              </w:rPr>
              <w:t>轉介就醫</w:t>
            </w:r>
          </w:p>
          <w:p>
            <w:pPr>
              <w:pStyle w:val="TableParagraph"/>
              <w:spacing w:line="230" w:lineRule="auto"/>
              <w:ind w:left="296" w:right="169" w:hanging="244"/>
              <w:rPr>
                <w:sz w:val="24"/>
              </w:rPr>
            </w:pPr>
            <w:r>
              <w:rPr>
                <w:rFonts w:ascii="Wingdings" w:hAnsi="Wingdings" w:eastAsia="Wingdings"/>
                <w:color w:val="231F20"/>
                <w:w w:val="160"/>
                <w:sz w:val="24"/>
              </w:rPr>
              <w:t>申</w:t>
            </w:r>
            <w:r>
              <w:rPr>
                <w:rFonts w:ascii="Times New Roman" w:hAnsi="Times New Roman" w:eastAsia="Times New Roman"/>
                <w:color w:val="231F20"/>
                <w:spacing w:val="-71"/>
                <w:w w:val="160"/>
                <w:sz w:val="24"/>
              </w:rPr>
              <w:t> </w:t>
            </w:r>
            <w:r>
              <w:rPr>
                <w:color w:val="231F20"/>
                <w:spacing w:val="-4"/>
                <w:w w:val="105"/>
                <w:sz w:val="24"/>
              </w:rPr>
              <w:t>確認接觸者是否符</w:t>
            </w:r>
            <w:r>
              <w:rPr>
                <w:color w:val="231F20"/>
                <w:spacing w:val="-2"/>
                <w:sz w:val="24"/>
              </w:rPr>
              <w:t>合須快速分子檢測送</w:t>
            </w:r>
            <w:r>
              <w:rPr>
                <w:color w:val="231F20"/>
                <w:w w:val="105"/>
                <w:sz w:val="24"/>
              </w:rPr>
              <w:t>驗對象</w:t>
            </w:r>
          </w:p>
          <w:p>
            <w:pPr>
              <w:pStyle w:val="TableParagraph"/>
              <w:spacing w:line="230" w:lineRule="auto"/>
              <w:ind w:left="296" w:right="365" w:hanging="244"/>
              <w:rPr>
                <w:sz w:val="24"/>
              </w:rPr>
            </w:pPr>
            <w:r>
              <w:rPr>
                <w:rFonts w:ascii="Wingdings" w:hAnsi="Wingdings" w:eastAsia="Wingdings"/>
                <w:color w:val="231F20"/>
                <w:w w:val="160"/>
                <w:sz w:val="24"/>
              </w:rPr>
              <w:t>申</w:t>
            </w:r>
            <w:r>
              <w:rPr>
                <w:rFonts w:ascii="Times New Roman" w:hAnsi="Times New Roman" w:eastAsia="Times New Roman"/>
                <w:color w:val="231F20"/>
                <w:spacing w:val="-71"/>
                <w:w w:val="160"/>
                <w:sz w:val="24"/>
              </w:rPr>
              <w:t> </w:t>
            </w:r>
            <w:r>
              <w:rPr>
                <w:color w:val="231F20"/>
                <w:w w:val="105"/>
                <w:sz w:val="24"/>
              </w:rPr>
              <w:t>確認有無擴大接</w:t>
            </w:r>
            <w:r>
              <w:rPr>
                <w:color w:val="231F20"/>
                <w:spacing w:val="-222"/>
                <w:w w:val="105"/>
                <w:sz w:val="24"/>
              </w:rPr>
              <w:t>檢</w:t>
            </w:r>
            <w:r>
              <w:rPr>
                <w:color w:val="231F20"/>
                <w:w w:val="105"/>
                <w:sz w:val="24"/>
              </w:rPr>
              <w:t>範圍之必要</w:t>
            </w:r>
          </w:p>
        </w:tc>
        <w:tc>
          <w:tcPr>
            <w:tcW w:w="2795" w:type="dxa"/>
          </w:tcPr>
          <w:p>
            <w:pPr>
              <w:pStyle w:val="TableParagraph"/>
              <w:spacing w:line="230" w:lineRule="auto" w:before="36"/>
              <w:ind w:left="357" w:right="62" w:hanging="244"/>
              <w:rPr>
                <w:sz w:val="24"/>
              </w:rPr>
            </w:pPr>
            <w:r>
              <w:rPr>
                <w:rFonts w:ascii="Wingdings" w:hAnsi="Wingdings" w:eastAsia="Wingdings"/>
                <w:color w:val="231F20"/>
                <w:spacing w:val="29"/>
                <w:w w:val="110"/>
                <w:sz w:val="24"/>
              </w:rPr>
              <w:t>申</w:t>
            </w:r>
            <w:r>
              <w:rPr>
                <w:color w:val="231F20"/>
                <w:w w:val="110"/>
                <w:sz w:val="24"/>
              </w:rPr>
              <w:t>48-72</w:t>
            </w:r>
            <w:r>
              <w:rPr>
                <w:color w:val="231F20"/>
                <w:spacing w:val="24"/>
                <w:w w:val="110"/>
                <w:sz w:val="24"/>
              </w:rPr>
              <w:t> 小時間進行</w:t>
            </w:r>
            <w:r>
              <w:rPr>
                <w:color w:val="231F20"/>
                <w:spacing w:val="-195"/>
                <w:w w:val="110"/>
                <w:sz w:val="24"/>
              </w:rPr>
              <w:t>判</w:t>
            </w:r>
            <w:r>
              <w:rPr>
                <w:color w:val="231F20"/>
                <w:w w:val="115"/>
                <w:sz w:val="24"/>
              </w:rPr>
              <w:t>讀</w:t>
            </w:r>
          </w:p>
          <w:p>
            <w:pPr>
              <w:pStyle w:val="TableParagraph"/>
              <w:numPr>
                <w:ilvl w:val="0"/>
                <w:numId w:val="243"/>
              </w:numPr>
              <w:tabs>
                <w:tab w:pos="358" w:val="left" w:leader="none"/>
              </w:tabs>
              <w:spacing w:line="230" w:lineRule="auto" w:before="0" w:after="0"/>
              <w:ind w:left="357" w:right="80" w:hanging="244"/>
              <w:jc w:val="left"/>
              <w:rPr>
                <w:sz w:val="24"/>
              </w:rPr>
            </w:pPr>
            <w:r>
              <w:rPr>
                <w:color w:val="231F20"/>
                <w:spacing w:val="3"/>
                <w:sz w:val="24"/>
              </w:rPr>
              <w:t>陽性：轉介 </w:t>
            </w:r>
            <w:r>
              <w:rPr>
                <w:color w:val="231F20"/>
                <w:spacing w:val="-4"/>
                <w:sz w:val="24"/>
              </w:rPr>
              <w:t>LTBI</w:t>
            </w:r>
            <w:r>
              <w:rPr>
                <w:color w:val="231F20"/>
                <w:spacing w:val="-2"/>
                <w:sz w:val="24"/>
              </w:rPr>
              <w:t> 治療評估</w:t>
            </w:r>
          </w:p>
          <w:p>
            <w:pPr>
              <w:pStyle w:val="TableParagraph"/>
              <w:numPr>
                <w:ilvl w:val="0"/>
                <w:numId w:val="243"/>
              </w:numPr>
              <w:tabs>
                <w:tab w:pos="358" w:val="left" w:leader="none"/>
              </w:tabs>
              <w:spacing w:line="395" w:lineRule="exact" w:before="0" w:after="0"/>
              <w:ind w:left="357" w:right="0" w:hanging="245"/>
              <w:jc w:val="left"/>
              <w:rPr>
                <w:sz w:val="24"/>
              </w:rPr>
            </w:pPr>
            <w:r>
              <w:rPr>
                <w:color w:val="231F20"/>
                <w:sz w:val="24"/>
              </w:rPr>
              <w:t>陰性：衛教症狀監測</w:t>
            </w:r>
          </w:p>
          <w:p>
            <w:pPr>
              <w:pStyle w:val="TableParagraph"/>
              <w:spacing w:line="400" w:lineRule="exact"/>
              <w:ind w:left="113"/>
              <w:rPr>
                <w:sz w:val="24"/>
              </w:rPr>
            </w:pPr>
            <w:r>
              <w:rPr>
                <w:rFonts w:ascii="Wingdings" w:hAnsi="Wingdings" w:eastAsia="Wingdings"/>
                <w:color w:val="231F20"/>
                <w:w w:val="160"/>
                <w:sz w:val="24"/>
              </w:rPr>
              <w:t>申</w:t>
            </w:r>
            <w:r>
              <w:rPr>
                <w:color w:val="231F20"/>
                <w:w w:val="110"/>
                <w:sz w:val="24"/>
              </w:rPr>
              <w:t>陽性判定標準：</w:t>
            </w:r>
          </w:p>
          <w:p>
            <w:pPr>
              <w:pStyle w:val="TableParagraph"/>
              <w:spacing w:line="230" w:lineRule="auto"/>
              <w:ind w:left="357" w:right="68"/>
              <w:jc w:val="both"/>
              <w:rPr>
                <w:sz w:val="24"/>
              </w:rPr>
            </w:pPr>
            <w:r>
              <w:rPr>
                <w:color w:val="231F20"/>
                <w:spacing w:val="-12"/>
                <w:w w:val="95"/>
                <w:sz w:val="24"/>
              </w:rPr>
              <w:t>三 </w:t>
            </w:r>
            <w:r>
              <w:rPr>
                <w:color w:val="231F20"/>
                <w:w w:val="105"/>
                <w:sz w:val="24"/>
              </w:rPr>
              <w:t>5mm</w:t>
            </w:r>
            <w:r>
              <w:rPr>
                <w:color w:val="231F20"/>
                <w:spacing w:val="-15"/>
                <w:w w:val="105"/>
                <w:sz w:val="24"/>
              </w:rPr>
              <w:t> 對 象</w:t>
            </w:r>
            <w:r>
              <w:rPr>
                <w:color w:val="231F20"/>
                <w:w w:val="105"/>
                <w:sz w:val="24"/>
              </w:rPr>
              <w:t>：HIV、TNF-a inhibitor</w:t>
            </w:r>
            <w:r>
              <w:rPr>
                <w:color w:val="231F20"/>
                <w:spacing w:val="-1"/>
                <w:w w:val="105"/>
                <w:sz w:val="24"/>
              </w:rPr>
              <w:t> 、 免</w:t>
            </w:r>
            <w:r>
              <w:rPr>
                <w:color w:val="231F20"/>
                <w:spacing w:val="18"/>
                <w:sz w:val="24"/>
              </w:rPr>
              <w:t>疫不全、惡性腫瘤化</w:t>
            </w:r>
            <w:r>
              <w:rPr>
                <w:color w:val="231F20"/>
                <w:spacing w:val="17"/>
                <w:sz w:val="24"/>
              </w:rPr>
              <w:t>療、器官移植、未接</w:t>
            </w:r>
            <w:r>
              <w:rPr>
                <w:color w:val="231F20"/>
                <w:spacing w:val="18"/>
                <w:sz w:val="24"/>
              </w:rPr>
              <w:t>種卡介苗者；非上述對象者以三 </w:t>
            </w:r>
            <w:r>
              <w:rPr>
                <w:color w:val="231F20"/>
                <w:sz w:val="24"/>
              </w:rPr>
              <w:t>10mm</w:t>
            </w:r>
            <w:r>
              <w:rPr>
                <w:color w:val="231F20"/>
                <w:spacing w:val="-10"/>
                <w:sz w:val="24"/>
              </w:rPr>
              <w:t> 為</w:t>
            </w:r>
            <w:r>
              <w:rPr>
                <w:color w:val="231F20"/>
                <w:spacing w:val="-10"/>
                <w:w w:val="105"/>
                <w:sz w:val="24"/>
              </w:rPr>
              <w:t>判定標準</w:t>
            </w:r>
          </w:p>
          <w:p>
            <w:pPr>
              <w:pStyle w:val="TableParagraph"/>
              <w:spacing w:line="386" w:lineRule="exact"/>
              <w:ind w:left="113"/>
              <w:rPr>
                <w:sz w:val="24"/>
              </w:rPr>
            </w:pPr>
            <w:r>
              <w:rPr>
                <w:rFonts w:ascii="Wingdings" w:hAnsi="Wingdings" w:eastAsia="Wingdings"/>
                <w:color w:val="231F20"/>
                <w:w w:val="160"/>
                <w:sz w:val="24"/>
              </w:rPr>
              <w:t>申</w:t>
            </w:r>
            <w:r>
              <w:rPr>
                <w:color w:val="231F20"/>
                <w:w w:val="110"/>
                <w:sz w:val="24"/>
              </w:rPr>
              <w:t>症狀監測</w:t>
            </w:r>
          </w:p>
        </w:tc>
        <w:tc>
          <w:tcPr>
            <w:tcW w:w="3355" w:type="dxa"/>
          </w:tcPr>
          <w:p>
            <w:pPr>
              <w:pStyle w:val="TableParagraph"/>
              <w:numPr>
                <w:ilvl w:val="0"/>
                <w:numId w:val="244"/>
              </w:numPr>
              <w:tabs>
                <w:tab w:pos="358" w:val="left" w:leader="none"/>
              </w:tabs>
              <w:spacing w:line="409" w:lineRule="exact" w:before="25" w:after="0"/>
              <w:ind w:left="357" w:right="0" w:hanging="244"/>
              <w:jc w:val="both"/>
              <w:rPr>
                <w:sz w:val="24"/>
              </w:rPr>
            </w:pPr>
            <w:r>
              <w:rPr>
                <w:color w:val="231F20"/>
                <w:spacing w:val="-5"/>
                <w:sz w:val="24"/>
              </w:rPr>
              <w:t>陽性：轉介 </w:t>
            </w:r>
            <w:r>
              <w:rPr>
                <w:color w:val="231F20"/>
                <w:spacing w:val="-4"/>
                <w:sz w:val="24"/>
              </w:rPr>
              <w:t>LTBI</w:t>
            </w:r>
            <w:r>
              <w:rPr>
                <w:color w:val="231F20"/>
                <w:spacing w:val="-7"/>
                <w:sz w:val="24"/>
              </w:rPr>
              <w:t> 治療評估</w:t>
            </w:r>
          </w:p>
          <w:p>
            <w:pPr>
              <w:pStyle w:val="TableParagraph"/>
              <w:numPr>
                <w:ilvl w:val="0"/>
                <w:numId w:val="244"/>
              </w:numPr>
              <w:tabs>
                <w:tab w:pos="358" w:val="left" w:leader="none"/>
              </w:tabs>
              <w:spacing w:line="230" w:lineRule="auto" w:before="2" w:after="0"/>
              <w:ind w:left="357" w:right="34" w:hanging="244"/>
              <w:jc w:val="both"/>
              <w:rPr>
                <w:sz w:val="24"/>
              </w:rPr>
            </w:pPr>
            <w:r>
              <w:rPr>
                <w:color w:val="231F20"/>
                <w:spacing w:val="10"/>
                <w:sz w:val="24"/>
              </w:rPr>
              <w:t>不確定</w:t>
            </w:r>
            <w:r>
              <w:rPr>
                <w:color w:val="231F20"/>
                <w:spacing w:val="-4"/>
                <w:sz w:val="24"/>
              </w:rPr>
              <w:t>（mitogen-nil&lt;0.5)： </w:t>
            </w:r>
            <w:r>
              <w:rPr>
                <w:color w:val="231F20"/>
                <w:spacing w:val="24"/>
                <w:sz w:val="24"/>
              </w:rPr>
              <w:t>可能因接觸者免疫低所造</w:t>
            </w:r>
            <w:r>
              <w:rPr>
                <w:color w:val="231F20"/>
                <w:spacing w:val="5"/>
                <w:sz w:val="24"/>
              </w:rPr>
              <w:t>成，轉介 </w:t>
            </w:r>
            <w:r>
              <w:rPr>
                <w:color w:val="231F20"/>
                <w:spacing w:val="-4"/>
                <w:sz w:val="24"/>
              </w:rPr>
              <w:t>LTBI</w:t>
            </w:r>
            <w:r>
              <w:rPr>
                <w:color w:val="231F20"/>
                <w:spacing w:val="15"/>
                <w:sz w:val="24"/>
              </w:rPr>
              <w:t> 合作醫師評</w:t>
            </w:r>
            <w:r>
              <w:rPr>
                <w:color w:val="231F20"/>
                <w:sz w:val="24"/>
              </w:rPr>
              <w:t>估治療</w:t>
            </w:r>
          </w:p>
          <w:p>
            <w:pPr>
              <w:pStyle w:val="TableParagraph"/>
              <w:numPr>
                <w:ilvl w:val="0"/>
                <w:numId w:val="244"/>
              </w:numPr>
              <w:tabs>
                <w:tab w:pos="358" w:val="left" w:leader="none"/>
              </w:tabs>
              <w:spacing w:line="230" w:lineRule="auto" w:before="0" w:after="0"/>
              <w:ind w:left="357" w:right="67" w:hanging="244"/>
              <w:jc w:val="both"/>
              <w:rPr>
                <w:sz w:val="24"/>
              </w:rPr>
            </w:pPr>
            <w:r>
              <w:rPr>
                <w:color w:val="231F20"/>
                <w:spacing w:val="21"/>
                <w:sz w:val="24"/>
              </w:rPr>
              <w:t>不確定：若為採檢操作問</w:t>
            </w:r>
            <w:r>
              <w:rPr>
                <w:color w:val="231F20"/>
                <w:sz w:val="24"/>
              </w:rPr>
              <w:t>題，考慮重新採檢</w:t>
            </w:r>
          </w:p>
          <w:p>
            <w:pPr>
              <w:pStyle w:val="TableParagraph"/>
              <w:numPr>
                <w:ilvl w:val="0"/>
                <w:numId w:val="244"/>
              </w:numPr>
              <w:tabs>
                <w:tab w:pos="358" w:val="left" w:leader="none"/>
              </w:tabs>
              <w:spacing w:line="395" w:lineRule="exact" w:before="0" w:after="0"/>
              <w:ind w:left="357" w:right="0" w:hanging="244"/>
              <w:jc w:val="both"/>
              <w:rPr>
                <w:sz w:val="24"/>
              </w:rPr>
            </w:pPr>
            <w:r>
              <w:rPr>
                <w:color w:val="231F20"/>
                <w:sz w:val="24"/>
              </w:rPr>
              <w:t>陰性：衛教自我症狀監測</w:t>
            </w:r>
          </w:p>
          <w:p>
            <w:pPr>
              <w:pStyle w:val="TableParagraph"/>
              <w:spacing w:line="230" w:lineRule="auto"/>
              <w:ind w:left="357" w:right="93" w:hanging="244"/>
              <w:jc w:val="both"/>
              <w:rPr>
                <w:sz w:val="24"/>
              </w:rPr>
            </w:pPr>
            <w:r>
              <w:rPr>
                <w:rFonts w:ascii="Wingdings" w:hAnsi="Wingdings" w:eastAsia="Wingdings"/>
                <w:color w:val="231F20"/>
                <w:spacing w:val="29"/>
                <w:w w:val="160"/>
                <w:sz w:val="24"/>
              </w:rPr>
              <w:t>申</w:t>
            </w:r>
            <w:r>
              <w:rPr>
                <w:color w:val="231F20"/>
                <w:sz w:val="24"/>
              </w:rPr>
              <w:t>檢驗結果出現異常疑義，</w:t>
            </w:r>
            <w:r>
              <w:rPr>
                <w:color w:val="231F20"/>
                <w:spacing w:val="-223"/>
                <w:sz w:val="24"/>
              </w:rPr>
              <w:t>應</w:t>
            </w:r>
            <w:r>
              <w:rPr>
                <w:color w:val="231F20"/>
                <w:spacing w:val="-3"/>
                <w:sz w:val="24"/>
              </w:rPr>
              <w:t>主動釐清是否人為 </w:t>
            </w:r>
            <w:r>
              <w:rPr>
                <w:color w:val="231F20"/>
                <w:spacing w:val="1"/>
                <w:w w:val="65"/>
                <w:sz w:val="24"/>
              </w:rPr>
              <w:t>／ </w:t>
            </w:r>
            <w:r>
              <w:rPr>
                <w:color w:val="231F20"/>
                <w:spacing w:val="-4"/>
                <w:sz w:val="24"/>
              </w:rPr>
              <w:t>實驗室</w:t>
            </w:r>
            <w:r>
              <w:rPr>
                <w:color w:val="231F20"/>
                <w:spacing w:val="-5"/>
                <w:sz w:val="24"/>
              </w:rPr>
              <w:t>造成 </w:t>
            </w:r>
            <w:r>
              <w:rPr>
                <w:color w:val="231F20"/>
                <w:w w:val="65"/>
                <w:sz w:val="24"/>
              </w:rPr>
              <w:t>（ </w:t>
            </w:r>
            <w:r>
              <w:rPr>
                <w:color w:val="231F20"/>
                <w:sz w:val="24"/>
              </w:rPr>
              <w:t>溫度時間．)</w:t>
            </w:r>
          </w:p>
        </w:tc>
      </w:tr>
      <w:tr>
        <w:trPr>
          <w:trHeight w:val="451" w:hRule="atLeast"/>
        </w:trPr>
        <w:tc>
          <w:tcPr>
            <w:tcW w:w="824" w:type="dxa"/>
            <w:vMerge/>
            <w:tcBorders>
              <w:top w:val="nil"/>
            </w:tcBorders>
          </w:tcPr>
          <w:p>
            <w:pPr>
              <w:rPr>
                <w:sz w:val="2"/>
                <w:szCs w:val="2"/>
              </w:rPr>
            </w:pPr>
          </w:p>
        </w:tc>
        <w:tc>
          <w:tcPr>
            <w:tcW w:w="2644" w:type="dxa"/>
            <w:vMerge/>
            <w:tcBorders>
              <w:top w:val="nil"/>
            </w:tcBorders>
          </w:tcPr>
          <w:p>
            <w:pPr>
              <w:rPr>
                <w:sz w:val="2"/>
                <w:szCs w:val="2"/>
              </w:rPr>
            </w:pPr>
          </w:p>
        </w:tc>
        <w:tc>
          <w:tcPr>
            <w:tcW w:w="6150" w:type="dxa"/>
            <w:gridSpan w:val="2"/>
          </w:tcPr>
          <w:p>
            <w:pPr>
              <w:pStyle w:val="TableParagraph"/>
              <w:spacing w:line="406" w:lineRule="exact" w:before="25"/>
              <w:ind w:left="735" w:right="719"/>
              <w:jc w:val="center"/>
              <w:rPr>
                <w:sz w:val="24"/>
              </w:rPr>
            </w:pPr>
            <w:r>
              <w:rPr>
                <w:color w:val="231F20"/>
                <w:sz w:val="24"/>
              </w:rPr>
              <w:t>請參見附件 11-9「 潛伏結核感染檢驗簡介 J</w:t>
            </w:r>
          </w:p>
        </w:tc>
      </w:tr>
    </w:tbl>
    <w:p>
      <w:pPr>
        <w:rPr>
          <w:sz w:val="2"/>
          <w:szCs w:val="2"/>
        </w:rPr>
      </w:pPr>
      <w:r>
        <w:rPr/>
        <w:pict>
          <v:group style="position:absolute;margin-left:.0pt;margin-top:313.165009pt;width:37.35pt;height:528.550pt;mso-position-horizontal-relative:page;mso-position-vertical-relative:page;z-index:251966464"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192"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128</w:t>
                    </w:r>
                  </w:p>
                </w:txbxContent>
              </v:textbox>
              <w10:wrap type="none"/>
            </v:shape>
            <w10:wrap type="none"/>
          </v:group>
        </w:pict>
      </w:r>
    </w:p>
    <w:p>
      <w:pPr>
        <w:spacing w:after="0"/>
        <w:rPr>
          <w:sz w:val="2"/>
          <w:szCs w:val="2"/>
        </w:rPr>
        <w:sectPr>
          <w:pgSz w:w="11910" w:h="16840"/>
          <w:pgMar w:top="1200" w:bottom="0" w:left="980" w:right="0"/>
        </w:sectPr>
      </w:pPr>
    </w:p>
    <w:p>
      <w:pPr>
        <w:pStyle w:val="BodyText"/>
        <w:spacing w:before="59"/>
        <w:ind w:left="153"/>
      </w:pPr>
      <w:r>
        <w:rPr/>
        <w:pict>
          <v:group style="position:absolute;margin-left:56.808998pt;margin-top:22.247379pt;width:481.45pt;height:226.7pt;mso-position-horizontal-relative:page;mso-position-vertical-relative:paragraph;z-index:251974656" coordorigin="1136,445" coordsize="9629,4534">
            <v:shape style="position:absolute;left:1136;top:444;width:9629;height:4534" coordorigin="1136,445" coordsize="9629,4534" path="m10368,445l1533,445,1304,451,1186,495,1142,612,1136,842,1136,4582,1142,4811,1186,4929,1304,4972,1533,4978,10368,4978,10597,4972,10715,4929,10758,4811,10764,4582,10764,842,10758,612,10715,495,10597,451,10368,445xe" filled="true" fillcolor="#d1e2f4" stroked="false">
              <v:path arrowok="t"/>
              <v:fill type="solid"/>
            </v:shape>
            <v:shape style="position:absolute;left:1222;top:2364;width:970;height:1006" type="#_x0000_t75" stroked="false">
              <v:imagedata r:id="rId193" o:title=""/>
            </v:shape>
            <v:shape style="position:absolute;left:1198;top:2340;width:965;height:1000" type="#_x0000_t75" stroked="false">
              <v:imagedata r:id="rId194" o:title=""/>
            </v:shape>
            <v:rect style="position:absolute;left:1198;top:2340;width:965;height:1000" filled="false" stroked="true" strokeweight=".224pt" strokecolor="#58595b">
              <v:stroke dashstyle="solid"/>
            </v:rect>
            <v:shape style="position:absolute;left:1332;top:2550;width:703;height:141" type="#_x0000_t75" stroked="false">
              <v:imagedata r:id="rId195" o:title=""/>
            </v:shape>
            <v:shape style="position:absolute;left:1288;top:2762;width:556;height:167" type="#_x0000_t75" stroked="false">
              <v:imagedata r:id="rId196" o:title=""/>
            </v:shape>
            <v:shape style="position:absolute;left:1859;top:2792;width:217;height:308" type="#_x0000_t75" stroked="false">
              <v:imagedata r:id="rId197" o:title=""/>
            </v:shape>
            <v:shape style="position:absolute;left:1514;top:2981;width:129;height:799" type="#_x0000_t75" stroked="false">
              <v:imagedata r:id="rId198" o:title=""/>
            </v:shape>
            <v:shape style="position:absolute;left:1651;top:3005;width:205;height:308" type="#_x0000_t75" stroked="false">
              <v:imagedata r:id="rId199" o:title=""/>
            </v:shape>
            <v:shape style="position:absolute;left:2542;top:2432;width:1275;height:832" type="#_x0000_t75" stroked="false">
              <v:imagedata r:id="rId200" o:title=""/>
            </v:shape>
            <v:shape style="position:absolute;left:2519;top:2405;width:1270;height:828" type="#_x0000_t75" stroked="false">
              <v:imagedata r:id="rId201" o:title=""/>
            </v:shape>
            <v:shape style="position:absolute;left:2519;top:2405;width:1270;height:828" coordorigin="2519,2406" coordsize="1270,828" path="m2519,2819l3154,2406,3789,2819,3154,3233,2519,2819xe" filled="false" stroked="true" strokeweight=".224pt" strokecolor="#58595b">
              <v:path arrowok="t"/>
              <v:stroke dashstyle="solid"/>
            </v:shape>
            <v:shape style="position:absolute;left:2691;top:2665;width:211;height:308" type="#_x0000_t75" stroked="false">
              <v:imagedata r:id="rId202" o:title=""/>
            </v:shape>
            <v:shape style="position:absolute;left:2816;top:2849;width:491;height:640" type="#_x0000_t75" stroked="false">
              <v:imagedata r:id="rId203" o:title=""/>
            </v:shape>
            <v:shape style="position:absolute;left:2913;top:2636;width:697;height:630" type="#_x0000_t75" stroked="false">
              <v:imagedata r:id="rId204" o:title=""/>
            </v:shape>
            <v:line style="position:absolute" from="2164,2819" to="2424,2819" stroked="true" strokeweight=".896pt" strokecolor="#58595b">
              <v:stroke dashstyle="solid"/>
            </v:line>
            <v:shape style="position:absolute;left:2392;top:2751;width:127;height:137" coordorigin="2393,2751" coordsize="127,137" path="m2393,2751l2404,2785,2408,2820,2404,2854,2393,2888,2519,2819,2393,2751xe" filled="true" fillcolor="#58595b" stroked="false">
              <v:path arrowok="t"/>
              <v:fill type="solid"/>
            </v:shape>
            <v:shape style="position:absolute;left:4472;top:1190;width:868;height:568" type="#_x0000_t75" stroked="false">
              <v:imagedata r:id="rId205" o:title=""/>
            </v:shape>
            <v:shape style="position:absolute;left:4449;top:1164;width:864;height:563" type="#_x0000_t75" stroked="false">
              <v:imagedata r:id="rId206" o:title=""/>
            </v:shape>
            <v:shape style="position:absolute;left:4449;top:1164;width:864;height:563" coordorigin="4449,1165" coordsize="864,563" path="m4449,1446l4881,1165,5312,1446,4881,1727,4449,1446xe" filled="false" stroked="true" strokeweight=".224pt" strokecolor="#58595b">
              <v:path arrowok="t"/>
              <v:stroke dashstyle="solid"/>
            </v:shape>
            <v:shape style="position:absolute;left:4635;top:1398;width:205;height:308" type="#_x0000_t75" stroked="false">
              <v:imagedata r:id="rId199" o:title=""/>
            </v:shape>
            <v:shape style="position:absolute;left:4848;top:1371;width:270;height:273" type="#_x0000_t75" stroked="false">
              <v:imagedata r:id="rId207" o:title=""/>
            </v:shape>
            <v:shape style="position:absolute;left:3788;top:1446;width:565;height:1374" coordorigin="3789,1446" coordsize="565,1374" path="m3789,2819l3992,2819,3992,1446,4353,1446e" filled="false" stroked="true" strokeweight=".896pt" strokecolor="#58595b">
              <v:path arrowok="t"/>
              <v:stroke dashstyle="solid"/>
            </v:shape>
            <v:shape style="position:absolute;left:4322;top:1377;width:127;height:138" type="#_x0000_t75" stroked="false">
              <v:imagedata r:id="rId208" o:title=""/>
            </v:shape>
            <v:shape style="position:absolute;left:3920;top:1888;width:144;height:825" type="#_x0000_t75" stroked="false">
              <v:imagedata r:id="rId209" o:title=""/>
            </v:shape>
            <v:shape style="position:absolute;left:9400;top:2512;width:1270;height:552" type="#_x0000_t75" stroked="false">
              <v:imagedata r:id="rId210" o:title=""/>
            </v:shape>
            <v:shape style="position:absolute;left:9400;top:2759;width:1271;height:308" type="#_x0000_t75" stroked="false">
              <v:imagedata r:id="rId211" o:title=""/>
            </v:shape>
            <v:shape style="position:absolute;left:9399;top:2511;width:1269;height:287" type="#_x0000_t75" stroked="false">
              <v:imagedata r:id="rId212" o:title=""/>
            </v:shape>
            <v:shape style="position:absolute;left:9375;top:2484;width:1270;height:552" type="#_x0000_t75" stroked="false">
              <v:imagedata r:id="rId213" o:title=""/>
            </v:shape>
            <v:shape style="position:absolute;left:9375;top:2484;width:1270;height:552" coordorigin="9375,2485" coordsize="1270,552" path="m9629,3037l10390,3037,10458,3027,10519,2999,10570,2956,10610,2900,10635,2834,10644,2761,10635,2687,10610,2622,10570,2566,10519,2523,10458,2495,10390,2485,9629,2485,9561,2495,9501,2523,9449,2566,9410,2622,9384,2687,9375,2761,9384,2834,9410,2900,9449,2956,9501,2999,9561,3027,9629,3037xe" filled="false" stroked="true" strokeweight=".224pt" strokecolor="#58595b">
              <v:path arrowok="t"/>
              <v:stroke dashstyle="solid"/>
            </v:shape>
            <v:shape style="position:absolute;left:9609;top:2577;width:270;height:281" type="#_x0000_t75" stroked="false">
              <v:imagedata r:id="rId214" o:title=""/>
            </v:shape>
            <v:shape style="position:absolute;left:9898;top:2607;width:223;height:303" type="#_x0000_t75" stroked="false">
              <v:imagedata r:id="rId215" o:title=""/>
            </v:shape>
            <v:shape style="position:absolute;left:10141;top:2577;width:270;height:277" type="#_x0000_t75" stroked="false">
              <v:imagedata r:id="rId216" o:title=""/>
            </v:shape>
            <v:shape style="position:absolute;left:9473;top:2790;width:416;height:207" type="#_x0000_t75" stroked="false">
              <v:imagedata r:id="rId217" o:title=""/>
            </v:shape>
            <v:shape style="position:absolute;left:9906;top:2819;width:129;height:602" type="#_x0000_t75" stroked="false">
              <v:imagedata r:id="rId218" o:title=""/>
            </v:shape>
            <v:shape style="position:absolute;left:10048;top:2791;width:258;height:277" type="#_x0000_t75" stroked="false">
              <v:imagedata r:id="rId219" o:title=""/>
            </v:shape>
            <v:shape style="position:absolute;left:10332;top:2819;width:217;height:308" type="#_x0000_t75" stroked="false">
              <v:imagedata r:id="rId220" o:title=""/>
            </v:shape>
            <v:shape style="position:absolute;left:3788;top:2819;width:565;height:1553" coordorigin="3789,2819" coordsize="565,1553" path="m3789,2819l4018,2819,4018,4372,4353,4372e" filled="false" stroked="true" strokeweight=".896pt" strokecolor="#58595b">
              <v:path arrowok="t"/>
              <v:stroke dashstyle="solid"/>
            </v:shape>
            <v:shape style="position:absolute;left:4322;top:4302;width:127;height:137" type="#_x0000_t75" stroked="false">
              <v:imagedata r:id="rId221" o:title=""/>
            </v:shape>
            <v:shape style="position:absolute;left:3945;top:3599;width:144;height:830" type="#_x0000_t75" stroked="false">
              <v:imagedata r:id="rId222" o:title=""/>
            </v:shape>
            <v:shape style="position:absolute;left:6833;top:3940;width:1274;height:888" type="#_x0000_t75" stroked="false">
              <v:imagedata r:id="rId223" o:title=""/>
            </v:shape>
            <v:shape style="position:absolute;left:6810;top:3915;width:1270;height:883" type="#_x0000_t75" stroked="false">
              <v:imagedata r:id="rId224" o:title=""/>
            </v:shape>
            <v:shape style="position:absolute;left:6810;top:3915;width:1270;height:883" coordorigin="6810,3916" coordsize="1270,883" path="m6810,4357l7445,3916,8080,4357,7445,4798,6810,4357xe" filled="false" stroked="true" strokeweight=".224pt" strokecolor="#58595b">
              <v:path arrowok="t"/>
              <v:stroke dashstyle="solid"/>
            </v:shape>
            <v:shape style="position:absolute;left:7070;top:4103;width:684;height:791" type="#_x0000_t75" stroked="false">
              <v:imagedata r:id="rId225" o:title=""/>
            </v:shape>
            <v:shape style="position:absolute;left:7588;top:4290;width:240;height:365" type="#_x0000_t75" stroked="false">
              <v:imagedata r:id="rId226" o:title=""/>
            </v:shape>
            <v:shape style="position:absolute;left:7167;top:4501;width:182;height:392" type="#_x0000_t75" stroked="false">
              <v:imagedata r:id="rId227" o:title=""/>
            </v:shape>
            <v:shape style="position:absolute;left:7355;top:4462;width:112;height:202" type="#_x0000_t75" stroked="false">
              <v:imagedata r:id="rId228" o:title=""/>
            </v:shape>
            <v:shape style="position:absolute;left:7479;top:4476;width:240;height:365" type="#_x0000_t75" stroked="false">
              <v:imagedata r:id="rId229" o:title=""/>
            </v:shape>
            <v:shape style="position:absolute;left:9400;top:4108;width:1270;height:552" type="#_x0000_t75" stroked="false">
              <v:imagedata r:id="rId230" o:title=""/>
            </v:shape>
            <v:shape style="position:absolute;left:9400;top:4339;width:1271;height:324" type="#_x0000_t75" stroked="false">
              <v:imagedata r:id="rId231" o:title=""/>
            </v:shape>
            <v:shape style="position:absolute;left:9399;top:4106;width:1268;height:287" type="#_x0000_t75" stroked="false">
              <v:imagedata r:id="rId232" o:title=""/>
            </v:shape>
            <v:shape style="position:absolute;left:9375;top:4081;width:1270;height:552" type="#_x0000_t75" stroked="false">
              <v:imagedata r:id="rId233" o:title=""/>
            </v:shape>
            <v:shape style="position:absolute;left:9375;top:4081;width:1270;height:552" coordorigin="9375,4081" coordsize="1270,552" path="m9629,4633l10390,4633,10458,4623,10519,4595,10570,4552,10610,4496,10635,4430,10644,4357,10635,4284,10610,4218,10570,4162,10519,4119,10458,4091,10390,4081,9629,4081,9561,4091,9501,4119,9449,4162,9410,4218,9384,4284,9375,4357,9384,4430,9410,4496,9449,4552,9501,4595,9561,4623,9629,4633xe" filled="false" stroked="true" strokeweight=".224pt" strokecolor="#58595b">
              <v:path arrowok="t"/>
              <v:stroke dashstyle="solid"/>
            </v:shape>
            <v:shape style="position:absolute;left:9517;top:4174;width:989;height:106" type="#_x0000_t75" stroked="false">
              <v:imagedata r:id="rId234" o:title=""/>
            </v:shape>
            <v:shape style="position:absolute;left:9517;top:4279;width:989;height:106" type="#_x0000_t75" stroked="false">
              <v:imagedata r:id="rId235" o:title=""/>
            </v:shape>
            <v:shape style="position:absolute;left:9473;top:4386;width:416;height:207" type="#_x0000_t75" stroked="false">
              <v:imagedata r:id="rId217" o:title=""/>
            </v:shape>
            <v:shape style="position:absolute;left:9906;top:4416;width:129;height:478" type="#_x0000_t75" stroked="false">
              <v:imagedata r:id="rId236" o:title=""/>
            </v:shape>
            <v:shape style="position:absolute;left:10048;top:4387;width:258;height:277" type="#_x0000_t75" stroked="false">
              <v:imagedata r:id="rId219" o:title=""/>
            </v:shape>
            <v:shape style="position:absolute;left:10332;top:4416;width:217;height:308" type="#_x0000_t75" stroked="false">
              <v:imagedata r:id="rId220" o:title=""/>
            </v:shape>
            <v:shape style="position:absolute;left:6605;top:914;width:640;height:419" type="#_x0000_t75" stroked="false">
              <v:imagedata r:id="rId237" o:title=""/>
            </v:shape>
            <v:shape style="position:absolute;left:6582;top:888;width:635;height:415" type="#_x0000_t75" stroked="false">
              <v:imagedata r:id="rId238" o:title=""/>
            </v:shape>
            <v:rect style="position:absolute;left:6582;top:888;width:635;height:415" filled="false" stroked="true" strokeweight=".224pt" strokecolor="#58595b">
              <v:stroke dashstyle="solid"/>
            </v:rect>
            <v:shape style="position:absolute;left:6770;top:1018;width:264;height:277" type="#_x0000_t75" stroked="false">
              <v:imagedata r:id="rId239" o:title=""/>
            </v:shape>
            <v:line style="position:absolute" from="4881,1165" to="6486,1165" stroked="true" strokeweight=".896pt" strokecolor="#58595b">
              <v:stroke dashstyle="solid"/>
            </v:line>
            <v:shape style="position:absolute;left:6455;top:1096;width:127;height:137" type="#_x0000_t75" stroked="false">
              <v:imagedata r:id="rId240" o:title=""/>
            </v:shape>
            <v:shape style="position:absolute;left:9400;top:847;width:1270;height:552" type="#_x0000_t75" stroked="false">
              <v:imagedata r:id="rId241" o:title=""/>
            </v:shape>
            <v:shape style="position:absolute;left:9400;top:1072;width:1272;height:330" type="#_x0000_t75" stroked="false">
              <v:imagedata r:id="rId242" o:title=""/>
            </v:shape>
            <v:shape style="position:absolute;left:9400;top:846;width:1266;height:287" type="#_x0000_t75" stroked="false">
              <v:imagedata r:id="rId243" o:title=""/>
            </v:shape>
            <v:shape style="position:absolute;left:9375;top:820;width:1270;height:552" type="#_x0000_t75" stroked="false">
              <v:imagedata r:id="rId244" o:title=""/>
            </v:shape>
            <v:shape style="position:absolute;left:9375;top:820;width:1270;height:552" coordorigin="9375,820" coordsize="1270,552" path="m9629,1372l10390,1372,10458,1362,10519,1334,10570,1291,10610,1235,10635,1169,10644,1096,10635,1023,10610,957,10570,901,10519,858,10458,830,10390,820,9629,820,9561,830,9501,858,9449,901,9410,957,9384,1023,9375,1096,9384,1169,9410,1235,9449,1291,9501,1334,9561,1362,9629,1372xe" filled="false" stroked="true" strokeweight=".224pt" strokecolor="#58595b">
              <v:path arrowok="t"/>
              <v:stroke dashstyle="solid"/>
            </v:shape>
            <v:shape style="position:absolute;left:9473;top:1018;width:416;height:207" type="#_x0000_t75" stroked="false">
              <v:imagedata r:id="rId217" o:title=""/>
            </v:shape>
            <v:shape style="position:absolute;left:9906;top:1048;width:129;height:602" type="#_x0000_t75" stroked="false">
              <v:imagedata r:id="rId218" o:title=""/>
            </v:shape>
            <v:shape style="position:absolute;left:10048;top:1019;width:258;height:277" type="#_x0000_t75" stroked="false">
              <v:imagedata r:id="rId219" o:title=""/>
            </v:shape>
            <v:shape style="position:absolute;left:10332;top:1048;width:217;height:308" type="#_x0000_t75" stroked="false">
              <v:imagedata r:id="rId220" o:title=""/>
            </v:shape>
            <v:line style="position:absolute" from="7216,1096" to="9279,1096" stroked="true" strokeweight=".896pt" strokecolor="#58595b">
              <v:stroke dashstyle="solid"/>
            </v:line>
            <v:shape style="position:absolute;left:9248;top:1027;width:127;height:138" type="#_x0000_t75" stroked="false">
              <v:imagedata r:id="rId208" o:title=""/>
            </v:shape>
            <v:shape style="position:absolute;left:6605;top:1811;width:640;height:419" type="#_x0000_t75" stroked="false">
              <v:imagedata r:id="rId245" o:title=""/>
            </v:shape>
            <v:shape style="position:absolute;left:6582;top:1785;width:635;height:414" type="#_x0000_t75" stroked="false">
              <v:imagedata r:id="rId246" o:title=""/>
            </v:shape>
            <v:rect style="position:absolute;left:6582;top:1785;width:635;height:414" filled="false" stroked="true" strokeweight=".224pt" strokecolor="#58595b">
              <v:stroke dashstyle="solid"/>
            </v:rect>
            <v:shape style="position:absolute;left:6770;top:1916;width:264;height:277" type="#_x0000_t75" stroked="false">
              <v:imagedata r:id="rId247" o:title=""/>
            </v:shape>
            <v:shape style="position:absolute;left:4880;top:1727;width:1606;height:265" coordorigin="4881,1727" coordsize="1606,265" path="m4881,1727l4881,1992,6486,1992e" filled="false" stroked="true" strokeweight=".896pt" strokecolor="#58595b">
              <v:path arrowok="t"/>
              <v:stroke dashstyle="solid"/>
            </v:shape>
            <v:shape style="position:absolute;left:6455;top:1923;width:127;height:137" type="#_x0000_t75" stroked="false">
              <v:imagedata r:id="rId248" o:title=""/>
            </v:shape>
            <v:shape style="position:absolute;left:7697;top:1604;width:1275;height:832" type="#_x0000_t75" stroked="false">
              <v:imagedata r:id="rId249" o:title=""/>
            </v:shape>
            <v:shape style="position:absolute;left:7673;top:1578;width:1270;height:828" type="#_x0000_t75" stroked="false">
              <v:imagedata r:id="rId250" o:title=""/>
            </v:shape>
            <v:shape style="position:absolute;left:7673;top:1578;width:1270;height:828" coordorigin="7674,1579" coordsize="1270,828" path="m7674,1992l8309,1579,8944,1992,8309,2406,7674,1992xe" filled="false" stroked="true" strokeweight=".224pt" strokecolor="#58595b">
              <v:path arrowok="t"/>
              <v:stroke dashstyle="solid"/>
            </v:shape>
            <v:shape style="position:absolute;left:8054;top:1945;width:223;height:303" type="#_x0000_t75" stroked="false">
              <v:imagedata r:id="rId251" o:title=""/>
            </v:shape>
            <v:shape style="position:absolute;left:8296;top:1915;width:270;height:277" type="#_x0000_t75" stroked="false">
              <v:imagedata r:id="rId216" o:title=""/>
            </v:shape>
            <v:line style="position:absolute" from="7216,1992" to="7579,1992" stroked="true" strokeweight=".896pt" strokecolor="#58595b">
              <v:stroke dashstyle="solid"/>
            </v:line>
            <v:shape style="position:absolute;left:7547;top:1923;width:126;height:137" coordorigin="7548,1924" coordsize="126,137" path="m7548,1924l7559,1957,7563,1992,7559,2027,7548,2061,7674,1992,7548,1924xe" filled="true" fillcolor="#58595b" stroked="false">
              <v:path arrowok="t"/>
              <v:fill type="solid"/>
            </v:shape>
            <v:shape style="position:absolute;left:9400;top:1744;width:1270;height:552" type="#_x0000_t75" stroked="false">
              <v:imagedata r:id="rId252" o:title=""/>
            </v:shape>
            <v:shape style="position:absolute;left:9400;top:1974;width:1272;height:324" type="#_x0000_t75" stroked="false">
              <v:imagedata r:id="rId253" o:title=""/>
            </v:shape>
            <v:shape style="position:absolute;left:9399;top:1742;width:1268;height:289" type="#_x0000_t75" stroked="false">
              <v:imagedata r:id="rId254" o:title=""/>
            </v:shape>
            <v:shape style="position:absolute;left:9375;top:1716;width:1270;height:552" type="#_x0000_t75" stroked="false">
              <v:imagedata r:id="rId255" o:title=""/>
            </v:shape>
            <v:shape style="position:absolute;left:9375;top:1716;width:1270;height:552" coordorigin="9375,1716" coordsize="1270,552" path="m9629,2268l10390,2268,10458,2258,10519,2230,10570,2187,10610,2131,10635,2065,10644,1992,10635,1919,10610,1853,10570,1797,10519,1754,10458,1726,10390,1716,9629,1716,9561,1726,9501,1754,9449,1797,9410,1853,9384,1919,9375,1992,9384,2065,9410,2131,9449,2187,9501,2230,9561,2258,9629,2268xe" filled="false" stroked="true" strokeweight=".224pt" strokecolor="#58595b">
              <v:path arrowok="t"/>
              <v:stroke dashstyle="solid"/>
            </v:shape>
            <v:shape style="position:absolute;left:9489;top:1809;width:336;height:816" type="#_x0000_t75" stroked="false">
              <v:imagedata r:id="rId256" o:title=""/>
            </v:shape>
            <v:shape style="position:absolute;left:9839;top:1809;width:691;height:141" type="#_x0000_t75" stroked="false">
              <v:imagedata r:id="rId257" o:title=""/>
            </v:shape>
            <v:shape style="position:absolute;left:9545;top:2021;width:270;height:277" type="#_x0000_t75" stroked="false">
              <v:imagedata r:id="rId258" o:title=""/>
            </v:shape>
            <v:shape style="position:absolute;left:9834;top:2051;width:129;height:602" type="#_x0000_t75" stroked="false">
              <v:imagedata r:id="rId218" o:title=""/>
            </v:shape>
            <v:shape style="position:absolute;left:9976;top:2022;width:258;height:277" type="#_x0000_t75" stroked="false">
              <v:imagedata r:id="rId259" o:title=""/>
            </v:shape>
            <v:shape style="position:absolute;left:10260;top:2051;width:217;height:308" type="#_x0000_t75" stroked="false">
              <v:imagedata r:id="rId220" o:title=""/>
            </v:shape>
            <v:shape style="position:absolute;left:8943;top:1991;width:336;height:2" coordorigin="8944,1992" coordsize="336,0" path="m9231,1992l9279,1992m8944,1992l9088,1992e" filled="false" stroked="true" strokeweight=".896pt" strokecolor="#58595b">
              <v:path arrowok="t"/>
              <v:stroke dashstyle="solid"/>
            </v:shape>
            <v:shape style="position:absolute;left:9248;top:1923;width:127;height:137" coordorigin="9249,1924" coordsize="127,137" path="m9249,1924l9260,1957,9264,1992,9260,2027,9249,2061,9375,1992,9249,1924xe" filled="true" fillcolor="#58595b" stroked="false">
              <v:path arrowok="t"/>
              <v:fill type="solid"/>
            </v:shape>
            <v:shape style="position:absolute;left:9087;top:1885;width:144;height:830" type="#_x0000_t75" stroked="false">
              <v:imagedata r:id="rId260" o:title=""/>
            </v:shape>
            <v:shape style="position:absolute;left:8308;top:2405;width:971;height:355" coordorigin="8309,2406" coordsize="971,355" path="m8309,2406l8309,2761,9279,2761e" filled="false" stroked="true" strokeweight=".896pt" strokecolor="#58595b">
              <v:path arrowok="t"/>
              <v:stroke dashstyle="solid"/>
            </v:shape>
            <v:shape style="position:absolute;left:9248;top:2691;width:127;height:138" type="#_x0000_t75" stroked="false">
              <v:imagedata r:id="rId208" o:title=""/>
            </v:shape>
            <v:shape style="position:absolute;left:8607;top:2653;width:144;height:826" type="#_x0000_t75" stroked="false">
              <v:imagedata r:id="rId261" o:title=""/>
            </v:shape>
            <v:shape style="position:absolute;left:4472;top:4115;width:868;height:568" type="#_x0000_t75" stroked="false">
              <v:imagedata r:id="rId262" o:title=""/>
            </v:shape>
            <v:shape style="position:absolute;left:4449;top:4089;width:864;height:563" type="#_x0000_t75" stroked="false">
              <v:imagedata r:id="rId263" o:title=""/>
            </v:shape>
            <v:shape style="position:absolute;left:4449;top:4089;width:864;height:563" coordorigin="4449,4090" coordsize="864,563" path="m4449,4372l4881,4090,5312,4372,4881,4652,4449,4372xe" filled="false" stroked="true" strokeweight=".224pt" strokecolor="#58595b">
              <v:path arrowok="t"/>
              <v:stroke dashstyle="solid"/>
            </v:shape>
            <v:shape style="position:absolute;left:4635;top:4323;width:205;height:308" type="#_x0000_t75" stroked="false">
              <v:imagedata r:id="rId199" o:title=""/>
            </v:shape>
            <v:shape style="position:absolute;left:4848;top:4296;width:270;height:273" type="#_x0000_t75" stroked="false">
              <v:imagedata r:id="rId207" o:title=""/>
            </v:shape>
            <v:shape style="position:absolute;left:5882;top:4190;width:639;height:419" type="#_x0000_t75" stroked="false">
              <v:imagedata r:id="rId264" o:title=""/>
            </v:shape>
            <v:shape style="position:absolute;left:5858;top:4164;width:635;height:415" type="#_x0000_t75" stroked="false">
              <v:imagedata r:id="rId265" o:title=""/>
            </v:shape>
            <v:rect style="position:absolute;left:5858;top:4164;width:635;height:415" filled="false" stroked="true" strokeweight=".224pt" strokecolor="#58595b">
              <v:stroke dashstyle="solid"/>
            </v:rect>
            <v:shape style="position:absolute;left:6046;top:4293;width:264;height:277" type="#_x0000_t75" stroked="false">
              <v:imagedata r:id="rId266" o:title=""/>
            </v:shape>
            <v:shape style="position:absolute;left:7151;top:2844;width:640;height:420" type="#_x0000_t75" stroked="false">
              <v:imagedata r:id="rId267" o:title=""/>
            </v:shape>
            <v:shape style="position:absolute;left:7127;top:2819;width:635;height:415" type="#_x0000_t75" stroked="false">
              <v:imagedata r:id="rId268" o:title=""/>
            </v:shape>
            <v:rect style="position:absolute;left:7127;top:2819;width:635;height:415" filled="false" stroked="true" strokeweight=".224pt" strokecolor="#58595b">
              <v:stroke dashstyle="solid"/>
            </v:rect>
            <v:shape style="position:absolute;left:7315;top:2950;width:264;height:277" type="#_x0000_t75" stroked="false">
              <v:imagedata r:id="rId269" o:title=""/>
            </v:shape>
            <v:line style="position:absolute" from="7445,3916" to="7445,3337" stroked="true" strokeweight=".896pt" strokecolor="#58595b">
              <v:stroke dashstyle="solid"/>
            </v:line>
            <v:shape style="position:absolute;left:7382;top:3233;width:126;height:137" type="#_x0000_t75" stroked="false">
              <v:imagedata r:id="rId270" o:title=""/>
            </v:shape>
            <v:line style="position:absolute" from="7420,2819" to="7442,2096" stroked="true" strokeweight=".896pt" strokecolor="#58595b">
              <v:stroke dashstyle="solid"/>
            </v:line>
            <v:shape style="position:absolute;left:7378;top:1991;width:126;height:140" type="#_x0000_t75" stroked="false">
              <v:imagedata r:id="rId271" o:title=""/>
            </v:shape>
            <v:shape style="position:absolute;left:8484;top:4175;width:640;height:419" type="#_x0000_t75" stroked="false">
              <v:imagedata r:id="rId272" o:title=""/>
            </v:shape>
            <v:shape style="position:absolute;left:8460;top:4149;width:635;height:415" type="#_x0000_t75" stroked="false">
              <v:imagedata r:id="rId273" o:title=""/>
            </v:shape>
            <v:rect style="position:absolute;left:8460;top:4149;width:635;height:415" filled="false" stroked="true" strokeweight=".224pt" strokecolor="#58595b">
              <v:stroke dashstyle="solid"/>
            </v:rect>
            <v:shape style="position:absolute;left:8649;top:4279;width:264;height:277" type="#_x0000_t75" stroked="false">
              <v:imagedata r:id="rId274" o:title=""/>
            </v:shape>
            <v:line style="position:absolute" from="5312,4372" to="5763,4372" stroked="true" strokeweight=".896pt" strokecolor="#58595b">
              <v:stroke dashstyle="solid"/>
            </v:line>
            <v:shape style="position:absolute;left:5732;top:4302;width:126;height:137" type="#_x0000_t75" stroked="false">
              <v:imagedata r:id="rId275" o:title=""/>
            </v:shape>
            <v:line style="position:absolute" from="6484,4366" to="6724,4366" stroked="true" strokeweight="1.408pt" strokecolor="#58595b">
              <v:stroke dashstyle="solid"/>
            </v:line>
            <v:shape style="position:absolute;left:6681;top:4293;width:129;height:137" coordorigin="6682,4294" coordsize="129,137" path="m6682,4294l6694,4327,6699,4362,6697,4397,6687,4431,6810,4357,6682,4294xe" filled="true" fillcolor="#58595b" stroked="false">
              <v:path arrowok="t"/>
              <v:fill type="solid"/>
            </v:shape>
            <v:line style="position:absolute" from="8080,4357" to="8366,4357" stroked="true" strokeweight=".896pt" strokecolor="#58595b">
              <v:stroke dashstyle="solid"/>
            </v:line>
            <v:shape style="position:absolute;left:8334;top:4288;width:126;height:137" coordorigin="8335,4288" coordsize="126,137" path="m8335,4288l8346,4322,8350,4357,8346,4391,8335,4425,8461,4357,8335,4288xe" filled="true" fillcolor="#58595b" stroked="false">
              <v:path arrowok="t"/>
              <v:fill type="solid"/>
            </v:shape>
            <v:line style="position:absolute" from="9096,4357" to="9279,4357" stroked="true" strokeweight=".896pt" strokecolor="#58595b">
              <v:stroke dashstyle="solid"/>
            </v:line>
            <v:shape style="position:absolute;left:9248;top:4288;width:127;height:137" coordorigin="9249,4288" coordsize="127,137" path="m9249,4288l9260,4322,9264,4357,9260,4391,9249,4425,9375,4357,9249,4288xe" filled="true" fillcolor="#58595b" stroked="false">
              <v:path arrowok="t"/>
              <v:fill type="solid"/>
            </v:shape>
            <v:shape style="position:absolute;left:4599;top:2844;width:640;height:426" type="#_x0000_t75" stroked="false">
              <v:imagedata r:id="rId276" o:title=""/>
            </v:shape>
            <v:shape style="position:absolute;left:4575;top:2819;width:635;height:420" type="#_x0000_t75" stroked="false">
              <v:imagedata r:id="rId277" o:title=""/>
            </v:shape>
            <v:rect style="position:absolute;left:4575;top:2819;width:635;height:420" filled="false" stroked="true" strokeweight=".224pt" strokecolor="#58595b">
              <v:stroke dashstyle="solid"/>
            </v:rect>
            <v:shape style="position:absolute;left:4764;top:2953;width:264;height:277" type="#_x0000_t75" stroked="false">
              <v:imagedata r:id="rId269" o:title=""/>
            </v:shape>
            <v:line style="position:absolute" from="4893,4081" to="4893,3343" stroked="true" strokeweight=".896pt" strokecolor="#58595b">
              <v:stroke dashstyle="solid"/>
            </v:line>
            <v:shape style="position:absolute;left:4830;top:3239;width:127;height:137" type="#_x0000_t75" stroked="false">
              <v:imagedata r:id="rId278" o:title=""/>
            </v:shape>
            <v:line style="position:absolute" from="4881,2819" to="4881,2112" stroked="true" strokeweight=".896pt" strokecolor="#58595b">
              <v:stroke dashstyle="solid"/>
            </v:line>
            <v:shape style="position:absolute;left:4817;top:2007;width:126;height:137" type="#_x0000_t75" stroked="false">
              <v:imagedata r:id="rId279" o:title=""/>
            </v:shape>
            <v:shape style="position:absolute;left:1303;top:1459;width:1786;height:240" type="#_x0000_t202" filled="false" stroked="false">
              <v:textbox inset="0,0,0,0">
                <w:txbxContent>
                  <w:p>
                    <w:pPr>
                      <w:spacing w:line="239" w:lineRule="exact" w:before="0"/>
                      <w:ind w:left="0" w:right="0" w:firstLine="0"/>
                      <w:jc w:val="left"/>
                      <w:rPr>
                        <w:rFonts w:ascii="微軟正黑體" w:eastAsia="微軟正黑體" w:hint="eastAsia"/>
                        <w:b/>
                        <w:sz w:val="18"/>
                      </w:rPr>
                    </w:pPr>
                    <w:r>
                      <w:rPr>
                        <w:rFonts w:ascii="微軟正黑體" w:eastAsia="微軟正黑體" w:hint="eastAsia"/>
                        <w:b/>
                        <w:color w:val="ED1C24"/>
                        <w:spacing w:val="-6"/>
                        <w:sz w:val="18"/>
                      </w:rPr>
                      <w:t>未滿 </w:t>
                    </w:r>
                    <w:r>
                      <w:rPr>
                        <w:rFonts w:ascii="微軟正黑體" w:eastAsia="微軟正黑體" w:hint="eastAsia"/>
                        <w:b/>
                        <w:color w:val="ED1C24"/>
                        <w:sz w:val="18"/>
                      </w:rPr>
                      <w:t>2</w:t>
                    </w:r>
                    <w:r>
                      <w:rPr>
                        <w:rFonts w:ascii="微軟正黑體" w:eastAsia="微軟正黑體" w:hint="eastAsia"/>
                        <w:b/>
                        <w:color w:val="ED1C24"/>
                        <w:spacing w:val="-6"/>
                        <w:sz w:val="18"/>
                      </w:rPr>
                      <w:t> 歲兒童接觸者 </w:t>
                    </w:r>
                    <w:r>
                      <w:rPr>
                        <w:rFonts w:ascii="微軟正黑體" w:eastAsia="微軟正黑體" w:hint="eastAsia"/>
                        <w:b/>
                        <w:color w:val="ED1C24"/>
                        <w:w w:val="75"/>
                        <w:sz w:val="18"/>
                      </w:rPr>
                      <w:t>＊</w:t>
                    </w:r>
                  </w:p>
                </w:txbxContent>
              </v:textbox>
              <w10:wrap type="none"/>
            </v:shape>
            <w10:wrap type="none"/>
          </v:group>
        </w:pict>
      </w:r>
      <w:r>
        <w:rPr>
          <w:color w:val="231F20"/>
        </w:rPr>
        <w:t>圖 2、接觸者 LTBI 檢驗流程</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spacing w:line="304" w:lineRule="exact" w:before="50"/>
        <w:ind w:left="748" w:right="0" w:firstLine="0"/>
        <w:jc w:val="left"/>
        <w:rPr>
          <w:rFonts w:ascii="微軟正黑體" w:eastAsia="微軟正黑體" w:hint="eastAsia"/>
          <w:b/>
          <w:sz w:val="20"/>
        </w:rPr>
      </w:pPr>
      <w:r>
        <w:rPr/>
        <w:pict>
          <v:group style="position:absolute;margin-left:557.686523pt;margin-top:9.995505pt;width:37.35pt;height:528.550pt;mso-position-horizontal-relative:page;mso-position-vertical-relative:paragraph;z-index:251972608" coordorigin="11154,200" coordsize="747,10571">
            <v:shape style="position:absolute;left:11283;top:711;width:438;height:10060" type="#_x0000_t75" stroked="false">
              <v:imagedata r:id="rId180" o:title=""/>
            </v:shape>
            <v:shape style="position:absolute;left:11153;top:199;width:747;height:812" coordorigin="11154,200" coordsize="747,812" path="m11900,200l11536,200,11514,202,11454,236,11188,518,11154,606,11162,652,11454,975,11514,1009,11536,1011,11900,1011,11900,200xe" filled="true" fillcolor="#5daf8a" stroked="false">
              <v:path arrowok="t"/>
              <v:fill type="solid"/>
            </v:shape>
            <v:shape style="position:absolute;left:11321;top:466;width:331;height:274" type="#_x0000_t75" stroked="false">
              <v:imagedata r:id="rId280" o:title=""/>
            </v:shape>
            <v:shape style="position:absolute;left:11378;top:1146;width:251;height:3264" type="#_x0000_t75" stroked="false">
              <v:imagedata r:id="rId182" o:title=""/>
            </v:shape>
            <v:shape style="position:absolute;left:11368;top:10208;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129</w:t>
                    </w:r>
                  </w:p>
                </w:txbxContent>
              </v:textbox>
              <w10:wrap type="none"/>
            </v:shape>
            <w10:wrap type="none"/>
          </v:group>
        </w:pict>
      </w:r>
      <w:r>
        <w:rPr>
          <w:rFonts w:ascii="微軟正黑體" w:eastAsia="微軟正黑體" w:hint="eastAsia"/>
          <w:b/>
          <w:color w:val="231F20"/>
          <w:w w:val="85"/>
          <w:sz w:val="20"/>
        </w:rPr>
        <w:t>＊</w:t>
      </w:r>
      <w:r>
        <w:rPr>
          <w:rFonts w:ascii="微軟正黑體" w:eastAsia="微軟正黑體" w:hint="eastAsia"/>
          <w:b/>
          <w:color w:val="231F20"/>
          <w:sz w:val="20"/>
        </w:rPr>
        <w:t>胎兒至出生 30 日內新生兒接觸者無須 TST．於指標個案確診後．</w:t>
      </w:r>
      <w:r>
        <w:rPr>
          <w:rFonts w:ascii="微軟正黑體" w:eastAsia="微軟正黑體" w:hint="eastAsia"/>
          <w:b/>
          <w:color w:val="ED1C24"/>
          <w:sz w:val="20"/>
        </w:rPr>
        <w:t>排除結核病．</w:t>
      </w:r>
      <w:r>
        <w:rPr>
          <w:rFonts w:ascii="微軟正黑體" w:eastAsia="微軟正黑體" w:hint="eastAsia"/>
          <w:b/>
          <w:color w:val="231F20"/>
          <w:sz w:val="20"/>
        </w:rPr>
        <w:t>儘速接受預防性治療</w:t>
      </w:r>
    </w:p>
    <w:p>
      <w:pPr>
        <w:spacing w:line="240" w:lineRule="exact" w:before="0"/>
        <w:ind w:left="748" w:right="0" w:firstLine="0"/>
        <w:jc w:val="left"/>
        <w:rPr>
          <w:rFonts w:ascii="微軟正黑體" w:eastAsia="微軟正黑體" w:hint="eastAsia"/>
          <w:b/>
          <w:sz w:val="20"/>
        </w:rPr>
      </w:pPr>
      <w:r>
        <w:rPr>
          <w:rFonts w:ascii="微軟正黑體" w:eastAsia="微軟正黑體" w:hint="eastAsia"/>
          <w:b/>
          <w:color w:val="231F20"/>
          <w:w w:val="75"/>
          <w:sz w:val="20"/>
        </w:rPr>
        <w:t>＊＊</w:t>
      </w:r>
      <w:r>
        <w:rPr>
          <w:rFonts w:ascii="微軟正黑體" w:eastAsia="微軟正黑體" w:hint="eastAsia"/>
          <w:b/>
          <w:color w:val="231F20"/>
          <w:sz w:val="20"/>
        </w:rPr>
        <w:t>與指標個案終止有效暴露滿 8 週</w:t>
      </w:r>
    </w:p>
    <w:p>
      <w:pPr>
        <w:spacing w:line="304" w:lineRule="exact" w:before="0"/>
        <w:ind w:left="748" w:right="0" w:firstLine="0"/>
        <w:jc w:val="left"/>
        <w:rPr>
          <w:rFonts w:ascii="微軟正黑體" w:eastAsia="微軟正黑體" w:hint="eastAsia"/>
          <w:b/>
          <w:sz w:val="20"/>
        </w:rPr>
      </w:pPr>
      <w:r>
        <w:rPr/>
        <w:pict>
          <v:group style="position:absolute;margin-left:53.126999pt;margin-top:20.781876pt;width:485.1pt;height:211.8pt;mso-position-horizontal-relative:page;mso-position-vertical-relative:paragraph;z-index:-251347968;mso-wrap-distance-left:0;mso-wrap-distance-right:0" coordorigin="1063,416" coordsize="9702,4236">
            <v:shape style="position:absolute;left:1136;top:415;width:9629;height:4236" coordorigin="1136,416" coordsize="9629,4236" path="m10368,416l1533,416,1304,422,1186,465,1142,583,1136,812,1136,4255,1142,4484,1186,4602,1304,4645,1533,4651,10368,4651,10597,4645,10715,4602,10758,4484,10764,4255,10764,812,10758,583,10715,465,10597,422,10368,416xe" filled="true" fillcolor="#ffebc4" stroked="false">
              <v:path arrowok="t"/>
              <v:fill type="solid"/>
            </v:shape>
            <v:shape style="position:absolute;left:1230;top:1966;width:975;height:963" type="#_x0000_t75" stroked="false">
              <v:imagedata r:id="rId281" o:title=""/>
            </v:shape>
            <v:shape style="position:absolute;left:1207;top:1941;width:970;height:959" type="#_x0000_t75" stroked="false">
              <v:imagedata r:id="rId282" o:title=""/>
            </v:shape>
            <v:rect style="position:absolute;left:1207;top:1941;width:970;height:959" filled="false" stroked="true" strokeweight=".225pt" strokecolor="#58595b">
              <v:stroke dashstyle="solid"/>
            </v:rect>
            <v:shape style="position:absolute;left:1341;top:2143;width:706;height:163" type="#_x0000_t75" stroked="false">
              <v:imagedata r:id="rId283" o:title=""/>
            </v:shape>
            <v:shape style="position:absolute;left:1297;top:2347;width:560;height:201" type="#_x0000_t75" stroked="false">
              <v:imagedata r:id="rId284" o:title=""/>
            </v:shape>
            <v:shape style="position:absolute;left:1872;top:2375;width:223;height:296" type="#_x0000_t75" stroked="false">
              <v:imagedata r:id="rId285" o:title=""/>
            </v:shape>
            <v:shape style="position:absolute;left:1484;top:2556;width:128;height:768" type="#_x0000_t75" stroked="false">
              <v:imagedata r:id="rId286" o:title=""/>
            </v:shape>
            <v:shape style="position:absolute;left:1631;top:2579;width:280;height:296" type="#_x0000_t75" stroked="false">
              <v:imagedata r:id="rId287" o:title=""/>
            </v:shape>
            <v:shape style="position:absolute;left:2558;top:2049;width:1281;height:798" type="#_x0000_t75" stroked="false">
              <v:imagedata r:id="rId288" o:title=""/>
            </v:shape>
            <v:shape style="position:absolute;left:2534;top:2025;width:1277;height:793" type="#_x0000_t75" stroked="false">
              <v:imagedata r:id="rId289" o:title=""/>
            </v:shape>
            <v:shape style="position:absolute;left:2534;top:2025;width:1277;height:793" coordorigin="2535,2025" coordsize="1277,793" path="m2535,2421l3173,2025,3811,2421,3173,2817,2535,2421xe" filled="false" stroked="true" strokeweight=".225pt" strokecolor="#58595b">
              <v:path arrowok="t"/>
              <v:stroke dashstyle="solid"/>
            </v:shape>
            <v:shape style="position:absolute;left:2744;top:2273;width:293;height:296" type="#_x0000_t75" stroked="false">
              <v:imagedata r:id="rId290" o:title=""/>
            </v:shape>
            <v:shape style="position:absolute;left:3046;top:2244;width:560;height:201" type="#_x0000_t75" stroked="false">
              <v:imagedata r:id="rId291" o:title=""/>
            </v:shape>
            <v:shape style="position:absolute;left:2761;top:2449;width:642;height:615" type="#_x0000_t75" stroked="false">
              <v:imagedata r:id="rId292" o:title=""/>
            </v:shape>
            <v:shape style="position:absolute;left:3410;top:2435;width:180;height:816" type="#_x0000_t75" stroked="false">
              <v:imagedata r:id="rId293" o:title=""/>
            </v:shape>
            <v:line style="position:absolute" from="2177,2421" to="2438,2421" stroked="true" strokeweight=".901pt" strokecolor="#58595b">
              <v:stroke dashstyle="solid"/>
            </v:line>
            <v:shape style="position:absolute;left:2407;top:2355;width:128;height:132" coordorigin="2407,2356" coordsize="128,132" path="m2407,2356l2419,2388,2423,2421,2419,2455,2407,2487,2535,2421,2407,2356xe" filled="true" fillcolor="#58595b" stroked="false">
              <v:path arrowok="t"/>
              <v:fill type="solid"/>
            </v:shape>
            <v:shape style="position:absolute;left:9402;top:995;width:1277;height:528" type="#_x0000_t75" stroked="false">
              <v:imagedata r:id="rId294" o:title=""/>
            </v:shape>
            <v:shape style="position:absolute;left:9402;top:1205;width:1279;height:320" type="#_x0000_t75" stroked="false">
              <v:imagedata r:id="rId295" o:title=""/>
            </v:shape>
            <v:shape style="position:absolute;left:9401;top:993;width:1272;height:268" type="#_x0000_t75" stroked="false">
              <v:imagedata r:id="rId296" o:title=""/>
            </v:shape>
            <v:shape style="position:absolute;left:9376;top:968;width:1277;height:529" type="#_x0000_t75" stroked="false">
              <v:imagedata r:id="rId297" o:title=""/>
            </v:shape>
            <v:shape style="position:absolute;left:9376;top:968;width:1277;height:529" coordorigin="9377,969" coordsize="1277,529" path="m9632,1497l10398,1497,10466,1487,10527,1461,10579,1419,10619,1366,10644,1303,10653,1232,10644,1162,10619,1099,10579,1046,10527,1005,10466,978,10398,969,9632,969,9564,978,9503,1005,9452,1046,9412,1099,9386,1162,9377,1232,9386,1303,9412,1366,9452,1419,9503,1461,9564,1487,9632,1497xe" filled="false" stroked="true" strokeweight=".225pt" strokecolor="#58595b">
              <v:path arrowok="t"/>
              <v:stroke dashstyle="solid"/>
            </v:shape>
            <v:shape style="position:absolute;left:9476;top:1159;width:420;height:267" type="#_x0000_t75" stroked="false">
              <v:imagedata r:id="rId298" o:title=""/>
            </v:shape>
            <v:shape style="position:absolute;left:9911;top:1187;width:128;height:577" type="#_x0000_t75" stroked="false">
              <v:imagedata r:id="rId299" o:title=""/>
            </v:shape>
            <v:shape style="position:absolute;left:10053;top:1159;width:261;height:396" type="#_x0000_t75" stroked="false">
              <v:imagedata r:id="rId300" o:title=""/>
            </v:shape>
            <v:shape style="position:absolute;left:10339;top:1187;width:223;height:296" type="#_x0000_t75" stroked="false">
              <v:imagedata r:id="rId285" o:title=""/>
            </v:shape>
            <v:shape style="position:absolute;left:1241;top:834;width:96;height:309" type="#_x0000_t75" stroked="false">
              <v:imagedata r:id="rId301" o:title=""/>
            </v:shape>
            <v:shape style="position:absolute;left:1568;top:834;width:51;height:593" type="#_x0000_t75" stroked="false">
              <v:imagedata r:id="rId302" o:title=""/>
            </v:shape>
            <v:shape style="position:absolute;left:1851;top:834;width:51;height:593" type="#_x0000_t75" stroked="false">
              <v:imagedata r:id="rId302" o:title=""/>
            </v:shape>
            <v:shape style="position:absolute;left:2134;top:834;width:96;height:311" type="#_x0000_t75" stroked="false">
              <v:imagedata r:id="rId303" o:title=""/>
            </v:shape>
            <v:shape style="position:absolute;left:1062;top:834;width:9;height:899" type="#_x0000_t75" stroked="false">
              <v:imagedata r:id="rId304" o:title=""/>
            </v:shape>
            <v:shape style="position:absolute;left:1089;top:834;width:140;height:303" type="#_x0000_t75" stroked="false">
              <v:imagedata r:id="rId305" o:title=""/>
            </v:shape>
            <v:shape style="position:absolute;left:3696;top:834;width:51;height:899" type="#_x0000_t75" stroked="false">
              <v:imagedata r:id="rId306" o:title=""/>
            </v:shape>
            <v:shape style="position:absolute;left:4294;top:1389;width:873;height:544" type="#_x0000_t75" stroked="false">
              <v:imagedata r:id="rId307" o:title=""/>
            </v:shape>
            <v:shape style="position:absolute;left:4270;top:1365;width:869;height:539" type="#_x0000_t75" stroked="false">
              <v:imagedata r:id="rId308" o:title=""/>
            </v:shape>
            <v:shape style="position:absolute;left:4270;top:1365;width:869;height:539" coordorigin="4270,1365" coordsize="869,539" path="m4270,1634l4705,1365,5139,1634,4705,1904,4270,1634xe" filled="false" stroked="true" strokeweight=".225pt" strokecolor="#58595b">
              <v:path arrowok="t"/>
              <v:stroke dashstyle="solid"/>
            </v:shape>
            <v:shape style="position:absolute;left:4427;top:1588;width:280;height:296" type="#_x0000_t75" stroked="false">
              <v:imagedata r:id="rId287" o:title=""/>
            </v:shape>
            <v:shape style="position:absolute;left:4713;top:1562;width:274;height:391" type="#_x0000_t75" stroked="false">
              <v:imagedata r:id="rId309" o:title=""/>
            </v:shape>
            <v:shape style="position:absolute;left:3811;top:1634;width:364;height:787" coordorigin="3811,1634" coordsize="364,787" path="m3811,2421l4054,2421,4054,1634,4175,1634e" filled="false" stroked="true" strokeweight=".901pt" strokecolor="#58595b">
              <v:path arrowok="t"/>
              <v:stroke dashstyle="solid"/>
            </v:shape>
            <v:shape style="position:absolute;left:4144;top:1568;width:127;height:132" type="#_x0000_t75" stroked="false">
              <v:imagedata r:id="rId310" o:title=""/>
            </v:shape>
            <v:shape style="position:absolute;left:3981;top:1939;width:145;height:787" type="#_x0000_t75" stroked="false">
              <v:imagedata r:id="rId311" o:title=""/>
            </v:shape>
            <v:shape style="position:absolute;left:6464;top:1125;width:643;height:401" type="#_x0000_t75" stroked="false">
              <v:imagedata r:id="rId312" o:title=""/>
            </v:shape>
            <v:shape style="position:absolute;left:6440;top:1100;width:638;height:397" type="#_x0000_t75" stroked="false">
              <v:imagedata r:id="rId313" o:title=""/>
            </v:shape>
            <v:rect style="position:absolute;left:6440;top:1100;width:638;height:397" filled="false" stroked="true" strokeweight=".225pt" strokecolor="#58595b">
              <v:stroke dashstyle="solid"/>
            </v:rect>
            <v:shape style="position:absolute;left:6629;top:1224;width:267;height:401" type="#_x0000_t75" stroked="false">
              <v:imagedata r:id="rId314" o:title=""/>
            </v:shape>
            <v:line style="position:absolute" from="4730,1365" to="6345,1365" stroked="true" strokeweight=".901pt" strokecolor="#58595b">
              <v:stroke dashstyle="solid"/>
            </v:line>
            <v:shape style="position:absolute;left:6313;top:1299;width:128;height:132" type="#_x0000_t75" stroked="false">
              <v:imagedata r:id="rId315" o:title=""/>
            </v:shape>
            <v:shape style="position:absolute;left:6464;top:1983;width:643;height:402" type="#_x0000_t75" stroked="false">
              <v:imagedata r:id="rId316" o:title=""/>
            </v:shape>
            <v:shape style="position:absolute;left:6440;top:1958;width:638;height:397" type="#_x0000_t75" stroked="false">
              <v:imagedata r:id="rId317" o:title=""/>
            </v:shape>
            <v:rect style="position:absolute;left:6440;top:1958;width:638;height:397" filled="false" stroked="true" strokeweight=".225pt" strokecolor="#58595b">
              <v:stroke dashstyle="solid"/>
            </v:rect>
            <v:shape style="position:absolute;left:6629;top:2083;width:267;height:396" type="#_x0000_t75" stroked="false">
              <v:imagedata r:id="rId318" o:title=""/>
            </v:shape>
            <v:shape style="position:absolute;left:4704;top:1903;width:1640;height:254" coordorigin="4705,1904" coordsize="1640,254" path="m4705,1904l4705,2157,6345,2157e" filled="false" stroked="true" strokeweight=".901pt" strokecolor="#58595b">
              <v:path arrowok="t"/>
              <v:stroke dashstyle="solid"/>
            </v:shape>
            <v:shape style="position:absolute;left:6313;top:2091;width:128;height:132" type="#_x0000_t75" stroked="false">
              <v:imagedata r:id="rId315" o:title=""/>
            </v:shape>
            <v:shape style="position:absolute;left:9401;top:2642;width:1279;height:532" type="#_x0000_t75" stroked="false">
              <v:imagedata r:id="rId319" o:title=""/>
            </v:shape>
            <v:shape style="position:absolute;left:9376;top:2617;width:1277;height:529" type="#_x0000_t75" stroked="false">
              <v:imagedata r:id="rId320" o:title=""/>
            </v:shape>
            <v:shape style="position:absolute;left:9376;top:2617;width:1277;height:529" coordorigin="9377,2617" coordsize="1277,529" path="m9632,3145l10398,3145,10466,3136,10527,3109,10579,3068,10619,3015,10644,2952,10653,2882,10644,2811,10619,2748,10579,2694,10527,2653,10466,2626,10398,2617,9632,2617,9564,2626,9503,2653,9452,2694,9412,2748,9386,2811,9377,2882,9386,2952,9412,3015,9452,3068,9503,3109,9564,3136,9632,3145xe" filled="false" stroked="true" strokeweight=".225pt" strokecolor="#58595b">
              <v:path arrowok="t"/>
              <v:stroke dashstyle="solid"/>
            </v:shape>
            <v:shape style="position:absolute;left:9612;top:2705;width:274;height:401" type="#_x0000_t75" stroked="false">
              <v:imagedata r:id="rId321" o:title=""/>
            </v:shape>
            <v:shape style="position:absolute;left:9903;top:2734;width:223;height:291" type="#_x0000_t75" stroked="false">
              <v:imagedata r:id="rId322" o:title=""/>
            </v:shape>
            <v:shape style="position:absolute;left:10146;top:2706;width:274;height:396" type="#_x0000_t75" stroked="false">
              <v:imagedata r:id="rId323" o:title=""/>
            </v:shape>
            <v:shape style="position:absolute;left:9476;top:2910;width:420;height:267" type="#_x0000_t75" stroked="false">
              <v:imagedata r:id="rId298" o:title=""/>
            </v:shape>
            <v:shape style="position:absolute;left:9911;top:2937;width:128;height:577" type="#_x0000_t75" stroked="false">
              <v:imagedata r:id="rId299" o:title=""/>
            </v:shape>
            <v:shape style="position:absolute;left:10053;top:2910;width:261;height:396" type="#_x0000_t75" stroked="false">
              <v:imagedata r:id="rId300" o:title=""/>
            </v:shape>
            <v:shape style="position:absolute;left:10339;top:2937;width:223;height:296" type="#_x0000_t75" stroked="false">
              <v:imagedata r:id="rId285" o:title=""/>
            </v:shape>
            <v:shape style="position:absolute;left:7689;top:1785;width:1282;height:797" type="#_x0000_t75" stroked="false">
              <v:imagedata r:id="rId324" o:title=""/>
            </v:shape>
            <v:shape style="position:absolute;left:7666;top:1760;width:1276;height:793" type="#_x0000_t75" stroked="false">
              <v:imagedata r:id="rId325" o:title=""/>
            </v:shape>
            <v:shape style="position:absolute;left:7666;top:1760;width:1276;height:793" coordorigin="7666,1761" coordsize="1276,793" path="m7666,2157l8304,1761,8942,2157,8304,2553,7666,2157xe" filled="false" stroked="true" strokeweight=".225pt" strokecolor="#58595b">
              <v:path arrowok="t"/>
              <v:stroke dashstyle="solid"/>
            </v:shape>
            <v:shape style="position:absolute;left:8049;top:2111;width:223;height:291" type="#_x0000_t75" stroked="false">
              <v:imagedata r:id="rId326" o:title=""/>
            </v:shape>
            <v:shape style="position:absolute;left:8292;top:2083;width:274;height:396" type="#_x0000_t75" stroked="false">
              <v:imagedata r:id="rId327" o:title=""/>
            </v:shape>
            <v:shape style="position:absolute;left:9401;top:1918;width:1279;height:532" type="#_x0000_t75" stroked="false">
              <v:imagedata r:id="rId328" o:title=""/>
            </v:shape>
            <v:shape style="position:absolute;left:9376;top:1892;width:1277;height:529" type="#_x0000_t75" stroked="false">
              <v:imagedata r:id="rId329" o:title=""/>
            </v:shape>
            <v:shape style="position:absolute;left:9376;top:1892;width:1277;height:529" coordorigin="9377,1893" coordsize="1277,529" path="m9632,2421l10398,2421,10466,2411,10527,2385,10579,2343,10619,2290,10644,2227,10653,2157,10644,2087,10619,2024,10579,1970,10527,1929,10466,1902,10398,1893,9632,1893,9564,1902,9503,1929,9452,1970,9412,2024,9386,2087,9377,2157,9386,2227,9412,2290,9452,2343,9503,2385,9564,2411,9632,2421xe" filled="false" stroked="true" strokeweight=".225pt" strokecolor="#58595b">
              <v:path arrowok="t"/>
              <v:stroke dashstyle="solid"/>
            </v:shape>
            <v:shape style="position:absolute;left:9492;top:1982;width:337;height:784" type="#_x0000_t75" stroked="false">
              <v:imagedata r:id="rId330" o:title=""/>
            </v:shape>
            <v:shape style="position:absolute;left:9547;top:1981;width:996;height:600" type="#_x0000_t75" stroked="false">
              <v:imagedata r:id="rId331" o:title=""/>
            </v:shape>
            <v:shape style="position:absolute;left:9839;top:2213;width:128;height:577" type="#_x0000_t75" stroked="false">
              <v:imagedata r:id="rId299" o:title=""/>
            </v:shape>
            <v:shape style="position:absolute;left:9981;top:2185;width:261;height:396" type="#_x0000_t75" stroked="false">
              <v:imagedata r:id="rId300" o:title=""/>
            </v:shape>
            <v:shape style="position:absolute;left:10268;top:2213;width:223;height:296" type="#_x0000_t75" stroked="false">
              <v:imagedata r:id="rId332" o:title=""/>
            </v:shape>
            <v:line style="position:absolute" from="9231,2157" to="9281,2157" stroked="true" strokeweight=".901pt" strokecolor="#58595b">
              <v:stroke dashstyle="solid"/>
            </v:line>
            <v:line style="position:absolute" from="8942,2157" to="9088,2157" stroked="true" strokeweight=".901pt" strokecolor="#58595b">
              <v:stroke dashstyle="solid"/>
            </v:line>
            <v:shape style="position:absolute;left:9249;top:2091;width:128;height:132" coordorigin="9250,2091" coordsize="128,132" path="m9250,2091l9261,2123,9265,2157,9261,2190,9250,2222,9377,2157,9250,2091xe" filled="true" fillcolor="#58595b" stroked="false">
              <v:path arrowok="t"/>
              <v:fill type="solid"/>
            </v:shape>
            <v:shape style="position:absolute;left:9087;top:2054;width:144;height:792" type="#_x0000_t75" stroked="false">
              <v:imagedata r:id="rId333" o:title=""/>
            </v:shape>
            <v:line style="position:absolute" from="7079,1232" to="9281,1232" stroked="true" strokeweight=".901pt" strokecolor="#58595b">
              <v:stroke dashstyle="solid"/>
            </v:line>
            <v:shape style="position:absolute;left:9249;top:1167;width:128;height:132" type="#_x0000_t75" stroked="false">
              <v:imagedata r:id="rId334" o:title=""/>
            </v:shape>
            <v:line style="position:absolute" from="7079,2157" to="7570,2157" stroked="true" strokeweight=".901pt" strokecolor="#58595b">
              <v:stroke dashstyle="solid"/>
            </v:line>
            <v:shape style="position:absolute;left:7539;top:2091;width:128;height:132" type="#_x0000_t75" stroked="false">
              <v:imagedata r:id="rId335" o:title=""/>
            </v:shape>
            <v:shape style="position:absolute;left:8304;top:2552;width:977;height:329" coordorigin="8304,2553" coordsize="977,329" path="m8304,2553l8304,2882,9281,2882e" filled="false" stroked="true" strokeweight=".901pt" strokecolor="#58595b">
              <v:path arrowok="t"/>
              <v:stroke dashstyle="solid"/>
            </v:shape>
            <v:shape style="position:absolute;left:9249;top:2815;width:128;height:132" type="#_x0000_t75" stroked="false">
              <v:imagedata r:id="rId336" o:title=""/>
            </v:shape>
            <v:shape style="position:absolute;left:8609;top:2779;width:145;height:787" type="#_x0000_t75" stroked="false">
              <v:imagedata r:id="rId337" o:title=""/>
            </v:shape>
            <v:shape style="position:absolute;left:4319;top:3622;width:873;height:544" type="#_x0000_t75" stroked="false">
              <v:imagedata r:id="rId338" o:title=""/>
            </v:shape>
            <v:shape style="position:absolute;left:4296;top:3598;width:868;height:539" type="#_x0000_t75" stroked="false">
              <v:imagedata r:id="rId339" o:title=""/>
            </v:shape>
            <v:shape style="position:absolute;left:4296;top:3598;width:868;height:539" coordorigin="4297,3599" coordsize="868,539" path="m4297,3868l4730,3599,5164,3868,4730,4138,4297,3868xe" filled="false" stroked="true" strokeweight=".225pt" strokecolor="#58595b">
              <v:path arrowok="t"/>
              <v:stroke dashstyle="solid"/>
            </v:shape>
            <v:shape style="position:absolute;left:4453;top:3822;width:280;height:296" type="#_x0000_t75" stroked="false">
              <v:imagedata r:id="rId287" o:title=""/>
            </v:shape>
            <v:shape style="position:absolute;left:4739;top:3795;width:274;height:391" type="#_x0000_t75" stroked="false">
              <v:imagedata r:id="rId309" o:title=""/>
            </v:shape>
            <v:shape style="position:absolute;left:3811;top:2420;width:390;height:1448" coordorigin="3811,2421" coordsize="390,1448" path="m3811,2421l4054,2421,4054,3868,4200,3868e" filled="false" stroked="true" strokeweight=".901pt" strokecolor="#58595b">
              <v:path arrowok="t"/>
              <v:stroke dashstyle="solid"/>
            </v:shape>
            <v:shape style="position:absolute;left:4169;top:3802;width:128;height:132" type="#_x0000_t75" stroked="false">
              <v:imagedata r:id="rId315" o:title=""/>
            </v:shape>
            <v:shape style="position:absolute;left:3981;top:3042;width:145;height:792" type="#_x0000_t75" stroked="false">
              <v:imagedata r:id="rId340" o:title=""/>
            </v:shape>
            <v:shape style="position:absolute;left:4422;top:2825;width:643;height:232" type="#_x0000_t75" stroked="false">
              <v:imagedata r:id="rId341" o:title=""/>
            </v:shape>
            <v:shape style="position:absolute;left:4398;top:2800;width:638;height:228" type="#_x0000_t75" stroked="false">
              <v:imagedata r:id="rId342" o:title=""/>
            </v:shape>
            <v:rect style="position:absolute;left:4398;top:2800;width:638;height:228" filled="false" stroked="true" strokeweight=".225pt" strokecolor="#58595b">
              <v:stroke dashstyle="solid"/>
            </v:rect>
            <v:shape style="position:absolute;left:4587;top:2841;width:267;height:396" type="#_x0000_t75" stroked="false">
              <v:imagedata r:id="rId318" o:title=""/>
            </v:shape>
            <v:shape style="position:absolute;left:6761;top:3475;width:1282;height:850" type="#_x0000_t75" stroked="false">
              <v:imagedata r:id="rId343" o:title=""/>
            </v:shape>
            <v:shape style="position:absolute;left:6737;top:3450;width:1277;height:846" type="#_x0000_t75" stroked="false">
              <v:imagedata r:id="rId344" o:title=""/>
            </v:shape>
            <v:shape style="position:absolute;left:6737;top:3450;width:1277;height:846" coordorigin="6738,3450" coordsize="1277,846" path="m6738,3873l7377,3450,8014,3873,7377,4296,6738,3873xe" filled="false" stroked="true" strokeweight=".225pt" strokecolor="#58595b">
              <v:path arrowok="t"/>
              <v:stroke dashstyle="solid"/>
            </v:shape>
            <v:shape style="position:absolute;left:7069;top:3629;width:617;height:177" type="#_x0000_t75" stroked="false">
              <v:imagedata r:id="rId345" o:title=""/>
            </v:shape>
            <v:shape style="position:absolute;left:6933;top:3809;width:684;height:534" type="#_x0000_t75" stroked="false">
              <v:imagedata r:id="rId346" o:title=""/>
            </v:shape>
            <v:shape style="position:absolute;left:7627;top:3796;width:200;height:547" type="#_x0000_t75" stroked="false">
              <v:imagedata r:id="rId347" o:title=""/>
            </v:shape>
            <v:shape style="position:absolute;left:7000;top:3988;width:242;height:348" type="#_x0000_t75" stroked="false">
              <v:imagedata r:id="rId348" o:title=""/>
            </v:shape>
            <v:shape style="position:absolute;left:7254;top:4012;width:255;height:258" type="#_x0000_t75" stroked="false">
              <v:imagedata r:id="rId349" o:title=""/>
            </v:shape>
            <v:shape style="position:absolute;left:7514;top:3988;width:242;height:348" type="#_x0000_t75" stroked="false">
              <v:imagedata r:id="rId350" o:title=""/>
            </v:shape>
            <v:shape style="position:absolute;left:7077;top:2752;width:643;height:278" type="#_x0000_t75" stroked="false">
              <v:imagedata r:id="rId351" o:title=""/>
            </v:shape>
            <v:shape style="position:absolute;left:7053;top:2728;width:639;height:274" type="#_x0000_t75" stroked="false">
              <v:imagedata r:id="rId352" o:title=""/>
            </v:shape>
            <v:rect style="position:absolute;left:7053;top:2728;width:639;height:274" filled="false" stroked="true" strokeweight=".225pt" strokecolor="#58595b">
              <v:stroke dashstyle="solid"/>
            </v:rect>
            <v:shape style="position:absolute;left:7242;top:2792;width:267;height:396" type="#_x0000_t75" stroked="false">
              <v:imagedata r:id="rId353" o:title=""/>
            </v:shape>
            <v:line style="position:absolute" from="7373,3450" to="7373,3101" stroked="true" strokeweight=".901pt" strokecolor="#58595b">
              <v:stroke dashstyle="solid"/>
            </v:line>
            <v:shape style="position:absolute;left:7308;top:3001;width:128;height:132" coordorigin="7309,3002" coordsize="128,132" path="m7373,3002l7309,3133,7340,3121,7373,3117,7429,3117,7373,3002xm7429,3117l7373,3117,7405,3121,7436,3133,7429,3117xe" filled="true" fillcolor="#58595b" stroked="false">
              <v:path arrowok="t"/>
              <v:fill type="solid"/>
            </v:shape>
            <v:shape style="position:absolute;left:9402;top:3636;width:1277;height:528" type="#_x0000_t75" stroked="false">
              <v:imagedata r:id="rId354" o:title=""/>
            </v:shape>
            <v:shape style="position:absolute;left:9402;top:3846;width:1279;height:320" type="#_x0000_t75" stroked="false">
              <v:imagedata r:id="rId355" o:title=""/>
            </v:shape>
            <v:shape style="position:absolute;left:9401;top:3634;width:1272;height:268" type="#_x0000_t75" stroked="false">
              <v:imagedata r:id="rId356" o:title=""/>
            </v:shape>
            <v:shape style="position:absolute;left:9376;top:3609;width:1277;height:529" type="#_x0000_t75" stroked="false">
              <v:imagedata r:id="rId357" o:title=""/>
            </v:shape>
            <v:shape style="position:absolute;left:9376;top:3609;width:1277;height:529" coordorigin="9377,3609" coordsize="1277,529" path="m9632,4138l10398,4138,10466,4128,10527,4101,10579,4060,10619,4007,10644,3943,10653,3873,10644,3803,10619,3740,10579,3687,10527,3645,10466,3619,10398,3609,9632,3609,9564,3619,9503,3645,9452,3687,9412,3740,9386,3803,9377,3873,9386,3943,9412,4007,9452,4060,9503,4101,9564,4128,9632,4138xe" filled="false" stroked="true" strokeweight=".225pt" strokecolor="#58595b">
              <v:path arrowok="t"/>
              <v:stroke dashstyle="solid"/>
            </v:shape>
            <v:shape style="position:absolute;left:9519;top:3697;width:992;height:115" type="#_x0000_t75" stroked="false">
              <v:imagedata r:id="rId358" o:title=""/>
            </v:shape>
            <v:shape style="position:absolute;left:9519;top:3811;width:992;height:115" type="#_x0000_t75" stroked="false">
              <v:imagedata r:id="rId359" o:title=""/>
            </v:shape>
            <v:shape style="position:absolute;left:9476;top:3901;width:420;height:267" type="#_x0000_t75" stroked="false">
              <v:imagedata r:id="rId298" o:title=""/>
            </v:shape>
            <v:shape style="position:absolute;left:9911;top:3929;width:128;height:414" type="#_x0000_t75" stroked="false">
              <v:imagedata r:id="rId360" o:title=""/>
            </v:shape>
            <v:shape style="position:absolute;left:10053;top:3901;width:261;height:396" type="#_x0000_t75" stroked="false">
              <v:imagedata r:id="rId300" o:title=""/>
            </v:shape>
            <v:shape style="position:absolute;left:10339;top:3929;width:223;height:296" type="#_x0000_t75" stroked="false">
              <v:imagedata r:id="rId285" o:title=""/>
            </v:shape>
            <v:shape style="position:absolute;left:8471;top:3699;width:643;height:401" type="#_x0000_t75" stroked="false">
              <v:imagedata r:id="rId361" o:title=""/>
            </v:shape>
            <v:shape style="position:absolute;left:8448;top:3675;width:638;height:397" type="#_x0000_t75" stroked="false">
              <v:imagedata r:id="rId362" o:title=""/>
            </v:shape>
            <v:rect style="position:absolute;left:8448;top:3675;width:638;height:397" filled="false" stroked="true" strokeweight=".225pt" strokecolor="#58595b">
              <v:stroke dashstyle="solid"/>
            </v:rect>
            <v:shape style="position:absolute;left:8637;top:3799;width:267;height:401" type="#_x0000_t75" stroked="false">
              <v:imagedata r:id="rId363" o:title=""/>
            </v:shape>
            <v:line style="position:absolute" from="8014,3873" to="8353,3873" stroked="true" strokeweight=".901pt" strokecolor="#58595b">
              <v:stroke dashstyle="solid"/>
            </v:line>
            <v:shape style="position:absolute;left:8321;top:3807;width:128;height:132" coordorigin="8322,3808" coordsize="128,132" path="m8322,3808l8333,3840,8337,3873,8333,3907,8322,3939,8449,3873,8322,3808xe" filled="true" fillcolor="#58595b" stroked="false">
              <v:path arrowok="t"/>
              <v:fill type="solid"/>
            </v:shape>
            <v:line style="position:absolute" from="9087,3873" to="9281,3873" stroked="true" strokeweight=".901pt" strokecolor="#58595b">
              <v:stroke dashstyle="solid"/>
            </v:line>
            <v:shape style="position:absolute;left:9249;top:3807;width:128;height:132" coordorigin="9250,3808" coordsize="128,132" path="m9250,3808l9261,3840,9265,3873,9261,3907,9250,3939,9377,3873,9250,3808xe" filled="true" fillcolor="#58595b" stroked="false">
              <v:path arrowok="t"/>
              <v:fill type="solid"/>
            </v:shape>
            <v:line style="position:absolute" from="4718,3599" to="4728,3128" stroked="true" strokeweight=".901pt" strokecolor="#58595b">
              <v:stroke dashstyle="solid"/>
            </v:line>
            <v:shape style="position:absolute;left:4663;top:3028;width:128;height:133" type="#_x0000_t75" stroked="false">
              <v:imagedata r:id="rId364" o:title=""/>
            </v:shape>
            <v:line style="position:absolute" from="4718,2801" to="4718,2256" stroked="true" strokeweight=".901pt" strokecolor="#58595b">
              <v:stroke dashstyle="solid"/>
            </v:line>
            <v:shape style="position:absolute;left:4654;top:2157;width:128;height:132" type="#_x0000_t75" stroked="false">
              <v:imagedata r:id="rId365" o:title=""/>
            </v:shape>
            <v:line style="position:absolute" from="5164,3868" to="5604,3861" stroked="true" strokeweight=".901pt" strokecolor="#58595b">
              <v:stroke dashstyle="solid"/>
            </v:line>
            <v:shape style="position:absolute;left:5572;top:3796;width:128;height:132" type="#_x0000_t75" stroked="false">
              <v:imagedata r:id="rId366" o:title=""/>
            </v:shape>
            <v:shape style="position:absolute;left:5724;top:3686;width:643;height:402" type="#_x0000_t75" stroked="false">
              <v:imagedata r:id="rId367" o:title=""/>
            </v:shape>
            <v:shape style="position:absolute;left:5700;top:3661;width:638;height:397" type="#_x0000_t75" stroked="false">
              <v:imagedata r:id="rId368" o:title=""/>
            </v:shape>
            <v:rect style="position:absolute;left:5700;top:3661;width:638;height:397" filled="false" stroked="true" strokeweight=".225pt" strokecolor="#58595b">
              <v:stroke dashstyle="solid"/>
            </v:rect>
            <v:shape style="position:absolute;left:5889;top:3785;width:267;height:401" type="#_x0000_t75" stroked="false">
              <v:imagedata r:id="rId314" o:title=""/>
            </v:shape>
            <v:line style="position:absolute" from="6348,3873" to="6626,3883" stroked="true" strokeweight=".901pt" strokecolor="#58595b">
              <v:stroke dashstyle="solid"/>
            </v:line>
            <v:shape style="position:absolute;left:6592;top:3816;width:129;height:132" coordorigin="6592,3817" coordsize="129,132" path="m6597,3817l6607,3849,6610,3883,6605,3916,6592,3948,6721,3886,6597,3817xe" filled="true" fillcolor="#58595b" stroked="false">
              <v:path arrowok="t"/>
              <v:fill type="solid"/>
            </v:shape>
            <v:line style="position:absolute" from="7373,2728" to="7362,2256" stroked="true" strokeweight=".901pt" strokecolor="#58595b">
              <v:stroke dashstyle="solid"/>
            </v:line>
            <v:shape style="position:absolute;left:7299;top:2157;width:127;height:133" type="#_x0000_t75" stroked="false">
              <v:imagedata r:id="rId369" o:title=""/>
            </v:shape>
            <v:shape style="position:absolute;left:1419;top:722;width:2566;height:463" type="#_x0000_t202" filled="false" stroked="false">
              <v:textbox inset="0,0,0,0">
                <w:txbxContent>
                  <w:p>
                    <w:pPr>
                      <w:spacing w:line="231" w:lineRule="exact" w:before="0"/>
                      <w:ind w:left="1" w:right="19" w:firstLine="0"/>
                      <w:jc w:val="center"/>
                      <w:rPr>
                        <w:rFonts w:ascii="微軟正黑體" w:eastAsia="微軟正黑體" w:hint="eastAsia"/>
                        <w:b/>
                        <w:sz w:val="18"/>
                      </w:rPr>
                    </w:pPr>
                    <w:r>
                      <w:rPr>
                        <w:rFonts w:ascii="微軟正黑體" w:eastAsia="微軟正黑體" w:hint="eastAsia"/>
                        <w:b/>
                        <w:color w:val="ED1C24"/>
                        <w:sz w:val="18"/>
                      </w:rPr>
                      <w:t>2 歲 </w:t>
                    </w:r>
                    <w:r>
                      <w:rPr>
                        <w:rFonts w:ascii="微軟正黑體" w:eastAsia="微軟正黑體" w:hint="eastAsia"/>
                        <w:b/>
                        <w:color w:val="ED1C24"/>
                        <w:w w:val="65"/>
                        <w:sz w:val="18"/>
                      </w:rPr>
                      <w:t>（ </w:t>
                    </w:r>
                    <w:r>
                      <w:rPr>
                        <w:rFonts w:ascii="微軟正黑體" w:eastAsia="微軟正黑體" w:hint="eastAsia"/>
                        <w:b/>
                        <w:color w:val="ED1C24"/>
                        <w:sz w:val="18"/>
                      </w:rPr>
                      <w:t>含 </w:t>
                    </w:r>
                    <w:r>
                      <w:rPr>
                        <w:rFonts w:ascii="微軟正黑體" w:eastAsia="微軟正黑體" w:hint="eastAsia"/>
                        <w:b/>
                        <w:color w:val="ED1C24"/>
                        <w:w w:val="65"/>
                        <w:sz w:val="18"/>
                      </w:rPr>
                      <w:t>） </w:t>
                    </w:r>
                    <w:r>
                      <w:rPr>
                        <w:rFonts w:ascii="微軟正黑體" w:eastAsia="微軟正黑體" w:hint="eastAsia"/>
                        <w:b/>
                        <w:color w:val="ED1C24"/>
                        <w:sz w:val="18"/>
                      </w:rPr>
                      <w:t>至 5 歲兒童接觸者</w:t>
                    </w:r>
                  </w:p>
                  <w:p>
                    <w:pPr>
                      <w:spacing w:line="231" w:lineRule="exact" w:before="0"/>
                      <w:ind w:left="1" w:right="19" w:firstLine="0"/>
                      <w:jc w:val="center"/>
                      <w:rPr>
                        <w:rFonts w:ascii="微軟正黑體" w:eastAsia="微軟正黑體" w:hint="eastAsia"/>
                        <w:b/>
                        <w:sz w:val="18"/>
                      </w:rPr>
                    </w:pPr>
                    <w:r>
                      <w:rPr>
                        <w:rFonts w:ascii="微軟正黑體" w:eastAsia="微軟正黑體" w:hint="eastAsia"/>
                        <w:b/>
                        <w:color w:val="ED1C24"/>
                        <w:w w:val="75"/>
                        <w:sz w:val="18"/>
                      </w:rPr>
                      <w:t>（ </w:t>
                    </w:r>
                    <w:r>
                      <w:rPr>
                        <w:rFonts w:ascii="微軟正黑體" w:eastAsia="微軟正黑體" w:hint="eastAsia"/>
                        <w:b/>
                        <w:color w:val="ED1C24"/>
                        <w:spacing w:val="-3"/>
                        <w:w w:val="95"/>
                        <w:sz w:val="18"/>
                      </w:rPr>
                      <w:t>以 </w:t>
                    </w:r>
                    <w:r>
                      <w:rPr>
                        <w:rFonts w:ascii="微軟正黑體" w:eastAsia="微軟正黑體" w:hint="eastAsia"/>
                        <w:b/>
                        <w:color w:val="ED1C24"/>
                        <w:w w:val="95"/>
                        <w:sz w:val="18"/>
                      </w:rPr>
                      <w:t>IGRA</w:t>
                    </w:r>
                    <w:r>
                      <w:rPr>
                        <w:rFonts w:ascii="微軟正黑體" w:eastAsia="微軟正黑體" w:hint="eastAsia"/>
                        <w:b/>
                        <w:color w:val="ED1C24"/>
                        <w:spacing w:val="-3"/>
                        <w:w w:val="95"/>
                        <w:sz w:val="18"/>
                      </w:rPr>
                      <w:t> 方法為優先診斷工具 </w:t>
                    </w:r>
                    <w:r>
                      <w:rPr>
                        <w:rFonts w:ascii="微軟正黑體" w:eastAsia="微軟正黑體" w:hint="eastAsia"/>
                        <w:b/>
                        <w:color w:val="ED1C24"/>
                        <w:spacing w:val="-15"/>
                        <w:w w:val="75"/>
                        <w:sz w:val="18"/>
                      </w:rPr>
                      <w:t>）</w:t>
                    </w:r>
                  </w:p>
                </w:txbxContent>
              </v:textbox>
              <w10:wrap type="none"/>
            </v:shape>
            <w10:wrap type="topAndBottom"/>
          </v:group>
        </w:pict>
      </w:r>
      <w:r>
        <w:rPr/>
        <w:pict>
          <v:group style="position:absolute;margin-left:56.808998pt;margin-top:239.665878pt;width:481.45pt;height:208.55pt;mso-position-horizontal-relative:page;mso-position-vertical-relative:paragraph;z-index:-251345920;mso-wrap-distance-left:0;mso-wrap-distance-right:0" coordorigin="1136,4793" coordsize="9629,4171">
            <v:shape style="position:absolute;left:1136;top:4793;width:9629;height:4171" coordorigin="1136,4793" coordsize="9629,4171" path="m10368,4793l1533,4793,1304,4800,1186,4843,1142,4961,1136,5190,1136,8567,1142,8797,1186,8914,1304,8958,1533,8964,10368,8964,10597,8958,10715,8914,10758,8797,10764,8567,10764,5190,10758,4961,10715,4843,10597,4800,10368,4793xe" filled="true" fillcolor="#eae6e4" stroked="false">
              <v:path arrowok="t"/>
              <v:fill type="solid"/>
            </v:shape>
            <v:shape style="position:absolute;left:1626;top:5434;width:1454;height:1316" type="#_x0000_t75" stroked="false">
              <v:imagedata r:id="rId370" o:title=""/>
            </v:shape>
            <v:shape style="position:absolute;left:1591;top:5400;width:1447;height:1310" type="#_x0000_t75" stroked="false">
              <v:imagedata r:id="rId371" o:title=""/>
            </v:shape>
            <v:rect style="position:absolute;left:1591;top:5400;width:1447;height:1310" filled="false" stroked="true" strokeweight=".359921pt" strokecolor="#58595b">
              <v:stroke dashstyle="solid"/>
            </v:rect>
            <v:shape style="position:absolute;left:1790;top:5553;width:1053;height:182" type="#_x0000_t75" stroked="false">
              <v:imagedata r:id="rId372" o:title=""/>
            </v:shape>
            <v:shape style="position:absolute;left:1726;top:5832;width:834;height:110" type="#_x0000_t75" stroked="false">
              <v:imagedata r:id="rId373" o:title=""/>
            </v:shape>
            <v:shape style="position:absolute;left:1726;top:5941;width:834;height:110" type="#_x0000_t75" stroked="false">
              <v:imagedata r:id="rId374" o:title=""/>
            </v:shape>
            <v:shape style="position:absolute;left:1681;top:5872;width:1269;height:1323" type="#_x0000_t75" stroked="false">
              <v:imagedata r:id="rId375" o:title=""/>
            </v:shape>
            <v:shape style="position:absolute;left:1809;top:6336;width:265;height:385" type="#_x0000_t75" stroked="false">
              <v:imagedata r:id="rId376" o:title=""/>
            </v:shape>
            <v:shape style="position:absolute;left:2098;top:6395;width:412;height:200" type="#_x0000_t75" stroked="false">
              <v:imagedata r:id="rId377" o:title=""/>
            </v:shape>
            <v:shape style="position:absolute;left:2523;top:6356;width:407;height:219" type="#_x0000_t75" stroked="false">
              <v:imagedata r:id="rId378" o:title=""/>
            </v:shape>
            <v:shape style="position:absolute;left:4137;top:6030;width:428;height:200" type="#_x0000_t75" stroked="false">
              <v:imagedata r:id="rId379" o:title=""/>
            </v:shape>
            <v:shape style="position:absolute;left:4581;top:5992;width:407;height:219" type="#_x0000_t75" stroked="false">
              <v:imagedata r:id="rId380" o:title=""/>
            </v:shape>
            <v:shape style="position:absolute;left:3605;top:5547;width:1910;height:1090" type="#_x0000_t75" stroked="false">
              <v:imagedata r:id="rId381" o:title=""/>
            </v:shape>
            <v:shape style="position:absolute;left:3570;top:5513;width:1903;height:1084" coordorigin="3571,5514" coordsize="1903,1084" path="m3571,6055l4522,5514,5473,6055,4522,6597,3571,6055e" filled="false" stroked="true" strokeweight=".369152pt" strokecolor="#58595b">
              <v:path arrowok="t"/>
              <v:stroke dashstyle="solid"/>
            </v:shape>
            <v:shape style="position:absolute;left:4099;top:5994;width:428;height:200" type="#_x0000_t75" stroked="false">
              <v:imagedata r:id="rId382" o:title=""/>
            </v:shape>
            <v:shape style="position:absolute;left:4542;top:5956;width:407;height:219" type="#_x0000_t75" stroked="false">
              <v:imagedata r:id="rId383" o:title=""/>
            </v:shape>
            <v:line style="position:absolute" from="3038,6055" to="3427,6055" stroked="true" strokeweight="1.522664pt" strokecolor="#58595b">
              <v:stroke dashstyle="solid"/>
            </v:line>
            <v:shape style="position:absolute;left:3381;top:5966;width:190;height:179" coordorigin="3382,5966" coordsize="190,179" path="m3382,5966l3398,6010,3404,6055,3398,6101,3382,6145,3571,6055,3382,5966xe" filled="true" fillcolor="#58595b" stroked="false">
              <v:path arrowok="t"/>
              <v:fill type="solid"/>
            </v:shape>
            <v:shape style="position:absolute;left:8363;top:5728;width:1911;height:728" type="#_x0000_t75" stroked="false">
              <v:imagedata r:id="rId384" o:title=""/>
            </v:shape>
            <v:shape style="position:absolute;left:8329;top:5694;width:1903;height:723" type="#_x0000_t75" stroked="false">
              <v:imagedata r:id="rId385" o:title=""/>
            </v:shape>
            <v:shape style="position:absolute;left:8329;top:5694;width:1903;height:723" coordorigin="8329,5694" coordsize="1903,723" path="m8709,6417l9852,6417,9928,6409,10000,6388,10064,6355,10120,6311,10167,6257,10202,6196,10224,6128,10232,6055,10224,5983,10202,5915,10167,5854,10120,5800,10064,5756,10000,5723,9928,5701,9852,5694,8709,5694,8633,5701,8561,5723,8497,5756,8440,5800,8394,5854,8359,5915,8337,5983,8329,6055,8337,6128,8359,6196,8394,6257,8440,6311,8497,6355,8561,6388,8633,6409,8709,6417xe" filled="false" stroked="true" strokeweight=".374478pt" strokecolor="#58595b">
              <v:path arrowok="t"/>
              <v:stroke dashstyle="solid"/>
            </v:shape>
            <v:shape style="position:absolute;left:8477;top:5955;width:620;height:155" type="#_x0000_t75" stroked="false">
              <v:imagedata r:id="rId386" o:title=""/>
            </v:shape>
            <v:shape style="position:absolute;left:8477;top:6109;width:620;height:155" type="#_x0000_t75" stroked="false">
              <v:imagedata r:id="rId387" o:title=""/>
            </v:shape>
            <v:shape style="position:absolute;left:9125;top:5994;width:193;height:391" type="#_x0000_t75" stroked="false">
              <v:imagedata r:id="rId388" o:title=""/>
            </v:shape>
            <v:shape style="position:absolute;left:9338;top:5956;width:385;height:219" type="#_x0000_t75" stroked="false">
              <v:imagedata r:id="rId389" o:title=""/>
            </v:shape>
            <v:shape style="position:absolute;left:9764;top:5994;width:327;height:264" type="#_x0000_t75" stroked="false">
              <v:imagedata r:id="rId390" o:title=""/>
            </v:shape>
            <v:shape style="position:absolute;left:6098;top:5818;width:959;height:548" type="#_x0000_t75" stroked="false">
              <v:imagedata r:id="rId391" o:title=""/>
            </v:shape>
            <v:shape style="position:absolute;left:6064;top:5784;width:952;height:543" type="#_x0000_t75" stroked="false">
              <v:imagedata r:id="rId392" o:title=""/>
            </v:shape>
            <v:rect style="position:absolute;left:6064;top:5784;width:952;height:543" filled="false" stroked="true" strokeweight=".36913pt" strokecolor="#58595b">
              <v:stroke dashstyle="solid"/>
            </v:rect>
            <v:shape style="position:absolute;left:6346;top:5954;width:396;height:219" type="#_x0000_t75" stroked="false">
              <v:imagedata r:id="rId393" o:title=""/>
            </v:shape>
            <v:line style="position:absolute" from="5473,6055" to="5920,6055" stroked="true" strokeweight="1.522664pt" strokecolor="#58595b">
              <v:stroke dashstyle="solid"/>
            </v:line>
            <v:shape style="position:absolute;left:5875;top:5966;width:190;height:179" type="#_x0000_t75" stroked="false">
              <v:imagedata r:id="rId394" o:title=""/>
            </v:shape>
            <v:line style="position:absolute" from="7016,6055" to="8185,6055" stroked="true" strokeweight="1.522664pt" strokecolor="#58595b">
              <v:stroke dashstyle="solid"/>
            </v:line>
            <v:shape style="position:absolute;left:8140;top:5966;width:190;height:179" type="#_x0000_t75" stroked="false">
              <v:imagedata r:id="rId394" o:title=""/>
            </v:shape>
            <v:shape style="position:absolute;left:4081;top:7081;width:959;height:549" type="#_x0000_t75" stroked="false">
              <v:imagedata r:id="rId395" o:title=""/>
            </v:shape>
            <v:shape style="position:absolute;left:4046;top:7048;width:952;height:542" type="#_x0000_t75" stroked="false">
              <v:imagedata r:id="rId396" o:title=""/>
            </v:shape>
            <v:rect style="position:absolute;left:4046;top:7048;width:952;height:542" filled="false" stroked="true" strokeweight=".369152pt" strokecolor="#58595b">
              <v:stroke dashstyle="solid"/>
            </v:rect>
            <v:shape style="position:absolute;left:4329;top:7220;width:396;height:219" type="#_x0000_t75" stroked="false">
              <v:imagedata r:id="rId397" o:title=""/>
            </v:shape>
            <v:line style="position:absolute" from="4522,6597" to="4522,6913" stroked="true" strokeweight="1.342956pt" strokecolor="#58595b">
              <v:stroke dashstyle="solid"/>
            </v:line>
            <v:shape style="position:absolute;left:4427;top:6869;width:190;height:180" coordorigin="4428,6869" coordsize="190,180" path="m4428,6869l4522,7049,4606,6891,4522,6891,4474,6885,4428,6869xm4617,6869l4570,6885,4522,6891,4606,6891,4617,6869xe" filled="true" fillcolor="#58595b" stroked="false">
              <v:path arrowok="t"/>
              <v:fill type="solid"/>
            </v:shape>
            <v:shape style="position:absolute;left:5623;top:6811;width:1911;height:1091" type="#_x0000_t75" stroked="false">
              <v:imagedata r:id="rId398" o:title=""/>
            </v:shape>
            <v:shape style="position:absolute;left:5587;top:6778;width:1904;height:1084" type="#_x0000_t75" stroked="false">
              <v:imagedata r:id="rId399" o:title=""/>
            </v:shape>
            <v:shape style="position:absolute;left:5587;top:6778;width:1904;height:1084" coordorigin="5588,6778" coordsize="1904,1084" path="m5588,7320l6540,6778,7491,7320,6540,7861,5588,7320xe" filled="false" stroked="true" strokeweight=".369158pt" strokecolor="#58595b">
              <v:path arrowok="t"/>
              <v:stroke dashstyle="solid"/>
            </v:shape>
            <v:shape style="position:absolute;left:6159;top:7259;width:332;height:264" type="#_x0000_t75" stroked="false">
              <v:imagedata r:id="rId400" o:title=""/>
            </v:shape>
            <v:shape style="position:absolute;left:6522;top:7219;width:407;height:219" type="#_x0000_t75" stroked="false">
              <v:imagedata r:id="rId401" o:title=""/>
            </v:shape>
            <v:line style="position:absolute" from="4998,7320" to="5445,7320" stroked="true" strokeweight="1.522664pt" strokecolor="#58595b">
              <v:stroke dashstyle="solid"/>
            </v:line>
            <v:shape style="position:absolute;left:5398;top:7229;width:190;height:180" type="#_x0000_t75" stroked="false">
              <v:imagedata r:id="rId402" o:title=""/>
            </v:shape>
            <v:shape style="position:absolute;left:8288;top:8112;width:1910;height:728" type="#_x0000_t75" stroked="false">
              <v:imagedata r:id="rId403" o:title=""/>
            </v:shape>
            <v:shape style="position:absolute;left:8252;top:8078;width:1903;height:723" type="#_x0000_t75" stroked="false">
              <v:imagedata r:id="rId404" o:title=""/>
            </v:shape>
            <v:shape style="position:absolute;left:8252;top:8078;width:1903;height:723" coordorigin="8253,8078" coordsize="1903,723" path="m8633,8801l9775,8801,9852,8793,9923,8772,9988,8739,10044,8695,10091,8641,10126,8580,10148,8512,10156,8439,10148,8366,10126,8299,10091,8237,10044,8184,9988,8140,9923,8106,9852,8085,9775,8078,8633,8078,8556,8085,8485,8106,8421,8140,8364,8184,8318,8237,8283,8299,8261,8366,8253,8439,8261,8512,8283,8580,8318,8641,8364,8695,8421,8739,8485,8772,8556,8793,8633,8801xe" filled="false" stroked="true" strokeweight=".374478pt" strokecolor="#58595b">
              <v:path arrowok="t"/>
              <v:stroke dashstyle="solid"/>
            </v:shape>
            <v:shape style="position:absolute;left:8605;top:8199;width:407;height:219" type="#_x0000_t75" stroked="false">
              <v:imagedata r:id="rId405" o:title=""/>
            </v:shape>
            <v:shape style="position:absolute;left:9039;top:8239;width:332;height:264" type="#_x0000_t75" stroked="false">
              <v:imagedata r:id="rId406" o:title=""/>
            </v:shape>
            <v:shape style="position:absolute;left:9401;top:8199;width:407;height:219" type="#_x0000_t75" stroked="false">
              <v:imagedata r:id="rId407" o:title=""/>
            </v:shape>
            <v:shape style="position:absolute;left:8401;top:8478;width:620;height:155" type="#_x0000_t75" stroked="false">
              <v:imagedata r:id="rId386" o:title=""/>
            </v:shape>
            <v:shape style="position:absolute;left:8401;top:8632;width:620;height:155" type="#_x0000_t75" stroked="false">
              <v:imagedata r:id="rId387" o:title=""/>
            </v:shape>
            <v:shape style="position:absolute;left:9049;top:8517;width:193;height:372" type="#_x0000_t75" stroked="false">
              <v:imagedata r:id="rId408" o:title=""/>
            </v:shape>
            <v:shape style="position:absolute;left:9262;top:8478;width:385;height:219" type="#_x0000_t75" stroked="false">
              <v:imagedata r:id="rId409" o:title=""/>
            </v:shape>
            <v:shape style="position:absolute;left:9688;top:8517;width:327;height:264" type="#_x0000_t75" stroked="false">
              <v:imagedata r:id="rId390" o:title=""/>
            </v:shape>
            <v:shape style="position:absolute;left:8326;top:7037;width:1910;height:728" type="#_x0000_t75" stroked="false">
              <v:imagedata r:id="rId410" o:title=""/>
            </v:shape>
            <v:shape style="position:absolute;left:8290;top:7003;width:1903;height:722" type="#_x0000_t75" stroked="false">
              <v:imagedata r:id="rId411" o:title=""/>
            </v:shape>
            <v:shape style="position:absolute;left:8290;top:7003;width:1903;height:722" coordorigin="8291,7004" coordsize="1903,722" path="m8671,7726l9814,7726,9890,7718,9961,7697,10026,7664,10082,7620,10129,7567,10164,7505,10186,7437,10194,7364,10186,7292,10164,7224,10129,7163,10082,7109,10026,7065,9961,7032,9890,7011,9814,7004,8671,7004,8595,7011,8523,7032,8459,7065,8402,7109,8356,7163,8321,7224,8299,7292,8291,7364,8299,7437,8321,7505,8356,7567,8402,7620,8459,7664,8523,7697,8595,7718,8671,7726xe" filled="false" stroked="true" strokeweight=".374488pt" strokecolor="#58595b">
              <v:path arrowok="t"/>
              <v:stroke dashstyle="solid"/>
            </v:shape>
            <v:shape style="position:absolute;left:8462;top:7125;width:1563;height:1069" type="#_x0000_t75" stroked="false">
              <v:imagedata r:id="rId412" o:title=""/>
            </v:shape>
            <v:shape style="position:absolute;left:8546;top:7403;width:407;height:219" type="#_x0000_t75" stroked="false">
              <v:imagedata r:id="rId413" o:title=""/>
            </v:shape>
            <v:shape style="position:absolute;left:8979;top:7443;width:193;height:391" type="#_x0000_t75" stroked="false">
              <v:imagedata r:id="rId388" o:title=""/>
            </v:shape>
            <v:shape style="position:absolute;left:9192;top:7404;width:385;height:219" type="#_x0000_t75" stroked="false">
              <v:imagedata r:id="rId414" o:title=""/>
            </v:shape>
            <v:shape style="position:absolute;left:9619;top:7443;width:327;height:264" type="#_x0000_t75" stroked="false">
              <v:imagedata r:id="rId415" o:title=""/>
            </v:shape>
            <v:shape style="position:absolute;left:6539;top:7861;width:1570;height:578" coordorigin="6540,7861" coordsize="1570,578" path="m6540,7861l6540,8439,8109,8439e" filled="false" stroked="true" strokeweight="1.501202pt" strokecolor="#58595b">
              <v:path arrowok="t"/>
              <v:stroke dashstyle="solid"/>
            </v:shape>
            <v:shape style="position:absolute;left:8063;top:8349;width:190;height:180" type="#_x0000_t75" stroked="false">
              <v:imagedata r:id="rId416" o:title=""/>
            </v:shape>
            <v:shape style="position:absolute;left:6984;top:8299;width:216;height:391" type="#_x0000_t75" stroked="false">
              <v:imagedata r:id="rId417" o:title=""/>
            </v:shape>
            <v:line style="position:absolute" from="7980,7320" to="8109,7320" stroked="true" strokeweight="1.522664pt" strokecolor="#58595b">
              <v:stroke dashstyle="solid"/>
            </v:line>
            <v:shape style="position:absolute;left:8063;top:7229;width:190;height:180" type="#_x0000_t75" stroked="false">
              <v:imagedata r:id="rId418" o:title=""/>
            </v:shape>
            <v:line style="position:absolute" from="7491,7320" to="7765,7320" stroked="true" strokeweight="1.522664pt" strokecolor="#58595b">
              <v:stroke dashstyle="solid"/>
            </v:line>
            <v:shape style="position:absolute;left:7764;top:7180;width:216;height:391" type="#_x0000_t75" stroked="false">
              <v:imagedata r:id="rId419" o:title=""/>
            </v:shape>
            <v:shape style="position:absolute;left:1607;top:5030;width:1252;height:240" type="#_x0000_t202" filled="false" stroked="false">
              <v:textbox inset="0,0,0,0">
                <w:txbxContent>
                  <w:p>
                    <w:pPr>
                      <w:spacing w:line="239" w:lineRule="exact" w:before="0"/>
                      <w:ind w:left="0" w:right="0" w:firstLine="0"/>
                      <w:jc w:val="left"/>
                      <w:rPr>
                        <w:rFonts w:ascii="微軟正黑體" w:eastAsia="微軟正黑體" w:hint="eastAsia"/>
                        <w:b/>
                        <w:sz w:val="18"/>
                      </w:rPr>
                    </w:pPr>
                    <w:r>
                      <w:rPr>
                        <w:rFonts w:ascii="微軟正黑體" w:eastAsia="微軟正黑體" w:hint="eastAsia"/>
                        <w:b/>
                        <w:color w:val="ED1C24"/>
                        <w:sz w:val="18"/>
                      </w:rPr>
                      <w:t>5 歲以上接觸者</w:t>
                    </w:r>
                  </w:p>
                </w:txbxContent>
              </v:textbox>
              <w10:wrap type="none"/>
            </v:shape>
            <w10:wrap type="topAndBottom"/>
          </v:group>
        </w:pict>
      </w:r>
      <w:r>
        <w:rPr>
          <w:rFonts w:ascii="微軟正黑體" w:eastAsia="微軟正黑體" w:hint="eastAsia"/>
          <w:b/>
          <w:color w:val="231F20"/>
          <w:w w:val="85"/>
          <w:sz w:val="20"/>
        </w:rPr>
        <w:t>＊＊＊2 </w:t>
      </w:r>
      <w:r>
        <w:rPr>
          <w:rFonts w:ascii="微軟正黑體" w:eastAsia="微軟正黑體" w:hint="eastAsia"/>
          <w:b/>
          <w:color w:val="231F20"/>
          <w:sz w:val="20"/>
        </w:rPr>
        <w:t>次TST 需間隔滿 8 週．以避免增強效應 （booster effect）</w:t>
      </w:r>
    </w:p>
    <w:p>
      <w:pPr>
        <w:pStyle w:val="BodyText"/>
        <w:rPr>
          <w:rFonts w:ascii="微軟正黑體"/>
          <w:b/>
          <w:sz w:val="4"/>
        </w:rPr>
      </w:pPr>
    </w:p>
    <w:p>
      <w:pPr>
        <w:spacing w:after="0"/>
        <w:rPr>
          <w:rFonts w:ascii="微軟正黑體"/>
          <w:sz w:val="4"/>
        </w:rPr>
        <w:sectPr>
          <w:pgSz w:w="11910" w:h="16840"/>
          <w:pgMar w:top="1060" w:bottom="0" w:left="980" w:right="0"/>
        </w:sectPr>
      </w:pPr>
    </w:p>
    <w:p>
      <w:pPr>
        <w:pStyle w:val="BodyText"/>
        <w:spacing w:line="230" w:lineRule="auto" w:before="70"/>
        <w:ind w:left="878" w:right="5512" w:hanging="488"/>
      </w:pPr>
      <w:r>
        <w:rPr/>
        <w:pict>
          <v:group style="position:absolute;margin-left:.0pt;margin-top:313.165009pt;width:37.35pt;height:528.550pt;mso-position-horizontal-relative:page;mso-position-vertical-relative:page;z-index:251976704"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420"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130</w:t>
                    </w:r>
                  </w:p>
                </w:txbxContent>
              </v:textbox>
              <w10:wrap type="none"/>
            </v:shape>
            <w10:wrap type="none"/>
          </v:group>
        </w:pict>
      </w:r>
      <w:r>
        <w:rPr/>
        <w:pict>
          <v:shape style="position:absolute;margin-left:92.934502pt;margin-top:41.4515pt;width:446.75pt;height:673.8pt;mso-position-horizontal-relative:page;mso-position-vertical-relative:paragraph;z-index:25197772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49"/>
                    <w:gridCol w:w="1927"/>
                    <w:gridCol w:w="1946"/>
                    <w:gridCol w:w="1455"/>
                    <w:gridCol w:w="2638"/>
                  </w:tblGrid>
                  <w:tr>
                    <w:trPr>
                      <w:trHeight w:val="851" w:hRule="atLeast"/>
                    </w:trPr>
                    <w:tc>
                      <w:tcPr>
                        <w:tcW w:w="949" w:type="dxa"/>
                        <w:shd w:val="clear" w:color="auto" w:fill="E6E7E8"/>
                      </w:tcPr>
                      <w:p>
                        <w:pPr>
                          <w:pStyle w:val="TableParagraph"/>
                          <w:spacing w:line="421" w:lineRule="exact"/>
                          <w:ind w:left="234"/>
                          <w:rPr>
                            <w:rFonts w:ascii="微軟正黑體" w:eastAsia="微軟正黑體" w:hint="eastAsia"/>
                            <w:b/>
                            <w:sz w:val="24"/>
                          </w:rPr>
                        </w:pPr>
                        <w:r>
                          <w:rPr>
                            <w:rFonts w:ascii="微軟正黑體" w:eastAsia="微軟正黑體" w:hint="eastAsia"/>
                            <w:b/>
                            <w:color w:val="231F20"/>
                            <w:sz w:val="24"/>
                          </w:rPr>
                          <w:t>執行</w:t>
                        </w:r>
                      </w:p>
                      <w:p>
                        <w:pPr>
                          <w:pStyle w:val="TableParagraph"/>
                          <w:spacing w:line="411" w:lineRule="exact"/>
                          <w:ind w:left="234"/>
                          <w:rPr>
                            <w:rFonts w:ascii="微軟正黑體" w:eastAsia="微軟正黑體" w:hint="eastAsia"/>
                            <w:b/>
                            <w:sz w:val="24"/>
                          </w:rPr>
                        </w:pPr>
                        <w:r>
                          <w:rPr>
                            <w:rFonts w:ascii="微軟正黑體" w:eastAsia="微軟正黑體" w:hint="eastAsia"/>
                            <w:b/>
                            <w:color w:val="231F20"/>
                            <w:sz w:val="24"/>
                          </w:rPr>
                          <w:t>步驟</w:t>
                        </w:r>
                      </w:p>
                    </w:tc>
                    <w:tc>
                      <w:tcPr>
                        <w:tcW w:w="1927" w:type="dxa"/>
                        <w:shd w:val="clear" w:color="auto" w:fill="E6E7E8"/>
                      </w:tcPr>
                      <w:p>
                        <w:pPr>
                          <w:pStyle w:val="TableParagraph"/>
                          <w:spacing w:before="200"/>
                          <w:ind w:left="243"/>
                          <w:rPr>
                            <w:rFonts w:ascii="微軟正黑體" w:eastAsia="微軟正黑體" w:hint="eastAsia"/>
                            <w:b/>
                            <w:sz w:val="24"/>
                          </w:rPr>
                        </w:pPr>
                        <w:r>
                          <w:rPr>
                            <w:rFonts w:ascii="微軟正黑體" w:eastAsia="微軟正黑體" w:hint="eastAsia"/>
                            <w:b/>
                            <w:color w:val="231F20"/>
                            <w:sz w:val="24"/>
                          </w:rPr>
                          <w:t>個案管理單位</w:t>
                        </w:r>
                      </w:p>
                    </w:tc>
                    <w:tc>
                      <w:tcPr>
                        <w:tcW w:w="1946" w:type="dxa"/>
                        <w:shd w:val="clear" w:color="auto" w:fill="E6E7E8"/>
                      </w:tcPr>
                      <w:p>
                        <w:pPr>
                          <w:pStyle w:val="TableParagraph"/>
                          <w:spacing w:line="421" w:lineRule="exact"/>
                          <w:ind w:left="111" w:right="99"/>
                          <w:jc w:val="center"/>
                          <w:rPr>
                            <w:rFonts w:ascii="微軟正黑體" w:eastAsia="微軟正黑體" w:hint="eastAsia"/>
                            <w:b/>
                            <w:sz w:val="24"/>
                          </w:rPr>
                        </w:pPr>
                        <w:r>
                          <w:rPr>
                            <w:rFonts w:ascii="微軟正黑體" w:eastAsia="微軟正黑體" w:hint="eastAsia"/>
                            <w:b/>
                            <w:color w:val="231F20"/>
                            <w:sz w:val="24"/>
                          </w:rPr>
                          <w:t>場域所在地衛生</w:t>
                        </w:r>
                      </w:p>
                      <w:p>
                        <w:pPr>
                          <w:pStyle w:val="TableParagraph"/>
                          <w:spacing w:line="411" w:lineRule="exact"/>
                          <w:ind w:left="111" w:right="99"/>
                          <w:jc w:val="center"/>
                          <w:rPr>
                            <w:rFonts w:ascii="微軟正黑體" w:eastAsia="微軟正黑體" w:hint="eastAsia"/>
                            <w:b/>
                            <w:sz w:val="24"/>
                          </w:rPr>
                        </w:pPr>
                        <w:r>
                          <w:rPr>
                            <w:rFonts w:ascii="微軟正黑體" w:eastAsia="微軟正黑體" w:hint="eastAsia"/>
                            <w:b/>
                            <w:color w:val="231F20"/>
                            <w:sz w:val="24"/>
                          </w:rPr>
                          <w:t>主管機關</w:t>
                        </w:r>
                      </w:p>
                    </w:tc>
                    <w:tc>
                      <w:tcPr>
                        <w:tcW w:w="1455" w:type="dxa"/>
                        <w:shd w:val="clear" w:color="auto" w:fill="E6E7E8"/>
                      </w:tcPr>
                      <w:p>
                        <w:pPr>
                          <w:pStyle w:val="TableParagraph"/>
                          <w:spacing w:before="200"/>
                          <w:ind w:left="126"/>
                          <w:rPr>
                            <w:rFonts w:ascii="微軟正黑體" w:eastAsia="微軟正黑體" w:hint="eastAsia"/>
                            <w:b/>
                            <w:sz w:val="24"/>
                          </w:rPr>
                        </w:pPr>
                        <w:r>
                          <w:rPr>
                            <w:rFonts w:ascii="微軟正黑體" w:eastAsia="微軟正黑體" w:hint="eastAsia"/>
                            <w:b/>
                            <w:color w:val="231F20"/>
                            <w:sz w:val="24"/>
                          </w:rPr>
                          <w:t>場域負責人</w:t>
                        </w:r>
                      </w:p>
                    </w:tc>
                    <w:tc>
                      <w:tcPr>
                        <w:tcW w:w="2638" w:type="dxa"/>
                        <w:shd w:val="clear" w:color="auto" w:fill="E6E7E8"/>
                      </w:tcPr>
                      <w:p>
                        <w:pPr>
                          <w:pStyle w:val="TableParagraph"/>
                          <w:spacing w:line="421" w:lineRule="exact"/>
                          <w:ind w:left="96" w:right="86"/>
                          <w:jc w:val="center"/>
                          <w:rPr>
                            <w:rFonts w:ascii="微軟正黑體" w:eastAsia="微軟正黑體" w:hint="eastAsia"/>
                            <w:b/>
                            <w:sz w:val="24"/>
                          </w:rPr>
                        </w:pPr>
                        <w:r>
                          <w:rPr>
                            <w:rFonts w:ascii="微軟正黑體" w:eastAsia="微軟正黑體" w:hint="eastAsia"/>
                            <w:b/>
                            <w:color w:val="231F20"/>
                            <w:sz w:val="24"/>
                          </w:rPr>
                          <w:t>非場域所在地</w:t>
                        </w:r>
                      </w:p>
                      <w:p>
                        <w:pPr>
                          <w:pStyle w:val="TableParagraph"/>
                          <w:spacing w:line="411" w:lineRule="exact"/>
                          <w:ind w:left="96" w:right="86"/>
                          <w:jc w:val="center"/>
                          <w:rPr>
                            <w:rFonts w:ascii="微軟正黑體" w:eastAsia="微軟正黑體" w:hint="eastAsia"/>
                            <w:b/>
                            <w:sz w:val="24"/>
                          </w:rPr>
                        </w:pPr>
                        <w:r>
                          <w:rPr>
                            <w:rFonts w:ascii="微軟正黑體" w:eastAsia="微軟正黑體" w:hint="eastAsia"/>
                            <w:b/>
                            <w:color w:val="231F20"/>
                            <w:sz w:val="24"/>
                          </w:rPr>
                          <w:t>之其他接觸者管理單位</w:t>
                        </w:r>
                      </w:p>
                    </w:tc>
                  </w:tr>
                  <w:tr>
                    <w:trPr>
                      <w:trHeight w:val="5249" w:hRule="atLeast"/>
                    </w:trPr>
                    <w:tc>
                      <w:tcPr>
                        <w:tcW w:w="949" w:type="dxa"/>
                      </w:tcPr>
                      <w:p>
                        <w:pPr>
                          <w:pStyle w:val="TableParagraph"/>
                          <w:rPr>
                            <w:sz w:val="32"/>
                          </w:rPr>
                        </w:pPr>
                      </w:p>
                      <w:p>
                        <w:pPr>
                          <w:pStyle w:val="TableParagraph"/>
                          <w:rPr>
                            <w:sz w:val="32"/>
                          </w:rPr>
                        </w:pPr>
                      </w:p>
                      <w:p>
                        <w:pPr>
                          <w:pStyle w:val="TableParagraph"/>
                          <w:rPr>
                            <w:sz w:val="32"/>
                          </w:rPr>
                        </w:pPr>
                      </w:p>
                      <w:p>
                        <w:pPr>
                          <w:pStyle w:val="TableParagraph"/>
                          <w:spacing w:before="5"/>
                          <w:rPr>
                            <w:sz w:val="21"/>
                          </w:rPr>
                        </w:pPr>
                      </w:p>
                      <w:p>
                        <w:pPr>
                          <w:pStyle w:val="TableParagraph"/>
                          <w:spacing w:line="230" w:lineRule="auto"/>
                          <w:ind w:left="112" w:right="99"/>
                          <w:jc w:val="both"/>
                          <w:rPr>
                            <w:sz w:val="24"/>
                          </w:rPr>
                        </w:pPr>
                        <w:r>
                          <w:rPr>
                            <w:color w:val="231F20"/>
                            <w:sz w:val="24"/>
                          </w:rPr>
                          <w:t>確認接觸者範圍</w:t>
                        </w:r>
                      </w:p>
                    </w:tc>
                    <w:tc>
                      <w:tcPr>
                        <w:tcW w:w="1927" w:type="dxa"/>
                      </w:tcPr>
                      <w:p>
                        <w:pPr>
                          <w:pStyle w:val="TableParagraph"/>
                          <w:numPr>
                            <w:ilvl w:val="0"/>
                            <w:numId w:val="245"/>
                          </w:numPr>
                          <w:tabs>
                            <w:tab w:pos="369" w:val="left" w:leader="none"/>
                          </w:tabs>
                          <w:spacing w:line="230" w:lineRule="auto" w:before="43" w:after="0"/>
                          <w:ind w:left="367" w:right="90" w:hanging="255"/>
                          <w:jc w:val="both"/>
                          <w:rPr>
                            <w:sz w:val="24"/>
                          </w:rPr>
                        </w:pPr>
                        <w:r>
                          <w:rPr>
                            <w:color w:val="231F20"/>
                            <w:sz w:val="24"/>
                          </w:rPr>
                          <w:t>確認指標個案</w:t>
                        </w:r>
                        <w:r>
                          <w:rPr>
                            <w:color w:val="231F20"/>
                            <w:spacing w:val="-4"/>
                            <w:sz w:val="24"/>
                          </w:rPr>
                          <w:t>另有校園 </w:t>
                        </w:r>
                        <w:r>
                          <w:rPr>
                            <w:color w:val="231F20"/>
                            <w:spacing w:val="-8"/>
                            <w:w w:val="70"/>
                            <w:sz w:val="24"/>
                          </w:rPr>
                          <w:t>／ </w:t>
                        </w:r>
                        <w:r>
                          <w:rPr>
                            <w:color w:val="231F20"/>
                            <w:sz w:val="24"/>
                          </w:rPr>
                          <w:t>職</w:t>
                        </w:r>
                        <w:r>
                          <w:rPr>
                            <w:color w:val="231F20"/>
                            <w:spacing w:val="-20"/>
                            <w:sz w:val="24"/>
                          </w:rPr>
                          <w:t>場 </w:t>
                        </w:r>
                        <w:r>
                          <w:rPr>
                            <w:color w:val="231F20"/>
                            <w:spacing w:val="-10"/>
                            <w:w w:val="70"/>
                            <w:sz w:val="24"/>
                          </w:rPr>
                          <w:t>／ </w:t>
                        </w:r>
                        <w:r>
                          <w:rPr>
                            <w:color w:val="231F20"/>
                            <w:spacing w:val="2"/>
                            <w:sz w:val="24"/>
                          </w:rPr>
                          <w:t>密集機構</w:t>
                        </w:r>
                      </w:p>
                      <w:p>
                        <w:pPr>
                          <w:pStyle w:val="TableParagraph"/>
                          <w:spacing w:line="230" w:lineRule="auto"/>
                          <w:ind w:left="367" w:right="95"/>
                          <w:jc w:val="both"/>
                          <w:rPr>
                            <w:sz w:val="24"/>
                          </w:rPr>
                        </w:pPr>
                        <w:r>
                          <w:rPr>
                            <w:color w:val="231F20"/>
                            <w:spacing w:val="-12"/>
                            <w:w w:val="70"/>
                            <w:sz w:val="24"/>
                          </w:rPr>
                          <w:t>／ </w:t>
                        </w:r>
                        <w:r>
                          <w:rPr>
                            <w:color w:val="231F20"/>
                            <w:spacing w:val="-4"/>
                            <w:w w:val="95"/>
                            <w:sz w:val="24"/>
                          </w:rPr>
                          <w:t>醫院 ／ 社交</w:t>
                        </w:r>
                        <w:r>
                          <w:rPr>
                            <w:color w:val="231F20"/>
                            <w:spacing w:val="-3"/>
                            <w:sz w:val="24"/>
                          </w:rPr>
                          <w:t>等場域之活動史，且符合接觸者檢査暴露</w:t>
                        </w:r>
                        <w:r>
                          <w:rPr>
                            <w:color w:val="231F20"/>
                            <w:sz w:val="24"/>
                          </w:rPr>
                          <w:t>之定義</w:t>
                        </w:r>
                      </w:p>
                      <w:p>
                        <w:pPr>
                          <w:pStyle w:val="TableParagraph"/>
                          <w:numPr>
                            <w:ilvl w:val="0"/>
                            <w:numId w:val="245"/>
                          </w:numPr>
                          <w:tabs>
                            <w:tab w:pos="369" w:val="left" w:leader="none"/>
                          </w:tabs>
                          <w:spacing w:line="230" w:lineRule="auto" w:before="0" w:after="0"/>
                          <w:ind w:left="367" w:right="95" w:hanging="255"/>
                          <w:jc w:val="both"/>
                          <w:rPr>
                            <w:sz w:val="24"/>
                          </w:rPr>
                        </w:pPr>
                        <w:r>
                          <w:rPr>
                            <w:color w:val="231F20"/>
                            <w:spacing w:val="-2"/>
                            <w:sz w:val="24"/>
                          </w:rPr>
                          <w:t>確認場域接觸</w:t>
                        </w:r>
                        <w:r>
                          <w:rPr>
                            <w:color w:val="231F20"/>
                            <w:spacing w:val="-3"/>
                            <w:sz w:val="24"/>
                          </w:rPr>
                          <w:t>者匡列名單是否齊全，於系統登錄接觸資</w:t>
                        </w:r>
                      </w:p>
                      <w:p>
                        <w:pPr>
                          <w:pStyle w:val="TableParagraph"/>
                          <w:spacing w:line="384" w:lineRule="exact"/>
                          <w:ind w:left="367"/>
                          <w:rPr>
                            <w:sz w:val="24"/>
                          </w:rPr>
                        </w:pPr>
                        <w:r>
                          <w:rPr>
                            <w:color w:val="231F20"/>
                            <w:sz w:val="24"/>
                          </w:rPr>
                          <w:t>料</w:t>
                        </w:r>
                      </w:p>
                    </w:tc>
                    <w:tc>
                      <w:tcPr>
                        <w:tcW w:w="1946" w:type="dxa"/>
                      </w:tcPr>
                      <w:p>
                        <w:pPr>
                          <w:pStyle w:val="TableParagraph"/>
                          <w:numPr>
                            <w:ilvl w:val="0"/>
                            <w:numId w:val="246"/>
                          </w:numPr>
                          <w:tabs>
                            <w:tab w:pos="368" w:val="left" w:leader="none"/>
                          </w:tabs>
                          <w:spacing w:line="230" w:lineRule="auto" w:before="43" w:after="0"/>
                          <w:ind w:left="367" w:right="93" w:hanging="255"/>
                          <w:jc w:val="both"/>
                          <w:rPr>
                            <w:sz w:val="24"/>
                          </w:rPr>
                        </w:pPr>
                        <w:r>
                          <w:rPr>
                            <w:color w:val="231F20"/>
                            <w:spacing w:val="1"/>
                            <w:sz w:val="24"/>
                          </w:rPr>
                          <w:t>接獲個案管理單位通知後， 聯繫場域負責人進行環境評估與接觸者確</w:t>
                        </w:r>
                        <w:r>
                          <w:rPr>
                            <w:color w:val="231F20"/>
                            <w:sz w:val="24"/>
                          </w:rPr>
                          <w:t>認</w:t>
                        </w:r>
                      </w:p>
                      <w:p>
                        <w:pPr>
                          <w:pStyle w:val="TableParagraph"/>
                          <w:numPr>
                            <w:ilvl w:val="0"/>
                            <w:numId w:val="246"/>
                          </w:numPr>
                          <w:tabs>
                            <w:tab w:pos="368" w:val="left" w:leader="none"/>
                          </w:tabs>
                          <w:spacing w:line="230" w:lineRule="auto" w:before="0" w:after="0"/>
                          <w:ind w:left="367" w:right="91" w:hanging="255"/>
                          <w:jc w:val="both"/>
                          <w:rPr>
                            <w:sz w:val="24"/>
                          </w:rPr>
                        </w:pPr>
                        <w:r>
                          <w:rPr>
                            <w:color w:val="231F20"/>
                            <w:spacing w:val="2"/>
                            <w:sz w:val="24"/>
                          </w:rPr>
                          <w:t>提交接觸者名單予指標個案</w:t>
                        </w:r>
                        <w:r>
                          <w:rPr>
                            <w:color w:val="231F20"/>
                            <w:spacing w:val="1"/>
                            <w:sz w:val="24"/>
                          </w:rPr>
                          <w:t>管理單位，確</w:t>
                        </w:r>
                        <w:r>
                          <w:rPr>
                            <w:color w:val="231F20"/>
                            <w:spacing w:val="2"/>
                            <w:sz w:val="24"/>
                          </w:rPr>
                          <w:t>認匡列範圍是</w:t>
                        </w:r>
                        <w:r>
                          <w:rPr>
                            <w:color w:val="231F20"/>
                            <w:sz w:val="24"/>
                          </w:rPr>
                          <w:t>否正確</w:t>
                        </w:r>
                      </w:p>
                      <w:p>
                        <w:pPr>
                          <w:pStyle w:val="TableParagraph"/>
                          <w:numPr>
                            <w:ilvl w:val="0"/>
                            <w:numId w:val="246"/>
                          </w:numPr>
                          <w:tabs>
                            <w:tab w:pos="368" w:val="left" w:leader="none"/>
                          </w:tabs>
                          <w:spacing w:line="391" w:lineRule="exact" w:before="0" w:after="0"/>
                          <w:ind w:left="367" w:right="0" w:hanging="256"/>
                          <w:jc w:val="both"/>
                          <w:rPr>
                            <w:sz w:val="24"/>
                          </w:rPr>
                        </w:pPr>
                        <w:r>
                          <w:rPr>
                            <w:color w:val="231F20"/>
                            <w:spacing w:val="4"/>
                            <w:sz w:val="24"/>
                          </w:rPr>
                          <w:t>辦理接觸者登</w:t>
                        </w:r>
                      </w:p>
                      <w:p>
                        <w:pPr>
                          <w:pStyle w:val="TableParagraph"/>
                          <w:spacing w:line="391" w:lineRule="exact"/>
                          <w:ind w:left="367"/>
                          <w:jc w:val="both"/>
                          <w:rPr>
                            <w:sz w:val="24"/>
                          </w:rPr>
                        </w:pPr>
                        <w:r>
                          <w:rPr>
                            <w:color w:val="231F20"/>
                            <w:sz w:val="24"/>
                          </w:rPr>
                          <w:t>記 </w:t>
                        </w:r>
                        <w:r>
                          <w:rPr>
                            <w:color w:val="231F20"/>
                            <w:w w:val="70"/>
                            <w:sz w:val="24"/>
                          </w:rPr>
                          <w:t>／ </w:t>
                        </w:r>
                        <w:r>
                          <w:rPr>
                            <w:color w:val="231F20"/>
                            <w:sz w:val="24"/>
                          </w:rPr>
                          <w:t>遷入作業</w:t>
                        </w:r>
                      </w:p>
                    </w:tc>
                    <w:tc>
                      <w:tcPr>
                        <w:tcW w:w="1455" w:type="dxa"/>
                      </w:tcPr>
                      <w:p>
                        <w:pPr>
                          <w:pStyle w:val="TableParagraph"/>
                          <w:rPr>
                            <w:sz w:val="32"/>
                          </w:rPr>
                        </w:pPr>
                      </w:p>
                      <w:p>
                        <w:pPr>
                          <w:pStyle w:val="TableParagraph"/>
                          <w:rPr>
                            <w:sz w:val="32"/>
                          </w:rPr>
                        </w:pPr>
                      </w:p>
                      <w:p>
                        <w:pPr>
                          <w:pStyle w:val="TableParagraph"/>
                          <w:spacing w:before="5"/>
                          <w:rPr>
                            <w:sz w:val="30"/>
                          </w:rPr>
                        </w:pPr>
                      </w:p>
                      <w:p>
                        <w:pPr>
                          <w:pStyle w:val="TableParagraph"/>
                          <w:numPr>
                            <w:ilvl w:val="0"/>
                            <w:numId w:val="247"/>
                          </w:numPr>
                          <w:tabs>
                            <w:tab w:pos="367" w:val="left" w:leader="none"/>
                          </w:tabs>
                          <w:spacing w:line="230" w:lineRule="auto" w:before="1" w:after="0"/>
                          <w:ind w:left="367" w:right="94" w:hanging="255"/>
                          <w:jc w:val="both"/>
                          <w:rPr>
                            <w:sz w:val="24"/>
                          </w:rPr>
                        </w:pPr>
                        <w:r>
                          <w:rPr>
                            <w:color w:val="231F20"/>
                            <w:spacing w:val="-1"/>
                            <w:sz w:val="24"/>
                          </w:rPr>
                          <w:t>配合衛生單位進行</w:t>
                        </w:r>
                        <w:r>
                          <w:rPr>
                            <w:color w:val="231F20"/>
                            <w:sz w:val="24"/>
                          </w:rPr>
                          <w:t>環境評估</w:t>
                        </w:r>
                      </w:p>
                      <w:p>
                        <w:pPr>
                          <w:pStyle w:val="TableParagraph"/>
                          <w:numPr>
                            <w:ilvl w:val="0"/>
                            <w:numId w:val="247"/>
                          </w:numPr>
                          <w:tabs>
                            <w:tab w:pos="367" w:val="left" w:leader="none"/>
                          </w:tabs>
                          <w:spacing w:line="230" w:lineRule="auto" w:before="0" w:after="0"/>
                          <w:ind w:left="367" w:right="94" w:hanging="255"/>
                          <w:jc w:val="both"/>
                          <w:rPr>
                            <w:sz w:val="24"/>
                          </w:rPr>
                        </w:pPr>
                        <w:r>
                          <w:rPr>
                            <w:color w:val="231F20"/>
                            <w:spacing w:val="-1"/>
                            <w:sz w:val="24"/>
                          </w:rPr>
                          <w:t>提供接觸</w:t>
                        </w:r>
                        <w:r>
                          <w:rPr>
                            <w:color w:val="231F20"/>
                            <w:sz w:val="24"/>
                          </w:rPr>
                          <w:t>者名單</w:t>
                        </w:r>
                      </w:p>
                    </w:tc>
                    <w:tc>
                      <w:tcPr>
                        <w:tcW w:w="2638" w:type="dxa"/>
                        <w:vMerge w:val="restart"/>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15"/>
                          <w:rPr>
                            <w:sz w:val="39"/>
                          </w:rPr>
                        </w:pPr>
                      </w:p>
                      <w:p>
                        <w:pPr>
                          <w:pStyle w:val="TableParagraph"/>
                          <w:spacing w:line="230" w:lineRule="auto"/>
                          <w:ind w:left="111" w:right="97"/>
                          <w:jc w:val="both"/>
                          <w:rPr>
                            <w:sz w:val="24"/>
                          </w:rPr>
                        </w:pPr>
                        <w:r>
                          <w:rPr>
                            <w:color w:val="231F20"/>
                            <w:spacing w:val="-2"/>
                            <w:sz w:val="24"/>
                          </w:rPr>
                          <w:t>辦理接觸者登記 </w:t>
                        </w:r>
                        <w:r>
                          <w:rPr>
                            <w:color w:val="231F20"/>
                            <w:spacing w:val="-8"/>
                            <w:w w:val="70"/>
                            <w:sz w:val="24"/>
                          </w:rPr>
                          <w:t>／ </w:t>
                        </w:r>
                        <w:r>
                          <w:rPr>
                            <w:color w:val="231F20"/>
                            <w:spacing w:val="-6"/>
                            <w:sz w:val="24"/>
                          </w:rPr>
                          <w:t>遷入</w:t>
                        </w:r>
                        <w:r>
                          <w:rPr>
                            <w:color w:val="231F20"/>
                            <w:spacing w:val="-2"/>
                            <w:sz w:val="24"/>
                          </w:rPr>
                          <w:t>作業，追蹤所轄接觸者</w:t>
                        </w:r>
                        <w:r>
                          <w:rPr>
                            <w:color w:val="231F20"/>
                            <w:sz w:val="24"/>
                          </w:rPr>
                          <w:t>檢査及治療作業</w:t>
                        </w:r>
                      </w:p>
                    </w:tc>
                  </w:tr>
                  <w:tr>
                    <w:trPr>
                      <w:trHeight w:val="2450" w:hRule="atLeast"/>
                    </w:trPr>
                    <w:tc>
                      <w:tcPr>
                        <w:tcW w:w="949" w:type="dxa"/>
                      </w:tcPr>
                      <w:p>
                        <w:pPr>
                          <w:pStyle w:val="TableParagraph"/>
                          <w:spacing w:before="16"/>
                          <w:rPr>
                            <w:sz w:val="36"/>
                          </w:rPr>
                        </w:pPr>
                      </w:p>
                      <w:p>
                        <w:pPr>
                          <w:pStyle w:val="TableParagraph"/>
                          <w:spacing w:line="230" w:lineRule="auto"/>
                          <w:ind w:left="112" w:right="99"/>
                          <w:jc w:val="both"/>
                          <w:rPr>
                            <w:sz w:val="24"/>
                          </w:rPr>
                        </w:pPr>
                        <w:r>
                          <w:rPr>
                            <w:color w:val="231F20"/>
                            <w:sz w:val="24"/>
                          </w:rPr>
                          <w:t>接觸者衛教及檢査</w:t>
                        </w:r>
                      </w:p>
                    </w:tc>
                    <w:tc>
                      <w:tcPr>
                        <w:tcW w:w="1927" w:type="dxa"/>
                      </w:tcPr>
                      <w:p>
                        <w:pPr>
                          <w:pStyle w:val="TableParagraph"/>
                          <w:rPr>
                            <w:rFonts w:ascii="Times New Roman"/>
                            <w:sz w:val="22"/>
                          </w:rPr>
                        </w:pPr>
                      </w:p>
                    </w:tc>
                    <w:tc>
                      <w:tcPr>
                        <w:tcW w:w="1946" w:type="dxa"/>
                      </w:tcPr>
                      <w:p>
                        <w:pPr>
                          <w:pStyle w:val="TableParagraph"/>
                          <w:spacing w:line="230" w:lineRule="auto" w:before="43"/>
                          <w:ind w:left="112" w:right="90"/>
                          <w:jc w:val="both"/>
                          <w:rPr>
                            <w:sz w:val="24"/>
                          </w:rPr>
                        </w:pPr>
                        <w:r>
                          <w:rPr>
                            <w:color w:val="231F20"/>
                            <w:sz w:val="24"/>
                          </w:rPr>
                          <w:t>召開接觸者衛教說明會及辦理接觸者檢査</w:t>
                        </w:r>
                      </w:p>
                    </w:tc>
                    <w:tc>
                      <w:tcPr>
                        <w:tcW w:w="1455" w:type="dxa"/>
                      </w:tcPr>
                      <w:p>
                        <w:pPr>
                          <w:pStyle w:val="TableParagraph"/>
                          <w:spacing w:line="230" w:lineRule="auto" w:before="43"/>
                          <w:ind w:left="111" w:right="8"/>
                          <w:jc w:val="both"/>
                          <w:rPr>
                            <w:sz w:val="24"/>
                          </w:rPr>
                        </w:pPr>
                        <w:r>
                          <w:rPr>
                            <w:color w:val="231F20"/>
                            <w:sz w:val="24"/>
                          </w:rPr>
                          <w:t>召集接觸者及 相 關 人員，參加衛教說明會及進行接觸者</w:t>
                        </w:r>
                      </w:p>
                      <w:p>
                        <w:pPr>
                          <w:pStyle w:val="TableParagraph"/>
                          <w:spacing w:line="383" w:lineRule="exact"/>
                          <w:ind w:left="111"/>
                          <w:rPr>
                            <w:sz w:val="24"/>
                          </w:rPr>
                        </w:pPr>
                        <w:r>
                          <w:rPr>
                            <w:color w:val="231F20"/>
                            <w:sz w:val="24"/>
                          </w:rPr>
                          <w:t>檢査</w:t>
                        </w:r>
                      </w:p>
                    </w:tc>
                    <w:tc>
                      <w:tcPr>
                        <w:tcW w:w="2638" w:type="dxa"/>
                        <w:vMerge/>
                        <w:tcBorders>
                          <w:top w:val="nil"/>
                        </w:tcBorders>
                      </w:tcPr>
                      <w:p>
                        <w:pPr>
                          <w:rPr>
                            <w:sz w:val="2"/>
                            <w:szCs w:val="2"/>
                          </w:rPr>
                        </w:pPr>
                      </w:p>
                    </w:tc>
                  </w:tr>
                  <w:tr>
                    <w:trPr>
                      <w:trHeight w:val="4849" w:hRule="atLeast"/>
                    </w:trPr>
                    <w:tc>
                      <w:tcPr>
                        <w:tcW w:w="949" w:type="dxa"/>
                      </w:tcPr>
                      <w:p>
                        <w:pPr>
                          <w:pStyle w:val="TableParagraph"/>
                          <w:rPr>
                            <w:sz w:val="32"/>
                          </w:rPr>
                        </w:pPr>
                      </w:p>
                      <w:p>
                        <w:pPr>
                          <w:pStyle w:val="TableParagraph"/>
                          <w:rPr>
                            <w:sz w:val="32"/>
                          </w:rPr>
                        </w:pPr>
                      </w:p>
                      <w:p>
                        <w:pPr>
                          <w:pStyle w:val="TableParagraph"/>
                          <w:spacing w:before="14"/>
                          <w:rPr>
                            <w:sz w:val="41"/>
                          </w:rPr>
                        </w:pPr>
                      </w:p>
                      <w:p>
                        <w:pPr>
                          <w:pStyle w:val="TableParagraph"/>
                          <w:spacing w:line="230" w:lineRule="auto"/>
                          <w:ind w:left="112" w:right="99"/>
                          <w:jc w:val="both"/>
                          <w:rPr>
                            <w:sz w:val="24"/>
                          </w:rPr>
                        </w:pPr>
                        <w:r>
                          <w:rPr>
                            <w:color w:val="231F20"/>
                            <w:sz w:val="24"/>
                          </w:rPr>
                          <w:t>檢査結果及追蹤</w:t>
                        </w:r>
                      </w:p>
                    </w:tc>
                    <w:tc>
                      <w:tcPr>
                        <w:tcW w:w="1927" w:type="dxa"/>
                      </w:tcPr>
                      <w:p>
                        <w:pPr>
                          <w:pStyle w:val="TableParagraph"/>
                          <w:rPr>
                            <w:rFonts w:ascii="Times New Roman"/>
                            <w:sz w:val="22"/>
                          </w:rPr>
                        </w:pPr>
                      </w:p>
                    </w:tc>
                    <w:tc>
                      <w:tcPr>
                        <w:tcW w:w="1946" w:type="dxa"/>
                      </w:tcPr>
                      <w:p>
                        <w:pPr>
                          <w:pStyle w:val="TableParagraph"/>
                          <w:numPr>
                            <w:ilvl w:val="0"/>
                            <w:numId w:val="248"/>
                          </w:numPr>
                          <w:tabs>
                            <w:tab w:pos="368" w:val="left" w:leader="none"/>
                          </w:tabs>
                          <w:spacing w:line="230" w:lineRule="auto" w:before="43" w:after="0"/>
                          <w:ind w:left="367" w:right="31" w:hanging="255"/>
                          <w:jc w:val="both"/>
                          <w:rPr>
                            <w:sz w:val="24"/>
                          </w:rPr>
                        </w:pPr>
                        <w:r>
                          <w:rPr>
                            <w:color w:val="231F20"/>
                            <w:spacing w:val="52"/>
                            <w:sz w:val="24"/>
                          </w:rPr>
                          <w:t>追蹤檢査結</w:t>
                        </w:r>
                        <w:r>
                          <w:rPr>
                            <w:color w:val="231F20"/>
                            <w:spacing w:val="12"/>
                            <w:sz w:val="24"/>
                          </w:rPr>
                          <w:t>果，轉介異常</w:t>
                        </w:r>
                        <w:r>
                          <w:rPr>
                            <w:color w:val="231F20"/>
                            <w:spacing w:val="52"/>
                            <w:sz w:val="24"/>
                          </w:rPr>
                          <w:t>個案就醫及</w:t>
                        </w:r>
                        <w:r>
                          <w:rPr>
                            <w:color w:val="231F20"/>
                            <w:spacing w:val="-4"/>
                            <w:sz w:val="24"/>
                          </w:rPr>
                          <w:t>LTBI</w:t>
                        </w:r>
                        <w:r>
                          <w:rPr>
                            <w:color w:val="231F20"/>
                            <w:spacing w:val="-3"/>
                            <w:sz w:val="24"/>
                          </w:rPr>
                          <w:t> 陽 性 者進行治療評估</w:t>
                        </w:r>
                      </w:p>
                      <w:p>
                        <w:pPr>
                          <w:pStyle w:val="TableParagraph"/>
                          <w:numPr>
                            <w:ilvl w:val="0"/>
                            <w:numId w:val="248"/>
                          </w:numPr>
                          <w:tabs>
                            <w:tab w:pos="368" w:val="left" w:leader="none"/>
                          </w:tabs>
                          <w:spacing w:line="230" w:lineRule="auto" w:before="0" w:after="0"/>
                          <w:ind w:left="367" w:right="93" w:hanging="255"/>
                          <w:jc w:val="both"/>
                          <w:rPr>
                            <w:sz w:val="24"/>
                          </w:rPr>
                        </w:pPr>
                        <w:r>
                          <w:rPr>
                            <w:color w:val="231F20"/>
                            <w:spacing w:val="1"/>
                            <w:sz w:val="24"/>
                          </w:rPr>
                          <w:t>維護接觸者檢</w:t>
                        </w:r>
                        <w:r>
                          <w:rPr>
                            <w:color w:val="231F20"/>
                            <w:sz w:val="24"/>
                          </w:rPr>
                          <w:t>査資訊</w:t>
                        </w:r>
                      </w:p>
                      <w:p>
                        <w:pPr>
                          <w:pStyle w:val="TableParagraph"/>
                          <w:numPr>
                            <w:ilvl w:val="0"/>
                            <w:numId w:val="248"/>
                          </w:numPr>
                          <w:tabs>
                            <w:tab w:pos="368" w:val="left" w:leader="none"/>
                          </w:tabs>
                          <w:spacing w:line="230" w:lineRule="auto" w:before="0" w:after="0"/>
                          <w:ind w:left="367" w:right="91" w:hanging="255"/>
                          <w:jc w:val="both"/>
                          <w:rPr>
                            <w:sz w:val="24"/>
                          </w:rPr>
                        </w:pPr>
                        <w:r>
                          <w:rPr>
                            <w:color w:val="231F20"/>
                            <w:spacing w:val="2"/>
                            <w:sz w:val="24"/>
                          </w:rPr>
                          <w:t>針對離開場域之接觸者辦理</w:t>
                        </w:r>
                        <w:r>
                          <w:rPr>
                            <w:color w:val="231F20"/>
                            <w:spacing w:val="1"/>
                            <w:sz w:val="24"/>
                          </w:rPr>
                          <w:t>遷出作業，以</w:t>
                        </w:r>
                        <w:r>
                          <w:rPr>
                            <w:color w:val="231F20"/>
                            <w:spacing w:val="2"/>
                            <w:sz w:val="24"/>
                          </w:rPr>
                          <w:t>利執行後續追</w:t>
                        </w:r>
                      </w:p>
                      <w:p>
                        <w:pPr>
                          <w:pStyle w:val="TableParagraph"/>
                          <w:spacing w:line="384" w:lineRule="exact"/>
                          <w:ind w:left="367"/>
                          <w:rPr>
                            <w:sz w:val="24"/>
                          </w:rPr>
                        </w:pPr>
                        <w:r>
                          <w:rPr>
                            <w:color w:val="231F20"/>
                            <w:sz w:val="24"/>
                          </w:rPr>
                          <w:t>蹤檢査</w:t>
                        </w:r>
                      </w:p>
                    </w:tc>
                    <w:tc>
                      <w:tcPr>
                        <w:tcW w:w="1455" w:type="dxa"/>
                      </w:tcPr>
                      <w:p>
                        <w:pPr>
                          <w:pStyle w:val="TableParagraph"/>
                          <w:rPr>
                            <w:sz w:val="32"/>
                          </w:rPr>
                        </w:pPr>
                      </w:p>
                      <w:p>
                        <w:pPr>
                          <w:pStyle w:val="TableParagraph"/>
                          <w:rPr>
                            <w:sz w:val="32"/>
                          </w:rPr>
                        </w:pPr>
                      </w:p>
                      <w:p>
                        <w:pPr>
                          <w:pStyle w:val="TableParagraph"/>
                          <w:spacing w:before="14"/>
                          <w:rPr>
                            <w:sz w:val="18"/>
                          </w:rPr>
                        </w:pPr>
                      </w:p>
                      <w:p>
                        <w:pPr>
                          <w:pStyle w:val="TableParagraph"/>
                          <w:spacing w:line="230" w:lineRule="auto" w:before="1"/>
                          <w:ind w:left="111" w:right="89"/>
                          <w:jc w:val="both"/>
                          <w:rPr>
                            <w:sz w:val="24"/>
                          </w:rPr>
                        </w:pPr>
                        <w:r>
                          <w:rPr>
                            <w:color w:val="231F20"/>
                            <w:sz w:val="24"/>
                          </w:rPr>
                          <w:t>針對離開該場域之接觸者，提供衛生單位後續聯 繫方式</w:t>
                        </w:r>
                      </w:p>
                    </w:tc>
                    <w:tc>
                      <w:tcPr>
                        <w:tcW w:w="2638" w:type="dxa"/>
                        <w:vMerge/>
                        <w:tcBorders>
                          <w:top w:val="nil"/>
                        </w:tcBorders>
                      </w:tcPr>
                      <w:p>
                        <w:pPr>
                          <w:rPr>
                            <w:sz w:val="2"/>
                            <w:szCs w:val="2"/>
                          </w:rPr>
                        </w:pPr>
                      </w:p>
                    </w:tc>
                  </w:tr>
                </w:tbl>
                <w:p>
                  <w:pPr>
                    <w:pStyle w:val="BodyText"/>
                  </w:pPr>
                </w:p>
              </w:txbxContent>
            </v:textbox>
            <w10:wrap type="none"/>
          </v:shape>
        </w:pict>
      </w:r>
      <w:r>
        <w:rPr>
          <w:color w:val="231F20"/>
          <w:spacing w:val="-6"/>
        </w:rPr>
        <w:t>五、校園 </w:t>
      </w:r>
      <w:r>
        <w:rPr>
          <w:color w:val="231F20"/>
          <w:spacing w:val="-4"/>
          <w:w w:val="65"/>
        </w:rPr>
        <w:t>／ </w:t>
      </w:r>
      <w:r>
        <w:rPr>
          <w:color w:val="231F20"/>
          <w:spacing w:val="-3"/>
        </w:rPr>
        <w:t>職場接觸者檢査流程及分工 </w:t>
      </w:r>
      <w:r>
        <w:rPr>
          <w:color w:val="231F20"/>
          <w:w w:val="65"/>
        </w:rPr>
        <w:t>（ </w:t>
      </w:r>
      <w:r>
        <w:rPr>
          <w:color w:val="231F20"/>
          <w:spacing w:val="-11"/>
        </w:rPr>
        <w:t>如表 </w:t>
      </w:r>
      <w:r>
        <w:rPr>
          <w:color w:val="231F20"/>
          <w:spacing w:val="-9"/>
        </w:rPr>
        <w:t>4) </w:t>
      </w:r>
      <w:r>
        <w:rPr>
          <w:color w:val="231F20"/>
          <w:spacing w:val="-7"/>
        </w:rPr>
        <w:t>表 </w:t>
      </w:r>
      <w:r>
        <w:rPr>
          <w:color w:val="231F20"/>
        </w:rPr>
        <w:t>4</w:t>
      </w:r>
      <w:r>
        <w:rPr>
          <w:color w:val="231F20"/>
          <w:spacing w:val="-4"/>
        </w:rPr>
        <w:t>、校園 </w:t>
      </w:r>
      <w:r>
        <w:rPr>
          <w:color w:val="231F20"/>
          <w:spacing w:val="5"/>
          <w:w w:val="65"/>
        </w:rPr>
        <w:t>／ </w:t>
      </w:r>
      <w:r>
        <w:rPr>
          <w:color w:val="231F20"/>
        </w:rPr>
        <w:t>職場接觸者檢査流程及分工</w:t>
      </w:r>
    </w:p>
    <w:p>
      <w:pPr>
        <w:spacing w:after="0" w:line="230" w:lineRule="auto"/>
        <w:sectPr>
          <w:pgSz w:w="11910" w:h="16840"/>
          <w:pgMar w:top="1060" w:bottom="0" w:left="980" w:right="0"/>
        </w:sectPr>
      </w:pPr>
    </w:p>
    <w:p>
      <w:pPr>
        <w:pStyle w:val="BodyText"/>
        <w:spacing w:line="409" w:lineRule="exact" w:before="59"/>
        <w:ind w:left="391"/>
      </w:pPr>
      <w:r>
        <w:rPr/>
        <w:pict>
          <v:group style="position:absolute;margin-left:557.686523pt;margin-top:313.165009pt;width:37.35pt;height:528.550pt;mso-position-horizontal-relative:page;mso-position-vertical-relative:page;z-index:251979776" coordorigin="11154,6263" coordsize="747,10571">
            <v:shape style="position:absolute;left:11283;top:6774;width:438;height:10060" type="#_x0000_t75" stroked="false">
              <v:imagedata r:id="rId180" o:title=""/>
            </v:shape>
            <v:shape style="position:absolute;left:11153;top:6263;width:747;height:812" coordorigin="11154,6263" coordsize="747,812" path="m11900,6263l11536,6263,11514,6266,11454,6299,11188,6582,11154,6669,11162,6715,11454,7038,11514,7072,11536,7075,11900,7075,11900,6263xe" filled="true" fillcolor="#5daf8a" stroked="false">
              <v:path arrowok="t"/>
              <v:fill type="solid"/>
            </v:shape>
            <v:shape style="position:absolute;left:11321;top:6530;width:331;height:274" type="#_x0000_t75" stroked="false">
              <v:imagedata r:id="rId421" o:title=""/>
            </v:shape>
            <v:shape style="position:absolute;left:11378;top:7210;width:251;height:3264" type="#_x0000_t75" stroked="false">
              <v:imagedata r:id="rId182" o:title=""/>
            </v:shape>
            <v:shape style="position:absolute;left:11368;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131</w:t>
                    </w:r>
                  </w:p>
                </w:txbxContent>
              </v:textbox>
              <w10:wrap type="none"/>
            </v:shape>
            <w10:wrap type="none"/>
          </v:group>
        </w:pict>
      </w:r>
      <w:r>
        <w:rPr>
          <w:color w:val="231F20"/>
        </w:rPr>
        <w:t>六、特殊族群接觸者檢査 </w:t>
      </w:r>
      <w:r>
        <w:rPr>
          <w:color w:val="231F20"/>
          <w:w w:val="65"/>
        </w:rPr>
        <w:t>（ </w:t>
      </w:r>
      <w:r>
        <w:rPr>
          <w:color w:val="231F20"/>
        </w:rPr>
        <w:t>如表 5)</w:t>
      </w:r>
    </w:p>
    <w:p>
      <w:pPr>
        <w:pStyle w:val="BodyText"/>
        <w:spacing w:line="409" w:lineRule="exact"/>
        <w:ind w:left="878"/>
      </w:pPr>
      <w:r>
        <w:rPr/>
        <w:pict>
          <v:shape style="position:absolute;margin-left:92.938499pt;margin-top:18.086811pt;width:445.8pt;height:657.15pt;mso-position-horizontal-relative:page;mso-position-vertical-relative:paragraph;z-index:25198080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2611"/>
                    <w:gridCol w:w="6283"/>
                  </w:tblGrid>
                  <w:tr>
                    <w:trPr>
                      <w:trHeight w:val="451" w:hRule="atLeast"/>
                    </w:trPr>
                    <w:tc>
                      <w:tcPr>
                        <w:tcW w:w="2611" w:type="dxa"/>
                        <w:shd w:val="clear" w:color="auto" w:fill="E6E7E8"/>
                      </w:tcPr>
                      <w:p>
                        <w:pPr>
                          <w:pStyle w:val="TableParagraph"/>
                          <w:spacing w:line="431" w:lineRule="exact"/>
                          <w:ind w:left="465"/>
                          <w:rPr>
                            <w:rFonts w:ascii="微軟正黑體" w:eastAsia="微軟正黑體" w:hint="eastAsia"/>
                            <w:b/>
                            <w:sz w:val="24"/>
                          </w:rPr>
                        </w:pPr>
                        <w:r>
                          <w:rPr>
                            <w:rFonts w:ascii="微軟正黑體" w:eastAsia="微軟正黑體" w:hint="eastAsia"/>
                            <w:b/>
                            <w:color w:val="231F20"/>
                            <w:sz w:val="24"/>
                          </w:rPr>
                          <w:t>特殊族群接觸者</w:t>
                        </w:r>
                      </w:p>
                    </w:tc>
                    <w:tc>
                      <w:tcPr>
                        <w:tcW w:w="6283" w:type="dxa"/>
                        <w:shd w:val="clear" w:color="auto" w:fill="E6E7E8"/>
                      </w:tcPr>
                      <w:p>
                        <w:pPr>
                          <w:pStyle w:val="TableParagraph"/>
                          <w:spacing w:line="431" w:lineRule="exact"/>
                          <w:ind w:left="2641" w:right="2627"/>
                          <w:jc w:val="center"/>
                          <w:rPr>
                            <w:rFonts w:ascii="微軟正黑體" w:eastAsia="微軟正黑體" w:hint="eastAsia"/>
                            <w:b/>
                            <w:sz w:val="24"/>
                          </w:rPr>
                        </w:pPr>
                        <w:r>
                          <w:rPr>
                            <w:rFonts w:ascii="微軟正黑體" w:eastAsia="微軟正黑體" w:hint="eastAsia"/>
                            <w:b/>
                            <w:color w:val="231F20"/>
                            <w:sz w:val="24"/>
                          </w:rPr>
                          <w:t>注意事項</w:t>
                        </w:r>
                      </w:p>
                    </w:tc>
                  </w:tr>
                  <w:tr>
                    <w:trPr>
                      <w:trHeight w:val="2450" w:hRule="atLeast"/>
                    </w:trPr>
                    <w:tc>
                      <w:tcPr>
                        <w:tcW w:w="2611" w:type="dxa"/>
                      </w:tcPr>
                      <w:p>
                        <w:pPr>
                          <w:pStyle w:val="TableParagraph"/>
                          <w:rPr>
                            <w:sz w:val="32"/>
                          </w:rPr>
                        </w:pPr>
                      </w:p>
                      <w:p>
                        <w:pPr>
                          <w:pStyle w:val="TableParagraph"/>
                          <w:spacing w:before="4"/>
                          <w:rPr>
                            <w:sz w:val="27"/>
                          </w:rPr>
                        </w:pPr>
                      </w:p>
                      <w:p>
                        <w:pPr>
                          <w:pStyle w:val="TableParagraph"/>
                          <w:ind w:left="112"/>
                          <w:rPr>
                            <w:sz w:val="24"/>
                          </w:rPr>
                        </w:pPr>
                        <w:r>
                          <w:rPr>
                            <w:color w:val="231F20"/>
                            <w:sz w:val="24"/>
                          </w:rPr>
                          <w:t>孕婦</w:t>
                        </w:r>
                      </w:p>
                    </w:tc>
                    <w:tc>
                      <w:tcPr>
                        <w:tcW w:w="6283" w:type="dxa"/>
                      </w:tcPr>
                      <w:p>
                        <w:pPr>
                          <w:pStyle w:val="TableParagraph"/>
                          <w:numPr>
                            <w:ilvl w:val="0"/>
                            <w:numId w:val="249"/>
                          </w:numPr>
                          <w:tabs>
                            <w:tab w:pos="368" w:val="left" w:leader="none"/>
                          </w:tabs>
                          <w:spacing w:line="409" w:lineRule="exact" w:before="31" w:after="0"/>
                          <w:ind w:left="367" w:right="0" w:hanging="256"/>
                          <w:jc w:val="both"/>
                          <w:rPr>
                            <w:sz w:val="24"/>
                          </w:rPr>
                        </w:pPr>
                        <w:r>
                          <w:rPr>
                            <w:color w:val="231F20"/>
                            <w:sz w:val="24"/>
                          </w:rPr>
                          <w:t>若有結核病上呼吸迴之相關症狀者，應先行査痰。</w:t>
                        </w:r>
                      </w:p>
                      <w:p>
                        <w:pPr>
                          <w:pStyle w:val="TableParagraph"/>
                          <w:numPr>
                            <w:ilvl w:val="0"/>
                            <w:numId w:val="249"/>
                          </w:numPr>
                          <w:tabs>
                            <w:tab w:pos="368" w:val="left" w:leader="none"/>
                          </w:tabs>
                          <w:spacing w:line="400" w:lineRule="exact" w:before="0" w:after="0"/>
                          <w:ind w:left="367" w:right="0" w:hanging="256"/>
                          <w:jc w:val="both"/>
                          <w:rPr>
                            <w:sz w:val="24"/>
                          </w:rPr>
                        </w:pPr>
                        <w:r>
                          <w:rPr>
                            <w:color w:val="231F20"/>
                            <w:spacing w:val="-1"/>
                            <w:sz w:val="24"/>
                          </w:rPr>
                          <w:t>至遲於產後完成胸部 </w:t>
                        </w:r>
                        <w:r>
                          <w:rPr>
                            <w:color w:val="231F20"/>
                            <w:sz w:val="24"/>
                          </w:rPr>
                          <w:t>X</w:t>
                        </w:r>
                        <w:r>
                          <w:rPr>
                            <w:color w:val="231F20"/>
                            <w:spacing w:val="-3"/>
                            <w:sz w:val="24"/>
                          </w:rPr>
                          <w:t> 光檢査。</w:t>
                        </w:r>
                      </w:p>
                      <w:p>
                        <w:pPr>
                          <w:pStyle w:val="TableParagraph"/>
                          <w:numPr>
                            <w:ilvl w:val="0"/>
                            <w:numId w:val="249"/>
                          </w:numPr>
                          <w:tabs>
                            <w:tab w:pos="369" w:val="left" w:leader="none"/>
                          </w:tabs>
                          <w:spacing w:line="230" w:lineRule="auto" w:before="3" w:after="0"/>
                          <w:ind w:left="367" w:right="93" w:hanging="255"/>
                          <w:jc w:val="both"/>
                          <w:rPr>
                            <w:sz w:val="24"/>
                          </w:rPr>
                        </w:pPr>
                        <w:r>
                          <w:rPr>
                            <w:color w:val="231F20"/>
                            <w:spacing w:val="-4"/>
                            <w:sz w:val="24"/>
                          </w:rPr>
                          <w:t>LTBI</w:t>
                        </w:r>
                        <w:r>
                          <w:rPr>
                            <w:color w:val="231F20"/>
                            <w:spacing w:val="-6"/>
                            <w:sz w:val="24"/>
                          </w:rPr>
                          <w:t> 檢驗陽性之孕婦接觸者，不應因懷孕而延遲治療， 仍請轉介至合作醫師，以接觸者發病風險來評估是否應</w:t>
                        </w:r>
                        <w:r>
                          <w:rPr>
                            <w:color w:val="231F20"/>
                            <w:spacing w:val="-7"/>
                            <w:sz w:val="24"/>
                          </w:rPr>
                          <w:t>儘速治療，以保護孕婦避免發病，預防新生兒先天性結</w:t>
                        </w:r>
                      </w:p>
                      <w:p>
                        <w:pPr>
                          <w:pStyle w:val="TableParagraph"/>
                          <w:spacing w:line="385" w:lineRule="exact"/>
                          <w:ind w:left="367"/>
                          <w:rPr>
                            <w:sz w:val="24"/>
                          </w:rPr>
                        </w:pPr>
                        <w:r>
                          <w:rPr>
                            <w:color w:val="231F20"/>
                            <w:sz w:val="24"/>
                          </w:rPr>
                          <w:t>核病的發生。</w:t>
                        </w:r>
                      </w:p>
                    </w:tc>
                  </w:tr>
                  <w:tr>
                    <w:trPr>
                      <w:trHeight w:val="4449" w:hRule="atLeast"/>
                    </w:trPr>
                    <w:tc>
                      <w:tcPr>
                        <w:tcW w:w="2611" w:type="dxa"/>
                      </w:tcPr>
                      <w:p>
                        <w:pPr>
                          <w:pStyle w:val="TableParagraph"/>
                          <w:rPr>
                            <w:sz w:val="32"/>
                          </w:rPr>
                        </w:pPr>
                      </w:p>
                      <w:p>
                        <w:pPr>
                          <w:pStyle w:val="TableParagraph"/>
                          <w:rPr>
                            <w:sz w:val="32"/>
                          </w:rPr>
                        </w:pPr>
                      </w:p>
                      <w:p>
                        <w:pPr>
                          <w:pStyle w:val="TableParagraph"/>
                          <w:rPr>
                            <w:sz w:val="32"/>
                          </w:rPr>
                        </w:pPr>
                      </w:p>
                      <w:p>
                        <w:pPr>
                          <w:pStyle w:val="TableParagraph"/>
                          <w:spacing w:before="11"/>
                          <w:rPr>
                            <w:sz w:val="20"/>
                          </w:rPr>
                        </w:pPr>
                      </w:p>
                      <w:p>
                        <w:pPr>
                          <w:pStyle w:val="TableParagraph"/>
                          <w:ind w:left="112"/>
                          <w:rPr>
                            <w:sz w:val="24"/>
                          </w:rPr>
                        </w:pPr>
                        <w:r>
                          <w:rPr>
                            <w:color w:val="231F20"/>
                            <w:sz w:val="24"/>
                          </w:rPr>
                          <w:t>未滿 5 歲兒童</w:t>
                        </w:r>
                      </w:p>
                    </w:tc>
                    <w:tc>
                      <w:tcPr>
                        <w:tcW w:w="6283" w:type="dxa"/>
                      </w:tcPr>
                      <w:p>
                        <w:pPr>
                          <w:pStyle w:val="TableParagraph"/>
                          <w:numPr>
                            <w:ilvl w:val="0"/>
                            <w:numId w:val="250"/>
                          </w:numPr>
                          <w:tabs>
                            <w:tab w:pos="368" w:val="left" w:leader="none"/>
                          </w:tabs>
                          <w:spacing w:line="230" w:lineRule="auto" w:before="43" w:after="0"/>
                          <w:ind w:left="367" w:right="35" w:hanging="255"/>
                          <w:jc w:val="both"/>
                          <w:rPr>
                            <w:sz w:val="24"/>
                          </w:rPr>
                        </w:pPr>
                        <w:r>
                          <w:rPr>
                            <w:color w:val="231F20"/>
                            <w:spacing w:val="-12"/>
                            <w:sz w:val="24"/>
                          </w:rPr>
                          <w:t>出生 </w:t>
                        </w:r>
                        <w:r>
                          <w:rPr>
                            <w:color w:val="231F20"/>
                            <w:sz w:val="24"/>
                          </w:rPr>
                          <w:t>30</w:t>
                        </w:r>
                        <w:r>
                          <w:rPr>
                            <w:color w:val="231F20"/>
                            <w:spacing w:val="8"/>
                            <w:sz w:val="24"/>
                          </w:rPr>
                          <w:t> 天內</w:t>
                        </w:r>
                        <w:r>
                          <w:rPr>
                            <w:color w:val="231F20"/>
                            <w:w w:val="70"/>
                            <w:sz w:val="24"/>
                          </w:rPr>
                          <w:t>（</w:t>
                        </w:r>
                        <w:r>
                          <w:rPr>
                            <w:color w:val="231F20"/>
                            <w:spacing w:val="-13"/>
                            <w:w w:val="70"/>
                            <w:sz w:val="24"/>
                          </w:rPr>
                          <w:t> </w:t>
                        </w:r>
                        <w:r>
                          <w:rPr>
                            <w:color w:val="231F20"/>
                            <w:spacing w:val="4"/>
                            <w:sz w:val="24"/>
                          </w:rPr>
                          <w:t>含胎兒時期) 暴露，不須執行</w:t>
                        </w:r>
                        <w:r>
                          <w:rPr>
                            <w:color w:val="231F20"/>
                            <w:sz w:val="24"/>
                          </w:rPr>
                          <w:t>TST</w:t>
                        </w:r>
                        <w:r>
                          <w:rPr>
                            <w:color w:val="231F20"/>
                            <w:spacing w:val="-12"/>
                            <w:sz w:val="24"/>
                          </w:rPr>
                          <w:t> 檢驗， </w:t>
                        </w:r>
                        <w:r>
                          <w:rPr>
                            <w:color w:val="231F20"/>
                            <w:sz w:val="24"/>
                          </w:rPr>
                          <w:t>排除結核病，即給予預防性治療。</w:t>
                        </w:r>
                      </w:p>
                      <w:p>
                        <w:pPr>
                          <w:pStyle w:val="TableParagraph"/>
                          <w:numPr>
                            <w:ilvl w:val="0"/>
                            <w:numId w:val="250"/>
                          </w:numPr>
                          <w:tabs>
                            <w:tab w:pos="368" w:val="left" w:leader="none"/>
                          </w:tabs>
                          <w:spacing w:line="230" w:lineRule="auto" w:before="0" w:after="0"/>
                          <w:ind w:left="367" w:right="72" w:hanging="255"/>
                          <w:jc w:val="both"/>
                          <w:rPr>
                            <w:sz w:val="24"/>
                          </w:rPr>
                        </w:pPr>
                        <w:r>
                          <w:rPr>
                            <w:color w:val="231F20"/>
                            <w:spacing w:val="18"/>
                            <w:sz w:val="24"/>
                          </w:rPr>
                          <w:t>於指標個案確診後儘速進行 </w:t>
                        </w:r>
                        <w:r>
                          <w:rPr>
                            <w:color w:val="231F20"/>
                            <w:spacing w:val="-4"/>
                            <w:sz w:val="24"/>
                          </w:rPr>
                          <w:t>LTBI</w:t>
                        </w:r>
                        <w:r>
                          <w:rPr>
                            <w:color w:val="231F20"/>
                            <w:spacing w:val="6"/>
                            <w:sz w:val="24"/>
                          </w:rPr>
                          <w:t> 檢驗， 陽性者轉介</w:t>
                        </w:r>
                        <w:r>
                          <w:rPr>
                            <w:color w:val="231F20"/>
                            <w:spacing w:val="-4"/>
                            <w:sz w:val="24"/>
                          </w:rPr>
                          <w:t>LTBI</w:t>
                        </w:r>
                        <w:r>
                          <w:rPr>
                            <w:color w:val="231F20"/>
                            <w:spacing w:val="-8"/>
                            <w:sz w:val="24"/>
                          </w:rPr>
                          <w:t> 治療評估，陰性者由醫師依風險評估 </w:t>
                        </w:r>
                        <w:r>
                          <w:rPr>
                            <w:color w:val="231F20"/>
                            <w:w w:val="70"/>
                            <w:sz w:val="24"/>
                          </w:rPr>
                          <w:t>（</w:t>
                        </w:r>
                        <w:r>
                          <w:rPr>
                            <w:color w:val="231F20"/>
                            <w:spacing w:val="-11"/>
                            <w:w w:val="70"/>
                            <w:sz w:val="24"/>
                          </w:rPr>
                          <w:t> </w:t>
                        </w:r>
                        <w:r>
                          <w:rPr>
                            <w:color w:val="231F20"/>
                            <w:sz w:val="24"/>
                          </w:rPr>
                          <w:t>指標個案傳</w:t>
                        </w:r>
                        <w:r>
                          <w:rPr>
                            <w:color w:val="231F20"/>
                            <w:spacing w:val="-2"/>
                            <w:sz w:val="24"/>
                          </w:rPr>
                          <w:t>染力、接觸時間、環境通風情形．等 ) 進行預防性治療</w:t>
                        </w:r>
                      </w:p>
                      <w:p>
                        <w:pPr>
                          <w:pStyle w:val="TableParagraph"/>
                          <w:spacing w:line="230" w:lineRule="auto"/>
                          <w:ind w:left="367" w:right="95"/>
                          <w:jc w:val="both"/>
                          <w:rPr>
                            <w:sz w:val="24"/>
                          </w:rPr>
                        </w:pPr>
                        <w:r>
                          <w:rPr>
                            <w:color w:val="231F20"/>
                            <w:w w:val="32"/>
                            <w:sz w:val="24"/>
                          </w:rPr>
                          <w:t>（</w:t>
                        </w:r>
                        <w:r>
                          <w:rPr>
                            <w:color w:val="231F20"/>
                            <w:w w:val="107"/>
                            <w:sz w:val="24"/>
                          </w:rPr>
                          <w:t>w</w:t>
                        </w:r>
                        <w:r>
                          <w:rPr>
                            <w:color w:val="231F20"/>
                            <w:w w:val="116"/>
                            <w:sz w:val="24"/>
                          </w:rPr>
                          <w:t>i</w:t>
                        </w:r>
                        <w:r>
                          <w:rPr>
                            <w:color w:val="231F20"/>
                            <w:w w:val="109"/>
                            <w:sz w:val="24"/>
                          </w:rPr>
                          <w:t>n</w:t>
                        </w:r>
                        <w:r>
                          <w:rPr>
                            <w:color w:val="231F20"/>
                            <w:w w:val="113"/>
                            <w:sz w:val="24"/>
                          </w:rPr>
                          <w:t>d</w:t>
                        </w:r>
                        <w:r>
                          <w:rPr>
                            <w:color w:val="231F20"/>
                            <w:w w:val="113"/>
                            <w:sz w:val="24"/>
                          </w:rPr>
                          <w:t>o</w:t>
                        </w:r>
                        <w:r>
                          <w:rPr>
                            <w:color w:val="231F20"/>
                            <w:w w:val="107"/>
                            <w:sz w:val="24"/>
                          </w:rPr>
                          <w:t>w</w:t>
                        </w:r>
                        <w:r>
                          <w:rPr>
                            <w:color w:val="231F20"/>
                            <w:sz w:val="24"/>
                          </w:rPr>
                          <w:t> </w:t>
                        </w:r>
                        <w:r>
                          <w:rPr>
                            <w:color w:val="231F20"/>
                            <w:w w:val="113"/>
                            <w:sz w:val="24"/>
                          </w:rPr>
                          <w:t>p</w:t>
                        </w:r>
                        <w:r>
                          <w:rPr>
                            <w:color w:val="231F20"/>
                            <w:w w:val="111"/>
                            <w:sz w:val="24"/>
                          </w:rPr>
                          <w:t>r</w:t>
                        </w:r>
                        <w:r>
                          <w:rPr>
                            <w:color w:val="231F20"/>
                            <w:w w:val="113"/>
                            <w:sz w:val="24"/>
                          </w:rPr>
                          <w:t>o</w:t>
                        </w:r>
                        <w:r>
                          <w:rPr>
                            <w:color w:val="231F20"/>
                            <w:w w:val="113"/>
                            <w:sz w:val="24"/>
                          </w:rPr>
                          <w:t>p</w:t>
                        </w:r>
                        <w:r>
                          <w:rPr>
                            <w:color w:val="231F20"/>
                            <w:w w:val="109"/>
                            <w:sz w:val="24"/>
                          </w:rPr>
                          <w:t>h</w:t>
                        </w:r>
                        <w:r>
                          <w:rPr>
                            <w:color w:val="231F20"/>
                            <w:w w:val="103"/>
                            <w:sz w:val="24"/>
                          </w:rPr>
                          <w:t>y</w:t>
                        </w:r>
                        <w:r>
                          <w:rPr>
                            <w:color w:val="231F20"/>
                            <w:w w:val="116"/>
                            <w:sz w:val="24"/>
                          </w:rPr>
                          <w:t>l</w:t>
                        </w:r>
                        <w:r>
                          <w:rPr>
                            <w:color w:val="231F20"/>
                            <w:w w:val="98"/>
                            <w:sz w:val="24"/>
                          </w:rPr>
                          <w:t>a</w:t>
                        </w:r>
                        <w:r>
                          <w:rPr>
                            <w:color w:val="231F20"/>
                            <w:w w:val="97"/>
                            <w:sz w:val="24"/>
                          </w:rPr>
                          <w:t>x</w:t>
                        </w:r>
                        <w:r>
                          <w:rPr>
                            <w:color w:val="231F20"/>
                            <w:w w:val="116"/>
                            <w:sz w:val="24"/>
                          </w:rPr>
                          <w:t>i</w:t>
                        </w:r>
                        <w:r>
                          <w:rPr>
                            <w:color w:val="231F20"/>
                            <w:w w:val="91"/>
                            <w:sz w:val="24"/>
                          </w:rPr>
                          <w:t>s</w:t>
                        </w:r>
                        <w:r>
                          <w:rPr>
                            <w:color w:val="231F20"/>
                            <w:w w:val="96"/>
                            <w:sz w:val="24"/>
                          </w:rPr>
                          <w:t>)</w:t>
                        </w:r>
                        <w:r>
                          <w:rPr>
                            <w:color w:val="231F20"/>
                            <w:sz w:val="24"/>
                          </w:rPr>
                          <w:t>，依與指標個案終止有效暴露滿 8 週後之檢驗結果，決定是否完成 LTBI 治療。</w:t>
                        </w:r>
                      </w:p>
                      <w:p>
                        <w:pPr>
                          <w:pStyle w:val="TableParagraph"/>
                          <w:numPr>
                            <w:ilvl w:val="0"/>
                            <w:numId w:val="250"/>
                          </w:numPr>
                          <w:tabs>
                            <w:tab w:pos="368" w:val="left" w:leader="none"/>
                          </w:tabs>
                          <w:spacing w:line="230" w:lineRule="auto" w:before="0" w:after="0"/>
                          <w:ind w:left="367" w:right="96" w:hanging="255"/>
                          <w:jc w:val="both"/>
                          <w:rPr>
                            <w:sz w:val="24"/>
                          </w:rPr>
                        </w:pPr>
                        <w:r>
                          <w:rPr>
                            <w:color w:val="231F20"/>
                            <w:spacing w:val="-6"/>
                            <w:sz w:val="24"/>
                          </w:rPr>
                          <w:t>尚未接種卡介苗，應優先完成接觸者檢査或 </w:t>
                        </w:r>
                        <w:r>
                          <w:rPr>
                            <w:color w:val="231F20"/>
                            <w:spacing w:val="-4"/>
                            <w:sz w:val="24"/>
                          </w:rPr>
                          <w:t>LTBI</w:t>
                        </w:r>
                        <w:r>
                          <w:rPr>
                            <w:color w:val="231F20"/>
                            <w:spacing w:val="-13"/>
                            <w:sz w:val="24"/>
                          </w:rPr>
                          <w:t> 治療， </w:t>
                        </w:r>
                        <w:r>
                          <w:rPr>
                            <w:color w:val="231F20"/>
                            <w:spacing w:val="-8"/>
                            <w:sz w:val="24"/>
                          </w:rPr>
                          <w:t>復依 </w:t>
                        </w:r>
                        <w:r>
                          <w:rPr>
                            <w:color w:val="231F20"/>
                            <w:spacing w:val="-4"/>
                            <w:sz w:val="24"/>
                          </w:rPr>
                          <w:t>LTBI</w:t>
                        </w:r>
                        <w:r>
                          <w:rPr>
                            <w:color w:val="231F20"/>
                            <w:spacing w:val="-7"/>
                            <w:sz w:val="24"/>
                          </w:rPr>
                          <w:t> 檢驗結果決定是否接種卡介苗 </w:t>
                        </w:r>
                        <w:r>
                          <w:rPr>
                            <w:color w:val="231F20"/>
                            <w:w w:val="70"/>
                            <w:sz w:val="24"/>
                          </w:rPr>
                          <w:t>（</w:t>
                        </w:r>
                        <w:r>
                          <w:rPr>
                            <w:color w:val="231F20"/>
                            <w:spacing w:val="-2"/>
                            <w:w w:val="70"/>
                            <w:sz w:val="24"/>
                          </w:rPr>
                          <w:t> </w:t>
                        </w:r>
                        <w:r>
                          <w:rPr>
                            <w:color w:val="231F20"/>
                            <w:spacing w:val="-8"/>
                            <w:sz w:val="24"/>
                          </w:rPr>
                          <w:t>附件 </w:t>
                        </w:r>
                        <w:r>
                          <w:rPr>
                            <w:color w:val="231F20"/>
                            <w:sz w:val="24"/>
                          </w:rPr>
                          <w:t>11-8)。</w:t>
                        </w:r>
                      </w:p>
                      <w:p>
                        <w:pPr>
                          <w:pStyle w:val="TableParagraph"/>
                          <w:numPr>
                            <w:ilvl w:val="0"/>
                            <w:numId w:val="250"/>
                          </w:numPr>
                          <w:tabs>
                            <w:tab w:pos="368" w:val="left" w:leader="none"/>
                          </w:tabs>
                          <w:spacing w:line="395" w:lineRule="exact" w:before="0" w:after="0"/>
                          <w:ind w:left="367" w:right="0" w:hanging="256"/>
                          <w:jc w:val="both"/>
                          <w:rPr>
                            <w:sz w:val="24"/>
                          </w:rPr>
                        </w:pPr>
                        <w:r>
                          <w:rPr>
                            <w:color w:val="231F20"/>
                            <w:sz w:val="24"/>
                          </w:rPr>
                          <w:t>若已因呼吸迴疾病就醫時，應主動聯繫其診治醫師，告</w:t>
                        </w:r>
                      </w:p>
                      <w:p>
                        <w:pPr>
                          <w:pStyle w:val="TableParagraph"/>
                          <w:spacing w:line="391" w:lineRule="exact"/>
                          <w:ind w:left="367"/>
                          <w:rPr>
                            <w:sz w:val="24"/>
                          </w:rPr>
                        </w:pPr>
                        <w:r>
                          <w:rPr>
                            <w:color w:val="231F20"/>
                            <w:sz w:val="24"/>
                          </w:rPr>
                          <w:t>知其有結核病接觸史，以利臨床醫師進行鑑別診斷。</w:t>
                        </w:r>
                      </w:p>
                    </w:tc>
                  </w:tr>
                  <w:tr>
                    <w:trPr>
                      <w:trHeight w:val="4449" w:hRule="atLeast"/>
                    </w:trPr>
                    <w:tc>
                      <w:tcPr>
                        <w:tcW w:w="2611" w:type="dxa"/>
                      </w:tcPr>
                      <w:p>
                        <w:pPr>
                          <w:pStyle w:val="TableParagraph"/>
                          <w:rPr>
                            <w:sz w:val="32"/>
                          </w:rPr>
                        </w:pPr>
                      </w:p>
                      <w:p>
                        <w:pPr>
                          <w:pStyle w:val="TableParagraph"/>
                          <w:rPr>
                            <w:sz w:val="32"/>
                          </w:rPr>
                        </w:pPr>
                      </w:p>
                      <w:p>
                        <w:pPr>
                          <w:pStyle w:val="TableParagraph"/>
                          <w:spacing w:before="14"/>
                          <w:rPr>
                            <w:sz w:val="41"/>
                          </w:rPr>
                        </w:pPr>
                      </w:p>
                      <w:p>
                        <w:pPr>
                          <w:pStyle w:val="TableParagraph"/>
                          <w:spacing w:line="230" w:lineRule="auto"/>
                          <w:ind w:left="112" w:right="322"/>
                          <w:rPr>
                            <w:sz w:val="24"/>
                          </w:rPr>
                        </w:pPr>
                        <w:r>
                          <w:rPr>
                            <w:color w:val="231F20"/>
                            <w:sz w:val="24"/>
                          </w:rPr>
                          <w:t>指標個案為抗藥性結</w:t>
                        </w:r>
                        <w:r>
                          <w:rPr>
                            <w:color w:val="231F20"/>
                            <w:w w:val="90"/>
                            <w:sz w:val="24"/>
                          </w:rPr>
                          <w:t>核病 （MDR／RR-TB)</w:t>
                        </w:r>
                      </w:p>
                    </w:tc>
                    <w:tc>
                      <w:tcPr>
                        <w:tcW w:w="6283" w:type="dxa"/>
                      </w:tcPr>
                      <w:p>
                        <w:pPr>
                          <w:pStyle w:val="TableParagraph"/>
                          <w:numPr>
                            <w:ilvl w:val="0"/>
                            <w:numId w:val="251"/>
                          </w:numPr>
                          <w:tabs>
                            <w:tab w:pos="368" w:val="left" w:leader="none"/>
                          </w:tabs>
                          <w:spacing w:line="230" w:lineRule="auto" w:before="43" w:after="0"/>
                          <w:ind w:left="367" w:right="78" w:hanging="255"/>
                          <w:jc w:val="both"/>
                          <w:rPr>
                            <w:sz w:val="24"/>
                          </w:rPr>
                        </w:pPr>
                        <w:r>
                          <w:rPr>
                            <w:color w:val="231F20"/>
                            <w:spacing w:val="11"/>
                            <w:sz w:val="24"/>
                          </w:rPr>
                          <w:t>自系統登記為 </w:t>
                        </w:r>
                        <w:r>
                          <w:rPr>
                            <w:color w:val="231F20"/>
                            <w:spacing w:val="-1"/>
                            <w:w w:val="115"/>
                            <w:sz w:val="24"/>
                          </w:rPr>
                          <w:t>M</w:t>
                        </w:r>
                        <w:r>
                          <w:rPr>
                            <w:color w:val="231F20"/>
                            <w:w w:val="104"/>
                            <w:sz w:val="24"/>
                          </w:rPr>
                          <w:t>D</w:t>
                        </w:r>
                        <w:r>
                          <w:rPr>
                            <w:color w:val="231F20"/>
                            <w:spacing w:val="-1"/>
                            <w:w w:val="88"/>
                            <w:sz w:val="24"/>
                          </w:rPr>
                          <w:t>R</w:t>
                        </w:r>
                        <w:r>
                          <w:rPr>
                            <w:color w:val="231F20"/>
                            <w:w w:val="41"/>
                            <w:sz w:val="24"/>
                          </w:rPr>
                          <w:t>／</w:t>
                        </w:r>
                        <w:r>
                          <w:rPr>
                            <w:color w:val="231F20"/>
                            <w:spacing w:val="-1"/>
                            <w:w w:val="88"/>
                            <w:sz w:val="24"/>
                          </w:rPr>
                          <w:t>RR</w:t>
                        </w:r>
                        <w:r>
                          <w:rPr>
                            <w:color w:val="231F20"/>
                            <w:w w:val="129"/>
                            <w:sz w:val="24"/>
                          </w:rPr>
                          <w:t>-</w:t>
                        </w:r>
                        <w:r>
                          <w:rPr>
                            <w:color w:val="231F20"/>
                            <w:w w:val="91"/>
                            <w:sz w:val="24"/>
                          </w:rPr>
                          <w:t>T</w:t>
                        </w:r>
                        <w:r>
                          <w:rPr>
                            <w:color w:val="231F20"/>
                            <w:w w:val="92"/>
                            <w:sz w:val="24"/>
                          </w:rPr>
                          <w:t>B</w:t>
                        </w:r>
                        <w:r>
                          <w:rPr>
                            <w:color w:val="231F20"/>
                            <w:spacing w:val="-3"/>
                            <w:sz w:val="24"/>
                          </w:rPr>
                          <w:t> 起 </w:t>
                        </w:r>
                        <w:r>
                          <w:rPr>
                            <w:color w:val="231F20"/>
                            <w:w w:val="104"/>
                            <w:sz w:val="24"/>
                          </w:rPr>
                          <w:t>1</w:t>
                        </w:r>
                        <w:r>
                          <w:rPr>
                            <w:color w:val="231F20"/>
                            <w:spacing w:val="11"/>
                            <w:sz w:val="24"/>
                          </w:rPr>
                          <w:t> 個月內，應再次確認</w:t>
                        </w:r>
                        <w:r>
                          <w:rPr>
                            <w:color w:val="231F20"/>
                            <w:sz w:val="24"/>
                          </w:rPr>
                          <w:t>其抗藥性可傳染期及符合接觸者檢査之對象，接觸者如</w:t>
                        </w:r>
                        <w:r>
                          <w:rPr>
                            <w:color w:val="231F20"/>
                            <w:spacing w:val="4"/>
                            <w:sz w:val="24"/>
                          </w:rPr>
                          <w:t>無最近 </w:t>
                        </w:r>
                        <w:r>
                          <w:rPr>
                            <w:color w:val="231F20"/>
                            <w:sz w:val="24"/>
                          </w:rPr>
                          <w:t>3</w:t>
                        </w:r>
                        <w:r>
                          <w:rPr>
                            <w:color w:val="231F20"/>
                            <w:spacing w:val="4"/>
                            <w:sz w:val="24"/>
                          </w:rPr>
                          <w:t> 個月內之胸部 </w:t>
                        </w:r>
                        <w:r>
                          <w:rPr>
                            <w:color w:val="231F20"/>
                            <w:sz w:val="24"/>
                          </w:rPr>
                          <w:t>X</w:t>
                        </w:r>
                        <w:r>
                          <w:rPr>
                            <w:color w:val="231F20"/>
                            <w:spacing w:val="6"/>
                            <w:sz w:val="24"/>
                          </w:rPr>
                          <w:t> 光檢査結果，應立即進行檢</w:t>
                        </w:r>
                        <w:r>
                          <w:rPr>
                            <w:color w:val="231F20"/>
                            <w:sz w:val="24"/>
                          </w:rPr>
                          <w:t>査。</w:t>
                        </w:r>
                      </w:p>
                      <w:p>
                        <w:pPr>
                          <w:pStyle w:val="TableParagraph"/>
                          <w:numPr>
                            <w:ilvl w:val="0"/>
                            <w:numId w:val="251"/>
                          </w:numPr>
                          <w:tabs>
                            <w:tab w:pos="368" w:val="left" w:leader="none"/>
                          </w:tabs>
                          <w:spacing w:line="230" w:lineRule="auto" w:before="0" w:after="0"/>
                          <w:ind w:left="367" w:right="36" w:hanging="255"/>
                          <w:jc w:val="both"/>
                          <w:rPr>
                            <w:sz w:val="24"/>
                          </w:rPr>
                        </w:pPr>
                        <w:r>
                          <w:rPr>
                            <w:color w:val="231F20"/>
                            <w:spacing w:val="7"/>
                            <w:sz w:val="24"/>
                          </w:rPr>
                          <w:t>每隔半年進行 </w:t>
                        </w:r>
                        <w:r>
                          <w:rPr>
                            <w:color w:val="231F20"/>
                            <w:sz w:val="24"/>
                          </w:rPr>
                          <w:t>1</w:t>
                        </w:r>
                        <w:r>
                          <w:rPr>
                            <w:color w:val="231F20"/>
                            <w:spacing w:val="2"/>
                            <w:sz w:val="24"/>
                          </w:rPr>
                          <w:t> 次胸部 </w:t>
                        </w:r>
                        <w:r>
                          <w:rPr>
                            <w:color w:val="231F20"/>
                            <w:sz w:val="24"/>
                          </w:rPr>
                          <w:t>X</w:t>
                        </w:r>
                        <w:r>
                          <w:rPr>
                            <w:color w:val="231F20"/>
                            <w:spacing w:val="6"/>
                            <w:sz w:val="24"/>
                          </w:rPr>
                          <w:t> 光檢査及結核病症狀評估， 追蹤至終止有效暴露滿 </w:t>
                        </w:r>
                        <w:r>
                          <w:rPr>
                            <w:color w:val="231F20"/>
                            <w:sz w:val="24"/>
                          </w:rPr>
                          <w:t>8</w:t>
                        </w:r>
                        <w:r>
                          <w:rPr>
                            <w:color w:val="231F20"/>
                            <w:spacing w:val="-4"/>
                            <w:sz w:val="24"/>
                          </w:rPr>
                          <w:t> 週之 LTBI</w:t>
                        </w:r>
                        <w:r>
                          <w:rPr>
                            <w:color w:val="231F20"/>
                            <w:spacing w:val="2"/>
                            <w:sz w:val="24"/>
                          </w:rPr>
                          <w:t> 檢驗結果為陰性、</w:t>
                        </w:r>
                        <w:r>
                          <w:rPr>
                            <w:color w:val="231F20"/>
                            <w:spacing w:val="-15"/>
                            <w:w w:val="90"/>
                            <w:sz w:val="24"/>
                          </w:rPr>
                          <w:t>L</w:t>
                        </w:r>
                        <w:r>
                          <w:rPr>
                            <w:color w:val="231F20"/>
                            <w:w w:val="91"/>
                            <w:sz w:val="24"/>
                          </w:rPr>
                          <w:t>T</w:t>
                        </w:r>
                        <w:r>
                          <w:rPr>
                            <w:color w:val="231F20"/>
                            <w:spacing w:val="-1"/>
                            <w:w w:val="92"/>
                            <w:sz w:val="24"/>
                          </w:rPr>
                          <w:t>B</w:t>
                        </w:r>
                        <w:r>
                          <w:rPr>
                            <w:color w:val="231F20"/>
                            <w:w w:val="102"/>
                            <w:sz w:val="24"/>
                          </w:rPr>
                          <w:t>I</w:t>
                        </w:r>
                        <w:r>
                          <w:rPr>
                            <w:color w:val="231F20"/>
                            <w:spacing w:val="7"/>
                            <w:sz w:val="24"/>
                          </w:rPr>
                          <w:t> 檢驗結果陽性者完成 </w:t>
                        </w:r>
                        <w:r>
                          <w:rPr>
                            <w:color w:val="231F20"/>
                            <w:spacing w:val="-15"/>
                            <w:w w:val="90"/>
                            <w:sz w:val="24"/>
                          </w:rPr>
                          <w:t>L</w:t>
                        </w:r>
                        <w:r>
                          <w:rPr>
                            <w:color w:val="231F20"/>
                            <w:w w:val="91"/>
                            <w:sz w:val="24"/>
                          </w:rPr>
                          <w:t>T</w:t>
                        </w:r>
                        <w:r>
                          <w:rPr>
                            <w:color w:val="231F20"/>
                            <w:spacing w:val="-1"/>
                            <w:w w:val="92"/>
                            <w:sz w:val="24"/>
                          </w:rPr>
                          <w:t>B</w:t>
                        </w:r>
                        <w:r>
                          <w:rPr>
                            <w:color w:val="231F20"/>
                            <w:w w:val="102"/>
                            <w:sz w:val="24"/>
                          </w:rPr>
                          <w:t>I</w:t>
                        </w:r>
                        <w:r>
                          <w:rPr>
                            <w:color w:val="231F20"/>
                            <w:spacing w:val="2"/>
                            <w:sz w:val="24"/>
                          </w:rPr>
                          <w:t> 治療 </w:t>
                        </w:r>
                        <w:r>
                          <w:rPr>
                            <w:color w:val="231F20"/>
                            <w:w w:val="32"/>
                            <w:sz w:val="24"/>
                          </w:rPr>
                          <w:t>（</w:t>
                        </w:r>
                        <w:r>
                          <w:rPr>
                            <w:color w:val="231F20"/>
                            <w:spacing w:val="-1"/>
                            <w:w w:val="115"/>
                            <w:sz w:val="24"/>
                          </w:rPr>
                          <w:t>M</w:t>
                        </w:r>
                        <w:r>
                          <w:rPr>
                            <w:color w:val="231F20"/>
                            <w:w w:val="104"/>
                            <w:sz w:val="24"/>
                          </w:rPr>
                          <w:t>D</w:t>
                        </w:r>
                        <w:r>
                          <w:rPr>
                            <w:color w:val="231F20"/>
                            <w:spacing w:val="-1"/>
                            <w:w w:val="88"/>
                            <w:sz w:val="24"/>
                          </w:rPr>
                          <w:t>R</w:t>
                        </w:r>
                        <w:r>
                          <w:rPr>
                            <w:color w:val="231F20"/>
                            <w:w w:val="129"/>
                            <w:sz w:val="24"/>
                          </w:rPr>
                          <w:t>-</w:t>
                        </w:r>
                        <w:r>
                          <w:rPr>
                            <w:color w:val="231F20"/>
                            <w:w w:val="91"/>
                            <w:sz w:val="24"/>
                          </w:rPr>
                          <w:t>T</w:t>
                        </w:r>
                        <w:r>
                          <w:rPr>
                            <w:color w:val="231F20"/>
                            <w:w w:val="92"/>
                            <w:sz w:val="24"/>
                          </w:rPr>
                          <w:t>B</w:t>
                        </w:r>
                        <w:r>
                          <w:rPr>
                            <w:color w:val="231F20"/>
                            <w:spacing w:val="10"/>
                            <w:sz w:val="24"/>
                          </w:rPr>
                          <w:t> 接觸者</w:t>
                        </w:r>
                        <w:r>
                          <w:rPr>
                            <w:color w:val="231F20"/>
                            <w:spacing w:val="16"/>
                            <w:sz w:val="24"/>
                          </w:rPr>
                          <w:t>限於</w:t>
                        </w:r>
                        <w:r>
                          <w:rPr>
                            <w:color w:val="231F20"/>
                            <w:spacing w:val="-3"/>
                            <w:sz w:val="24"/>
                          </w:rPr>
                          <w:t>TMTC</w:t>
                        </w:r>
                        <w:r>
                          <w:rPr>
                            <w:color w:val="231F20"/>
                            <w:spacing w:val="-5"/>
                            <w:sz w:val="24"/>
                          </w:rPr>
                          <w:t> 團隊) 或與指標個案終止有效暴露後滿</w:t>
                        </w:r>
                        <w:r>
                          <w:rPr>
                            <w:color w:val="231F20"/>
                            <w:sz w:val="24"/>
                          </w:rPr>
                          <w:t>2</w:t>
                        </w:r>
                        <w:r>
                          <w:rPr>
                            <w:color w:val="231F20"/>
                            <w:spacing w:val="-17"/>
                            <w:sz w:val="24"/>
                          </w:rPr>
                          <w:t> 年。</w:t>
                        </w:r>
                      </w:p>
                      <w:p>
                        <w:pPr>
                          <w:pStyle w:val="TableParagraph"/>
                          <w:numPr>
                            <w:ilvl w:val="0"/>
                            <w:numId w:val="251"/>
                          </w:numPr>
                          <w:tabs>
                            <w:tab w:pos="368" w:val="left" w:leader="none"/>
                          </w:tabs>
                          <w:spacing w:line="230" w:lineRule="auto" w:before="0" w:after="0"/>
                          <w:ind w:left="367" w:right="94" w:hanging="255"/>
                          <w:jc w:val="both"/>
                          <w:rPr>
                            <w:sz w:val="24"/>
                          </w:rPr>
                        </w:pPr>
                        <w:r>
                          <w:rPr>
                            <w:color w:val="231F20"/>
                            <w:sz w:val="24"/>
                          </w:rPr>
                          <w:t>MDR-TB</w:t>
                        </w:r>
                        <w:r>
                          <w:rPr>
                            <w:color w:val="231F20"/>
                            <w:spacing w:val="-2"/>
                            <w:sz w:val="24"/>
                          </w:rPr>
                          <w:t> 新案除接觸者檢査，應啟動感染源調査，以探</w:t>
                        </w:r>
                        <w:r>
                          <w:rPr>
                            <w:color w:val="231F20"/>
                            <w:spacing w:val="-4"/>
                            <w:sz w:val="24"/>
                          </w:rPr>
                          <w:t>求可能的感染來源，參見工作手冊第十章 </w:t>
                        </w:r>
                        <w:r>
                          <w:rPr>
                            <w:color w:val="231F20"/>
                            <w:spacing w:val="-14"/>
                            <w:w w:val="90"/>
                            <w:sz w:val="24"/>
                          </w:rPr>
                          <w:t>「 </w:t>
                        </w:r>
                        <w:r>
                          <w:rPr>
                            <w:color w:val="231F20"/>
                            <w:spacing w:val="-3"/>
                            <w:sz w:val="24"/>
                          </w:rPr>
                          <w:t>抗藥性結核</w:t>
                        </w:r>
                      </w:p>
                      <w:p>
                        <w:pPr>
                          <w:pStyle w:val="TableParagraph"/>
                          <w:spacing w:line="386" w:lineRule="exact"/>
                          <w:ind w:left="367"/>
                          <w:jc w:val="both"/>
                          <w:rPr>
                            <w:sz w:val="24"/>
                          </w:rPr>
                        </w:pPr>
                        <w:r>
                          <w:rPr>
                            <w:color w:val="231F20"/>
                            <w:sz w:val="24"/>
                          </w:rPr>
                          <w:t>病照護與管理 J。</w:t>
                        </w:r>
                      </w:p>
                    </w:tc>
                  </w:tr>
                  <w:tr>
                    <w:trPr>
                      <w:trHeight w:val="1251" w:hRule="atLeast"/>
                    </w:trPr>
                    <w:tc>
                      <w:tcPr>
                        <w:tcW w:w="2611" w:type="dxa"/>
                      </w:tcPr>
                      <w:p>
                        <w:pPr>
                          <w:pStyle w:val="TableParagraph"/>
                          <w:spacing w:line="230" w:lineRule="auto" w:before="243"/>
                          <w:ind w:left="112" w:right="322"/>
                          <w:rPr>
                            <w:sz w:val="24"/>
                          </w:rPr>
                        </w:pPr>
                        <w:r>
                          <w:rPr>
                            <w:color w:val="231F20"/>
                            <w:sz w:val="24"/>
                          </w:rPr>
                          <w:t>指標個案為慢性傳染性結核病</w:t>
                        </w:r>
                      </w:p>
                    </w:tc>
                    <w:tc>
                      <w:tcPr>
                        <w:tcW w:w="6283" w:type="dxa"/>
                      </w:tcPr>
                      <w:p>
                        <w:pPr>
                          <w:pStyle w:val="TableParagraph"/>
                          <w:spacing w:line="230" w:lineRule="auto" w:before="43"/>
                          <w:ind w:left="112" w:right="87"/>
                          <w:rPr>
                            <w:sz w:val="24"/>
                          </w:rPr>
                        </w:pPr>
                        <w:r>
                          <w:rPr>
                            <w:color w:val="231F20"/>
                            <w:sz w:val="24"/>
                          </w:rPr>
                          <w:t>每年應進行—次胸部 X 光追蹤複査，追蹤至終止有效暴露滿 8 週之 LTBI 檢驗結果為陰性、LTBI 檢驗結果陽性者完</w:t>
                        </w:r>
                      </w:p>
                      <w:p>
                        <w:pPr>
                          <w:pStyle w:val="TableParagraph"/>
                          <w:spacing w:line="386" w:lineRule="exact"/>
                          <w:ind w:left="112"/>
                          <w:rPr>
                            <w:sz w:val="24"/>
                          </w:rPr>
                        </w:pPr>
                        <w:r>
                          <w:rPr>
                            <w:color w:val="231F20"/>
                            <w:sz w:val="24"/>
                          </w:rPr>
                          <w:t>成 LTBI 治療或與指標個案終止有效暴露後滿 2 年。</w:t>
                        </w:r>
                      </w:p>
                    </w:tc>
                  </w:tr>
                </w:tbl>
                <w:p>
                  <w:pPr>
                    <w:pStyle w:val="BodyText"/>
                  </w:pPr>
                </w:p>
              </w:txbxContent>
            </v:textbox>
            <w10:wrap type="none"/>
          </v:shape>
        </w:pict>
      </w:r>
      <w:r>
        <w:rPr>
          <w:color w:val="231F20"/>
        </w:rPr>
        <w:t>表 5、特殊族群接觸者檢査注意事項</w:t>
      </w:r>
    </w:p>
    <w:p>
      <w:pPr>
        <w:spacing w:after="0" w:line="409" w:lineRule="exact"/>
        <w:sectPr>
          <w:pgSz w:w="11910" w:h="16840"/>
          <w:pgMar w:top="1060" w:bottom="0" w:left="980" w:right="0"/>
        </w:sectPr>
      </w:pPr>
    </w:p>
    <w:tbl>
      <w:tblPr>
        <w:tblW w:w="0" w:type="auto"/>
        <w:jc w:val="left"/>
        <w:tblInd w:w="893"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2611"/>
        <w:gridCol w:w="6283"/>
      </w:tblGrid>
      <w:tr>
        <w:trPr>
          <w:trHeight w:val="451" w:hRule="atLeast"/>
        </w:trPr>
        <w:tc>
          <w:tcPr>
            <w:tcW w:w="2611" w:type="dxa"/>
            <w:shd w:val="clear" w:color="auto" w:fill="E6E7E8"/>
          </w:tcPr>
          <w:p>
            <w:pPr>
              <w:pStyle w:val="TableParagraph"/>
              <w:spacing w:line="431" w:lineRule="exact"/>
              <w:ind w:left="465"/>
              <w:rPr>
                <w:rFonts w:ascii="微軟正黑體" w:eastAsia="微軟正黑體" w:hint="eastAsia"/>
                <w:b/>
                <w:sz w:val="24"/>
              </w:rPr>
            </w:pPr>
            <w:r>
              <w:rPr>
                <w:rFonts w:ascii="微軟正黑體" w:eastAsia="微軟正黑體" w:hint="eastAsia"/>
                <w:b/>
                <w:color w:val="231F20"/>
                <w:sz w:val="24"/>
              </w:rPr>
              <w:t>特殊族群接觸者</w:t>
            </w:r>
          </w:p>
        </w:tc>
        <w:tc>
          <w:tcPr>
            <w:tcW w:w="6283" w:type="dxa"/>
            <w:shd w:val="clear" w:color="auto" w:fill="E6E7E8"/>
          </w:tcPr>
          <w:p>
            <w:pPr>
              <w:pStyle w:val="TableParagraph"/>
              <w:spacing w:line="431" w:lineRule="exact"/>
              <w:ind w:left="2641" w:right="2627"/>
              <w:jc w:val="center"/>
              <w:rPr>
                <w:rFonts w:ascii="微軟正黑體" w:eastAsia="微軟正黑體" w:hint="eastAsia"/>
                <w:b/>
                <w:sz w:val="24"/>
              </w:rPr>
            </w:pPr>
            <w:r>
              <w:rPr>
                <w:rFonts w:ascii="微軟正黑體" w:eastAsia="微軟正黑體" w:hint="eastAsia"/>
                <w:b/>
                <w:color w:val="231F20"/>
                <w:sz w:val="24"/>
              </w:rPr>
              <w:t>注意事項</w:t>
            </w:r>
          </w:p>
        </w:tc>
      </w:tr>
      <w:tr>
        <w:trPr>
          <w:trHeight w:val="2050" w:hRule="atLeast"/>
        </w:trPr>
        <w:tc>
          <w:tcPr>
            <w:tcW w:w="2611" w:type="dxa"/>
          </w:tcPr>
          <w:p>
            <w:pPr>
              <w:pStyle w:val="TableParagraph"/>
              <w:spacing w:before="13"/>
              <w:rPr>
                <w:sz w:val="47"/>
              </w:rPr>
            </w:pPr>
          </w:p>
          <w:p>
            <w:pPr>
              <w:pStyle w:val="TableParagraph"/>
              <w:ind w:left="112"/>
              <w:rPr>
                <w:sz w:val="24"/>
              </w:rPr>
            </w:pPr>
            <w:r>
              <w:rPr>
                <w:color w:val="231F20"/>
                <w:sz w:val="24"/>
              </w:rPr>
              <w:t>團體 </w:t>
            </w:r>
            <w:r>
              <w:rPr>
                <w:color w:val="231F20"/>
                <w:w w:val="65"/>
                <w:sz w:val="24"/>
              </w:rPr>
              <w:t>（ </w:t>
            </w:r>
            <w:r>
              <w:rPr>
                <w:color w:val="231F20"/>
                <w:sz w:val="24"/>
              </w:rPr>
              <w:t>學</w:t>
            </w:r>
            <w:r>
              <w:rPr>
                <w:color w:val="231F20"/>
                <w:w w:val="95"/>
                <w:sz w:val="24"/>
              </w:rPr>
              <w:t>校／ </w:t>
            </w:r>
            <w:r>
              <w:rPr>
                <w:color w:val="231F20"/>
                <w:sz w:val="24"/>
              </w:rPr>
              <w:t>職場) </w:t>
            </w:r>
          </w:p>
        </w:tc>
        <w:tc>
          <w:tcPr>
            <w:tcW w:w="6283" w:type="dxa"/>
          </w:tcPr>
          <w:p>
            <w:pPr>
              <w:pStyle w:val="TableParagraph"/>
              <w:numPr>
                <w:ilvl w:val="0"/>
                <w:numId w:val="252"/>
              </w:numPr>
              <w:tabs>
                <w:tab w:pos="368" w:val="left" w:leader="none"/>
              </w:tabs>
              <w:spacing w:line="409" w:lineRule="exact" w:before="31" w:after="0"/>
              <w:ind w:left="367" w:right="0" w:hanging="256"/>
              <w:jc w:val="both"/>
              <w:rPr>
                <w:sz w:val="24"/>
              </w:rPr>
            </w:pPr>
            <w:r>
              <w:rPr>
                <w:color w:val="231F20"/>
                <w:sz w:val="24"/>
              </w:rPr>
              <w:t>由學校或職場提供接觸者清單。</w:t>
            </w:r>
          </w:p>
          <w:p>
            <w:pPr>
              <w:pStyle w:val="TableParagraph"/>
              <w:numPr>
                <w:ilvl w:val="0"/>
                <w:numId w:val="252"/>
              </w:numPr>
              <w:tabs>
                <w:tab w:pos="370" w:val="left" w:leader="none"/>
              </w:tabs>
              <w:spacing w:line="230" w:lineRule="auto" w:before="3" w:after="0"/>
              <w:ind w:left="367" w:right="93" w:hanging="255"/>
              <w:jc w:val="both"/>
              <w:rPr>
                <w:sz w:val="24"/>
              </w:rPr>
            </w:pPr>
            <w:r>
              <w:rPr>
                <w:color w:val="231F20"/>
                <w:sz w:val="24"/>
              </w:rPr>
              <w:t>由該團體所在地衛生單位統籌辦理接觸者衛教及檢査， </w:t>
            </w:r>
            <w:r>
              <w:rPr>
                <w:color w:val="231F20"/>
                <w:spacing w:val="-1"/>
                <w:sz w:val="24"/>
              </w:rPr>
              <w:t>以掌摳接觸者檢査時效；倘接觸者已離開該團體，以接</w:t>
            </w:r>
            <w:r>
              <w:rPr>
                <w:color w:val="231F20"/>
                <w:sz w:val="24"/>
              </w:rPr>
              <w:t>觸者居住地管理為原則，並以可完成接觸者檢査為目的</w:t>
            </w:r>
          </w:p>
          <w:p>
            <w:pPr>
              <w:pStyle w:val="TableParagraph"/>
              <w:spacing w:line="385" w:lineRule="exact"/>
              <w:ind w:left="367"/>
              <w:rPr>
                <w:sz w:val="24"/>
              </w:rPr>
            </w:pPr>
            <w:r>
              <w:rPr>
                <w:color w:val="231F20"/>
                <w:sz w:val="24"/>
              </w:rPr>
              <w:t>適時調整。</w:t>
            </w:r>
          </w:p>
        </w:tc>
      </w:tr>
      <w:tr>
        <w:trPr>
          <w:trHeight w:val="10447" w:hRule="atLeast"/>
        </w:trPr>
        <w:tc>
          <w:tcPr>
            <w:tcW w:w="2611" w:type="dxa"/>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16"/>
              <w:rPr>
                <w:sz w:val="32"/>
              </w:rPr>
            </w:pPr>
          </w:p>
          <w:p>
            <w:pPr>
              <w:pStyle w:val="TableParagraph"/>
              <w:ind w:left="112"/>
              <w:rPr>
                <w:sz w:val="24"/>
              </w:rPr>
            </w:pPr>
            <w:r>
              <w:rPr>
                <w:color w:val="231F20"/>
                <w:sz w:val="24"/>
              </w:rPr>
              <w:t>醫院接觸者</w:t>
            </w:r>
          </w:p>
        </w:tc>
        <w:tc>
          <w:tcPr>
            <w:tcW w:w="6283" w:type="dxa"/>
          </w:tcPr>
          <w:p>
            <w:pPr>
              <w:pStyle w:val="TableParagraph"/>
              <w:numPr>
                <w:ilvl w:val="0"/>
                <w:numId w:val="253"/>
              </w:numPr>
              <w:tabs>
                <w:tab w:pos="370" w:val="left" w:leader="none"/>
              </w:tabs>
              <w:spacing w:line="230" w:lineRule="auto" w:before="43" w:after="0"/>
              <w:ind w:left="367" w:right="96" w:hanging="255"/>
              <w:jc w:val="left"/>
              <w:rPr>
                <w:sz w:val="24"/>
              </w:rPr>
            </w:pPr>
            <w:r>
              <w:rPr>
                <w:color w:val="231F20"/>
                <w:sz w:val="24"/>
              </w:rPr>
              <w:t>確診結核病個案如符合以下任—條件，應進行醫院接觸者追蹤：</w:t>
            </w:r>
          </w:p>
          <w:p>
            <w:pPr>
              <w:pStyle w:val="TableParagraph"/>
              <w:spacing w:line="395" w:lineRule="exact"/>
              <w:ind w:left="282"/>
              <w:rPr>
                <w:sz w:val="24"/>
              </w:rPr>
            </w:pPr>
            <w:r>
              <w:rPr>
                <w:color w:val="231F20"/>
                <w:w w:val="95"/>
                <w:sz w:val="24"/>
              </w:rPr>
              <w:t>（1) 痰塗片陽性；</w:t>
            </w:r>
          </w:p>
          <w:p>
            <w:pPr>
              <w:pStyle w:val="TableParagraph"/>
              <w:spacing w:line="230" w:lineRule="auto" w:before="2"/>
              <w:ind w:left="622" w:right="125" w:hanging="340"/>
              <w:rPr>
                <w:sz w:val="24"/>
              </w:rPr>
            </w:pPr>
            <w:r>
              <w:rPr>
                <w:color w:val="231F20"/>
                <w:w w:val="95"/>
                <w:sz w:val="24"/>
              </w:rPr>
              <w:t>（2) 痰塗片陰性但培養鑑定為結核蔥，且於住院期間曾進</w:t>
            </w:r>
            <w:r>
              <w:rPr>
                <w:color w:val="231F20"/>
                <w:sz w:val="24"/>
              </w:rPr>
              <w:t>行會產生飛沫微粒之醫療處置 （aerosol generating procedures)，如為實際執行前述醫療處置之人員， </w:t>
            </w:r>
            <w:r>
              <w:rPr>
                <w:color w:val="231F20"/>
                <w:w w:val="105"/>
                <w:sz w:val="24"/>
              </w:rPr>
              <w:t>則不冊接觸時數，皆應列入追蹤；</w:t>
            </w:r>
          </w:p>
          <w:p>
            <w:pPr>
              <w:pStyle w:val="TableParagraph"/>
              <w:spacing w:line="230" w:lineRule="auto"/>
              <w:ind w:left="622" w:right="212" w:hanging="340"/>
              <w:rPr>
                <w:sz w:val="24"/>
              </w:rPr>
            </w:pPr>
            <w:r>
              <w:rPr>
                <w:color w:val="231F20"/>
                <w:w w:val="90"/>
                <w:sz w:val="24"/>
              </w:rPr>
              <w:t>（3) 抗藥性結核病 （MDR／RR-TB) 個案 </w:t>
            </w:r>
            <w:r>
              <w:rPr>
                <w:color w:val="231F20"/>
                <w:w w:val="70"/>
                <w:sz w:val="24"/>
              </w:rPr>
              <w:t>（ </w:t>
            </w:r>
            <w:r>
              <w:rPr>
                <w:color w:val="231F20"/>
                <w:w w:val="90"/>
                <w:sz w:val="24"/>
              </w:rPr>
              <w:t>依抗藥性結核病</w:t>
            </w:r>
            <w:r>
              <w:rPr>
                <w:color w:val="231F20"/>
                <w:w w:val="95"/>
                <w:sz w:val="24"/>
              </w:rPr>
              <w:t>接觸者追蹤 )。</w:t>
            </w:r>
          </w:p>
          <w:p>
            <w:pPr>
              <w:pStyle w:val="TableParagraph"/>
              <w:numPr>
                <w:ilvl w:val="0"/>
                <w:numId w:val="253"/>
              </w:numPr>
              <w:tabs>
                <w:tab w:pos="370" w:val="left" w:leader="none"/>
              </w:tabs>
              <w:spacing w:line="230" w:lineRule="auto" w:before="0" w:after="0"/>
              <w:ind w:left="367" w:right="96" w:hanging="255"/>
              <w:jc w:val="both"/>
              <w:rPr>
                <w:sz w:val="24"/>
              </w:rPr>
            </w:pPr>
            <w:r>
              <w:rPr>
                <w:color w:val="231F20"/>
                <w:sz w:val="24"/>
              </w:rPr>
              <w:t>院內接觸者：指標個案未佩戴醫療等級以上口罩之情形</w:t>
            </w:r>
            <w:r>
              <w:rPr>
                <w:color w:val="231F20"/>
                <w:spacing w:val="5"/>
                <w:sz w:val="24"/>
              </w:rPr>
              <w:t>下，與其暴露時數達接觸者定義，且未佩戴 </w:t>
            </w:r>
            <w:r>
              <w:rPr>
                <w:color w:val="231F20"/>
                <w:spacing w:val="-1"/>
                <w:w w:val="111"/>
                <w:sz w:val="24"/>
              </w:rPr>
              <w:t>N</w:t>
            </w:r>
            <w:r>
              <w:rPr>
                <w:color w:val="231F20"/>
                <w:w w:val="104"/>
                <w:sz w:val="24"/>
              </w:rPr>
              <w:t>95</w:t>
            </w:r>
            <w:r>
              <w:rPr>
                <w:color w:val="231F20"/>
                <w:w w:val="32"/>
                <w:sz w:val="24"/>
              </w:rPr>
              <w:t>（</w:t>
            </w:r>
            <w:r>
              <w:rPr>
                <w:color w:val="231F20"/>
                <w:spacing w:val="-3"/>
                <w:sz w:val="24"/>
              </w:rPr>
              <w:t> 含 </w:t>
            </w:r>
            <w:r>
              <w:rPr>
                <w:color w:val="231F20"/>
                <w:w w:val="96"/>
                <w:sz w:val="24"/>
              </w:rPr>
              <w:t>)</w:t>
            </w:r>
            <w:r>
              <w:rPr>
                <w:color w:val="231F20"/>
                <w:sz w:val="24"/>
              </w:rPr>
              <w:t>以上等級防護裝備之同病室其他病人、家屬及醫療照護工作人員。</w:t>
            </w:r>
          </w:p>
          <w:p>
            <w:pPr>
              <w:pStyle w:val="TableParagraph"/>
              <w:numPr>
                <w:ilvl w:val="0"/>
                <w:numId w:val="253"/>
              </w:numPr>
              <w:tabs>
                <w:tab w:pos="368" w:val="left" w:leader="none"/>
              </w:tabs>
              <w:spacing w:line="230" w:lineRule="auto" w:before="0" w:after="0"/>
              <w:ind w:left="367" w:right="36" w:hanging="255"/>
              <w:jc w:val="both"/>
              <w:rPr>
                <w:sz w:val="24"/>
              </w:rPr>
            </w:pPr>
            <w:r>
              <w:rPr>
                <w:color w:val="231F20"/>
                <w:spacing w:val="-12"/>
                <w:sz w:val="24"/>
              </w:rPr>
              <w:t>產生飛沫微粒之醫療處置：支氣管鏡檢査、呼吸迴插管、</w:t>
            </w:r>
            <w:r>
              <w:rPr>
                <w:color w:val="231F20"/>
                <w:spacing w:val="-3"/>
                <w:sz w:val="24"/>
              </w:rPr>
              <w:t>引發咳嗽取痰 </w:t>
            </w:r>
            <w:r>
              <w:rPr>
                <w:color w:val="231F20"/>
                <w:spacing w:val="-5"/>
                <w:w w:val="70"/>
                <w:sz w:val="24"/>
              </w:rPr>
              <w:t>／ </w:t>
            </w:r>
            <w:r>
              <w:rPr>
                <w:color w:val="231F20"/>
                <w:spacing w:val="2"/>
                <w:sz w:val="24"/>
              </w:rPr>
              <w:t>噴霧吸藥的醫療過程、抽吸呼吸迴分泌</w:t>
            </w:r>
            <w:r>
              <w:rPr>
                <w:color w:val="231F20"/>
                <w:sz w:val="24"/>
              </w:rPr>
              <w:t>物、使用高速器材進行病理解剖或肺部手術。</w:t>
            </w:r>
          </w:p>
          <w:p>
            <w:pPr>
              <w:pStyle w:val="TableParagraph"/>
              <w:numPr>
                <w:ilvl w:val="0"/>
                <w:numId w:val="253"/>
              </w:numPr>
              <w:tabs>
                <w:tab w:pos="370" w:val="left" w:leader="none"/>
              </w:tabs>
              <w:spacing w:line="230" w:lineRule="auto" w:before="0" w:after="0"/>
              <w:ind w:left="367" w:right="93" w:hanging="255"/>
              <w:jc w:val="both"/>
              <w:rPr>
                <w:sz w:val="24"/>
              </w:rPr>
            </w:pPr>
            <w:r>
              <w:rPr>
                <w:color w:val="231F20"/>
                <w:sz w:val="24"/>
              </w:rPr>
              <w:t>接觸者若為同—病室病人或家屬，醫院感管單位需配合</w:t>
            </w:r>
            <w:r>
              <w:rPr>
                <w:color w:val="231F20"/>
                <w:spacing w:val="-1"/>
                <w:sz w:val="24"/>
              </w:rPr>
              <w:t>疫調，儘速提供名單予公衛管理人員列管追蹤，公衛管</w:t>
            </w:r>
            <w:r>
              <w:rPr>
                <w:color w:val="231F20"/>
                <w:sz w:val="24"/>
              </w:rPr>
              <w:t>理人員獲悉名冊時，應先告知接觸者需辦理檢査的項目</w:t>
            </w:r>
          </w:p>
          <w:p>
            <w:pPr>
              <w:pStyle w:val="TableParagraph"/>
              <w:spacing w:line="230" w:lineRule="auto"/>
              <w:ind w:left="367" w:right="92"/>
              <w:jc w:val="both"/>
              <w:rPr>
                <w:sz w:val="24"/>
              </w:rPr>
            </w:pPr>
            <w:r>
              <w:rPr>
                <w:color w:val="231F20"/>
                <w:w w:val="70"/>
                <w:sz w:val="24"/>
              </w:rPr>
              <w:t>（ </w:t>
            </w:r>
            <w:r>
              <w:rPr>
                <w:color w:val="231F20"/>
                <w:spacing w:val="-8"/>
                <w:sz w:val="24"/>
              </w:rPr>
              <w:t>胸部 </w:t>
            </w:r>
            <w:r>
              <w:rPr>
                <w:color w:val="231F20"/>
                <w:sz w:val="24"/>
              </w:rPr>
              <w:t>X</w:t>
            </w:r>
            <w:r>
              <w:rPr>
                <w:color w:val="231F20"/>
                <w:spacing w:val="-13"/>
                <w:sz w:val="24"/>
              </w:rPr>
              <w:t> 光及 </w:t>
            </w:r>
            <w:r>
              <w:rPr>
                <w:color w:val="231F20"/>
                <w:spacing w:val="-4"/>
                <w:sz w:val="24"/>
              </w:rPr>
              <w:t>LTBI</w:t>
            </w:r>
            <w:r>
              <w:rPr>
                <w:color w:val="231F20"/>
                <w:spacing w:val="-7"/>
                <w:sz w:val="24"/>
              </w:rPr>
              <w:t> 檢驗 ) 和預定辦理的時間，及進行潛</w:t>
            </w:r>
            <w:r>
              <w:rPr>
                <w:color w:val="231F20"/>
                <w:sz w:val="24"/>
              </w:rPr>
              <w:t>伏結核感染相關衛教，以避免接觸者對醫院或衛生單位</w:t>
            </w:r>
            <w:r>
              <w:rPr>
                <w:color w:val="231F20"/>
                <w:spacing w:val="2"/>
                <w:w w:val="95"/>
                <w:sz w:val="24"/>
              </w:rPr>
              <w:t>產生延遲處置或院感之疑慮；並由醫院協助接觸者 </w:t>
            </w:r>
            <w:r>
              <w:rPr>
                <w:color w:val="231F20"/>
                <w:w w:val="70"/>
                <w:sz w:val="24"/>
              </w:rPr>
              <w:t>（ </w:t>
            </w:r>
            <w:r>
              <w:rPr>
                <w:color w:val="231F20"/>
                <w:w w:val="95"/>
                <w:sz w:val="24"/>
              </w:rPr>
              <w:t>家</w:t>
            </w:r>
            <w:r>
              <w:rPr>
                <w:color w:val="231F20"/>
                <w:spacing w:val="-4"/>
                <w:sz w:val="24"/>
              </w:rPr>
              <w:t>屬 ) 辦理住院期間之接檢。</w:t>
            </w:r>
          </w:p>
          <w:p>
            <w:pPr>
              <w:pStyle w:val="TableParagraph"/>
              <w:numPr>
                <w:ilvl w:val="0"/>
                <w:numId w:val="253"/>
              </w:numPr>
              <w:tabs>
                <w:tab w:pos="368" w:val="left" w:leader="none"/>
              </w:tabs>
              <w:spacing w:line="230" w:lineRule="auto" w:before="0" w:after="0"/>
              <w:ind w:left="367" w:right="93" w:hanging="255"/>
              <w:jc w:val="both"/>
              <w:rPr>
                <w:sz w:val="24"/>
              </w:rPr>
            </w:pPr>
            <w:r>
              <w:rPr>
                <w:color w:val="231F20"/>
                <w:spacing w:val="-1"/>
                <w:sz w:val="24"/>
              </w:rPr>
              <w:t>接觸者若為醫院在職工作人員，則由院方列管追蹤，追</w:t>
            </w:r>
            <w:r>
              <w:rPr>
                <w:color w:val="231F20"/>
                <w:sz w:val="24"/>
              </w:rPr>
              <w:t>蹤方式依每年公布之「醫院感染管制査核基準」規範辦</w:t>
            </w:r>
          </w:p>
          <w:p>
            <w:pPr>
              <w:pStyle w:val="TableParagraph"/>
              <w:spacing w:line="386" w:lineRule="exact"/>
              <w:ind w:left="367"/>
              <w:jc w:val="both"/>
              <w:rPr>
                <w:sz w:val="24"/>
              </w:rPr>
            </w:pPr>
            <w:r>
              <w:rPr>
                <w:color w:val="231F20"/>
                <w:sz w:val="24"/>
              </w:rPr>
              <w:t>理，並建議進行 LTBI 檢驗及治療。</w:t>
            </w:r>
          </w:p>
        </w:tc>
      </w:tr>
      <w:tr>
        <w:trPr>
          <w:trHeight w:val="1247" w:hRule="atLeast"/>
        </w:trPr>
        <w:tc>
          <w:tcPr>
            <w:tcW w:w="2611" w:type="dxa"/>
          </w:tcPr>
          <w:p>
            <w:pPr>
              <w:pStyle w:val="TableParagraph"/>
              <w:spacing w:before="9"/>
              <w:rPr>
                <w:sz w:val="24"/>
              </w:rPr>
            </w:pPr>
          </w:p>
          <w:p>
            <w:pPr>
              <w:pStyle w:val="TableParagraph"/>
              <w:ind w:left="112"/>
              <w:rPr>
                <w:sz w:val="24"/>
              </w:rPr>
            </w:pPr>
            <w:r>
              <w:rPr>
                <w:color w:val="231F20"/>
                <w:sz w:val="24"/>
              </w:rPr>
              <w:t>軍人</w:t>
            </w:r>
          </w:p>
        </w:tc>
        <w:tc>
          <w:tcPr>
            <w:tcW w:w="6283" w:type="dxa"/>
          </w:tcPr>
          <w:p>
            <w:pPr>
              <w:pStyle w:val="TableParagraph"/>
              <w:spacing w:line="230" w:lineRule="auto" w:before="38"/>
              <w:ind w:left="367" w:right="96" w:hanging="255"/>
              <w:rPr>
                <w:sz w:val="24"/>
              </w:rPr>
            </w:pPr>
            <w:r>
              <w:rPr>
                <w:color w:val="231F20"/>
                <w:sz w:val="24"/>
              </w:rPr>
              <w:t>1. 個案管理單位陳報轄區衛生局通知服役 </w:t>
            </w:r>
            <w:r>
              <w:rPr>
                <w:color w:val="231F20"/>
                <w:w w:val="65"/>
                <w:sz w:val="24"/>
              </w:rPr>
              <w:t>（ </w:t>
            </w:r>
            <w:r>
              <w:rPr>
                <w:color w:val="231F20"/>
                <w:sz w:val="24"/>
              </w:rPr>
              <w:t>勤 ) 單位，由軍方提供接觸者清單及安排檢査，再將結果回饋予轄區</w:t>
            </w:r>
          </w:p>
          <w:p>
            <w:pPr>
              <w:pStyle w:val="TableParagraph"/>
              <w:spacing w:line="386" w:lineRule="exact"/>
              <w:ind w:left="367"/>
              <w:rPr>
                <w:sz w:val="24"/>
              </w:rPr>
            </w:pPr>
            <w:r>
              <w:rPr>
                <w:color w:val="231F20"/>
                <w:sz w:val="24"/>
              </w:rPr>
              <w:t>衛生局。</w:t>
            </w:r>
          </w:p>
        </w:tc>
      </w:tr>
    </w:tbl>
    <w:p>
      <w:pPr>
        <w:rPr>
          <w:sz w:val="2"/>
          <w:szCs w:val="2"/>
        </w:rPr>
      </w:pPr>
      <w:r>
        <w:rPr/>
        <w:pict>
          <v:group style="position:absolute;margin-left:.0pt;margin-top:313.165009pt;width:37.35pt;height:528.550pt;mso-position-horizontal-relative:page;mso-position-vertical-relative:page;z-index:251982848"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422"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132</w:t>
                    </w:r>
                  </w:p>
                </w:txbxContent>
              </v:textbox>
              <w10:wrap type="none"/>
            </v:shape>
            <w10:wrap type="none"/>
          </v:group>
        </w:pict>
      </w:r>
    </w:p>
    <w:p>
      <w:pPr>
        <w:spacing w:after="0"/>
        <w:rPr>
          <w:sz w:val="2"/>
          <w:szCs w:val="2"/>
        </w:rPr>
        <w:sectPr>
          <w:pgSz w:w="11910" w:h="16840"/>
          <w:pgMar w:top="1200" w:bottom="0" w:left="980" w:right="0"/>
        </w:sectPr>
      </w:pPr>
    </w:p>
    <w:tbl>
      <w:tblPr>
        <w:tblW w:w="0" w:type="auto"/>
        <w:jc w:val="left"/>
        <w:tblInd w:w="893"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2611"/>
        <w:gridCol w:w="6283"/>
      </w:tblGrid>
      <w:tr>
        <w:trPr>
          <w:trHeight w:val="451" w:hRule="atLeast"/>
        </w:trPr>
        <w:tc>
          <w:tcPr>
            <w:tcW w:w="2611" w:type="dxa"/>
            <w:shd w:val="clear" w:color="auto" w:fill="E6E7E8"/>
          </w:tcPr>
          <w:p>
            <w:pPr>
              <w:pStyle w:val="TableParagraph"/>
              <w:spacing w:line="432" w:lineRule="exact"/>
              <w:ind w:left="465"/>
              <w:rPr>
                <w:rFonts w:ascii="微軟正黑體" w:eastAsia="微軟正黑體" w:hint="eastAsia"/>
                <w:b/>
                <w:sz w:val="24"/>
              </w:rPr>
            </w:pPr>
            <w:r>
              <w:rPr>
                <w:rFonts w:ascii="微軟正黑體" w:eastAsia="微軟正黑體" w:hint="eastAsia"/>
                <w:b/>
                <w:color w:val="231F20"/>
                <w:sz w:val="24"/>
              </w:rPr>
              <w:t>特殊族群接觸者</w:t>
            </w:r>
          </w:p>
        </w:tc>
        <w:tc>
          <w:tcPr>
            <w:tcW w:w="6283" w:type="dxa"/>
            <w:shd w:val="clear" w:color="auto" w:fill="E6E7E8"/>
          </w:tcPr>
          <w:p>
            <w:pPr>
              <w:pStyle w:val="TableParagraph"/>
              <w:spacing w:line="432" w:lineRule="exact"/>
              <w:ind w:left="2641" w:right="2627"/>
              <w:jc w:val="center"/>
              <w:rPr>
                <w:rFonts w:ascii="微軟正黑體" w:eastAsia="微軟正黑體" w:hint="eastAsia"/>
                <w:b/>
                <w:sz w:val="24"/>
              </w:rPr>
            </w:pPr>
            <w:r>
              <w:rPr>
                <w:rFonts w:ascii="微軟正黑體" w:eastAsia="微軟正黑體" w:hint="eastAsia"/>
                <w:b/>
                <w:color w:val="231F20"/>
                <w:sz w:val="24"/>
              </w:rPr>
              <w:t>注意事項</w:t>
            </w:r>
          </w:p>
        </w:tc>
      </w:tr>
      <w:tr>
        <w:trPr>
          <w:trHeight w:val="851" w:hRule="atLeast"/>
        </w:trPr>
        <w:tc>
          <w:tcPr>
            <w:tcW w:w="2611" w:type="dxa"/>
          </w:tcPr>
          <w:p>
            <w:pPr>
              <w:pStyle w:val="TableParagraph"/>
              <w:spacing w:before="225"/>
              <w:ind w:left="112"/>
              <w:rPr>
                <w:sz w:val="24"/>
              </w:rPr>
            </w:pPr>
            <w:r>
              <w:rPr>
                <w:color w:val="231F20"/>
                <w:sz w:val="24"/>
              </w:rPr>
              <w:t>軍人</w:t>
            </w:r>
          </w:p>
        </w:tc>
        <w:tc>
          <w:tcPr>
            <w:tcW w:w="6283" w:type="dxa"/>
          </w:tcPr>
          <w:p>
            <w:pPr>
              <w:pStyle w:val="TableParagraph"/>
              <w:spacing w:line="409" w:lineRule="exact" w:before="25"/>
              <w:ind w:left="112"/>
              <w:rPr>
                <w:sz w:val="24"/>
              </w:rPr>
            </w:pPr>
            <w:r>
              <w:rPr>
                <w:color w:val="231F20"/>
                <w:sz w:val="24"/>
              </w:rPr>
              <w:t>2. 進行接觸者檢査前，依狀況與軍方合作辦理團體 </w:t>
            </w:r>
            <w:r>
              <w:rPr>
                <w:color w:val="231F20"/>
                <w:w w:val="75"/>
                <w:sz w:val="24"/>
              </w:rPr>
              <w:t>／ </w:t>
            </w:r>
            <w:r>
              <w:rPr>
                <w:color w:val="231F20"/>
                <w:sz w:val="24"/>
              </w:rPr>
              <w:t>個人</w:t>
            </w:r>
          </w:p>
          <w:p>
            <w:pPr>
              <w:pStyle w:val="TableParagraph"/>
              <w:spacing w:line="398" w:lineRule="exact"/>
              <w:ind w:left="367"/>
              <w:rPr>
                <w:sz w:val="24"/>
              </w:rPr>
            </w:pPr>
            <w:r>
              <w:rPr>
                <w:color w:val="231F20"/>
                <w:sz w:val="24"/>
              </w:rPr>
              <w:t>衛教。</w:t>
            </w:r>
          </w:p>
        </w:tc>
      </w:tr>
      <w:tr>
        <w:trPr>
          <w:trHeight w:val="2050" w:hRule="atLeast"/>
        </w:trPr>
        <w:tc>
          <w:tcPr>
            <w:tcW w:w="2611" w:type="dxa"/>
          </w:tcPr>
          <w:p>
            <w:pPr>
              <w:pStyle w:val="TableParagraph"/>
              <w:spacing w:before="1"/>
              <w:rPr>
                <w:sz w:val="25"/>
              </w:rPr>
            </w:pPr>
          </w:p>
          <w:p>
            <w:pPr>
              <w:pStyle w:val="TableParagraph"/>
              <w:spacing w:line="230" w:lineRule="auto"/>
              <w:ind w:left="112" w:right="401"/>
              <w:rPr>
                <w:sz w:val="24"/>
              </w:rPr>
            </w:pPr>
            <w:r>
              <w:rPr>
                <w:color w:val="231F20"/>
                <w:w w:val="95"/>
                <w:sz w:val="24"/>
              </w:rPr>
              <w:t>人口密集機構住民 </w:t>
            </w:r>
            <w:r>
              <w:rPr>
                <w:color w:val="231F20"/>
                <w:w w:val="70"/>
                <w:sz w:val="24"/>
              </w:rPr>
              <w:t>／ </w:t>
            </w:r>
            <w:r>
              <w:rPr>
                <w:color w:val="231F20"/>
                <w:sz w:val="24"/>
              </w:rPr>
              <w:t>工作人員</w:t>
            </w:r>
          </w:p>
          <w:p>
            <w:pPr>
              <w:pStyle w:val="TableParagraph"/>
              <w:spacing w:line="404" w:lineRule="exact"/>
              <w:ind w:left="112"/>
              <w:rPr>
                <w:sz w:val="24"/>
              </w:rPr>
            </w:pPr>
            <w:r>
              <w:rPr>
                <w:color w:val="231F20"/>
                <w:w w:val="65"/>
                <w:sz w:val="24"/>
              </w:rPr>
              <w:t>（ </w:t>
            </w:r>
            <w:r>
              <w:rPr>
                <w:color w:val="231F20"/>
                <w:sz w:val="24"/>
              </w:rPr>
              <w:t>矯正機關或長照機構)</w:t>
            </w:r>
          </w:p>
        </w:tc>
        <w:tc>
          <w:tcPr>
            <w:tcW w:w="6283" w:type="dxa"/>
          </w:tcPr>
          <w:p>
            <w:pPr>
              <w:pStyle w:val="TableParagraph"/>
              <w:numPr>
                <w:ilvl w:val="0"/>
                <w:numId w:val="254"/>
              </w:numPr>
              <w:tabs>
                <w:tab w:pos="368" w:val="left" w:leader="none"/>
              </w:tabs>
              <w:spacing w:line="409" w:lineRule="exact" w:before="25" w:after="0"/>
              <w:ind w:left="367" w:right="0" w:hanging="256"/>
              <w:jc w:val="left"/>
              <w:rPr>
                <w:sz w:val="24"/>
              </w:rPr>
            </w:pPr>
            <w:r>
              <w:rPr>
                <w:color w:val="231F20"/>
                <w:sz w:val="24"/>
              </w:rPr>
              <w:t>機構配合疫調提供接觸者清單。</w:t>
            </w:r>
          </w:p>
          <w:p>
            <w:pPr>
              <w:pStyle w:val="TableParagraph"/>
              <w:numPr>
                <w:ilvl w:val="0"/>
                <w:numId w:val="254"/>
              </w:numPr>
              <w:tabs>
                <w:tab w:pos="368" w:val="left" w:leader="none"/>
              </w:tabs>
              <w:spacing w:line="230" w:lineRule="auto" w:before="2" w:after="0"/>
              <w:ind w:left="367" w:right="36" w:hanging="255"/>
              <w:jc w:val="left"/>
              <w:rPr>
                <w:sz w:val="24"/>
              </w:rPr>
            </w:pPr>
            <w:r>
              <w:rPr>
                <w:color w:val="231F20"/>
                <w:spacing w:val="6"/>
                <w:sz w:val="24"/>
              </w:rPr>
              <w:t>接觸者儘速完成胸部</w:t>
            </w:r>
            <w:r>
              <w:rPr>
                <w:color w:val="231F20"/>
                <w:sz w:val="24"/>
              </w:rPr>
              <w:t>X</w:t>
            </w:r>
            <w:r>
              <w:rPr>
                <w:color w:val="231F20"/>
                <w:spacing w:val="4"/>
                <w:sz w:val="24"/>
              </w:rPr>
              <w:t> 光檢査</w:t>
            </w:r>
            <w:r>
              <w:rPr>
                <w:color w:val="231F20"/>
                <w:w w:val="65"/>
                <w:sz w:val="24"/>
              </w:rPr>
              <w:t>（</w:t>
            </w:r>
            <w:r>
              <w:rPr>
                <w:color w:val="231F20"/>
                <w:spacing w:val="-9"/>
                <w:w w:val="65"/>
                <w:sz w:val="24"/>
              </w:rPr>
              <w:t> </w:t>
            </w:r>
            <w:r>
              <w:rPr>
                <w:color w:val="231F20"/>
                <w:spacing w:val="-8"/>
                <w:sz w:val="24"/>
              </w:rPr>
              <w:t>最晚於 </w:t>
            </w:r>
            <w:r>
              <w:rPr>
                <w:color w:val="231F20"/>
                <w:sz w:val="24"/>
              </w:rPr>
              <w:t>1</w:t>
            </w:r>
            <w:r>
              <w:rPr>
                <w:color w:val="231F20"/>
                <w:spacing w:val="-1"/>
                <w:sz w:val="24"/>
              </w:rPr>
              <w:t> 個月內完成)， </w:t>
            </w:r>
            <w:r>
              <w:rPr>
                <w:color w:val="231F20"/>
                <w:sz w:val="24"/>
              </w:rPr>
              <w:t>可搭配機構體檢時間，安排符合接觸者檢査定義的住民</w:t>
            </w:r>
          </w:p>
          <w:p>
            <w:pPr>
              <w:pStyle w:val="TableParagraph"/>
              <w:spacing w:line="395" w:lineRule="exact"/>
              <w:ind w:left="367"/>
              <w:rPr>
                <w:sz w:val="24"/>
              </w:rPr>
            </w:pPr>
            <w:r>
              <w:rPr>
                <w:color w:val="231F20"/>
                <w:w w:val="70"/>
                <w:sz w:val="24"/>
              </w:rPr>
              <w:t>／ </w:t>
            </w:r>
            <w:r>
              <w:rPr>
                <w:color w:val="231F20"/>
                <w:sz w:val="24"/>
              </w:rPr>
              <w:t>工作人員，進行檢査及追蹤，並於檢査前，辦理團體</w:t>
            </w:r>
          </w:p>
          <w:p>
            <w:pPr>
              <w:pStyle w:val="TableParagraph"/>
              <w:spacing w:line="397" w:lineRule="exact"/>
              <w:ind w:left="367"/>
              <w:rPr>
                <w:sz w:val="24"/>
              </w:rPr>
            </w:pPr>
            <w:r>
              <w:rPr>
                <w:color w:val="231F20"/>
                <w:w w:val="70"/>
                <w:sz w:val="24"/>
              </w:rPr>
              <w:t>／ </w:t>
            </w:r>
            <w:r>
              <w:rPr>
                <w:color w:val="231F20"/>
                <w:sz w:val="24"/>
              </w:rPr>
              <w:t>個人衛教。</w:t>
            </w:r>
          </w:p>
        </w:tc>
      </w:tr>
      <w:tr>
        <w:trPr>
          <w:trHeight w:val="851" w:hRule="atLeast"/>
        </w:trPr>
        <w:tc>
          <w:tcPr>
            <w:tcW w:w="2611" w:type="dxa"/>
          </w:tcPr>
          <w:p>
            <w:pPr>
              <w:pStyle w:val="TableParagraph"/>
              <w:spacing w:before="225"/>
              <w:ind w:left="112"/>
              <w:rPr>
                <w:sz w:val="24"/>
              </w:rPr>
            </w:pPr>
            <w:r>
              <w:rPr>
                <w:color w:val="231F20"/>
                <w:sz w:val="24"/>
              </w:rPr>
              <w:t>聚集事件</w:t>
            </w:r>
          </w:p>
        </w:tc>
        <w:tc>
          <w:tcPr>
            <w:tcW w:w="6283" w:type="dxa"/>
          </w:tcPr>
          <w:p>
            <w:pPr>
              <w:pStyle w:val="TableParagraph"/>
              <w:spacing w:line="409" w:lineRule="exact" w:before="25"/>
              <w:ind w:left="112"/>
              <w:rPr>
                <w:sz w:val="24"/>
              </w:rPr>
            </w:pPr>
            <w:r>
              <w:rPr>
                <w:color w:val="231F20"/>
                <w:sz w:val="24"/>
              </w:rPr>
              <w:t>3. 住民如有疑似之不適症狀，應立即安排隔離房。</w:t>
            </w:r>
          </w:p>
          <w:p>
            <w:pPr>
              <w:pStyle w:val="TableParagraph"/>
              <w:spacing w:line="397" w:lineRule="exact"/>
              <w:ind w:left="112"/>
              <w:rPr>
                <w:sz w:val="24"/>
              </w:rPr>
            </w:pPr>
            <w:r>
              <w:rPr>
                <w:color w:val="231F20"/>
                <w:sz w:val="24"/>
              </w:rPr>
              <w:t>請參見工作手冊第十二章 </w:t>
            </w:r>
            <w:r>
              <w:rPr>
                <w:color w:val="231F20"/>
                <w:w w:val="80"/>
                <w:sz w:val="24"/>
              </w:rPr>
              <w:t>「 </w:t>
            </w:r>
            <w:r>
              <w:rPr>
                <w:color w:val="231F20"/>
                <w:sz w:val="24"/>
              </w:rPr>
              <w:t>疑似結核病聚集事件處理 J。</w:t>
            </w:r>
          </w:p>
        </w:tc>
      </w:tr>
      <w:tr>
        <w:trPr>
          <w:trHeight w:val="2450" w:hRule="atLeast"/>
        </w:trPr>
        <w:tc>
          <w:tcPr>
            <w:tcW w:w="2611" w:type="dxa"/>
          </w:tcPr>
          <w:p>
            <w:pPr>
              <w:pStyle w:val="TableParagraph"/>
              <w:rPr>
                <w:sz w:val="32"/>
              </w:rPr>
            </w:pPr>
          </w:p>
          <w:p>
            <w:pPr>
              <w:pStyle w:val="TableParagraph"/>
              <w:spacing w:before="15"/>
              <w:rPr>
                <w:sz w:val="26"/>
              </w:rPr>
            </w:pPr>
          </w:p>
          <w:p>
            <w:pPr>
              <w:pStyle w:val="TableParagraph"/>
              <w:ind w:left="112"/>
              <w:rPr>
                <w:sz w:val="24"/>
              </w:rPr>
            </w:pPr>
            <w:r>
              <w:rPr>
                <w:color w:val="231F20"/>
                <w:sz w:val="24"/>
              </w:rPr>
              <w:t>大眾飛航器接觸者</w:t>
            </w:r>
          </w:p>
        </w:tc>
        <w:tc>
          <w:tcPr>
            <w:tcW w:w="6283" w:type="dxa"/>
          </w:tcPr>
          <w:p>
            <w:pPr>
              <w:pStyle w:val="TableParagraph"/>
              <w:numPr>
                <w:ilvl w:val="0"/>
                <w:numId w:val="255"/>
              </w:numPr>
              <w:tabs>
                <w:tab w:pos="368" w:val="left" w:leader="none"/>
              </w:tabs>
              <w:spacing w:line="230" w:lineRule="auto" w:before="36" w:after="0"/>
              <w:ind w:left="367" w:right="86" w:hanging="255"/>
              <w:jc w:val="both"/>
              <w:rPr>
                <w:sz w:val="24"/>
              </w:rPr>
            </w:pPr>
            <w:r>
              <w:rPr>
                <w:color w:val="231F20"/>
                <w:spacing w:val="6"/>
                <w:sz w:val="24"/>
              </w:rPr>
              <w:t>追蹤重點在於提供衛教，其接觸者無須進行 </w:t>
            </w:r>
            <w:r>
              <w:rPr>
                <w:color w:val="231F20"/>
                <w:spacing w:val="-4"/>
                <w:sz w:val="24"/>
              </w:rPr>
              <w:t>LTBI</w:t>
            </w:r>
            <w:r>
              <w:rPr>
                <w:color w:val="231F20"/>
                <w:spacing w:val="-5"/>
                <w:sz w:val="24"/>
              </w:rPr>
              <w:t> 檢驗</w:t>
            </w:r>
            <w:r>
              <w:rPr>
                <w:color w:val="231F20"/>
                <w:sz w:val="24"/>
              </w:rPr>
              <w:t>及治療，如接觸者有意願接受檢査，可開立 TB 接觸者</w:t>
            </w:r>
            <w:r>
              <w:rPr>
                <w:color w:val="231F20"/>
                <w:spacing w:val="2"/>
                <w:sz w:val="24"/>
              </w:rPr>
              <w:t>轉介單進行—次胸部 </w:t>
            </w:r>
            <w:r>
              <w:rPr>
                <w:color w:val="231F20"/>
                <w:sz w:val="24"/>
              </w:rPr>
              <w:t>X</w:t>
            </w:r>
            <w:r>
              <w:rPr>
                <w:color w:val="231F20"/>
                <w:spacing w:val="-2"/>
                <w:sz w:val="24"/>
              </w:rPr>
              <w:t> 光檢査，並將結果維護於 </w:t>
            </w:r>
            <w:r>
              <w:rPr>
                <w:color w:val="231F20"/>
                <w:sz w:val="24"/>
              </w:rPr>
              <w:t>TB</w:t>
            </w:r>
            <w:r>
              <w:rPr>
                <w:color w:val="231F20"/>
                <w:spacing w:val="-7"/>
                <w:sz w:val="24"/>
              </w:rPr>
              <w:t> 系統。</w:t>
            </w:r>
          </w:p>
          <w:p>
            <w:pPr>
              <w:pStyle w:val="TableParagraph"/>
              <w:numPr>
                <w:ilvl w:val="0"/>
                <w:numId w:val="255"/>
              </w:numPr>
              <w:tabs>
                <w:tab w:pos="370" w:val="left" w:leader="none"/>
              </w:tabs>
              <w:spacing w:line="392" w:lineRule="exact" w:before="0" w:after="0"/>
              <w:ind w:left="369" w:right="0" w:hanging="258"/>
              <w:jc w:val="both"/>
              <w:rPr>
                <w:sz w:val="24"/>
              </w:rPr>
            </w:pPr>
            <w:r>
              <w:rPr>
                <w:color w:val="231F20"/>
                <w:spacing w:val="-2"/>
                <w:sz w:val="24"/>
              </w:rPr>
              <w:t>相關規定另請參見工作手冊第十三章 </w:t>
            </w:r>
            <w:r>
              <w:rPr>
                <w:color w:val="231F20"/>
                <w:spacing w:val="-3"/>
                <w:w w:val="80"/>
                <w:sz w:val="24"/>
              </w:rPr>
              <w:t>「 </w:t>
            </w:r>
            <w:r>
              <w:rPr>
                <w:color w:val="231F20"/>
                <w:sz w:val="24"/>
              </w:rPr>
              <w:t>結核病病人飛航</w:t>
            </w:r>
          </w:p>
          <w:p>
            <w:pPr>
              <w:pStyle w:val="TableParagraph"/>
              <w:spacing w:line="398" w:lineRule="exact"/>
              <w:ind w:left="367"/>
              <w:jc w:val="both"/>
              <w:rPr>
                <w:sz w:val="24"/>
              </w:rPr>
            </w:pPr>
            <w:r>
              <w:rPr>
                <w:color w:val="231F20"/>
                <w:sz w:val="24"/>
              </w:rPr>
              <w:t>限制及航空器接觸者追蹤 J。</w:t>
            </w:r>
          </w:p>
        </w:tc>
      </w:tr>
    </w:tbl>
    <w:p>
      <w:pPr>
        <w:pStyle w:val="BodyText"/>
        <w:spacing w:before="15"/>
        <w:rPr>
          <w:sz w:val="23"/>
        </w:rPr>
      </w:pPr>
    </w:p>
    <w:p>
      <w:pPr>
        <w:pStyle w:val="BodyText"/>
        <w:spacing w:line="409" w:lineRule="exact" w:before="70"/>
        <w:ind w:left="391"/>
      </w:pPr>
      <w:r>
        <w:rPr/>
        <w:pict>
          <v:group style="position:absolute;margin-left:557.686523pt;margin-top:-104.885956pt;width:37.35pt;height:528.550pt;mso-position-horizontal-relative:page;mso-position-vertical-relative:paragraph;z-index:251984896" coordorigin="11154,-2098" coordsize="747,10571">
            <v:shape style="position:absolute;left:11283;top:-1587;width:438;height:10060" type="#_x0000_t75" stroked="false">
              <v:imagedata r:id="rId180" o:title=""/>
            </v:shape>
            <v:shape style="position:absolute;left:11153;top:-2098;width:747;height:812" coordorigin="11154,-2098" coordsize="747,812" path="m11900,-2098l11536,-2098,11514,-2095,11454,-2062,11188,-1779,11154,-1692,11162,-1646,11454,-1323,11514,-1289,11536,-1286,11900,-1286,11900,-2098xe" filled="true" fillcolor="#5daf8a" stroked="false">
              <v:path arrowok="t"/>
              <v:fill type="solid"/>
            </v:shape>
            <v:shape style="position:absolute;left:11321;top:-1831;width:331;height:274" type="#_x0000_t75" stroked="false">
              <v:imagedata r:id="rId423" o:title=""/>
            </v:shape>
            <v:shape style="position:absolute;left:11378;top:-1151;width:251;height:3264" type="#_x0000_t75" stroked="false">
              <v:imagedata r:id="rId424" o:title=""/>
            </v:shape>
            <v:shape style="position:absolute;left:11368;top:7910;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133</w:t>
                    </w:r>
                  </w:p>
                </w:txbxContent>
              </v:textbox>
              <w10:wrap type="none"/>
            </v:shape>
            <w10:wrap type="none"/>
          </v:group>
        </w:pict>
      </w:r>
      <w:r>
        <w:rPr>
          <w:color w:val="231F20"/>
        </w:rPr>
        <w:t>七、其他注意事項</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當經由接觸者檢査發現新確診結核病個案時：</w:t>
      </w:r>
    </w:p>
    <w:p>
      <w:pPr>
        <w:pStyle w:val="ListParagraph"/>
        <w:numPr>
          <w:ilvl w:val="0"/>
          <w:numId w:val="256"/>
        </w:numPr>
        <w:tabs>
          <w:tab w:pos="1350" w:val="left" w:leader="none"/>
        </w:tabs>
        <w:spacing w:line="230" w:lineRule="auto" w:before="3" w:after="0"/>
        <w:ind w:left="1349" w:right="1127" w:hanging="255"/>
        <w:jc w:val="left"/>
        <w:rPr>
          <w:sz w:val="24"/>
        </w:rPr>
      </w:pPr>
      <w:r>
        <w:rPr>
          <w:color w:val="231F20"/>
          <w:spacing w:val="3"/>
          <w:sz w:val="24"/>
        </w:rPr>
        <w:t>對新發現個案再調査其接觸者，並依「投石入池」原則評估 </w:t>
      </w:r>
      <w:r>
        <w:rPr>
          <w:color w:val="231F20"/>
          <w:w w:val="65"/>
          <w:sz w:val="24"/>
        </w:rPr>
        <w:t>（</w:t>
      </w:r>
      <w:r>
        <w:rPr>
          <w:color w:val="231F20"/>
          <w:spacing w:val="1"/>
          <w:w w:val="65"/>
          <w:sz w:val="24"/>
        </w:rPr>
        <w:t> </w:t>
      </w:r>
      <w:r>
        <w:rPr>
          <w:color w:val="231F20"/>
          <w:spacing w:val="-5"/>
          <w:sz w:val="24"/>
        </w:rPr>
        <w:t>如圖 </w:t>
      </w:r>
      <w:r>
        <w:rPr>
          <w:color w:val="231F20"/>
          <w:sz w:val="24"/>
        </w:rPr>
        <w:t>3</w:t>
      </w:r>
      <w:r>
        <w:rPr>
          <w:color w:val="231F20"/>
          <w:spacing w:val="-2"/>
          <w:sz w:val="24"/>
        </w:rPr>
        <w:t>) 是否需要</w:t>
      </w:r>
      <w:r>
        <w:rPr>
          <w:color w:val="231F20"/>
          <w:sz w:val="24"/>
        </w:rPr>
        <w:t>擴大範圍辦理第二波接觸者檢査。</w:t>
      </w:r>
    </w:p>
    <w:p>
      <w:pPr>
        <w:pStyle w:val="BodyText"/>
        <w:spacing w:line="404" w:lineRule="exact"/>
        <w:ind w:left="1349"/>
      </w:pPr>
      <w:r>
        <w:rPr>
          <w:color w:val="231F20"/>
        </w:rPr>
        <w:t>圖 3、投石入池原則</w:t>
      </w:r>
    </w:p>
    <w:p>
      <w:pPr>
        <w:pStyle w:val="BodyText"/>
        <w:ind w:left="1348"/>
        <w:rPr>
          <w:sz w:val="20"/>
        </w:rPr>
      </w:pPr>
      <w:r>
        <w:rPr>
          <w:sz w:val="20"/>
        </w:rPr>
        <w:drawing>
          <wp:inline distT="0" distB="0" distL="0" distR="0">
            <wp:extent cx="4995809" cy="3206972"/>
            <wp:effectExtent l="0" t="0" r="0" b="0"/>
            <wp:docPr id="21" name="image421.png"/>
            <wp:cNvGraphicFramePr>
              <a:graphicFrameLocks noChangeAspect="1"/>
            </wp:cNvGraphicFramePr>
            <a:graphic>
              <a:graphicData uri="http://schemas.openxmlformats.org/drawingml/2006/picture">
                <pic:pic>
                  <pic:nvPicPr>
                    <pic:cNvPr id="22" name="image421.png"/>
                    <pic:cNvPicPr/>
                  </pic:nvPicPr>
                  <pic:blipFill>
                    <a:blip r:embed="rId425" cstate="print"/>
                    <a:stretch>
                      <a:fillRect/>
                    </a:stretch>
                  </pic:blipFill>
                  <pic:spPr>
                    <a:xfrm>
                      <a:off x="0" y="0"/>
                      <a:ext cx="4995809" cy="3206972"/>
                    </a:xfrm>
                    <a:prstGeom prst="rect">
                      <a:avLst/>
                    </a:prstGeom>
                  </pic:spPr>
                </pic:pic>
              </a:graphicData>
            </a:graphic>
          </wp:inline>
        </w:drawing>
      </w:r>
      <w:r>
        <w:rPr>
          <w:sz w:val="20"/>
        </w:rPr>
      </w:r>
    </w:p>
    <w:p>
      <w:pPr>
        <w:spacing w:after="0"/>
        <w:rPr>
          <w:sz w:val="20"/>
        </w:rPr>
        <w:sectPr>
          <w:pgSz w:w="11910" w:h="16840"/>
          <w:pgMar w:top="1200" w:bottom="0" w:left="980" w:right="0"/>
        </w:sectPr>
      </w:pPr>
    </w:p>
    <w:p>
      <w:pPr>
        <w:pStyle w:val="ListParagraph"/>
        <w:numPr>
          <w:ilvl w:val="0"/>
          <w:numId w:val="256"/>
        </w:numPr>
        <w:tabs>
          <w:tab w:pos="1351" w:val="left" w:leader="none"/>
        </w:tabs>
        <w:spacing w:line="230" w:lineRule="auto" w:before="70" w:after="0"/>
        <w:ind w:left="1349" w:right="1139" w:hanging="255"/>
        <w:jc w:val="both"/>
        <w:rPr>
          <w:sz w:val="24"/>
        </w:rPr>
      </w:pPr>
      <w:r>
        <w:rPr/>
        <w:pict>
          <v:group style="position:absolute;margin-left:.0pt;margin-top:313.165009pt;width:37.35pt;height:528.550pt;mso-position-horizontal-relative:page;mso-position-vertical-relative:page;z-index:251986944"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426"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134</w:t>
                    </w:r>
                  </w:p>
                </w:txbxContent>
              </v:textbox>
              <w10:wrap type="none"/>
            </v:shape>
            <w10:wrap type="none"/>
          </v:group>
        </w:pict>
      </w:r>
      <w:r>
        <w:rPr>
          <w:color w:val="231F20"/>
          <w:spacing w:val="-1"/>
          <w:sz w:val="24"/>
        </w:rPr>
        <w:t>結核病疑似聚集事件定義判定；若為疑似聚集事件請參考工作手冊第十二章 </w:t>
      </w:r>
      <w:r>
        <w:rPr>
          <w:color w:val="231F20"/>
          <w:spacing w:val="-5"/>
          <w:w w:val="80"/>
          <w:sz w:val="24"/>
        </w:rPr>
        <w:t>「 </w:t>
      </w:r>
      <w:r>
        <w:rPr>
          <w:color w:val="231F20"/>
          <w:spacing w:val="-17"/>
          <w:sz w:val="24"/>
        </w:rPr>
        <w:t>疑</w:t>
      </w:r>
      <w:r>
        <w:rPr>
          <w:color w:val="231F20"/>
          <w:spacing w:val="-1"/>
          <w:sz w:val="24"/>
        </w:rPr>
        <w:t>似結核病聚集事件處理 </w:t>
      </w:r>
      <w:r>
        <w:rPr>
          <w:color w:val="231F20"/>
          <w:sz w:val="24"/>
        </w:rPr>
        <w:t>J。</w:t>
      </w:r>
    </w:p>
    <w:p>
      <w:pPr>
        <w:pStyle w:val="BodyText"/>
        <w:spacing w:line="230" w:lineRule="auto"/>
        <w:ind w:left="1349" w:right="1132" w:hanging="720"/>
        <w:jc w:val="both"/>
      </w:pPr>
      <w:r>
        <w:rPr>
          <w:color w:val="231F20"/>
          <w:w w:val="70"/>
        </w:rPr>
        <w:t>（ </w:t>
      </w:r>
      <w:r>
        <w:rPr>
          <w:color w:val="231F20"/>
        </w:rPr>
        <w:t>二 ) 如校方及職場負責人欲追蹤査明指標個案，應明確告知依據傳染病防治法為保護指標個案隱私，不得無故洩露個案姓名及病歷相關資料 </w:t>
      </w:r>
      <w:r>
        <w:rPr>
          <w:color w:val="231F20"/>
          <w:w w:val="70"/>
        </w:rPr>
        <w:t>（ </w:t>
      </w:r>
      <w:r>
        <w:rPr>
          <w:color w:val="231F20"/>
        </w:rPr>
        <w:t>傳防法 §10、§64)，且應確切保護個案之就業、就學權 </w:t>
      </w:r>
      <w:r>
        <w:rPr>
          <w:color w:val="231F20"/>
          <w:w w:val="70"/>
        </w:rPr>
        <w:t>（ </w:t>
      </w:r>
      <w:r>
        <w:rPr>
          <w:color w:val="231F20"/>
        </w:rPr>
        <w:t>傳防法 §12、§69)。</w:t>
      </w:r>
    </w:p>
    <w:p>
      <w:pPr>
        <w:pStyle w:val="BodyText"/>
        <w:spacing w:line="394" w:lineRule="exact"/>
        <w:ind w:left="629"/>
        <w:jc w:val="both"/>
      </w:pPr>
      <w:r>
        <w:rPr>
          <w:color w:val="231F20"/>
          <w:w w:val="70"/>
        </w:rPr>
        <w:t>（ </w:t>
      </w:r>
      <w:r>
        <w:rPr>
          <w:color w:val="231F20"/>
        </w:rPr>
        <w:t>三 ) 接觸者拒絕進行接觸者檢査 </w:t>
      </w:r>
      <w:r>
        <w:rPr>
          <w:color w:val="231F20"/>
          <w:w w:val="70"/>
        </w:rPr>
        <w:t>（ </w:t>
      </w:r>
      <w:r>
        <w:rPr>
          <w:color w:val="231F20"/>
        </w:rPr>
        <w:t>圖 4)：</w:t>
      </w:r>
    </w:p>
    <w:p>
      <w:pPr>
        <w:pStyle w:val="ListParagraph"/>
        <w:numPr>
          <w:ilvl w:val="0"/>
          <w:numId w:val="257"/>
        </w:numPr>
        <w:tabs>
          <w:tab w:pos="1349" w:val="left" w:leader="none"/>
        </w:tabs>
        <w:spacing w:line="400" w:lineRule="exact" w:before="0" w:after="0"/>
        <w:ind w:left="1348" w:right="0" w:hanging="255"/>
        <w:jc w:val="left"/>
        <w:rPr>
          <w:sz w:val="24"/>
        </w:rPr>
      </w:pPr>
      <w:r>
        <w:rPr>
          <w:color w:val="231F20"/>
          <w:sz w:val="24"/>
        </w:rPr>
        <w:t>接觸者管理單位應瞭解其拒絕的原因並提供適當衛教及協助。</w:t>
      </w:r>
    </w:p>
    <w:p>
      <w:pPr>
        <w:pStyle w:val="ListParagraph"/>
        <w:numPr>
          <w:ilvl w:val="0"/>
          <w:numId w:val="257"/>
        </w:numPr>
        <w:tabs>
          <w:tab w:pos="1350" w:val="left" w:leader="none"/>
        </w:tabs>
        <w:spacing w:line="230" w:lineRule="auto" w:before="1" w:after="0"/>
        <w:ind w:left="1349" w:right="1131" w:hanging="255"/>
        <w:jc w:val="left"/>
        <w:rPr>
          <w:sz w:val="24"/>
        </w:rPr>
      </w:pPr>
      <w:r>
        <w:rPr>
          <w:color w:val="231F20"/>
          <w:sz w:val="24"/>
        </w:rPr>
        <w:t>依據「行政程序法」及「行政罰法」規定，接觸者管理縣市衛生主管機關得通知接觸者限期進行檢査及後續行政處分。</w:t>
      </w:r>
    </w:p>
    <w:p>
      <w:pPr>
        <w:pStyle w:val="ListParagraph"/>
        <w:numPr>
          <w:ilvl w:val="0"/>
          <w:numId w:val="257"/>
        </w:numPr>
        <w:tabs>
          <w:tab w:pos="1351" w:val="left" w:leader="none"/>
        </w:tabs>
        <w:spacing w:line="230" w:lineRule="auto" w:before="0" w:after="0"/>
        <w:ind w:left="1349" w:right="1138" w:hanging="255"/>
        <w:jc w:val="left"/>
        <w:rPr>
          <w:sz w:val="24"/>
        </w:rPr>
      </w:pPr>
      <w:r>
        <w:rPr>
          <w:color w:val="231F20"/>
          <w:spacing w:val="-1"/>
          <w:sz w:val="24"/>
        </w:rPr>
        <w:t>若接觸者經說明及勸導後仍拒絕進行檢査，應依「行政程序法」給予拒絕檢査之</w:t>
      </w:r>
      <w:r>
        <w:rPr>
          <w:color w:val="231F20"/>
          <w:sz w:val="24"/>
        </w:rPr>
        <w:t>接觸者陳述意見。</w:t>
      </w:r>
    </w:p>
    <w:p>
      <w:pPr>
        <w:pStyle w:val="ListParagraph"/>
        <w:numPr>
          <w:ilvl w:val="0"/>
          <w:numId w:val="257"/>
        </w:numPr>
        <w:tabs>
          <w:tab w:pos="1349" w:val="left" w:leader="none"/>
        </w:tabs>
        <w:spacing w:line="230" w:lineRule="auto" w:before="0" w:after="0"/>
        <w:ind w:left="1349" w:right="1896" w:hanging="255"/>
        <w:jc w:val="left"/>
        <w:rPr>
          <w:sz w:val="24"/>
        </w:rPr>
      </w:pPr>
      <w:r>
        <w:rPr/>
        <w:pict>
          <v:group style="position:absolute;margin-left:116.984001pt;margin-top:38.818546pt;width:419.9pt;height:248.35pt;mso-position-horizontal-relative:page;mso-position-vertical-relative:paragraph;z-index:251993088" coordorigin="2340,776" coordsize="8398,4967">
            <v:shape style="position:absolute;left:2526;top:776;width:7263;height:2045" coordorigin="2527,776" coordsize="7263,2045" path="m9790,1973l9783,1968,9763,1968,9763,1994,9763,2795,2553,2795,2553,1994,9763,1994,9763,1968,2533,1968,2527,1973,2527,2816,2533,2821,9783,2821,9790,2816,9790,2808,9790,2795,9790,1994,9790,1981,9790,1973m9790,783l9783,776,9763,776,9763,803,9763,1582,2553,1582,2553,803,9763,803,9763,776,2533,776,2527,783,2527,1602,2533,1608,9783,1608,9790,1602,9790,1595,9790,1582,9790,803,9790,789,9790,783e" filled="true" fillcolor="#93b266" stroked="false">
              <v:path arrowok="t"/>
              <v:fill type="solid"/>
            </v:shape>
            <v:shape style="position:absolute;left:5896;top:1594;width:106;height:386" type="#_x0000_t75" stroked="false">
              <v:imagedata r:id="rId427" o:title=""/>
            </v:shape>
            <v:shape style="position:absolute;left:5901;top:2808;width:106;height:397" type="#_x0000_t75" stroked="false">
              <v:imagedata r:id="rId428" o:title=""/>
            </v:shape>
            <v:shape style="position:absolute;left:2339;top:3186;width:7529;height:2557" coordorigin="2340,3187" coordsize="7529,2557" path="m9868,4918l9862,4913,9842,4913,9842,4940,9842,5717,2366,5717,2366,4940,9842,4940,9842,4913,5955,4913,5994,4838,6003,4821,5963,4820,5967,4479,6054,4448,7720,3852,7726,3850,7731,3842,7731,3827,7726,3821,7720,3819,7661,3798,7661,3835,5954,4446,4292,3852,4246,3835,4292,3819,5954,3224,7661,3835,7661,3798,6051,3222,5960,3189,5956,3187,5952,3187,5948,3189,4189,3819,4182,3821,4181,3822,3760,3824,3760,3785,3668,3832,3668,3421,3668,3409,3668,3401,3662,3395,3641,3395,3641,3421,3641,4255,2541,4255,2541,3421,3641,3421,3641,3395,2520,3395,2514,3401,2514,4276,2520,4281,3662,4281,3668,4276,3668,4268,3668,4255,3668,3844,3761,3891,3760,3851,4182,3849,4182,3850,4189,3852,5940,4479,5936,4820,5897,4819,5943,4913,2345,4913,2340,4918,2340,5738,2345,5743,9862,5743,9868,5738,9868,5730,9868,5717,9868,4940,9868,4926,9868,4918e" filled="true" fillcolor="#93b266" stroked="false">
              <v:path arrowok="t"/>
              <v:fill type="solid"/>
            </v:shape>
            <v:shape style="position:absolute;left:9024;top:1621;width:1713;height:1208" type="#_x0000_t75" stroked="false">
              <v:imagedata r:id="rId429" o:title=""/>
            </v:shape>
            <v:shape style="position:absolute;left:8935;top:4279;width:1714;height:1208" type="#_x0000_t75" stroked="false">
              <v:imagedata r:id="rId430" o:title=""/>
            </v:shape>
            <v:shape style="position:absolute;left:4359;top:1031;width:3615;height:282" type="#_x0000_t202" filled="false" stroked="false">
              <v:textbox inset="0,0,0,0">
                <w:txbxContent>
                  <w:p>
                    <w:pPr>
                      <w:spacing w:line="281" w:lineRule="exact" w:before="0"/>
                      <w:ind w:left="0" w:right="0" w:firstLine="0"/>
                      <w:jc w:val="left"/>
                      <w:rPr>
                        <w:sz w:val="21"/>
                      </w:rPr>
                    </w:pPr>
                    <w:r>
                      <w:rPr>
                        <w:color w:val="231F20"/>
                        <w:sz w:val="21"/>
                      </w:rPr>
                      <w:t>經衛教說明勸導後，接觸者仍拒絕檢査</w:t>
                    </w:r>
                  </w:p>
                </w:txbxContent>
              </v:textbox>
              <w10:wrap type="none"/>
            </v:shape>
            <v:shape style="position:absolute;left:2932;top:2097;width:6469;height:648" type="#_x0000_t202" filled="false" stroked="false">
              <v:textbox inset="0,0,0,0">
                <w:txbxContent>
                  <w:p>
                    <w:pPr>
                      <w:spacing w:line="341" w:lineRule="exact" w:before="0"/>
                      <w:ind w:left="90" w:right="107" w:firstLine="0"/>
                      <w:jc w:val="center"/>
                      <w:rPr>
                        <w:sz w:val="21"/>
                      </w:rPr>
                    </w:pPr>
                    <w:r>
                      <w:rPr>
                        <w:color w:val="231F20"/>
                        <w:sz w:val="21"/>
                      </w:rPr>
                      <w:t>依「行政程序法」給予拒絕檢査之接觸者陳述意見，</w:t>
                    </w:r>
                  </w:p>
                  <w:p>
                    <w:pPr>
                      <w:spacing w:line="306" w:lineRule="exact" w:before="0"/>
                      <w:ind w:left="90" w:right="108" w:firstLine="0"/>
                      <w:jc w:val="center"/>
                      <w:rPr>
                        <w:sz w:val="21"/>
                      </w:rPr>
                    </w:pPr>
                    <w:r>
                      <w:rPr>
                        <w:color w:val="231F20"/>
                        <w:spacing w:val="-9"/>
                        <w:sz w:val="21"/>
                      </w:rPr>
                      <w:t>開立「調査事證陳述意見通知書」，函送或併附「送達證書」予接觸者</w:t>
                    </w:r>
                  </w:p>
                </w:txbxContent>
              </v:textbox>
              <w10:wrap type="none"/>
            </v:shape>
            <v:shape style="position:absolute;left:2667;top:3524;width:866;height:648" type="#_x0000_t202" filled="false" stroked="false">
              <v:textbox inset="0,0,0,0">
                <w:txbxContent>
                  <w:p>
                    <w:pPr>
                      <w:spacing w:line="341" w:lineRule="exact" w:before="0"/>
                      <w:ind w:left="0" w:right="0" w:firstLine="0"/>
                      <w:jc w:val="left"/>
                      <w:rPr>
                        <w:sz w:val="21"/>
                      </w:rPr>
                    </w:pPr>
                    <w:r>
                      <w:rPr>
                        <w:color w:val="231F20"/>
                        <w:sz w:val="21"/>
                      </w:rPr>
                      <w:t>系統維護</w:t>
                    </w:r>
                  </w:p>
                  <w:p>
                    <w:pPr>
                      <w:spacing w:line="306" w:lineRule="exact" w:before="0"/>
                      <w:ind w:left="0" w:right="0" w:firstLine="0"/>
                      <w:jc w:val="left"/>
                      <w:rPr>
                        <w:sz w:val="21"/>
                      </w:rPr>
                    </w:pPr>
                    <w:r>
                      <w:rPr>
                        <w:color w:val="231F20"/>
                        <w:sz w:val="21"/>
                      </w:rPr>
                      <w:t>檢査結果</w:t>
                    </w:r>
                  </w:p>
                </w:txbxContent>
              </v:textbox>
              <w10:wrap type="none"/>
            </v:shape>
            <v:shape style="position:absolute;left:5318;top:3767;width:1289;height:282" type="#_x0000_t202" filled="false" stroked="false">
              <v:textbox inset="0,0,0,0">
                <w:txbxContent>
                  <w:p>
                    <w:pPr>
                      <w:spacing w:line="281" w:lineRule="exact" w:before="0"/>
                      <w:ind w:left="0" w:right="0" w:firstLine="0"/>
                      <w:jc w:val="left"/>
                      <w:rPr>
                        <w:sz w:val="21"/>
                      </w:rPr>
                    </w:pPr>
                    <w:r>
                      <w:rPr>
                        <w:color w:val="231F20"/>
                        <w:sz w:val="21"/>
                      </w:rPr>
                      <w:t>進行接觸者檢</w:t>
                    </w:r>
                  </w:p>
                </w:txbxContent>
              </v:textbox>
              <w10:wrap type="none"/>
            </v:shape>
            <v:shape style="position:absolute;left:2491;top:4520;width:6681;height:930" type="#_x0000_t202" filled="false" stroked="false">
              <v:textbox inset="0,0,0,0">
                <w:txbxContent>
                  <w:p>
                    <w:pPr>
                      <w:spacing w:line="341" w:lineRule="exact" w:before="0"/>
                      <w:ind w:left="0" w:right="548" w:firstLine="0"/>
                      <w:jc w:val="center"/>
                      <w:rPr>
                        <w:sz w:val="21"/>
                      </w:rPr>
                    </w:pPr>
                    <w:r>
                      <w:rPr>
                        <w:color w:val="231F20"/>
                        <w:w w:val="100"/>
                        <w:sz w:val="21"/>
                      </w:rPr>
                      <w:t>否</w:t>
                    </w:r>
                  </w:p>
                  <w:p>
                    <w:pPr>
                      <w:spacing w:line="240" w:lineRule="auto" w:before="4"/>
                      <w:rPr>
                        <w:sz w:val="16"/>
                      </w:rPr>
                    </w:pPr>
                  </w:p>
                  <w:p>
                    <w:pPr>
                      <w:spacing w:line="306" w:lineRule="exact" w:before="0"/>
                      <w:ind w:left="0" w:right="0" w:firstLine="0"/>
                      <w:jc w:val="left"/>
                      <w:rPr>
                        <w:sz w:val="21"/>
                      </w:rPr>
                    </w:pPr>
                    <w:r>
                      <w:rPr>
                        <w:color w:val="231F20"/>
                        <w:spacing w:val="-7"/>
                        <w:sz w:val="21"/>
                      </w:rPr>
                      <w:t>依「傳染病防治法」作成「裁處書」，函送或併附「送達證書」予接觸者</w:t>
                    </w:r>
                  </w:p>
                </w:txbxContent>
              </v:textbox>
              <w10:wrap type="none"/>
            </v:shape>
            <w10:wrap type="none"/>
          </v:group>
        </w:pict>
      </w:r>
      <w:r>
        <w:rPr>
          <w:color w:val="231F20"/>
          <w:spacing w:val="-1"/>
          <w:sz w:val="24"/>
        </w:rPr>
        <w:t>若接觸者陳述意見後仍拒絕進行檢査，得依「傳染病防治法」進行裁處。</w:t>
      </w:r>
      <w:r>
        <w:rPr>
          <w:color w:val="231F20"/>
          <w:spacing w:val="-4"/>
          <w:sz w:val="24"/>
        </w:rPr>
        <w:t>圖 </w:t>
      </w:r>
      <w:r>
        <w:rPr>
          <w:color w:val="231F20"/>
          <w:sz w:val="24"/>
        </w:rPr>
        <w:t>4</w:t>
      </w:r>
      <w:r>
        <w:rPr>
          <w:color w:val="231F20"/>
          <w:spacing w:val="-3"/>
          <w:sz w:val="24"/>
        </w:rPr>
        <w:t> 、接觸者拒絕進行檢査之行政裁處流程</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7"/>
        </w:rPr>
      </w:pPr>
    </w:p>
    <w:p>
      <w:pPr>
        <w:pStyle w:val="BodyText"/>
        <w:spacing w:line="409" w:lineRule="exact" w:before="71"/>
        <w:ind w:left="391"/>
      </w:pPr>
      <w:r>
        <w:rPr>
          <w:color w:val="231F20"/>
        </w:rPr>
        <w:t>八、參考資料</w:t>
      </w:r>
    </w:p>
    <w:p>
      <w:pPr>
        <w:pStyle w:val="BodyText"/>
        <w:tabs>
          <w:tab w:pos="1349" w:val="left" w:leader="none"/>
        </w:tabs>
        <w:spacing w:line="400" w:lineRule="exact"/>
        <w:ind w:left="629"/>
      </w:pPr>
      <w:r>
        <w:rPr>
          <w:color w:val="231F20"/>
          <w:w w:val="70"/>
        </w:rPr>
        <w:t>（</w:t>
      </w:r>
      <w:r>
        <w:rPr>
          <w:color w:val="231F20"/>
          <w:spacing w:val="-5"/>
          <w:w w:val="70"/>
        </w:rPr>
        <w:t> </w:t>
      </w:r>
      <w:r>
        <w:rPr>
          <w:color w:val="231F20"/>
          <w:spacing w:val="-8"/>
        </w:rPr>
        <w:t>— )</w:t>
      </w:r>
      <w:r>
        <w:rPr>
          <w:color w:val="231F20"/>
        </w:rPr>
        <w:tab/>
        <w:t>TB</w:t>
      </w:r>
      <w:r>
        <w:rPr>
          <w:color w:val="231F20"/>
          <w:spacing w:val="-3"/>
        </w:rPr>
        <w:t> 接觸者就醫轉介單(附件 </w:t>
      </w:r>
      <w:r>
        <w:rPr>
          <w:color w:val="231F20"/>
          <w:w w:val="120"/>
        </w:rPr>
        <w:t>11-10)</w:t>
      </w:r>
    </w:p>
    <w:p>
      <w:pPr>
        <w:pStyle w:val="BodyText"/>
        <w:tabs>
          <w:tab w:pos="1349" w:val="left" w:leader="none"/>
        </w:tabs>
        <w:spacing w:line="400" w:lineRule="exact"/>
        <w:ind w:left="629"/>
      </w:pPr>
      <w:r>
        <w:rPr>
          <w:color w:val="231F20"/>
          <w:w w:val="70"/>
        </w:rPr>
        <w:t>（</w:t>
      </w:r>
      <w:r>
        <w:rPr>
          <w:color w:val="231F20"/>
          <w:spacing w:val="-5"/>
          <w:w w:val="70"/>
        </w:rPr>
        <w:t> </w:t>
      </w:r>
      <w:r>
        <w:rPr>
          <w:color w:val="231F20"/>
        </w:rPr>
        <w:t>二</w:t>
      </w:r>
      <w:r>
        <w:rPr>
          <w:color w:val="231F20"/>
          <w:spacing w:val="-24"/>
        </w:rPr>
        <w:t> </w:t>
      </w:r>
      <w:r>
        <w:rPr>
          <w:color w:val="231F20"/>
        </w:rPr>
        <w:t>)</w:t>
        <w:tab/>
        <w:t>團體接觸者檢査各相關單位工作事項(以校園為</w:t>
      </w:r>
      <w:r>
        <w:rPr>
          <w:color w:val="231F20"/>
          <w:spacing w:val="59"/>
        </w:rPr>
        <w:t>例</w:t>
      </w:r>
      <w:r>
        <w:rPr>
          <w:color w:val="231F20"/>
          <w:w w:val="120"/>
        </w:rPr>
        <w:t>)(附件</w:t>
      </w:r>
      <w:r>
        <w:rPr>
          <w:color w:val="231F20"/>
          <w:spacing w:val="-14"/>
          <w:w w:val="120"/>
        </w:rPr>
        <w:t> </w:t>
      </w:r>
      <w:r>
        <w:rPr>
          <w:color w:val="231F20"/>
          <w:w w:val="120"/>
        </w:rPr>
        <w:t>11-11)</w:t>
      </w:r>
    </w:p>
    <w:p>
      <w:pPr>
        <w:pStyle w:val="BodyText"/>
        <w:tabs>
          <w:tab w:pos="1349" w:val="left" w:leader="none"/>
        </w:tabs>
        <w:spacing w:line="400" w:lineRule="exact"/>
        <w:ind w:left="629"/>
      </w:pPr>
      <w:r>
        <w:rPr>
          <w:color w:val="231F20"/>
          <w:w w:val="70"/>
        </w:rPr>
        <w:t>（</w:t>
      </w:r>
      <w:r>
        <w:rPr>
          <w:color w:val="231F20"/>
          <w:spacing w:val="-5"/>
          <w:w w:val="70"/>
        </w:rPr>
        <w:t> </w:t>
      </w:r>
      <w:r>
        <w:rPr>
          <w:color w:val="231F20"/>
        </w:rPr>
        <w:t>三</w:t>
      </w:r>
      <w:r>
        <w:rPr>
          <w:color w:val="231F20"/>
          <w:spacing w:val="-24"/>
        </w:rPr>
        <w:t> </w:t>
      </w:r>
      <w:r>
        <w:rPr>
          <w:color w:val="231F20"/>
        </w:rPr>
        <w:t>)</w:t>
        <w:tab/>
        <w:t>結核病接觸者檢査衛教及通知書(附件</w:t>
      </w:r>
      <w:r>
        <w:rPr>
          <w:color w:val="231F20"/>
          <w:spacing w:val="-4"/>
        </w:rPr>
        <w:t> </w:t>
      </w:r>
      <w:r>
        <w:rPr>
          <w:color w:val="231F20"/>
          <w:w w:val="120"/>
        </w:rPr>
        <w:t>11-12)</w:t>
      </w:r>
    </w:p>
    <w:p>
      <w:pPr>
        <w:pStyle w:val="BodyText"/>
        <w:tabs>
          <w:tab w:pos="1349" w:val="left" w:leader="none"/>
        </w:tabs>
        <w:spacing w:line="230" w:lineRule="auto" w:before="2"/>
        <w:ind w:left="1349" w:right="1136" w:hanging="720"/>
      </w:pPr>
      <w:r>
        <w:rPr>
          <w:color w:val="231F20"/>
          <w:w w:val="65"/>
        </w:rPr>
        <w:t>（</w:t>
      </w:r>
      <w:r>
        <w:rPr>
          <w:color w:val="231F20"/>
          <w:spacing w:val="1"/>
          <w:w w:val="65"/>
        </w:rPr>
        <w:t> </w:t>
      </w:r>
      <w:r>
        <w:rPr>
          <w:color w:val="231F20"/>
        </w:rPr>
        <w:t>匹</w:t>
      </w:r>
      <w:r>
        <w:rPr>
          <w:color w:val="231F20"/>
          <w:spacing w:val="-22"/>
        </w:rPr>
        <w:t> </w:t>
      </w:r>
      <w:r>
        <w:rPr>
          <w:color w:val="231F20"/>
        </w:rPr>
        <w:t>)</w:t>
        <w:tab/>
      </w:r>
      <w:r>
        <w:rPr>
          <w:color w:val="231F20"/>
          <w:spacing w:val="6"/>
        </w:rPr>
        <w:t>校園結核病防治專</w:t>
      </w:r>
      <w:r>
        <w:rPr>
          <w:color w:val="231F20"/>
        </w:rPr>
        <w:t>區</w:t>
      </w:r>
      <w:r>
        <w:rPr>
          <w:color w:val="231F20"/>
          <w:spacing w:val="6"/>
        </w:rPr>
        <w:t>(傳染病與防疫專</w:t>
      </w:r>
      <w:r>
        <w:rPr>
          <w:color w:val="231F20"/>
          <w:spacing w:val="61"/>
        </w:rPr>
        <w:t>題</w:t>
      </w:r>
      <w:r>
        <w:rPr>
          <w:color w:val="231F20"/>
        </w:rPr>
        <w:t>＞</w:t>
      </w:r>
      <w:r>
        <w:rPr>
          <w:color w:val="231F20"/>
          <w:spacing w:val="-13"/>
        </w:rPr>
        <w:t> </w:t>
      </w:r>
      <w:r>
        <w:rPr>
          <w:color w:val="231F20"/>
          <w:spacing w:val="6"/>
        </w:rPr>
        <w:t>傳染病介</w:t>
      </w:r>
      <w:r>
        <w:rPr>
          <w:color w:val="231F20"/>
        </w:rPr>
        <w:t>紹</w:t>
      </w:r>
      <w:r>
        <w:rPr>
          <w:color w:val="231F20"/>
          <w:spacing w:val="-12"/>
        </w:rPr>
        <w:t> </w:t>
      </w:r>
      <w:r>
        <w:rPr>
          <w:color w:val="231F20"/>
        </w:rPr>
        <w:t>＞</w:t>
      </w:r>
      <w:r>
        <w:rPr>
          <w:color w:val="231F20"/>
          <w:spacing w:val="-13"/>
        </w:rPr>
        <w:t> </w:t>
      </w:r>
      <w:r>
        <w:rPr>
          <w:color w:val="231F20"/>
          <w:spacing w:val="6"/>
        </w:rPr>
        <w:t>第三類法定傳染</w:t>
      </w:r>
      <w:r>
        <w:rPr>
          <w:color w:val="231F20"/>
        </w:rPr>
        <w:t>病</w:t>
      </w:r>
      <w:r>
        <w:rPr>
          <w:color w:val="231F20"/>
          <w:spacing w:val="-12"/>
        </w:rPr>
        <w:t> </w:t>
      </w:r>
      <w:r>
        <w:rPr>
          <w:color w:val="231F20"/>
          <w:spacing w:val="-18"/>
        </w:rPr>
        <w:t>＞ </w:t>
      </w:r>
      <w:r>
        <w:rPr>
          <w:color w:val="231F20"/>
        </w:rPr>
        <w:t>結核病校園防治專區)</w:t>
      </w:r>
    </w:p>
    <w:p>
      <w:pPr>
        <w:pStyle w:val="BodyText"/>
        <w:tabs>
          <w:tab w:pos="1349" w:val="left" w:leader="none"/>
        </w:tabs>
        <w:spacing w:line="395" w:lineRule="exact"/>
        <w:ind w:left="629"/>
      </w:pPr>
      <w:r>
        <w:rPr>
          <w:color w:val="231F20"/>
          <w:w w:val="70"/>
        </w:rPr>
        <w:t>（</w:t>
      </w:r>
      <w:r>
        <w:rPr>
          <w:color w:val="231F20"/>
          <w:spacing w:val="-5"/>
          <w:w w:val="70"/>
        </w:rPr>
        <w:t> </w:t>
      </w:r>
      <w:r>
        <w:rPr>
          <w:color w:val="231F20"/>
        </w:rPr>
        <w:t>五</w:t>
      </w:r>
      <w:r>
        <w:rPr>
          <w:color w:val="231F20"/>
          <w:spacing w:val="-24"/>
        </w:rPr>
        <w:t> </w:t>
      </w:r>
      <w:r>
        <w:rPr>
          <w:color w:val="231F20"/>
        </w:rPr>
        <w:t>)</w:t>
        <w:tab/>
        <w:t>調査事證陳述意見通知書(附件</w:t>
      </w:r>
      <w:r>
        <w:rPr>
          <w:color w:val="231F20"/>
          <w:spacing w:val="-5"/>
        </w:rPr>
        <w:t> </w:t>
      </w:r>
      <w:r>
        <w:rPr>
          <w:color w:val="231F20"/>
          <w:w w:val="120"/>
        </w:rPr>
        <w:t>11-13)</w:t>
      </w:r>
    </w:p>
    <w:p>
      <w:pPr>
        <w:pStyle w:val="BodyText"/>
        <w:tabs>
          <w:tab w:pos="1349" w:val="left" w:leader="none"/>
        </w:tabs>
        <w:spacing w:line="400" w:lineRule="exact"/>
        <w:ind w:left="629"/>
      </w:pPr>
      <w:r>
        <w:rPr>
          <w:color w:val="231F20"/>
          <w:w w:val="70"/>
        </w:rPr>
        <w:t>（</w:t>
      </w:r>
      <w:r>
        <w:rPr>
          <w:color w:val="231F20"/>
          <w:spacing w:val="-5"/>
          <w:w w:val="70"/>
        </w:rPr>
        <w:t> </w:t>
      </w:r>
      <w:r>
        <w:rPr>
          <w:color w:val="231F20"/>
        </w:rPr>
        <w:t>六</w:t>
      </w:r>
      <w:r>
        <w:rPr>
          <w:color w:val="231F20"/>
          <w:spacing w:val="-24"/>
        </w:rPr>
        <w:t> </w:t>
      </w:r>
      <w:r>
        <w:rPr>
          <w:color w:val="231F20"/>
        </w:rPr>
        <w:t>)</w:t>
        <w:tab/>
        <w:t>行政裁處書樣稿(附件</w:t>
      </w:r>
      <w:r>
        <w:rPr>
          <w:color w:val="231F20"/>
          <w:spacing w:val="-5"/>
        </w:rPr>
        <w:t> </w:t>
      </w:r>
      <w:r>
        <w:rPr>
          <w:color w:val="231F20"/>
          <w:w w:val="120"/>
        </w:rPr>
        <w:t>11-14)</w:t>
      </w:r>
    </w:p>
    <w:p>
      <w:pPr>
        <w:pStyle w:val="BodyText"/>
        <w:tabs>
          <w:tab w:pos="1349" w:val="left" w:leader="none"/>
        </w:tabs>
        <w:spacing w:line="409" w:lineRule="exact"/>
        <w:ind w:left="629"/>
      </w:pPr>
      <w:r>
        <w:rPr>
          <w:color w:val="231F20"/>
          <w:w w:val="70"/>
        </w:rPr>
        <w:t>（</w:t>
      </w:r>
      <w:r>
        <w:rPr>
          <w:color w:val="231F20"/>
          <w:spacing w:val="-14"/>
          <w:w w:val="70"/>
        </w:rPr>
        <w:t> </w:t>
      </w:r>
      <w:r>
        <w:rPr>
          <w:color w:val="231F20"/>
          <w:w w:val="120"/>
        </w:rPr>
        <w:t>七</w:t>
      </w:r>
      <w:r>
        <w:rPr>
          <w:color w:val="231F20"/>
          <w:spacing w:val="-46"/>
          <w:w w:val="120"/>
        </w:rPr>
        <w:t> </w:t>
      </w:r>
      <w:r>
        <w:rPr>
          <w:color w:val="231F20"/>
        </w:rPr>
        <w:t>)</w:t>
        <w:tab/>
      </w:r>
      <w:r>
        <w:rPr>
          <w:color w:val="231F20"/>
          <w:w w:val="120"/>
        </w:rPr>
        <w:t>送達證書(附件</w:t>
      </w:r>
      <w:r>
        <w:rPr>
          <w:color w:val="231F20"/>
          <w:spacing w:val="-21"/>
          <w:w w:val="120"/>
        </w:rPr>
        <w:t> </w:t>
      </w:r>
      <w:r>
        <w:rPr>
          <w:color w:val="231F20"/>
          <w:w w:val="120"/>
        </w:rPr>
        <w:t>11-15)</w:t>
      </w:r>
    </w:p>
    <w:p>
      <w:pPr>
        <w:spacing w:after="0" w:line="409" w:lineRule="exact"/>
        <w:sectPr>
          <w:pgSz w:w="11910" w:h="16840"/>
          <w:pgMar w:top="1060" w:bottom="0" w:left="980" w:right="0"/>
        </w:sectPr>
      </w:pPr>
    </w:p>
    <w:p>
      <w:pPr>
        <w:pStyle w:val="Heading2"/>
        <w:spacing w:before="27"/>
      </w:pPr>
      <w:r>
        <w:rPr>
          <w:color w:val="231F20"/>
          <w:spacing w:val="-1"/>
        </w:rPr>
        <w:t>陞、感染源調查 </w:t>
      </w:r>
      <w:r>
        <w:rPr>
          <w:color w:val="231F20"/>
          <w:w w:val="35"/>
        </w:rPr>
        <w:t>（</w:t>
      </w:r>
      <w:r>
        <w:rPr>
          <w:color w:val="231F20"/>
          <w:spacing w:val="-1"/>
        </w:rPr>
        <w:t> 如表 </w:t>
      </w:r>
      <w:r>
        <w:rPr>
          <w:color w:val="231F20"/>
        </w:rPr>
        <w:t>6</w:t>
      </w:r>
      <w:r>
        <w:rPr>
          <w:color w:val="231F20"/>
          <w:w w:val="35"/>
        </w:rPr>
        <w:t>）</w:t>
      </w:r>
    </w:p>
    <w:p>
      <w:pPr>
        <w:pStyle w:val="BodyText"/>
        <w:spacing w:line="404" w:lineRule="exact"/>
        <w:ind w:left="391"/>
      </w:pPr>
      <w:r>
        <w:rPr>
          <w:color w:val="231F20"/>
        </w:rPr>
        <w:t>—、執行單位：指標個案管理單位。</w:t>
      </w:r>
    </w:p>
    <w:p>
      <w:pPr>
        <w:pStyle w:val="BodyText"/>
        <w:spacing w:line="230" w:lineRule="auto" w:before="3"/>
        <w:ind w:left="391" w:right="3435"/>
      </w:pPr>
      <w:r>
        <w:rPr>
          <w:color w:val="231F20"/>
        </w:rPr>
        <w:t>二、調査對象：未滿 5 歲個案、單純肺外個案及 MDR-TB 新病人。三、執行方法：</w:t>
      </w:r>
    </w:p>
    <w:p>
      <w:pPr>
        <w:pStyle w:val="BodyText"/>
        <w:spacing w:line="230" w:lineRule="auto"/>
        <w:ind w:left="878" w:right="1130"/>
      </w:pPr>
      <w:r>
        <w:rPr>
          <w:color w:val="231F20"/>
        </w:rPr>
        <w:t>與「接觸者調査」大致相同，但因兩者目標相反，進行感染源調査時，不受個案可傳染期往前回推 3 個月的限制，可視案情狀況及公衛量能擴大回溯個案與他人之接觸</w:t>
      </w:r>
    </w:p>
    <w:p>
      <w:pPr>
        <w:pStyle w:val="BodyText"/>
        <w:spacing w:line="230" w:lineRule="auto"/>
        <w:ind w:left="878" w:right="1132"/>
      </w:pPr>
      <w:r>
        <w:rPr>
          <w:color w:val="231F20"/>
        </w:rPr>
        <w:t>史，可優先從指標個案確診日往前回推 2 年內之接觸史著手調査，以溯源找到感染源為調査目的。</w:t>
      </w:r>
    </w:p>
    <w:p>
      <w:pPr>
        <w:pStyle w:val="BodyText"/>
        <w:spacing w:line="404" w:lineRule="exact"/>
        <w:ind w:left="878"/>
      </w:pPr>
      <w:r>
        <w:rPr/>
        <w:pict>
          <v:group style="position:absolute;margin-left:557.686523pt;margin-top:96.576538pt;width:37.35pt;height:528.550pt;mso-position-horizontal-relative:page;mso-position-vertical-relative:paragraph;z-index:251995136" coordorigin="11154,1932" coordsize="747,10571">
            <v:shape style="position:absolute;left:11283;top:2442;width:438;height:10060" type="#_x0000_t75" stroked="false">
              <v:imagedata r:id="rId180" o:title=""/>
            </v:shape>
            <v:shape style="position:absolute;left:11153;top:1931;width:747;height:812" coordorigin="11154,1932" coordsize="747,812" path="m11900,1932l11536,1932,11514,1934,11454,1968,11188,2250,11154,2337,11162,2384,11454,2707,11514,2741,11536,2743,11900,2743,11900,1932xe" filled="true" fillcolor="#5daf8a" stroked="false">
              <v:path arrowok="t"/>
              <v:fill type="solid"/>
            </v:shape>
            <v:shape style="position:absolute;left:11321;top:2198;width:331;height:274" type="#_x0000_t75" stroked="false">
              <v:imagedata r:id="rId431" o:title=""/>
            </v:shape>
            <v:shape style="position:absolute;left:11378;top:2878;width:251;height:3264" type="#_x0000_t75" stroked="false">
              <v:imagedata r:id="rId182" o:title=""/>
            </v:shape>
            <v:shape style="position:absolute;left:11368;top:11939;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135</w:t>
                    </w:r>
                  </w:p>
                </w:txbxContent>
              </v:textbox>
              <w10:wrap type="none"/>
            </v:shape>
            <w10:wrap type="none"/>
          </v:group>
        </w:pict>
      </w:r>
      <w:r>
        <w:rPr/>
        <w:pict>
          <v:shape style="position:absolute;margin-left:92.934502pt;margin-top:17.839037pt;width:446.15pt;height:490.55pt;mso-position-horizontal-relative:page;mso-position-vertical-relative:paragraph;z-index:25199616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779"/>
                    <w:gridCol w:w="3136"/>
                    <w:gridCol w:w="2086"/>
                    <w:gridCol w:w="2903"/>
                  </w:tblGrid>
                  <w:tr>
                    <w:trPr>
                      <w:trHeight w:val="451" w:hRule="atLeast"/>
                    </w:trPr>
                    <w:tc>
                      <w:tcPr>
                        <w:tcW w:w="8904" w:type="dxa"/>
                        <w:gridSpan w:val="4"/>
                        <w:shd w:val="clear" w:color="auto" w:fill="D1D3D4"/>
                      </w:tcPr>
                      <w:p>
                        <w:pPr>
                          <w:pStyle w:val="TableParagraph"/>
                          <w:spacing w:line="431" w:lineRule="exact"/>
                          <w:ind w:left="3950" w:right="3939"/>
                          <w:jc w:val="center"/>
                          <w:rPr>
                            <w:rFonts w:ascii="微軟正黑體" w:eastAsia="微軟正黑體" w:hint="eastAsia"/>
                            <w:b/>
                            <w:sz w:val="24"/>
                          </w:rPr>
                        </w:pPr>
                        <w:r>
                          <w:rPr>
                            <w:rFonts w:ascii="微軟正黑體" w:eastAsia="微軟正黑體" w:hint="eastAsia"/>
                            <w:b/>
                            <w:color w:val="231F20"/>
                            <w:sz w:val="24"/>
                          </w:rPr>
                          <w:t>調查對象</w:t>
                        </w:r>
                      </w:p>
                    </w:tc>
                  </w:tr>
                  <w:tr>
                    <w:trPr>
                      <w:trHeight w:val="451" w:hRule="atLeast"/>
                    </w:trPr>
                    <w:tc>
                      <w:tcPr>
                        <w:tcW w:w="779" w:type="dxa"/>
                        <w:shd w:val="clear" w:color="auto" w:fill="E6E7E8"/>
                      </w:tcPr>
                      <w:p>
                        <w:pPr>
                          <w:pStyle w:val="TableParagraph"/>
                          <w:spacing w:line="400" w:lineRule="exact" w:before="31"/>
                          <w:ind w:left="149"/>
                          <w:rPr>
                            <w:sz w:val="24"/>
                          </w:rPr>
                        </w:pPr>
                        <w:r>
                          <w:rPr>
                            <w:color w:val="231F20"/>
                            <w:sz w:val="24"/>
                          </w:rPr>
                          <w:t>指標</w:t>
                        </w:r>
                      </w:p>
                    </w:tc>
                    <w:tc>
                      <w:tcPr>
                        <w:tcW w:w="3136" w:type="dxa"/>
                        <w:shd w:val="clear" w:color="auto" w:fill="E6E7E8"/>
                      </w:tcPr>
                      <w:p>
                        <w:pPr>
                          <w:pStyle w:val="TableParagraph"/>
                          <w:spacing w:line="400" w:lineRule="exact" w:before="31"/>
                          <w:ind w:left="837"/>
                          <w:rPr>
                            <w:sz w:val="24"/>
                          </w:rPr>
                        </w:pPr>
                        <w:r>
                          <w:rPr>
                            <w:color w:val="231F20"/>
                            <w:sz w:val="24"/>
                          </w:rPr>
                          <w:t>未滿 5 歲個案</w:t>
                        </w:r>
                      </w:p>
                    </w:tc>
                    <w:tc>
                      <w:tcPr>
                        <w:tcW w:w="2086" w:type="dxa"/>
                        <w:shd w:val="clear" w:color="auto" w:fill="E6E7E8"/>
                      </w:tcPr>
                      <w:p>
                        <w:pPr>
                          <w:pStyle w:val="TableParagraph"/>
                          <w:spacing w:line="400" w:lineRule="exact" w:before="31"/>
                          <w:ind w:left="322"/>
                          <w:rPr>
                            <w:sz w:val="24"/>
                          </w:rPr>
                        </w:pPr>
                        <w:r>
                          <w:rPr>
                            <w:color w:val="231F20"/>
                            <w:sz w:val="24"/>
                          </w:rPr>
                          <w:t>單純肺外個案</w:t>
                        </w:r>
                      </w:p>
                    </w:tc>
                    <w:tc>
                      <w:tcPr>
                        <w:tcW w:w="2903" w:type="dxa"/>
                        <w:shd w:val="clear" w:color="auto" w:fill="E6E7E8"/>
                      </w:tcPr>
                      <w:p>
                        <w:pPr>
                          <w:pStyle w:val="TableParagraph"/>
                          <w:spacing w:line="400" w:lineRule="exact" w:before="31"/>
                          <w:ind w:left="583"/>
                          <w:rPr>
                            <w:sz w:val="24"/>
                          </w:rPr>
                        </w:pPr>
                        <w:r>
                          <w:rPr>
                            <w:color w:val="231F20"/>
                            <w:sz w:val="24"/>
                          </w:rPr>
                          <w:t>MDR-TB 新病人</w:t>
                        </w:r>
                      </w:p>
                    </w:tc>
                  </w:tr>
                  <w:tr>
                    <w:trPr>
                      <w:trHeight w:val="8847" w:hRule="atLeast"/>
                    </w:trPr>
                    <w:tc>
                      <w:tcPr>
                        <w:tcW w:w="779" w:type="dxa"/>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12"/>
                          <w:rPr>
                            <w:sz w:val="37"/>
                          </w:rPr>
                        </w:pPr>
                      </w:p>
                      <w:p>
                        <w:pPr>
                          <w:pStyle w:val="TableParagraph"/>
                          <w:spacing w:line="230" w:lineRule="auto"/>
                          <w:ind w:left="269" w:right="253"/>
                          <w:jc w:val="both"/>
                          <w:rPr>
                            <w:sz w:val="24"/>
                          </w:rPr>
                        </w:pPr>
                        <w:r>
                          <w:rPr>
                            <w:color w:val="231F20"/>
                            <w:sz w:val="24"/>
                          </w:rPr>
                          <w:t>接觸者調査</w:t>
                        </w:r>
                      </w:p>
                    </w:tc>
                    <w:tc>
                      <w:tcPr>
                        <w:tcW w:w="3136" w:type="dxa"/>
                      </w:tcPr>
                      <w:p>
                        <w:pPr>
                          <w:pStyle w:val="TableParagraph"/>
                          <w:numPr>
                            <w:ilvl w:val="0"/>
                            <w:numId w:val="258"/>
                          </w:numPr>
                          <w:tabs>
                            <w:tab w:pos="357" w:val="left" w:leader="none"/>
                          </w:tabs>
                          <w:spacing w:line="230" w:lineRule="auto" w:before="43" w:after="0"/>
                          <w:ind w:left="356" w:right="94" w:hanging="244"/>
                          <w:jc w:val="both"/>
                          <w:rPr>
                            <w:sz w:val="24"/>
                          </w:rPr>
                        </w:pPr>
                        <w:r>
                          <w:rPr>
                            <w:color w:val="231F20"/>
                            <w:sz w:val="24"/>
                          </w:rPr>
                          <w:t>父母親或主要照顧者是重要資訊來源。</w:t>
                        </w:r>
                      </w:p>
                      <w:p>
                        <w:pPr>
                          <w:pStyle w:val="TableParagraph"/>
                          <w:numPr>
                            <w:ilvl w:val="0"/>
                            <w:numId w:val="258"/>
                          </w:numPr>
                          <w:tabs>
                            <w:tab w:pos="357" w:val="left" w:leader="none"/>
                          </w:tabs>
                          <w:spacing w:line="230" w:lineRule="auto" w:before="0" w:after="0"/>
                          <w:ind w:left="356" w:right="94" w:hanging="244"/>
                          <w:jc w:val="both"/>
                          <w:rPr>
                            <w:sz w:val="24"/>
                          </w:rPr>
                        </w:pPr>
                        <w:r>
                          <w:rPr>
                            <w:color w:val="231F20"/>
                            <w:spacing w:val="-2"/>
                            <w:w w:val="110"/>
                            <w:sz w:val="24"/>
                          </w:rPr>
                          <w:t>調査對象以 </w:t>
                        </w:r>
                        <w:r>
                          <w:rPr>
                            <w:color w:val="231F20"/>
                            <w:w w:val="110"/>
                            <w:sz w:val="24"/>
                          </w:rPr>
                          <w:t>5</w:t>
                        </w:r>
                        <w:r>
                          <w:rPr>
                            <w:color w:val="231F20"/>
                            <w:spacing w:val="-6"/>
                            <w:w w:val="110"/>
                            <w:sz w:val="24"/>
                          </w:rPr>
                          <w:t> </w:t>
                        </w:r>
                        <w:r>
                          <w:rPr>
                            <w:color w:val="231F20"/>
                            <w:w w:val="120"/>
                            <w:sz w:val="24"/>
                          </w:rPr>
                          <w:t>歲(含)以</w:t>
                        </w:r>
                        <w:r>
                          <w:rPr>
                            <w:color w:val="231F20"/>
                            <w:spacing w:val="-1"/>
                            <w:sz w:val="24"/>
                          </w:rPr>
                          <w:t>上家戶或密切接觸者為主</w:t>
                        </w:r>
                      </w:p>
                      <w:p>
                        <w:pPr>
                          <w:pStyle w:val="TableParagraph"/>
                          <w:spacing w:line="230" w:lineRule="auto"/>
                          <w:ind w:left="356" w:right="68"/>
                          <w:jc w:val="both"/>
                          <w:rPr>
                            <w:sz w:val="24"/>
                          </w:rPr>
                        </w:pPr>
                        <w:r>
                          <w:rPr>
                            <w:color w:val="231F20"/>
                            <w:w w:val="70"/>
                            <w:sz w:val="24"/>
                          </w:rPr>
                          <w:t>（ </w:t>
                        </w:r>
                        <w:r>
                          <w:rPr>
                            <w:color w:val="231F20"/>
                            <w:w w:val="95"/>
                            <w:sz w:val="24"/>
                          </w:rPr>
                          <w:t>即溯源調査，回溯日期</w:t>
                        </w:r>
                        <w:r>
                          <w:rPr>
                            <w:color w:val="231F20"/>
                            <w:sz w:val="24"/>
                          </w:rPr>
                          <w:t>不限於可傳染期 )，再逐步將調査範圍向外擴張， 找出感染源後，可將該發病兒童改列為該感染源</w:t>
                        </w:r>
                      </w:p>
                      <w:p>
                        <w:pPr>
                          <w:pStyle w:val="TableParagraph"/>
                          <w:spacing w:line="391" w:lineRule="exact"/>
                          <w:ind w:left="356"/>
                          <w:jc w:val="both"/>
                          <w:rPr>
                            <w:sz w:val="24"/>
                          </w:rPr>
                        </w:pPr>
                        <w:r>
                          <w:rPr>
                            <w:color w:val="231F20"/>
                            <w:w w:val="65"/>
                            <w:sz w:val="24"/>
                          </w:rPr>
                          <w:t>（ </w:t>
                        </w:r>
                        <w:r>
                          <w:rPr>
                            <w:color w:val="231F20"/>
                            <w:sz w:val="24"/>
                          </w:rPr>
                          <w:t>新指標 ) 之接觸者。</w:t>
                        </w:r>
                      </w:p>
                      <w:p>
                        <w:pPr>
                          <w:pStyle w:val="TableParagraph"/>
                          <w:numPr>
                            <w:ilvl w:val="0"/>
                            <w:numId w:val="258"/>
                          </w:numPr>
                          <w:tabs>
                            <w:tab w:pos="357" w:val="left" w:leader="none"/>
                          </w:tabs>
                          <w:spacing w:line="230" w:lineRule="auto" w:before="0" w:after="0"/>
                          <w:ind w:left="356" w:right="95" w:hanging="244"/>
                          <w:jc w:val="both"/>
                          <w:rPr>
                            <w:sz w:val="24"/>
                          </w:rPr>
                        </w:pPr>
                        <w:r>
                          <w:rPr>
                            <w:color w:val="231F20"/>
                            <w:spacing w:val="-2"/>
                            <w:sz w:val="24"/>
                          </w:rPr>
                          <w:t>未滿 </w:t>
                        </w:r>
                        <w:r>
                          <w:rPr>
                            <w:color w:val="231F20"/>
                            <w:sz w:val="24"/>
                          </w:rPr>
                          <w:t>5</w:t>
                        </w:r>
                        <w:r>
                          <w:rPr>
                            <w:color w:val="231F20"/>
                            <w:spacing w:val="-2"/>
                            <w:sz w:val="24"/>
                          </w:rPr>
                          <w:t> 歲接觸者，因非溯源調査對象，故無須執行接觸者檢査。</w:t>
                        </w:r>
                      </w:p>
                      <w:p>
                        <w:pPr>
                          <w:pStyle w:val="TableParagraph"/>
                          <w:numPr>
                            <w:ilvl w:val="0"/>
                            <w:numId w:val="258"/>
                          </w:numPr>
                          <w:tabs>
                            <w:tab w:pos="357" w:val="left" w:leader="none"/>
                          </w:tabs>
                          <w:spacing w:line="230" w:lineRule="auto" w:before="0" w:after="0"/>
                          <w:ind w:left="356" w:right="63" w:hanging="244"/>
                          <w:jc w:val="both"/>
                          <w:rPr>
                            <w:sz w:val="24"/>
                          </w:rPr>
                        </w:pPr>
                        <w:r>
                          <w:rPr>
                            <w:color w:val="231F20"/>
                            <w:spacing w:val="26"/>
                            <w:sz w:val="24"/>
                          </w:rPr>
                          <w:t>當溯源成功，獲知感染</w:t>
                        </w:r>
                        <w:r>
                          <w:rPr>
                            <w:color w:val="231F20"/>
                            <w:spacing w:val="-12"/>
                            <w:sz w:val="24"/>
                          </w:rPr>
                          <w:t>源 </w:t>
                        </w:r>
                        <w:r>
                          <w:rPr>
                            <w:color w:val="231F20"/>
                            <w:w w:val="70"/>
                            <w:sz w:val="24"/>
                          </w:rPr>
                          <w:t>（</w:t>
                        </w:r>
                        <w:r>
                          <w:rPr>
                            <w:color w:val="231F20"/>
                            <w:spacing w:val="-4"/>
                            <w:w w:val="70"/>
                            <w:sz w:val="24"/>
                          </w:rPr>
                          <w:t> </w:t>
                        </w:r>
                        <w:r>
                          <w:rPr>
                            <w:color w:val="231F20"/>
                            <w:spacing w:val="-1"/>
                            <w:sz w:val="24"/>
                          </w:rPr>
                          <w:t>如：該未滿 </w:t>
                        </w:r>
                        <w:r>
                          <w:rPr>
                            <w:color w:val="231F20"/>
                            <w:sz w:val="24"/>
                          </w:rPr>
                          <w:t>5</w:t>
                        </w:r>
                        <w:r>
                          <w:rPr>
                            <w:color w:val="231F20"/>
                            <w:spacing w:val="-1"/>
                            <w:sz w:val="24"/>
                          </w:rPr>
                          <w:t> 歲個案</w:t>
                        </w:r>
                        <w:r>
                          <w:rPr>
                            <w:color w:val="231F20"/>
                            <w:spacing w:val="-2"/>
                            <w:sz w:val="24"/>
                          </w:rPr>
                          <w:t>之 </w:t>
                        </w:r>
                        <w:r>
                          <w:rPr>
                            <w:color w:val="231F20"/>
                            <w:sz w:val="24"/>
                          </w:rPr>
                          <w:t>5</w:t>
                        </w:r>
                        <w:r>
                          <w:rPr>
                            <w:color w:val="231F20"/>
                            <w:spacing w:val="5"/>
                            <w:sz w:val="24"/>
                          </w:rPr>
                          <w:t> 歲以上接觸者發病 ) 後，原則無須接續辦理接</w:t>
                        </w:r>
                        <w:r>
                          <w:rPr>
                            <w:color w:val="231F20"/>
                            <w:spacing w:val="-4"/>
                            <w:sz w:val="24"/>
                          </w:rPr>
                          <w:t>觸者檢査 </w:t>
                        </w:r>
                        <w:r>
                          <w:rPr>
                            <w:color w:val="231F20"/>
                            <w:w w:val="70"/>
                            <w:sz w:val="24"/>
                          </w:rPr>
                          <w:t>（</w:t>
                        </w:r>
                        <w:r>
                          <w:rPr>
                            <w:color w:val="231F20"/>
                            <w:spacing w:val="-7"/>
                            <w:w w:val="70"/>
                            <w:sz w:val="24"/>
                          </w:rPr>
                          <w:t> </w:t>
                        </w:r>
                        <w:r>
                          <w:rPr>
                            <w:color w:val="231F20"/>
                            <w:spacing w:val="-3"/>
                            <w:sz w:val="24"/>
                          </w:rPr>
                          <w:t>包含胸部 </w:t>
                        </w:r>
                        <w:r>
                          <w:rPr>
                            <w:color w:val="231F20"/>
                            <w:sz w:val="24"/>
                          </w:rPr>
                          <w:t>X</w:t>
                        </w:r>
                        <w:r>
                          <w:rPr>
                            <w:color w:val="231F20"/>
                            <w:spacing w:val="-14"/>
                            <w:sz w:val="24"/>
                          </w:rPr>
                          <w:t> 光</w:t>
                        </w:r>
                        <w:r>
                          <w:rPr>
                            <w:color w:val="231F20"/>
                            <w:spacing w:val="-16"/>
                            <w:sz w:val="24"/>
                          </w:rPr>
                          <w:t>及 </w:t>
                        </w:r>
                        <w:r>
                          <w:rPr>
                            <w:color w:val="231F20"/>
                            <w:spacing w:val="-4"/>
                            <w:sz w:val="24"/>
                          </w:rPr>
                          <w:t>LTBI</w:t>
                        </w:r>
                        <w:r>
                          <w:rPr>
                            <w:color w:val="231F20"/>
                            <w:spacing w:val="-3"/>
                            <w:sz w:val="24"/>
                          </w:rPr>
                          <w:t> 檢驗 )，改以感染</w:t>
                        </w:r>
                        <w:r>
                          <w:rPr>
                            <w:color w:val="231F20"/>
                            <w:spacing w:val="-13"/>
                            <w:sz w:val="24"/>
                          </w:rPr>
                          <w:t>源 </w:t>
                        </w:r>
                        <w:r>
                          <w:rPr>
                            <w:color w:val="231F20"/>
                            <w:w w:val="70"/>
                            <w:sz w:val="24"/>
                          </w:rPr>
                          <w:t>（</w:t>
                        </w:r>
                        <w:r>
                          <w:rPr>
                            <w:color w:val="231F20"/>
                            <w:spacing w:val="-5"/>
                            <w:w w:val="70"/>
                            <w:sz w:val="24"/>
                          </w:rPr>
                          <w:t> </w:t>
                        </w:r>
                        <w:r>
                          <w:rPr>
                            <w:color w:val="231F20"/>
                            <w:spacing w:val="3"/>
                            <w:sz w:val="24"/>
                          </w:rPr>
                          <w:t>新指標個案 ) 的接觸</w:t>
                        </w:r>
                        <w:r>
                          <w:rPr>
                            <w:color w:val="231F20"/>
                            <w:sz w:val="24"/>
                          </w:rPr>
                          <w:t>者調査，以找出有意義的</w:t>
                        </w:r>
                      </w:p>
                      <w:p>
                        <w:pPr>
                          <w:pStyle w:val="TableParagraph"/>
                          <w:spacing w:line="379" w:lineRule="exact"/>
                          <w:ind w:left="356"/>
                          <w:rPr>
                            <w:sz w:val="24"/>
                          </w:rPr>
                        </w:pPr>
                        <w:r>
                          <w:rPr>
                            <w:color w:val="231F20"/>
                            <w:sz w:val="24"/>
                          </w:rPr>
                          <w:t>接觸者。</w:t>
                        </w:r>
                      </w:p>
                    </w:tc>
                    <w:tc>
                      <w:tcPr>
                        <w:tcW w:w="2086" w:type="dxa"/>
                      </w:tcPr>
                      <w:p>
                        <w:pPr>
                          <w:pStyle w:val="TableParagraph"/>
                          <w:spacing w:line="230" w:lineRule="auto" w:before="43"/>
                          <w:ind w:left="112" w:right="37"/>
                          <w:jc w:val="both"/>
                          <w:rPr>
                            <w:sz w:val="24"/>
                          </w:rPr>
                        </w:pPr>
                        <w:r>
                          <w:rPr>
                            <w:color w:val="231F20"/>
                            <w:spacing w:val="18"/>
                            <w:w w:val="105"/>
                            <w:sz w:val="24"/>
                          </w:rPr>
                          <w:t>調査對象以 </w:t>
                        </w:r>
                        <w:r>
                          <w:rPr>
                            <w:color w:val="231F20"/>
                            <w:w w:val="105"/>
                            <w:sz w:val="24"/>
                          </w:rPr>
                          <w:t>5</w:t>
                        </w:r>
                        <w:r>
                          <w:rPr>
                            <w:color w:val="231F20"/>
                            <w:spacing w:val="-13"/>
                            <w:w w:val="105"/>
                            <w:sz w:val="24"/>
                          </w:rPr>
                          <w:t> 歲</w:t>
                        </w:r>
                        <w:r>
                          <w:rPr>
                            <w:color w:val="231F20"/>
                            <w:spacing w:val="29"/>
                            <w:w w:val="105"/>
                            <w:sz w:val="24"/>
                          </w:rPr>
                          <w:t>(含)以上之同 </w:t>
                        </w:r>
                        <w:r>
                          <w:rPr>
                            <w:color w:val="231F20"/>
                            <w:spacing w:val="-3"/>
                            <w:sz w:val="24"/>
                          </w:rPr>
                          <w:t>住接觸者為優先， </w:t>
                        </w:r>
                        <w:r>
                          <w:rPr>
                            <w:color w:val="231F20"/>
                            <w:spacing w:val="29"/>
                            <w:sz w:val="24"/>
                          </w:rPr>
                          <w:t>再逐步將調査範</w:t>
                        </w:r>
                        <w:r>
                          <w:rPr>
                            <w:color w:val="231F20"/>
                            <w:w w:val="105"/>
                            <w:sz w:val="24"/>
                          </w:rPr>
                          <w:t>圍向外擴張。</w:t>
                        </w:r>
                      </w:p>
                    </w:tc>
                    <w:tc>
                      <w:tcPr>
                        <w:tcW w:w="2903" w:type="dxa"/>
                      </w:tcPr>
                      <w:p>
                        <w:pPr>
                          <w:pStyle w:val="TableParagraph"/>
                          <w:numPr>
                            <w:ilvl w:val="0"/>
                            <w:numId w:val="259"/>
                          </w:numPr>
                          <w:tabs>
                            <w:tab w:pos="356" w:val="left" w:leader="none"/>
                          </w:tabs>
                          <w:spacing w:line="230" w:lineRule="auto" w:before="43" w:after="0"/>
                          <w:ind w:left="355" w:right="95" w:hanging="244"/>
                          <w:jc w:val="both"/>
                          <w:rPr>
                            <w:sz w:val="24"/>
                          </w:rPr>
                        </w:pPr>
                        <w:r>
                          <w:rPr>
                            <w:color w:val="231F20"/>
                            <w:spacing w:val="1"/>
                            <w:sz w:val="24"/>
                          </w:rPr>
                          <w:t>確認周道親密接觸者中是否存在有症狀之結核</w:t>
                        </w:r>
                        <w:r>
                          <w:rPr>
                            <w:color w:val="231F20"/>
                            <w:sz w:val="24"/>
                          </w:rPr>
                          <w:t>病發病個案。</w:t>
                        </w:r>
                      </w:p>
                      <w:p>
                        <w:pPr>
                          <w:pStyle w:val="TableParagraph"/>
                          <w:numPr>
                            <w:ilvl w:val="0"/>
                            <w:numId w:val="259"/>
                          </w:numPr>
                          <w:tabs>
                            <w:tab w:pos="356" w:val="left" w:leader="none"/>
                          </w:tabs>
                          <w:spacing w:line="230" w:lineRule="auto" w:before="0" w:after="0"/>
                          <w:ind w:left="355" w:right="94" w:hanging="244"/>
                          <w:jc w:val="both"/>
                          <w:rPr>
                            <w:sz w:val="24"/>
                          </w:rPr>
                        </w:pPr>
                        <w:r>
                          <w:rPr>
                            <w:color w:val="231F20"/>
                            <w:spacing w:val="1"/>
                            <w:sz w:val="24"/>
                          </w:rPr>
                          <w:t>調査日常活動範圍、就</w:t>
                        </w:r>
                        <w:r>
                          <w:rPr>
                            <w:color w:val="231F20"/>
                            <w:sz w:val="24"/>
                          </w:rPr>
                          <w:t>醫特性、地緣、人際關係等，並進—步釐清其</w:t>
                        </w:r>
                        <w:r>
                          <w:rPr>
                            <w:color w:val="231F20"/>
                            <w:spacing w:val="8"/>
                            <w:sz w:val="24"/>
                          </w:rPr>
                          <w:t>與歷年通報 </w:t>
                        </w:r>
                        <w:r>
                          <w:rPr>
                            <w:color w:val="231F20"/>
                            <w:sz w:val="24"/>
                          </w:rPr>
                          <w:t>MDR</w:t>
                        </w:r>
                        <w:r>
                          <w:rPr>
                            <w:color w:val="231F20"/>
                            <w:spacing w:val="1"/>
                            <w:sz w:val="24"/>
                          </w:rPr>
                          <w:t> 個案是否具關聯性、高負擔國家停留史、高風險族</w:t>
                        </w:r>
                        <w:r>
                          <w:rPr>
                            <w:color w:val="231F20"/>
                            <w:sz w:val="24"/>
                          </w:rPr>
                          <w:t>群或共病就醫等情形。</w:t>
                        </w:r>
                      </w:p>
                      <w:p>
                        <w:pPr>
                          <w:pStyle w:val="TableParagraph"/>
                          <w:numPr>
                            <w:ilvl w:val="0"/>
                            <w:numId w:val="259"/>
                          </w:numPr>
                          <w:tabs>
                            <w:tab w:pos="356" w:val="left" w:leader="none"/>
                          </w:tabs>
                          <w:spacing w:line="230" w:lineRule="auto" w:before="0" w:after="0"/>
                          <w:ind w:left="355" w:right="64" w:hanging="244"/>
                          <w:jc w:val="both"/>
                          <w:rPr>
                            <w:sz w:val="24"/>
                          </w:rPr>
                        </w:pPr>
                        <w:r>
                          <w:rPr>
                            <w:color w:val="231F20"/>
                            <w:spacing w:val="3"/>
                            <w:sz w:val="24"/>
                          </w:rPr>
                          <w:t>持續追蹤二線藥敏結果</w:t>
                        </w:r>
                        <w:r>
                          <w:rPr>
                            <w:color w:val="231F20"/>
                            <w:spacing w:val="2"/>
                            <w:sz w:val="24"/>
                          </w:rPr>
                          <w:t>及蔥株基因分型結果， </w:t>
                        </w:r>
                        <w:r>
                          <w:rPr>
                            <w:color w:val="231F20"/>
                            <w:spacing w:val="32"/>
                            <w:sz w:val="24"/>
                          </w:rPr>
                          <w:t>如發現相同型別之個</w:t>
                        </w:r>
                        <w:r>
                          <w:rPr>
                            <w:color w:val="231F20"/>
                            <w:spacing w:val="-5"/>
                            <w:sz w:val="24"/>
                          </w:rPr>
                          <w:t>案，應依據 </w:t>
                        </w:r>
                        <w:r>
                          <w:rPr>
                            <w:color w:val="231F20"/>
                            <w:spacing w:val="-11"/>
                            <w:w w:val="80"/>
                            <w:sz w:val="24"/>
                          </w:rPr>
                          <w:t>「 </w:t>
                        </w:r>
                        <w:r>
                          <w:rPr>
                            <w:color w:val="231F20"/>
                            <w:spacing w:val="5"/>
                            <w:sz w:val="24"/>
                          </w:rPr>
                          <w:t>抗藥性結</w:t>
                        </w:r>
                        <w:r>
                          <w:rPr>
                            <w:color w:val="231F20"/>
                            <w:spacing w:val="1"/>
                            <w:sz w:val="24"/>
                          </w:rPr>
                          <w:t>核病照護與管理 </w:t>
                        </w:r>
                        <w:r>
                          <w:rPr>
                            <w:color w:val="231F20"/>
                            <w:sz w:val="24"/>
                          </w:rPr>
                          <w:t>J</w:t>
                        </w:r>
                        <w:r>
                          <w:rPr>
                            <w:color w:val="231F20"/>
                            <w:spacing w:val="-1"/>
                            <w:sz w:val="24"/>
                          </w:rPr>
                          <w:t> 章辦理。</w:t>
                        </w:r>
                      </w:p>
                      <w:p>
                        <w:pPr>
                          <w:pStyle w:val="TableParagraph"/>
                          <w:numPr>
                            <w:ilvl w:val="0"/>
                            <w:numId w:val="259"/>
                          </w:numPr>
                          <w:tabs>
                            <w:tab w:pos="356" w:val="left" w:leader="none"/>
                          </w:tabs>
                          <w:spacing w:line="230" w:lineRule="auto" w:before="0" w:after="0"/>
                          <w:ind w:left="355" w:right="94" w:hanging="244"/>
                          <w:jc w:val="both"/>
                          <w:rPr>
                            <w:sz w:val="24"/>
                          </w:rPr>
                        </w:pPr>
                        <w:r>
                          <w:rPr>
                            <w:color w:val="231F20"/>
                            <w:spacing w:val="3"/>
                            <w:sz w:val="24"/>
                          </w:rPr>
                          <w:t>確認個案與可能傳染源</w:t>
                        </w:r>
                        <w:r>
                          <w:rPr>
                            <w:color w:val="231F20"/>
                            <w:spacing w:val="1"/>
                            <w:sz w:val="24"/>
                          </w:rPr>
                          <w:t>之間是否存在其他共同</w:t>
                        </w:r>
                        <w:r>
                          <w:rPr>
                            <w:color w:val="231F20"/>
                            <w:sz w:val="24"/>
                          </w:rPr>
                          <w:t>接觸者，以提供衛教及</w:t>
                        </w:r>
                        <w:r>
                          <w:rPr>
                            <w:color w:val="231F20"/>
                            <w:spacing w:val="-2"/>
                            <w:sz w:val="24"/>
                          </w:rPr>
                          <w:t>追蹤胸部 </w:t>
                        </w:r>
                        <w:r>
                          <w:rPr>
                            <w:color w:val="231F20"/>
                            <w:sz w:val="24"/>
                          </w:rPr>
                          <w:t>X</w:t>
                        </w:r>
                        <w:r>
                          <w:rPr>
                            <w:color w:val="231F20"/>
                            <w:spacing w:val="-3"/>
                            <w:sz w:val="24"/>
                          </w:rPr>
                          <w:t> 光檢査。</w:t>
                        </w:r>
                      </w:p>
                    </w:tc>
                  </w:tr>
                </w:tbl>
                <w:p>
                  <w:pPr>
                    <w:pStyle w:val="BodyText"/>
                  </w:pPr>
                </w:p>
              </w:txbxContent>
            </v:textbox>
            <w10:wrap type="none"/>
          </v:shape>
        </w:pict>
      </w:r>
      <w:r>
        <w:rPr>
          <w:color w:val="231F20"/>
        </w:rPr>
        <w:t>表 6 感染源調査作業注意事項</w:t>
      </w:r>
    </w:p>
    <w:p>
      <w:pPr>
        <w:spacing w:after="0" w:line="404" w:lineRule="exact"/>
        <w:sectPr>
          <w:pgSz w:w="11910" w:h="16840"/>
          <w:pgMar w:top="1060" w:bottom="0" w:left="980" w:right="0"/>
        </w:sectPr>
      </w:pPr>
    </w:p>
    <w:p>
      <w:pPr>
        <w:pStyle w:val="Heading2"/>
        <w:spacing w:before="27"/>
      </w:pPr>
      <w:r>
        <w:rPr/>
        <w:pict>
          <v:group style="position:absolute;margin-left:.0pt;margin-top:313.165009pt;width:37.35pt;height:528.550pt;mso-position-horizontal-relative:page;mso-position-vertical-relative:page;z-index:251998208"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432"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136</w:t>
                    </w:r>
                  </w:p>
                </w:txbxContent>
              </v:textbox>
              <w10:wrap type="none"/>
            </v:shape>
            <w10:wrap type="none"/>
          </v:group>
        </w:pict>
      </w:r>
      <w:r>
        <w:rPr>
          <w:color w:val="231F20"/>
        </w:rPr>
        <w:t>柒、系統化管理報表</w:t>
      </w:r>
    </w:p>
    <w:p>
      <w:pPr>
        <w:pStyle w:val="BodyText"/>
        <w:spacing w:line="230" w:lineRule="auto" w:before="7"/>
        <w:ind w:left="878" w:right="1136" w:hanging="488"/>
      </w:pPr>
      <w:r>
        <w:rPr>
          <w:color w:val="231F20"/>
          <w:spacing w:val="-10"/>
        </w:rPr>
        <w:t>—、接觸者清冊 ＞ 指標無匡列接觸者 ＞ 應執行未執行 </w:t>
      </w:r>
      <w:r>
        <w:rPr>
          <w:color w:val="231F20"/>
          <w:spacing w:val="-4"/>
        </w:rPr>
        <w:t>LTBI</w:t>
      </w:r>
      <w:r>
        <w:rPr>
          <w:color w:val="231F20"/>
          <w:spacing w:val="-9"/>
        </w:rPr>
        <w:t> 檢驗者 ＞ 應執行未執行第 </w:t>
      </w:r>
      <w:r>
        <w:rPr>
          <w:color w:val="231F20"/>
        </w:rPr>
        <w:t>12 </w:t>
      </w:r>
      <w:r>
        <w:rPr>
          <w:color w:val="231F20"/>
          <w:spacing w:val="-4"/>
        </w:rPr>
        <w:t>個月 </w:t>
      </w:r>
      <w:r>
        <w:rPr>
          <w:color w:val="231F20"/>
        </w:rPr>
        <w:t>X</w:t>
      </w:r>
      <w:r>
        <w:rPr>
          <w:color w:val="231F20"/>
          <w:spacing w:val="-6"/>
        </w:rPr>
        <w:t> 光檢査 ＞ </w:t>
      </w:r>
      <w:r>
        <w:rPr>
          <w:color w:val="231F20"/>
          <w:spacing w:val="-4"/>
        </w:rPr>
        <w:t>LTBI 陽性未加入 LTBI 治療</w:t>
      </w:r>
    </w:p>
    <w:p>
      <w:pPr>
        <w:pStyle w:val="BodyText"/>
        <w:spacing w:line="395" w:lineRule="exact"/>
        <w:ind w:left="391"/>
      </w:pPr>
      <w:r>
        <w:rPr>
          <w:color w:val="231F20"/>
        </w:rPr>
        <w:t>二、指標確診逾 30 天，仍無密切接觸者</w:t>
      </w:r>
    </w:p>
    <w:p>
      <w:pPr>
        <w:pStyle w:val="BodyText"/>
        <w:spacing w:line="230" w:lineRule="auto" w:before="2"/>
        <w:ind w:left="391" w:right="5250"/>
      </w:pPr>
      <w:r>
        <w:rPr>
          <w:color w:val="231F20"/>
        </w:rPr>
        <w:t>三、指標確診接觸者，逾 30 天未完成 X 光檢査者匹、終止有效暴露日未填列清冊</w:t>
      </w:r>
    </w:p>
    <w:p>
      <w:pPr>
        <w:pStyle w:val="BodyText"/>
        <w:spacing w:before="3"/>
        <w:rPr>
          <w:sz w:val="20"/>
        </w:rPr>
      </w:pPr>
    </w:p>
    <w:p>
      <w:pPr>
        <w:pStyle w:val="Heading2"/>
        <w:spacing w:before="1"/>
      </w:pPr>
      <w:r>
        <w:rPr>
          <w:color w:val="231F20"/>
        </w:rPr>
        <w:t>捌、結核病接觸者追蹤管理工作項目分層負責表 </w:t>
      </w:r>
      <w:r>
        <w:rPr>
          <w:color w:val="231F20"/>
          <w:w w:val="35"/>
        </w:rPr>
        <w:t>（</w:t>
      </w:r>
      <w:r>
        <w:rPr>
          <w:color w:val="231F20"/>
          <w:spacing w:val="-1"/>
        </w:rPr>
        <w:t> 如表 </w:t>
      </w:r>
      <w:r>
        <w:rPr>
          <w:color w:val="231F20"/>
        </w:rPr>
        <w:t>7</w:t>
      </w:r>
      <w:r>
        <w:rPr>
          <w:color w:val="231F20"/>
          <w:w w:val="35"/>
        </w:rPr>
        <w:t>）</w:t>
      </w:r>
    </w:p>
    <w:p>
      <w:pPr>
        <w:pStyle w:val="BodyText"/>
        <w:spacing w:line="413" w:lineRule="exact"/>
        <w:ind w:left="635"/>
      </w:pPr>
      <w:r>
        <w:rPr/>
        <w:pict>
          <v:shape style="position:absolute;margin-left:80.752502pt;margin-top:18.283636pt;width:458pt;height:533.85pt;mso-position-horizontal-relative:page;mso-position-vertical-relative:paragraph;z-index:251999232"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967"/>
                    <w:gridCol w:w="7171"/>
                  </w:tblGrid>
                  <w:tr>
                    <w:trPr>
                      <w:trHeight w:val="451" w:hRule="atLeast"/>
                    </w:trPr>
                    <w:tc>
                      <w:tcPr>
                        <w:tcW w:w="1967" w:type="dxa"/>
                        <w:shd w:val="clear" w:color="auto" w:fill="E6E7E8"/>
                      </w:tcPr>
                      <w:p>
                        <w:pPr>
                          <w:pStyle w:val="TableParagraph"/>
                          <w:spacing w:line="431" w:lineRule="exact"/>
                          <w:ind w:left="483" w:right="469"/>
                          <w:jc w:val="center"/>
                          <w:rPr>
                            <w:rFonts w:ascii="微軟正黑體" w:eastAsia="微軟正黑體" w:hint="eastAsia"/>
                            <w:b/>
                            <w:sz w:val="24"/>
                          </w:rPr>
                        </w:pPr>
                        <w:r>
                          <w:rPr>
                            <w:rFonts w:ascii="微軟正黑體" w:eastAsia="微軟正黑體" w:hint="eastAsia"/>
                            <w:b/>
                            <w:color w:val="231F20"/>
                            <w:sz w:val="24"/>
                          </w:rPr>
                          <w:t>主責單位</w:t>
                        </w:r>
                      </w:p>
                    </w:tc>
                    <w:tc>
                      <w:tcPr>
                        <w:tcW w:w="7171" w:type="dxa"/>
                        <w:shd w:val="clear" w:color="auto" w:fill="E6E7E8"/>
                      </w:tcPr>
                      <w:p>
                        <w:pPr>
                          <w:pStyle w:val="TableParagraph"/>
                          <w:spacing w:line="431" w:lineRule="exact"/>
                          <w:ind w:left="3084" w:right="3071"/>
                          <w:jc w:val="center"/>
                          <w:rPr>
                            <w:rFonts w:ascii="微軟正黑體" w:eastAsia="微軟正黑體" w:hint="eastAsia"/>
                            <w:b/>
                            <w:sz w:val="24"/>
                          </w:rPr>
                        </w:pPr>
                        <w:r>
                          <w:rPr>
                            <w:rFonts w:ascii="微軟正黑體" w:eastAsia="微軟正黑體" w:hint="eastAsia"/>
                            <w:b/>
                            <w:color w:val="231F20"/>
                            <w:sz w:val="24"/>
                          </w:rPr>
                          <w:t>工作項目</w:t>
                        </w:r>
                      </w:p>
                    </w:tc>
                  </w:tr>
                  <w:tr>
                    <w:trPr>
                      <w:trHeight w:val="6449" w:hRule="atLeast"/>
                    </w:trPr>
                    <w:tc>
                      <w:tcPr>
                        <w:tcW w:w="1967" w:type="dxa"/>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1"/>
                          <w:rPr>
                            <w:sz w:val="46"/>
                          </w:rPr>
                        </w:pPr>
                      </w:p>
                      <w:p>
                        <w:pPr>
                          <w:pStyle w:val="TableParagraph"/>
                          <w:ind w:left="483" w:right="469"/>
                          <w:jc w:val="center"/>
                          <w:rPr>
                            <w:sz w:val="24"/>
                          </w:rPr>
                        </w:pPr>
                        <w:r>
                          <w:rPr>
                            <w:color w:val="231F20"/>
                            <w:sz w:val="24"/>
                          </w:rPr>
                          <w:t>衛生所</w:t>
                        </w:r>
                      </w:p>
                    </w:tc>
                    <w:tc>
                      <w:tcPr>
                        <w:tcW w:w="7171" w:type="dxa"/>
                      </w:tcPr>
                      <w:p>
                        <w:pPr>
                          <w:pStyle w:val="TableParagraph"/>
                          <w:numPr>
                            <w:ilvl w:val="0"/>
                            <w:numId w:val="260"/>
                          </w:numPr>
                          <w:tabs>
                            <w:tab w:pos="357" w:val="left" w:leader="none"/>
                          </w:tabs>
                          <w:spacing w:line="409" w:lineRule="exact" w:before="31" w:after="0"/>
                          <w:ind w:left="356" w:right="0" w:hanging="245"/>
                          <w:jc w:val="left"/>
                          <w:rPr>
                            <w:sz w:val="24"/>
                          </w:rPr>
                        </w:pPr>
                        <w:r>
                          <w:rPr>
                            <w:color w:val="231F20"/>
                            <w:sz w:val="24"/>
                          </w:rPr>
                          <w:t>指標個案管理單位</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接觸者調査</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計算可傳染期及接觸者檢査時間</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匡列接觸者</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系統登錄接觸者名單及終止有效暴露日</w:t>
                        </w:r>
                      </w:p>
                      <w:p>
                        <w:pPr>
                          <w:pStyle w:val="TableParagraph"/>
                          <w:numPr>
                            <w:ilvl w:val="0"/>
                            <w:numId w:val="260"/>
                          </w:numPr>
                          <w:tabs>
                            <w:tab w:pos="357" w:val="left" w:leader="none"/>
                          </w:tabs>
                          <w:spacing w:line="400" w:lineRule="exact" w:before="0" w:after="0"/>
                          <w:ind w:left="356" w:right="0" w:hanging="245"/>
                          <w:jc w:val="left"/>
                          <w:rPr>
                            <w:sz w:val="24"/>
                          </w:rPr>
                        </w:pPr>
                        <w:r>
                          <w:rPr>
                            <w:color w:val="231F20"/>
                            <w:spacing w:val="-4"/>
                            <w:sz w:val="24"/>
                          </w:rPr>
                          <w:t>校園 </w:t>
                        </w:r>
                        <w:r>
                          <w:rPr>
                            <w:color w:val="231F20"/>
                            <w:spacing w:val="5"/>
                            <w:w w:val="70"/>
                            <w:sz w:val="24"/>
                          </w:rPr>
                          <w:t>／ </w:t>
                        </w:r>
                        <w:r>
                          <w:rPr>
                            <w:color w:val="231F20"/>
                            <w:spacing w:val="-3"/>
                            <w:sz w:val="24"/>
                          </w:rPr>
                          <w:t>職場 </w:t>
                        </w:r>
                        <w:r>
                          <w:rPr>
                            <w:color w:val="231F20"/>
                            <w:spacing w:val="5"/>
                            <w:w w:val="70"/>
                            <w:sz w:val="24"/>
                          </w:rPr>
                          <w:t>／ </w:t>
                        </w:r>
                        <w:r>
                          <w:rPr>
                            <w:color w:val="231F20"/>
                            <w:sz w:val="24"/>
                          </w:rPr>
                          <w:t>機構所在地管理單位</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pacing w:val="-4"/>
                            <w:sz w:val="24"/>
                          </w:rPr>
                          <w:t>校園 </w:t>
                        </w:r>
                        <w:r>
                          <w:rPr>
                            <w:color w:val="231F20"/>
                            <w:spacing w:val="5"/>
                            <w:w w:val="70"/>
                            <w:sz w:val="24"/>
                          </w:rPr>
                          <w:t>／ </w:t>
                        </w:r>
                        <w:r>
                          <w:rPr>
                            <w:color w:val="231F20"/>
                            <w:spacing w:val="-3"/>
                            <w:sz w:val="24"/>
                          </w:rPr>
                          <w:t>職場 </w:t>
                        </w:r>
                        <w:r>
                          <w:rPr>
                            <w:color w:val="231F20"/>
                            <w:spacing w:val="5"/>
                            <w:w w:val="70"/>
                            <w:sz w:val="24"/>
                          </w:rPr>
                          <w:t>／ </w:t>
                        </w:r>
                        <w:r>
                          <w:rPr>
                            <w:color w:val="231F20"/>
                            <w:sz w:val="24"/>
                          </w:rPr>
                          <w:t>機構環境評估</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說明不得洩露指標個資及應維護相關權益之法條規定</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提供接觸者清單予指標個案管理單位核對</w:t>
                        </w:r>
                      </w:p>
                      <w:p>
                        <w:pPr>
                          <w:pStyle w:val="TableParagraph"/>
                          <w:numPr>
                            <w:ilvl w:val="0"/>
                            <w:numId w:val="260"/>
                          </w:numPr>
                          <w:tabs>
                            <w:tab w:pos="357" w:val="left" w:leader="none"/>
                          </w:tabs>
                          <w:spacing w:line="400" w:lineRule="exact" w:before="0" w:after="0"/>
                          <w:ind w:left="356" w:right="0" w:hanging="245"/>
                          <w:jc w:val="left"/>
                          <w:rPr>
                            <w:sz w:val="24"/>
                          </w:rPr>
                        </w:pPr>
                        <w:r>
                          <w:rPr>
                            <w:color w:val="231F20"/>
                            <w:sz w:val="24"/>
                          </w:rPr>
                          <w:t>接觸者管理單位</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pacing w:val="-2"/>
                            <w:sz w:val="24"/>
                          </w:rPr>
                          <w:t>接觸者登記 </w:t>
                        </w:r>
                        <w:r>
                          <w:rPr>
                            <w:color w:val="231F20"/>
                            <w:spacing w:val="6"/>
                            <w:w w:val="70"/>
                            <w:sz w:val="24"/>
                          </w:rPr>
                          <w:t>／ </w:t>
                        </w:r>
                        <w:r>
                          <w:rPr>
                            <w:color w:val="231F20"/>
                            <w:sz w:val="24"/>
                          </w:rPr>
                          <w:t>遷出入作業</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進行接觸者衛教說明並告知應檢査項目及時間</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安排接觸者進行檢査並追蹤檢査結果</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pacing w:val="-1"/>
                            <w:sz w:val="24"/>
                          </w:rPr>
                          <w:t>異常者轉介個案就醫或接受 </w:t>
                        </w:r>
                        <w:r>
                          <w:rPr>
                            <w:color w:val="231F20"/>
                            <w:spacing w:val="-4"/>
                            <w:sz w:val="24"/>
                          </w:rPr>
                          <w:t>LTBI</w:t>
                        </w:r>
                        <w:r>
                          <w:rPr>
                            <w:color w:val="231F20"/>
                            <w:spacing w:val="-3"/>
                            <w:sz w:val="24"/>
                          </w:rPr>
                          <w:t> 治療評估</w:t>
                        </w:r>
                      </w:p>
                      <w:p>
                        <w:pPr>
                          <w:pStyle w:val="TableParagraph"/>
                          <w:numPr>
                            <w:ilvl w:val="1"/>
                            <w:numId w:val="260"/>
                          </w:numPr>
                          <w:tabs>
                            <w:tab w:pos="595" w:val="left" w:leader="none"/>
                          </w:tabs>
                          <w:spacing w:line="400" w:lineRule="exact" w:before="0" w:after="0"/>
                          <w:ind w:left="594" w:right="0" w:hanging="256"/>
                          <w:jc w:val="left"/>
                          <w:rPr>
                            <w:sz w:val="24"/>
                          </w:rPr>
                        </w:pPr>
                        <w:r>
                          <w:rPr>
                            <w:color w:val="231F20"/>
                            <w:sz w:val="24"/>
                          </w:rPr>
                          <w:t>於系統維護接觸者檢査結果</w:t>
                        </w:r>
                      </w:p>
                      <w:p>
                        <w:pPr>
                          <w:pStyle w:val="TableParagraph"/>
                          <w:numPr>
                            <w:ilvl w:val="1"/>
                            <w:numId w:val="260"/>
                          </w:numPr>
                          <w:tabs>
                            <w:tab w:pos="595" w:val="left" w:leader="none"/>
                          </w:tabs>
                          <w:spacing w:line="391" w:lineRule="exact" w:before="0" w:after="0"/>
                          <w:ind w:left="594" w:right="0" w:hanging="256"/>
                          <w:jc w:val="left"/>
                          <w:rPr>
                            <w:sz w:val="24"/>
                          </w:rPr>
                        </w:pPr>
                        <w:r>
                          <w:rPr>
                            <w:color w:val="231F20"/>
                            <w:spacing w:val="-1"/>
                            <w:sz w:val="24"/>
                          </w:rPr>
                          <w:t>追蹤接觸者第 </w:t>
                        </w:r>
                        <w:r>
                          <w:rPr>
                            <w:color w:val="231F20"/>
                            <w:sz w:val="24"/>
                          </w:rPr>
                          <w:t>12</w:t>
                        </w:r>
                        <w:r>
                          <w:rPr>
                            <w:color w:val="231F20"/>
                            <w:spacing w:val="-4"/>
                            <w:sz w:val="24"/>
                          </w:rPr>
                          <w:t> 個月胸部 </w:t>
                        </w:r>
                        <w:r>
                          <w:rPr>
                            <w:color w:val="231F20"/>
                            <w:sz w:val="24"/>
                          </w:rPr>
                          <w:t>X</w:t>
                        </w:r>
                        <w:r>
                          <w:rPr>
                            <w:color w:val="231F20"/>
                            <w:spacing w:val="-3"/>
                            <w:sz w:val="24"/>
                          </w:rPr>
                          <w:t> 光檢査</w:t>
                        </w:r>
                      </w:p>
                    </w:tc>
                  </w:tr>
                  <w:tr>
                    <w:trPr>
                      <w:trHeight w:val="2050" w:hRule="atLeast"/>
                    </w:trPr>
                    <w:tc>
                      <w:tcPr>
                        <w:tcW w:w="1967" w:type="dxa"/>
                      </w:tcPr>
                      <w:p>
                        <w:pPr>
                          <w:pStyle w:val="TableParagraph"/>
                          <w:spacing w:before="13"/>
                          <w:rPr>
                            <w:sz w:val="47"/>
                          </w:rPr>
                        </w:pPr>
                      </w:p>
                      <w:p>
                        <w:pPr>
                          <w:pStyle w:val="TableParagraph"/>
                          <w:ind w:left="483" w:right="469"/>
                          <w:jc w:val="center"/>
                          <w:rPr>
                            <w:sz w:val="24"/>
                          </w:rPr>
                        </w:pPr>
                        <w:r>
                          <w:rPr>
                            <w:color w:val="231F20"/>
                            <w:sz w:val="24"/>
                          </w:rPr>
                          <w:t>衛生局</w:t>
                        </w:r>
                      </w:p>
                    </w:tc>
                    <w:tc>
                      <w:tcPr>
                        <w:tcW w:w="7171" w:type="dxa"/>
                      </w:tcPr>
                      <w:p>
                        <w:pPr>
                          <w:pStyle w:val="TableParagraph"/>
                          <w:numPr>
                            <w:ilvl w:val="0"/>
                            <w:numId w:val="261"/>
                          </w:numPr>
                          <w:tabs>
                            <w:tab w:pos="357" w:val="left" w:leader="none"/>
                          </w:tabs>
                          <w:spacing w:line="409" w:lineRule="exact" w:before="31" w:after="0"/>
                          <w:ind w:left="356" w:right="0" w:hanging="245"/>
                          <w:jc w:val="left"/>
                          <w:rPr>
                            <w:sz w:val="24"/>
                          </w:rPr>
                        </w:pPr>
                        <w:r>
                          <w:rPr>
                            <w:color w:val="231F20"/>
                            <w:sz w:val="24"/>
                          </w:rPr>
                          <w:t>督導及掌摳轄管接觸者管理與檢査執行情形</w:t>
                        </w:r>
                      </w:p>
                      <w:p>
                        <w:pPr>
                          <w:pStyle w:val="TableParagraph"/>
                          <w:numPr>
                            <w:ilvl w:val="0"/>
                            <w:numId w:val="261"/>
                          </w:numPr>
                          <w:tabs>
                            <w:tab w:pos="357" w:val="left" w:leader="none"/>
                          </w:tabs>
                          <w:spacing w:line="230" w:lineRule="auto" w:before="3" w:after="0"/>
                          <w:ind w:left="356" w:right="97" w:hanging="244"/>
                          <w:jc w:val="left"/>
                          <w:rPr>
                            <w:sz w:val="24"/>
                          </w:rPr>
                        </w:pPr>
                        <w:r>
                          <w:rPr>
                            <w:color w:val="231F20"/>
                            <w:spacing w:val="-2"/>
                            <w:sz w:val="24"/>
                          </w:rPr>
                          <w:t>統籌調撥及管理所轄院所 </w:t>
                        </w:r>
                        <w:r>
                          <w:rPr>
                            <w:color w:val="231F20"/>
                            <w:sz w:val="24"/>
                          </w:rPr>
                          <w:t>IGRA</w:t>
                        </w:r>
                        <w:r>
                          <w:rPr>
                            <w:color w:val="231F20"/>
                            <w:spacing w:val="-4"/>
                            <w:sz w:val="24"/>
                          </w:rPr>
                          <w:t> 檢驗採血管及試劑，並督導於防</w:t>
                        </w:r>
                        <w:r>
                          <w:rPr>
                            <w:color w:val="231F20"/>
                            <w:spacing w:val="-5"/>
                            <w:sz w:val="24"/>
                          </w:rPr>
                          <w:t>疫物資管理資訊系統 </w:t>
                        </w:r>
                        <w:r>
                          <w:rPr>
                            <w:color w:val="231F20"/>
                            <w:sz w:val="24"/>
                          </w:rPr>
                          <w:t>（MIS)</w:t>
                        </w:r>
                        <w:r>
                          <w:rPr>
                            <w:color w:val="231F20"/>
                            <w:spacing w:val="-4"/>
                            <w:sz w:val="24"/>
                          </w:rPr>
                          <w:t> 維護之時效性及正確性</w:t>
                        </w:r>
                      </w:p>
                      <w:p>
                        <w:pPr>
                          <w:pStyle w:val="TableParagraph"/>
                          <w:numPr>
                            <w:ilvl w:val="0"/>
                            <w:numId w:val="261"/>
                          </w:numPr>
                          <w:tabs>
                            <w:tab w:pos="357" w:val="left" w:leader="none"/>
                          </w:tabs>
                          <w:spacing w:line="395" w:lineRule="exact" w:before="0" w:after="0"/>
                          <w:ind w:left="356" w:right="0" w:hanging="245"/>
                          <w:jc w:val="left"/>
                          <w:rPr>
                            <w:sz w:val="24"/>
                          </w:rPr>
                        </w:pPr>
                        <w:r>
                          <w:rPr>
                            <w:color w:val="231F20"/>
                            <w:sz w:val="24"/>
                          </w:rPr>
                          <w:t>依傳染病防治法執行行政處分</w:t>
                        </w:r>
                      </w:p>
                      <w:p>
                        <w:pPr>
                          <w:pStyle w:val="TableParagraph"/>
                          <w:numPr>
                            <w:ilvl w:val="0"/>
                            <w:numId w:val="261"/>
                          </w:numPr>
                          <w:tabs>
                            <w:tab w:pos="357" w:val="left" w:leader="none"/>
                          </w:tabs>
                          <w:spacing w:line="391" w:lineRule="exact" w:before="0" w:after="0"/>
                          <w:ind w:left="356" w:right="0" w:hanging="245"/>
                          <w:jc w:val="left"/>
                          <w:rPr>
                            <w:sz w:val="24"/>
                          </w:rPr>
                        </w:pPr>
                        <w:r>
                          <w:rPr>
                            <w:color w:val="231F20"/>
                            <w:sz w:val="24"/>
                          </w:rPr>
                          <w:t>辦理接觸者追蹤調査相關教育訓練</w:t>
                        </w:r>
                      </w:p>
                    </w:tc>
                  </w:tr>
                  <w:tr>
                    <w:trPr>
                      <w:trHeight w:val="1651" w:hRule="atLeast"/>
                    </w:trPr>
                    <w:tc>
                      <w:tcPr>
                        <w:tcW w:w="1967" w:type="dxa"/>
                      </w:tcPr>
                      <w:p>
                        <w:pPr>
                          <w:pStyle w:val="TableParagraph"/>
                          <w:spacing w:before="7"/>
                          <w:rPr>
                            <w:sz w:val="25"/>
                          </w:rPr>
                        </w:pPr>
                      </w:p>
                      <w:p>
                        <w:pPr>
                          <w:pStyle w:val="TableParagraph"/>
                          <w:spacing w:line="230" w:lineRule="auto" w:before="1"/>
                          <w:ind w:left="263" w:right="247" w:firstLine="279"/>
                          <w:rPr>
                            <w:sz w:val="24"/>
                          </w:rPr>
                        </w:pPr>
                        <w:r>
                          <w:rPr>
                            <w:color w:val="231F20"/>
                            <w:sz w:val="24"/>
                          </w:rPr>
                          <w:t>疾 管 署 </w:t>
                        </w:r>
                        <w:r>
                          <w:rPr>
                            <w:color w:val="231F20"/>
                            <w:w w:val="70"/>
                            <w:sz w:val="24"/>
                          </w:rPr>
                          <w:t>／ </w:t>
                        </w:r>
                        <w:r>
                          <w:rPr>
                            <w:color w:val="231F20"/>
                            <w:sz w:val="24"/>
                          </w:rPr>
                          <w:t>各區管制中心</w:t>
                        </w:r>
                      </w:p>
                    </w:tc>
                    <w:tc>
                      <w:tcPr>
                        <w:tcW w:w="7171" w:type="dxa"/>
                      </w:tcPr>
                      <w:p>
                        <w:pPr>
                          <w:pStyle w:val="TableParagraph"/>
                          <w:numPr>
                            <w:ilvl w:val="0"/>
                            <w:numId w:val="262"/>
                          </w:numPr>
                          <w:tabs>
                            <w:tab w:pos="357" w:val="left" w:leader="none"/>
                          </w:tabs>
                          <w:spacing w:line="409" w:lineRule="exact" w:before="31" w:after="0"/>
                          <w:ind w:left="356" w:right="0" w:hanging="245"/>
                          <w:jc w:val="left"/>
                          <w:rPr>
                            <w:sz w:val="24"/>
                          </w:rPr>
                        </w:pPr>
                        <w:r>
                          <w:rPr>
                            <w:color w:val="231F20"/>
                            <w:sz w:val="24"/>
                          </w:rPr>
                          <w:t>輔導轄管縣市接觸者管理與檢査執行情形</w:t>
                        </w:r>
                      </w:p>
                      <w:p>
                        <w:pPr>
                          <w:pStyle w:val="TableParagraph"/>
                          <w:numPr>
                            <w:ilvl w:val="0"/>
                            <w:numId w:val="262"/>
                          </w:numPr>
                          <w:tabs>
                            <w:tab w:pos="357" w:val="left" w:leader="none"/>
                          </w:tabs>
                          <w:spacing w:line="230" w:lineRule="auto" w:before="3" w:after="0"/>
                          <w:ind w:left="356" w:right="97" w:hanging="244"/>
                          <w:jc w:val="left"/>
                          <w:rPr>
                            <w:sz w:val="24"/>
                          </w:rPr>
                        </w:pPr>
                        <w:r>
                          <w:rPr>
                            <w:color w:val="231F20"/>
                            <w:spacing w:val="-2"/>
                            <w:sz w:val="24"/>
                          </w:rPr>
                          <w:t>統籌調撥及管理所轄縣市 </w:t>
                        </w:r>
                        <w:r>
                          <w:rPr>
                            <w:color w:val="231F20"/>
                            <w:sz w:val="24"/>
                          </w:rPr>
                          <w:t>IGRA</w:t>
                        </w:r>
                        <w:r>
                          <w:rPr>
                            <w:color w:val="231F20"/>
                            <w:spacing w:val="-4"/>
                            <w:sz w:val="24"/>
                          </w:rPr>
                          <w:t> 檢驗採血管及試劑，並輔導於智</w:t>
                        </w:r>
                        <w:r>
                          <w:rPr>
                            <w:color w:val="231F20"/>
                            <w:spacing w:val="-5"/>
                            <w:sz w:val="24"/>
                          </w:rPr>
                          <w:t>慧防疫物資管理資訊系統 </w:t>
                        </w:r>
                        <w:r>
                          <w:rPr>
                            <w:color w:val="231F20"/>
                            <w:sz w:val="24"/>
                          </w:rPr>
                          <w:t>（SMIS)</w:t>
                        </w:r>
                        <w:r>
                          <w:rPr>
                            <w:color w:val="231F20"/>
                            <w:spacing w:val="-4"/>
                            <w:sz w:val="24"/>
                          </w:rPr>
                          <w:t> 之時效性及正確性</w:t>
                        </w:r>
                      </w:p>
                      <w:p>
                        <w:pPr>
                          <w:pStyle w:val="TableParagraph"/>
                          <w:numPr>
                            <w:ilvl w:val="0"/>
                            <w:numId w:val="262"/>
                          </w:numPr>
                          <w:tabs>
                            <w:tab w:pos="357" w:val="left" w:leader="none"/>
                          </w:tabs>
                          <w:spacing w:line="386" w:lineRule="exact" w:before="0" w:after="0"/>
                          <w:ind w:left="356" w:right="0" w:hanging="245"/>
                          <w:jc w:val="left"/>
                          <w:rPr>
                            <w:sz w:val="24"/>
                          </w:rPr>
                        </w:pPr>
                        <w:r>
                          <w:rPr>
                            <w:color w:val="231F20"/>
                            <w:sz w:val="24"/>
                          </w:rPr>
                          <w:t>協調轄管縣市接觸者管理單位遷出入作業爭議</w:t>
                        </w:r>
                      </w:p>
                    </w:tc>
                  </w:tr>
                </w:tbl>
                <w:p>
                  <w:pPr>
                    <w:pStyle w:val="BodyText"/>
                  </w:pPr>
                </w:p>
              </w:txbxContent>
            </v:textbox>
            <w10:wrap type="none"/>
          </v:shape>
        </w:pict>
      </w:r>
      <w:r>
        <w:rPr>
          <w:color w:val="231F20"/>
        </w:rPr>
        <w:t>表 7、工作項目分層負責表</w:t>
      </w:r>
    </w:p>
    <w:p>
      <w:pPr>
        <w:spacing w:after="0" w:line="413" w:lineRule="exact"/>
        <w:sectPr>
          <w:pgSz w:w="11910" w:h="16840"/>
          <w:pgMar w:top="1060" w:bottom="0" w:left="980" w:right="0"/>
        </w:sectPr>
      </w:pPr>
    </w:p>
    <w:tbl>
      <w:tblPr>
        <w:tblW w:w="0" w:type="auto"/>
        <w:jc w:val="left"/>
        <w:tblInd w:w="650"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967"/>
        <w:gridCol w:w="7171"/>
      </w:tblGrid>
      <w:tr>
        <w:trPr>
          <w:trHeight w:val="451" w:hRule="atLeast"/>
        </w:trPr>
        <w:tc>
          <w:tcPr>
            <w:tcW w:w="1967" w:type="dxa"/>
            <w:shd w:val="clear" w:color="auto" w:fill="E6E7E8"/>
          </w:tcPr>
          <w:p>
            <w:pPr>
              <w:pStyle w:val="TableParagraph"/>
              <w:spacing w:line="432" w:lineRule="exact"/>
              <w:ind w:left="483" w:right="469"/>
              <w:jc w:val="center"/>
              <w:rPr>
                <w:rFonts w:ascii="微軟正黑體" w:eastAsia="微軟正黑體" w:hint="eastAsia"/>
                <w:b/>
                <w:sz w:val="24"/>
              </w:rPr>
            </w:pPr>
            <w:r>
              <w:rPr>
                <w:rFonts w:ascii="微軟正黑體" w:eastAsia="微軟正黑體" w:hint="eastAsia"/>
                <w:b/>
                <w:color w:val="231F20"/>
                <w:sz w:val="24"/>
              </w:rPr>
              <w:t>主責單位</w:t>
            </w:r>
          </w:p>
        </w:tc>
        <w:tc>
          <w:tcPr>
            <w:tcW w:w="7171" w:type="dxa"/>
            <w:shd w:val="clear" w:color="auto" w:fill="E6E7E8"/>
          </w:tcPr>
          <w:p>
            <w:pPr>
              <w:pStyle w:val="TableParagraph"/>
              <w:spacing w:line="432" w:lineRule="exact"/>
              <w:ind w:left="3084" w:right="3071"/>
              <w:jc w:val="center"/>
              <w:rPr>
                <w:rFonts w:ascii="微軟正黑體" w:eastAsia="微軟正黑體" w:hint="eastAsia"/>
                <w:b/>
                <w:sz w:val="24"/>
              </w:rPr>
            </w:pPr>
            <w:r>
              <w:rPr>
                <w:rFonts w:ascii="微軟正黑體" w:eastAsia="微軟正黑體" w:hint="eastAsia"/>
                <w:b/>
                <w:color w:val="231F20"/>
                <w:sz w:val="24"/>
              </w:rPr>
              <w:t>工作項目</w:t>
            </w:r>
          </w:p>
        </w:tc>
      </w:tr>
      <w:tr>
        <w:trPr>
          <w:trHeight w:val="420" w:hRule="atLeast"/>
        </w:trPr>
        <w:tc>
          <w:tcPr>
            <w:tcW w:w="1967" w:type="dxa"/>
            <w:tcBorders>
              <w:bottom w:val="nil"/>
            </w:tcBorders>
          </w:tcPr>
          <w:p>
            <w:pPr>
              <w:pStyle w:val="TableParagraph"/>
              <w:rPr>
                <w:rFonts w:ascii="Times New Roman"/>
                <w:sz w:val="22"/>
              </w:rPr>
            </w:pPr>
          </w:p>
        </w:tc>
        <w:tc>
          <w:tcPr>
            <w:tcW w:w="7171" w:type="dxa"/>
            <w:tcBorders>
              <w:bottom w:val="nil"/>
            </w:tcBorders>
          </w:tcPr>
          <w:p>
            <w:pPr>
              <w:pStyle w:val="TableParagraph"/>
              <w:numPr>
                <w:ilvl w:val="0"/>
                <w:numId w:val="263"/>
              </w:numPr>
              <w:tabs>
                <w:tab w:pos="357" w:val="left" w:leader="none"/>
              </w:tabs>
              <w:spacing w:line="376" w:lineRule="exact" w:before="25" w:after="0"/>
              <w:ind w:left="356" w:right="0" w:hanging="245"/>
              <w:jc w:val="left"/>
              <w:rPr>
                <w:sz w:val="24"/>
              </w:rPr>
            </w:pPr>
            <w:r>
              <w:rPr>
                <w:color w:val="231F20"/>
                <w:sz w:val="24"/>
              </w:rPr>
              <w:t>監測接觸者管理與檢査執行情形</w:t>
            </w:r>
          </w:p>
        </w:tc>
      </w:tr>
      <w:tr>
        <w:trPr>
          <w:trHeight w:val="399" w:hRule="atLeast"/>
        </w:trPr>
        <w:tc>
          <w:tcPr>
            <w:tcW w:w="1967" w:type="dxa"/>
            <w:tcBorders>
              <w:top w:val="nil"/>
              <w:bottom w:val="nil"/>
            </w:tcBorders>
          </w:tcPr>
          <w:p>
            <w:pPr>
              <w:pStyle w:val="TableParagraph"/>
              <w:spacing w:line="376" w:lineRule="exact" w:before="4"/>
              <w:ind w:left="483" w:right="469"/>
              <w:jc w:val="center"/>
              <w:rPr>
                <w:sz w:val="24"/>
              </w:rPr>
            </w:pPr>
            <w:r>
              <w:rPr>
                <w:color w:val="231F20"/>
                <w:sz w:val="24"/>
              </w:rPr>
              <w:t>疾管署 </w:t>
            </w:r>
            <w:r>
              <w:rPr>
                <w:color w:val="231F20"/>
                <w:w w:val="70"/>
                <w:sz w:val="24"/>
              </w:rPr>
              <w:t>／</w:t>
            </w:r>
          </w:p>
        </w:tc>
        <w:tc>
          <w:tcPr>
            <w:tcW w:w="7171" w:type="dxa"/>
            <w:tcBorders>
              <w:top w:val="nil"/>
              <w:bottom w:val="nil"/>
            </w:tcBorders>
          </w:tcPr>
          <w:p>
            <w:pPr>
              <w:pStyle w:val="TableParagraph"/>
              <w:numPr>
                <w:ilvl w:val="0"/>
                <w:numId w:val="264"/>
              </w:numPr>
              <w:tabs>
                <w:tab w:pos="357" w:val="left" w:leader="none"/>
              </w:tabs>
              <w:spacing w:line="376" w:lineRule="exact" w:before="4" w:after="0"/>
              <w:ind w:left="356" w:right="0" w:hanging="245"/>
              <w:jc w:val="left"/>
              <w:rPr>
                <w:sz w:val="24"/>
              </w:rPr>
            </w:pPr>
            <w:r>
              <w:rPr>
                <w:color w:val="231F20"/>
                <w:spacing w:val="-2"/>
                <w:sz w:val="24"/>
              </w:rPr>
              <w:t>採購及配賦 </w:t>
            </w:r>
            <w:r>
              <w:rPr>
                <w:color w:val="231F20"/>
                <w:sz w:val="24"/>
              </w:rPr>
              <w:t>IGRA</w:t>
            </w:r>
            <w:r>
              <w:rPr>
                <w:color w:val="231F20"/>
                <w:spacing w:val="-3"/>
                <w:sz w:val="24"/>
              </w:rPr>
              <w:t> 檢驗採血管及試劑，並統籌調撥管理</w:t>
            </w:r>
          </w:p>
        </w:tc>
      </w:tr>
      <w:tr>
        <w:trPr>
          <w:trHeight w:val="399" w:hRule="atLeast"/>
        </w:trPr>
        <w:tc>
          <w:tcPr>
            <w:tcW w:w="1967" w:type="dxa"/>
            <w:tcBorders>
              <w:top w:val="nil"/>
              <w:bottom w:val="nil"/>
            </w:tcBorders>
          </w:tcPr>
          <w:p>
            <w:pPr>
              <w:pStyle w:val="TableParagraph"/>
              <w:spacing w:line="376" w:lineRule="exact" w:before="4"/>
              <w:ind w:left="483" w:right="469"/>
              <w:jc w:val="center"/>
              <w:rPr>
                <w:sz w:val="24"/>
              </w:rPr>
            </w:pPr>
            <w:r>
              <w:rPr>
                <w:color w:val="231F20"/>
                <w:sz w:val="24"/>
              </w:rPr>
              <w:t>慢性組</w:t>
            </w:r>
          </w:p>
        </w:tc>
        <w:tc>
          <w:tcPr>
            <w:tcW w:w="7171" w:type="dxa"/>
            <w:tcBorders>
              <w:top w:val="nil"/>
              <w:bottom w:val="nil"/>
            </w:tcBorders>
          </w:tcPr>
          <w:p>
            <w:pPr>
              <w:pStyle w:val="TableParagraph"/>
              <w:numPr>
                <w:ilvl w:val="0"/>
                <w:numId w:val="265"/>
              </w:numPr>
              <w:tabs>
                <w:tab w:pos="357" w:val="left" w:leader="none"/>
              </w:tabs>
              <w:spacing w:line="376" w:lineRule="exact" w:before="4" w:after="0"/>
              <w:ind w:left="356" w:right="0" w:hanging="245"/>
              <w:jc w:val="left"/>
              <w:rPr>
                <w:sz w:val="24"/>
              </w:rPr>
            </w:pPr>
            <w:r>
              <w:rPr>
                <w:color w:val="231F20"/>
                <w:sz w:val="24"/>
              </w:rPr>
              <w:t>制定接觸者檢査相關政策及事宜</w:t>
            </w:r>
          </w:p>
        </w:tc>
      </w:tr>
      <w:tr>
        <w:trPr>
          <w:trHeight w:val="430" w:hRule="atLeast"/>
        </w:trPr>
        <w:tc>
          <w:tcPr>
            <w:tcW w:w="1967" w:type="dxa"/>
            <w:tcBorders>
              <w:top w:val="nil"/>
            </w:tcBorders>
          </w:tcPr>
          <w:p>
            <w:pPr>
              <w:pStyle w:val="TableParagraph"/>
              <w:rPr>
                <w:rFonts w:ascii="Times New Roman"/>
                <w:sz w:val="22"/>
              </w:rPr>
            </w:pPr>
          </w:p>
        </w:tc>
        <w:tc>
          <w:tcPr>
            <w:tcW w:w="7171" w:type="dxa"/>
            <w:tcBorders>
              <w:top w:val="nil"/>
            </w:tcBorders>
          </w:tcPr>
          <w:p>
            <w:pPr>
              <w:pStyle w:val="TableParagraph"/>
              <w:numPr>
                <w:ilvl w:val="0"/>
                <w:numId w:val="266"/>
              </w:numPr>
              <w:tabs>
                <w:tab w:pos="357" w:val="left" w:leader="none"/>
              </w:tabs>
              <w:spacing w:line="407" w:lineRule="exact" w:before="4" w:after="0"/>
              <w:ind w:left="356" w:right="0" w:hanging="245"/>
              <w:jc w:val="left"/>
              <w:rPr>
                <w:sz w:val="24"/>
              </w:rPr>
            </w:pPr>
            <w:r>
              <w:rPr>
                <w:color w:val="231F20"/>
                <w:sz w:val="24"/>
              </w:rPr>
              <w:t>制定接觸者追蹤管理相關政策及事宜</w:t>
            </w:r>
          </w:p>
        </w:tc>
      </w:tr>
    </w:tbl>
    <w:p>
      <w:pPr>
        <w:rPr>
          <w:sz w:val="2"/>
          <w:szCs w:val="2"/>
        </w:rPr>
      </w:pPr>
      <w:r>
        <w:rPr/>
        <w:pict>
          <v:group style="position:absolute;margin-left:557.686523pt;margin-top:313.165009pt;width:37.35pt;height:528.550pt;mso-position-horizontal-relative:page;mso-position-vertical-relative:page;z-index:252001280" coordorigin="11154,6263" coordsize="747,10571">
            <v:shape style="position:absolute;left:11283;top:6774;width:438;height:10060" type="#_x0000_t75" stroked="false">
              <v:imagedata r:id="rId180" o:title=""/>
            </v:shape>
            <v:shape style="position:absolute;left:11153;top:6263;width:747;height:812" coordorigin="11154,6263" coordsize="747,812" path="m11900,6263l11536,6263,11514,6266,11454,6299,11188,6582,11154,6669,11162,6715,11454,7038,11514,7072,11536,7075,11900,7075,11900,6263xe" filled="true" fillcolor="#5daf8a" stroked="false">
              <v:path arrowok="t"/>
              <v:fill type="solid"/>
            </v:shape>
            <v:shape style="position:absolute;left:11321;top:6530;width:331;height:274" type="#_x0000_t75" stroked="false">
              <v:imagedata r:id="rId433" o:title=""/>
            </v:shape>
            <v:shape style="position:absolute;left:11378;top:7210;width:251;height:3264" type="#_x0000_t75" stroked="false">
              <v:imagedata r:id="rId182" o:title=""/>
            </v:shape>
            <v:shape style="position:absolute;left:11368;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137</w:t>
                    </w:r>
                  </w:p>
                </w:txbxContent>
              </v:textbox>
              <w10:wrap type="none"/>
            </v:shape>
            <w10:wrap type="none"/>
          </v:group>
        </w:pict>
      </w:r>
    </w:p>
    <w:p>
      <w:pPr>
        <w:spacing w:after="0"/>
        <w:rPr>
          <w:sz w:val="2"/>
          <w:szCs w:val="2"/>
        </w:rPr>
        <w:sectPr>
          <w:pgSz w:w="11910" w:h="16840"/>
          <w:pgMar w:top="1200" w:bottom="0" w:left="980" w:right="0"/>
        </w:sectPr>
      </w:pPr>
    </w:p>
    <w:p>
      <w:pPr>
        <w:pStyle w:val="BodyText"/>
        <w:spacing w:before="8"/>
        <w:rPr>
          <w:sz w:val="11"/>
        </w:rPr>
      </w:pPr>
      <w:r>
        <w:rPr/>
        <w:pict>
          <v:group style="position:absolute;margin-left:.0pt;margin-top:313.165009pt;width:37.35pt;height:528.550pt;mso-position-horizontal-relative:page;mso-position-vertical-relative:page;z-index:252003328" coordorigin="0,6263" coordsize="747,10571">
            <v:shape style="position:absolute;left:178;top:6774;width:438;height:10060" type="#_x0000_t75" stroked="false">
              <v:imagedata r:id="rId183" o:title=""/>
            </v:shape>
            <v:shape style="position:absolute;left:0;top:6263;width:747;height:812" coordorigin="0,6263" coordsize="747,812" path="m365,6263l0,6263,0,7075,365,7075,387,7072,447,7038,713,6756,747,6669,738,6622,447,6299,387,6266,365,6263xe" filled="true" fillcolor="#5daf8a" stroked="false">
              <v:path arrowok="t"/>
              <v:fill type="solid"/>
            </v:shape>
            <v:shape style="position:absolute;left:216;top:6530;width:331;height:274" type="#_x0000_t75" stroked="false">
              <v:imagedata r:id="rId434" o:title=""/>
            </v:shape>
            <v:shape style="position:absolute;left:273;top:7210;width:251;height:3264" type="#_x0000_t75" stroked="false">
              <v:imagedata r:id="rId18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138</w:t>
                    </w:r>
                  </w:p>
                </w:txbxContent>
              </v:textbox>
              <w10:wrap type="none"/>
            </v:shape>
            <w10:wrap type="none"/>
          </v:group>
        </w:pict>
      </w:r>
    </w:p>
    <w:p>
      <w:pPr>
        <w:spacing w:after="0"/>
        <w:rPr>
          <w:sz w:val="11"/>
        </w:rPr>
        <w:sectPr>
          <w:pgSz w:w="11910" w:h="16840"/>
          <w:pgMar w:top="1600" w:bottom="0" w:left="980" w:right="0"/>
        </w:sectPr>
      </w:pPr>
    </w:p>
    <w:p>
      <w:pPr>
        <w:pStyle w:val="Heading1"/>
        <w:ind w:left="2531"/>
      </w:pPr>
      <w:r>
        <w:rPr>
          <w:color w:val="231F20"/>
        </w:rPr>
        <w:t>第十二章 疑似結核病聚集事件處理</w:t>
      </w:r>
    </w:p>
    <w:p>
      <w:pPr>
        <w:pStyle w:val="Heading2"/>
        <w:spacing w:before="284"/>
      </w:pPr>
      <w:r>
        <w:rPr>
          <w:color w:val="231F20"/>
        </w:rPr>
        <w:t>壹、目的</w:t>
      </w:r>
    </w:p>
    <w:p>
      <w:pPr>
        <w:pStyle w:val="BodyText"/>
        <w:spacing w:line="413" w:lineRule="exact"/>
        <w:ind w:left="635"/>
      </w:pPr>
      <w:r>
        <w:rPr>
          <w:color w:val="231F20"/>
        </w:rPr>
        <w:t>阻斷聚集事件繼續傳播</w:t>
      </w:r>
    </w:p>
    <w:p>
      <w:pPr>
        <w:pStyle w:val="BodyText"/>
        <w:spacing w:before="12"/>
        <w:rPr>
          <w:sz w:val="16"/>
        </w:rPr>
      </w:pPr>
    </w:p>
    <w:p>
      <w:pPr>
        <w:pStyle w:val="Heading2"/>
      </w:pPr>
      <w:r>
        <w:rPr>
          <w:color w:val="231F20"/>
        </w:rPr>
        <w:t>貳、定義與分類</w:t>
      </w:r>
    </w:p>
    <w:p>
      <w:pPr>
        <w:pStyle w:val="BodyText"/>
        <w:spacing w:line="404" w:lineRule="exact"/>
        <w:ind w:left="391"/>
      </w:pPr>
      <w:r>
        <w:rPr>
          <w:color w:val="231F20"/>
        </w:rPr>
        <w:t>—、聚集定義：疑似結核病聚集事件必須符合人、時、地部分條件</w:t>
      </w:r>
    </w:p>
    <w:p>
      <w:pPr>
        <w:pStyle w:val="BodyText"/>
        <w:tabs>
          <w:tab w:pos="1349" w:val="left" w:leader="none"/>
        </w:tabs>
        <w:spacing w:line="230" w:lineRule="auto" w:before="2"/>
        <w:ind w:left="1349" w:right="1130" w:hanging="720"/>
      </w:pPr>
      <w:r>
        <w:rPr>
          <w:color w:val="231F20"/>
          <w:w w:val="70"/>
        </w:rPr>
        <w:t>（</w:t>
      </w:r>
      <w:r>
        <w:rPr>
          <w:color w:val="231F20"/>
          <w:spacing w:val="-5"/>
          <w:w w:val="70"/>
        </w:rPr>
        <w:t> </w:t>
      </w:r>
      <w:r>
        <w:rPr>
          <w:color w:val="231F20"/>
          <w:spacing w:val="-8"/>
        </w:rPr>
        <w:t>— )</w:t>
      </w:r>
      <w:r>
        <w:rPr>
          <w:color w:val="231F20"/>
        </w:rPr>
        <w:tab/>
        <w:t>人：2   例(含)以上確診結核個案，且指標個案應為鑑定為結核蔥之傳染性結核病人。</w:t>
      </w:r>
    </w:p>
    <w:p>
      <w:pPr>
        <w:pStyle w:val="BodyText"/>
        <w:tabs>
          <w:tab w:pos="1349" w:val="left" w:leader="none"/>
        </w:tabs>
        <w:spacing w:line="230" w:lineRule="auto"/>
        <w:ind w:left="1349" w:right="1130" w:hanging="720"/>
      </w:pPr>
      <w:r>
        <w:rPr>
          <w:color w:val="231F20"/>
          <w:w w:val="32"/>
        </w:rPr>
        <w:t>（</w:t>
      </w:r>
      <w:r>
        <w:rPr>
          <w:color w:val="231F20"/>
          <w:spacing w:val="-7"/>
        </w:rPr>
        <w:t> </w:t>
      </w:r>
      <w:r>
        <w:rPr>
          <w:color w:val="231F20"/>
        </w:rPr>
        <w:t>二</w:t>
      </w:r>
      <w:r>
        <w:rPr>
          <w:color w:val="231F20"/>
          <w:spacing w:val="-7"/>
        </w:rPr>
        <w:t> </w:t>
      </w:r>
      <w:r>
        <w:rPr>
          <w:color w:val="231F20"/>
          <w:w w:val="96"/>
        </w:rPr>
        <w:t>)</w:t>
      </w:r>
      <w:r>
        <w:rPr>
          <w:color w:val="231F20"/>
        </w:rPr>
        <w:tab/>
        <w:t>時</w:t>
      </w:r>
      <w:r>
        <w:rPr>
          <w:color w:val="231F20"/>
          <w:spacing w:val="-1"/>
        </w:rPr>
        <w:t>：</w:t>
      </w:r>
      <w:r>
        <w:rPr>
          <w:color w:val="231F20"/>
          <w:w w:val="104"/>
        </w:rPr>
        <w:t>2</w:t>
      </w:r>
      <w:r>
        <w:rPr>
          <w:color w:val="231F20"/>
          <w:spacing w:val="-7"/>
        </w:rPr>
        <w:t> </w:t>
      </w:r>
      <w:r>
        <w:rPr>
          <w:color w:val="231F20"/>
          <w:spacing w:val="2"/>
        </w:rPr>
        <w:t>個案通報時間間隔</w:t>
      </w:r>
      <w:r>
        <w:rPr>
          <w:color w:val="231F20"/>
        </w:rPr>
        <w:t>以</w:t>
      </w:r>
      <w:r>
        <w:rPr>
          <w:color w:val="231F20"/>
          <w:spacing w:val="-7"/>
        </w:rPr>
        <w:t> </w:t>
      </w:r>
      <w:r>
        <w:rPr>
          <w:color w:val="231F20"/>
          <w:w w:val="104"/>
        </w:rPr>
        <w:t>1</w:t>
      </w:r>
      <w:r>
        <w:rPr>
          <w:color w:val="231F20"/>
          <w:spacing w:val="-7"/>
        </w:rPr>
        <w:t> </w:t>
      </w:r>
      <w:r>
        <w:rPr>
          <w:color w:val="231F20"/>
        </w:rPr>
        <w:t>年</w:t>
      </w:r>
      <w:r>
        <w:rPr>
          <w:color w:val="231F20"/>
          <w:w w:val="300"/>
        </w:rPr>
        <w:t>(</w:t>
      </w:r>
      <w:r>
        <w:rPr>
          <w:color w:val="231F20"/>
          <w:w w:val="104"/>
        </w:rPr>
        <w:t>365</w:t>
      </w:r>
      <w:r>
        <w:rPr>
          <w:color w:val="231F20"/>
          <w:spacing w:val="-7"/>
        </w:rPr>
        <w:t> </w:t>
      </w:r>
      <w:r>
        <w:rPr>
          <w:color w:val="231F20"/>
          <w:spacing w:val="2"/>
          <w:w w:val="112"/>
        </w:rPr>
        <w:t>天)內為原</w:t>
      </w:r>
      <w:r>
        <w:rPr>
          <w:color w:val="231F20"/>
          <w:w w:val="112"/>
        </w:rPr>
        <w:t>則</w:t>
      </w:r>
      <w:r>
        <w:rPr>
          <w:color w:val="231F20"/>
          <w:spacing w:val="2"/>
        </w:rPr>
        <w:t>；惟間</w:t>
      </w:r>
      <w:r>
        <w:rPr>
          <w:color w:val="231F20"/>
        </w:rPr>
        <w:t>隔</w:t>
      </w:r>
      <w:r>
        <w:rPr>
          <w:color w:val="231F20"/>
          <w:spacing w:val="-7"/>
        </w:rPr>
        <w:t> </w:t>
      </w:r>
      <w:r>
        <w:rPr>
          <w:color w:val="231F20"/>
          <w:w w:val="104"/>
        </w:rPr>
        <w:t>1</w:t>
      </w:r>
      <w:r>
        <w:rPr>
          <w:color w:val="231F20"/>
          <w:spacing w:val="-7"/>
        </w:rPr>
        <w:t> </w:t>
      </w:r>
      <w:r>
        <w:rPr>
          <w:color w:val="231F20"/>
          <w:spacing w:val="2"/>
        </w:rPr>
        <w:t>年以上</w:t>
      </w:r>
      <w:r>
        <w:rPr>
          <w:color w:val="231F20"/>
        </w:rPr>
        <w:t>者</w:t>
      </w:r>
      <w:r>
        <w:rPr>
          <w:color w:val="231F20"/>
          <w:spacing w:val="2"/>
        </w:rPr>
        <w:t>，倘</w:t>
      </w:r>
      <w:r>
        <w:rPr>
          <w:color w:val="231F20"/>
          <w:spacing w:val="-9"/>
        </w:rPr>
        <w:t>有</w:t>
      </w:r>
      <w:r>
        <w:rPr>
          <w:color w:val="231F20"/>
        </w:rPr>
        <w:t>明確事證顯示可能為疑似聚集事件時，仍應依本規範處理。</w:t>
      </w:r>
    </w:p>
    <w:p>
      <w:pPr>
        <w:pStyle w:val="BodyText"/>
        <w:tabs>
          <w:tab w:pos="1349" w:val="left" w:leader="none"/>
        </w:tabs>
        <w:spacing w:line="230" w:lineRule="auto"/>
        <w:ind w:left="391" w:right="4055" w:firstLine="238"/>
      </w:pPr>
      <w:r>
        <w:rPr>
          <w:color w:val="231F20"/>
          <w:w w:val="65"/>
        </w:rPr>
        <w:t>（</w:t>
      </w:r>
      <w:r>
        <w:rPr>
          <w:color w:val="231F20"/>
          <w:spacing w:val="1"/>
          <w:w w:val="65"/>
        </w:rPr>
        <w:t> </w:t>
      </w:r>
      <w:r>
        <w:rPr>
          <w:color w:val="231F20"/>
        </w:rPr>
        <w:t>三</w:t>
      </w:r>
      <w:r>
        <w:rPr>
          <w:color w:val="231F20"/>
          <w:spacing w:val="-22"/>
        </w:rPr>
        <w:t> </w:t>
      </w:r>
      <w:r>
        <w:rPr>
          <w:color w:val="231F20"/>
        </w:rPr>
        <w:t>)</w:t>
        <w:tab/>
        <w:t>地：與個案於生活與工作或日常活動有密切接觸者</w:t>
      </w:r>
      <w:r>
        <w:rPr>
          <w:color w:val="231F20"/>
          <w:spacing w:val="-20"/>
        </w:rPr>
        <w:t>。</w:t>
      </w:r>
      <w:r>
        <w:rPr>
          <w:color w:val="231F20"/>
        </w:rPr>
        <w:t>二</w:t>
      </w:r>
      <w:r>
        <w:rPr>
          <w:color w:val="231F20"/>
          <w:spacing w:val="7"/>
        </w:rPr>
        <w:t>、</w:t>
      </w:r>
      <w:r>
        <w:rPr>
          <w:color w:val="231F20"/>
        </w:rPr>
        <w:t>例外原則</w:t>
      </w:r>
    </w:p>
    <w:p>
      <w:pPr>
        <w:pStyle w:val="BodyText"/>
        <w:spacing w:line="230" w:lineRule="auto"/>
        <w:ind w:left="1349" w:right="1131" w:hanging="720"/>
        <w:jc w:val="both"/>
      </w:pPr>
      <w:r>
        <w:rPr/>
        <w:pict>
          <v:group style="position:absolute;margin-left:557.684509pt;margin-top:24.860859pt;width:37.35pt;height:501.55pt;mso-position-horizontal-relative:page;mso-position-vertical-relative:paragraph;z-index:252005376" coordorigin="11154,497" coordsize="747,10031">
            <v:shape style="position:absolute;left:11283;top:1008;width:439;height:9520" type="#_x0000_t75" stroked="false">
              <v:imagedata r:id="rId435" o:title=""/>
            </v:shape>
            <v:shape style="position:absolute;left:11153;top:497;width:747;height:812" coordorigin="11154,497" coordsize="747,812" path="m11900,497l11536,497,11514,499,11454,533,11188,816,11154,903,11162,949,11454,1272,11514,1306,11536,1309,11900,1309,11900,497xe" filled="true" fillcolor="#f37b7d" stroked="false">
              <v:path arrowok="t"/>
              <v:fill type="solid"/>
            </v:shape>
            <v:shape style="position:absolute;left:11321;top:764;width:374;height:273" type="#_x0000_t75" stroked="false">
              <v:imagedata r:id="rId436" o:title=""/>
            </v:shape>
            <v:shape style="position:absolute;left:11378;top:1447;width:250;height:3597" type="#_x0000_t75" stroked="false">
              <v:imagedata r:id="rId437" o:title=""/>
            </v:shape>
            <v:shape style="position:absolute;left:11368;top:9965;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139</w:t>
                    </w:r>
                  </w:p>
                </w:txbxContent>
              </v:textbox>
              <w10:wrap type="none"/>
            </v:shape>
            <w10:wrap type="none"/>
          </v:group>
        </w:pict>
      </w:r>
      <w:r>
        <w:rPr>
          <w:color w:val="231F20"/>
          <w:w w:val="70"/>
        </w:rPr>
        <w:t>（</w:t>
      </w:r>
      <w:r>
        <w:rPr>
          <w:color w:val="231F20"/>
          <w:spacing w:val="6"/>
          <w:w w:val="70"/>
        </w:rPr>
        <w:t>  </w:t>
      </w:r>
      <w:r>
        <w:rPr>
          <w:color w:val="231F20"/>
        </w:rPr>
        <w:t>— )  個案間關係僅為長照機構同宿(含同病室)的傳播或為家戶內傳播，請於結核病</w:t>
      </w:r>
      <w:r>
        <w:rPr>
          <w:color w:val="231F20"/>
          <w:spacing w:val="3"/>
        </w:rPr>
        <w:t>追蹤管理系統</w:t>
      </w:r>
      <w:r>
        <w:rPr>
          <w:color w:val="231F20"/>
          <w:spacing w:val="22"/>
          <w:w w:val="110"/>
        </w:rPr>
        <w:t>(下稱</w:t>
      </w:r>
      <w:r>
        <w:rPr>
          <w:color w:val="231F20"/>
        </w:rPr>
        <w:t>TB 系統)備註欄位敘明。另，考量學校、軍隊及矯正機關</w:t>
      </w:r>
      <w:r>
        <w:rPr>
          <w:color w:val="231F20"/>
          <w:spacing w:val="-1"/>
        </w:rPr>
        <w:t>等機構環境條件及族群團體活動較多，仍需進行疑似聚集事件調査及上傳報告， </w:t>
      </w:r>
      <w:r>
        <w:rPr>
          <w:color w:val="231F20"/>
        </w:rPr>
        <w:t>不適用例外原則。</w:t>
      </w:r>
    </w:p>
    <w:p>
      <w:pPr>
        <w:pStyle w:val="BodyText"/>
        <w:spacing w:line="230" w:lineRule="auto"/>
        <w:ind w:left="1349" w:right="1075" w:hanging="720"/>
        <w:jc w:val="both"/>
      </w:pPr>
      <w:r>
        <w:rPr>
          <w:color w:val="231F20"/>
          <w:w w:val="65"/>
        </w:rPr>
        <w:t>（ </w:t>
      </w:r>
      <w:r>
        <w:rPr>
          <w:color w:val="231F20"/>
        </w:rPr>
        <w:t>二 ) 個案為機構新進人員因體檢異常而通報，於指標個案可傳染期接觸未達 40 小時， 請於 TB 系統備註欄位敘明。</w:t>
      </w:r>
    </w:p>
    <w:p>
      <w:pPr>
        <w:pStyle w:val="BodyText"/>
        <w:spacing w:line="395" w:lineRule="exact"/>
        <w:ind w:left="391"/>
        <w:jc w:val="both"/>
      </w:pPr>
      <w:r>
        <w:rPr>
          <w:color w:val="231F20"/>
        </w:rPr>
        <w:t>三、疑似結核病聚集事件應於衛生局通報後 3 個月內硏判分類</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r>
      <w:r>
        <w:rPr>
          <w:color w:val="231F20"/>
          <w:spacing w:val="-1"/>
        </w:rPr>
        <w:t>確定聚集事件：必須至少有 </w:t>
      </w:r>
      <w:r>
        <w:rPr>
          <w:color w:val="231F20"/>
        </w:rPr>
        <w:t>2</w:t>
      </w:r>
      <w:r>
        <w:rPr>
          <w:color w:val="231F20"/>
          <w:spacing w:val="-3"/>
        </w:rPr>
        <w:t> 例個案之蔥株，經分子分型比對為同—基因型別。</w:t>
      </w:r>
    </w:p>
    <w:p>
      <w:pPr>
        <w:pStyle w:val="BodyText"/>
        <w:tabs>
          <w:tab w:pos="1349" w:val="left" w:leader="none"/>
        </w:tabs>
        <w:spacing w:line="230" w:lineRule="auto"/>
        <w:ind w:left="1349" w:right="1131" w:hanging="720"/>
      </w:pPr>
      <w:r>
        <w:rPr>
          <w:color w:val="231F20"/>
          <w:w w:val="32"/>
        </w:rPr>
        <w:t>（</w:t>
      </w:r>
      <w:r>
        <w:rPr>
          <w:color w:val="231F20"/>
          <w:spacing w:val="-7"/>
        </w:rPr>
        <w:t> </w:t>
      </w:r>
      <w:r>
        <w:rPr>
          <w:color w:val="231F20"/>
        </w:rPr>
        <w:t>二</w:t>
      </w:r>
      <w:r>
        <w:rPr>
          <w:color w:val="231F20"/>
          <w:spacing w:val="-7"/>
        </w:rPr>
        <w:t> </w:t>
      </w:r>
      <w:r>
        <w:rPr>
          <w:color w:val="231F20"/>
          <w:w w:val="96"/>
        </w:rPr>
        <w:t>)</w:t>
      </w:r>
      <w:r>
        <w:rPr>
          <w:color w:val="231F20"/>
        </w:rPr>
        <w:tab/>
      </w:r>
      <w:r>
        <w:rPr>
          <w:color w:val="231F20"/>
          <w:spacing w:val="5"/>
        </w:rPr>
        <w:t>可能聚集事</w:t>
      </w:r>
      <w:r>
        <w:rPr>
          <w:color w:val="231F20"/>
        </w:rPr>
        <w:t>件</w:t>
      </w:r>
      <w:r>
        <w:rPr>
          <w:color w:val="231F20"/>
          <w:w w:val="300"/>
        </w:rPr>
        <w:t>(</w:t>
      </w:r>
      <w:r>
        <w:rPr>
          <w:color w:val="231F20"/>
          <w:spacing w:val="-1"/>
          <w:w w:val="113"/>
        </w:rPr>
        <w:t>p</w:t>
      </w:r>
      <w:r>
        <w:rPr>
          <w:color w:val="231F20"/>
          <w:spacing w:val="-4"/>
          <w:w w:val="111"/>
        </w:rPr>
        <w:t>r</w:t>
      </w:r>
      <w:r>
        <w:rPr>
          <w:color w:val="231F20"/>
          <w:w w:val="113"/>
        </w:rPr>
        <w:t>o</w:t>
      </w:r>
      <w:r>
        <w:rPr>
          <w:color w:val="231F20"/>
          <w:spacing w:val="-4"/>
          <w:w w:val="113"/>
        </w:rPr>
        <w:t>b</w:t>
      </w:r>
      <w:r>
        <w:rPr>
          <w:color w:val="231F20"/>
          <w:spacing w:val="-1"/>
          <w:w w:val="98"/>
        </w:rPr>
        <w:t>a</w:t>
      </w:r>
      <w:r>
        <w:rPr>
          <w:color w:val="231F20"/>
          <w:spacing w:val="-1"/>
          <w:w w:val="113"/>
        </w:rPr>
        <w:t>b</w:t>
      </w:r>
      <w:r>
        <w:rPr>
          <w:color w:val="231F20"/>
          <w:spacing w:val="-1"/>
          <w:w w:val="116"/>
        </w:rPr>
        <w:t>l</w:t>
      </w:r>
      <w:r>
        <w:rPr>
          <w:color w:val="231F20"/>
          <w:w w:val="101"/>
        </w:rPr>
        <w:t>e</w:t>
      </w:r>
      <w:r>
        <w:rPr>
          <w:color w:val="231F20"/>
          <w:spacing w:val="13"/>
        </w:rPr>
        <w:t> </w:t>
      </w:r>
      <w:r>
        <w:rPr>
          <w:color w:val="231F20"/>
          <w:w w:val="99"/>
        </w:rPr>
        <w:t>c</w:t>
      </w:r>
      <w:r>
        <w:rPr>
          <w:color w:val="231F20"/>
          <w:spacing w:val="-1"/>
          <w:w w:val="116"/>
        </w:rPr>
        <w:t>l</w:t>
      </w:r>
      <w:r>
        <w:rPr>
          <w:color w:val="231F20"/>
          <w:spacing w:val="-1"/>
          <w:w w:val="109"/>
        </w:rPr>
        <w:t>u</w:t>
      </w:r>
      <w:r>
        <w:rPr>
          <w:color w:val="231F20"/>
          <w:spacing w:val="-1"/>
          <w:w w:val="91"/>
        </w:rPr>
        <w:t>s</w:t>
      </w:r>
      <w:r>
        <w:rPr>
          <w:color w:val="231F20"/>
          <w:spacing w:val="-3"/>
          <w:w w:val="130"/>
        </w:rPr>
        <w:t>t</w:t>
      </w:r>
      <w:r>
        <w:rPr>
          <w:color w:val="231F20"/>
          <w:spacing w:val="-1"/>
          <w:w w:val="101"/>
        </w:rPr>
        <w:t>e</w:t>
      </w:r>
      <w:r>
        <w:rPr>
          <w:color w:val="231F20"/>
          <w:spacing w:val="-1"/>
          <w:w w:val="111"/>
        </w:rPr>
        <w:t>r</w:t>
      </w:r>
      <w:r>
        <w:rPr>
          <w:color w:val="231F20"/>
          <w:w w:val="300"/>
        </w:rPr>
        <w:t>)</w:t>
      </w:r>
      <w:r>
        <w:rPr>
          <w:color w:val="231F20"/>
          <w:spacing w:val="5"/>
        </w:rPr>
        <w:t>：未能以分子分型判</w:t>
      </w:r>
      <w:r>
        <w:rPr>
          <w:color w:val="231F20"/>
        </w:rPr>
        <w:t>定</w:t>
      </w:r>
      <w:r>
        <w:rPr>
          <w:color w:val="231F20"/>
          <w:spacing w:val="5"/>
        </w:rPr>
        <w:t>，但有流行病學相關</w:t>
      </w:r>
      <w:r>
        <w:rPr>
          <w:color w:val="231F20"/>
        </w:rPr>
        <w:t>無法排除者。</w:t>
      </w:r>
    </w:p>
    <w:p>
      <w:pPr>
        <w:pStyle w:val="BodyText"/>
        <w:tabs>
          <w:tab w:pos="1349" w:val="left" w:leader="none"/>
        </w:tabs>
        <w:spacing w:line="404" w:lineRule="exact"/>
        <w:ind w:left="629"/>
      </w:pPr>
      <w:r>
        <w:rPr>
          <w:color w:val="231F20"/>
          <w:w w:val="65"/>
        </w:rPr>
        <w:t>（</w:t>
      </w:r>
      <w:r>
        <w:rPr>
          <w:color w:val="231F20"/>
          <w:spacing w:val="1"/>
          <w:w w:val="65"/>
        </w:rPr>
        <w:t> </w:t>
      </w:r>
      <w:r>
        <w:rPr>
          <w:color w:val="231F20"/>
        </w:rPr>
        <w:t>三</w:t>
      </w:r>
      <w:r>
        <w:rPr>
          <w:color w:val="231F20"/>
          <w:spacing w:val="-22"/>
        </w:rPr>
        <w:t> </w:t>
      </w:r>
      <w:r>
        <w:rPr>
          <w:color w:val="231F20"/>
        </w:rPr>
        <w:t>)</w:t>
        <w:tab/>
        <w:t>排除聚集事件：所有可得之蔥株比對皆無關。</w:t>
      </w:r>
    </w:p>
    <w:p>
      <w:pPr>
        <w:pStyle w:val="Heading2"/>
        <w:spacing w:before="281"/>
      </w:pPr>
      <w:r>
        <w:rPr>
          <w:color w:val="231F20"/>
        </w:rPr>
        <w:t>參、監測</w:t>
      </w:r>
    </w:p>
    <w:p>
      <w:pPr>
        <w:pStyle w:val="BodyText"/>
        <w:spacing w:line="230" w:lineRule="auto" w:before="6"/>
        <w:ind w:left="878" w:right="1132" w:hanging="488"/>
        <w:jc w:val="both"/>
      </w:pPr>
      <w:r>
        <w:rPr>
          <w:color w:val="231F20"/>
          <w:spacing w:val="-1"/>
        </w:rPr>
        <w:t>—、例行監測疑似聚集事件：衛生局每週定期檢視 </w:t>
      </w:r>
      <w:r>
        <w:rPr>
          <w:color w:val="231F20"/>
        </w:rPr>
        <w:t>TB</w:t>
      </w:r>
      <w:r>
        <w:rPr>
          <w:color w:val="231F20"/>
          <w:spacing w:val="-4"/>
        </w:rPr>
        <w:t> 系統中「</w:t>
      </w:r>
      <w:r>
        <w:rPr>
          <w:color w:val="231F20"/>
        </w:rPr>
        <w:t>GIS</w:t>
      </w:r>
      <w:r>
        <w:rPr>
          <w:color w:val="231F20"/>
          <w:spacing w:val="-2"/>
        </w:rPr>
        <w:t> 疑似聚集事件自動監</w:t>
      </w:r>
      <w:r>
        <w:rPr>
          <w:color w:val="231F20"/>
          <w:spacing w:val="-14"/>
        </w:rPr>
        <w:t>測清單」、「接觸者發病警示清冊」及疫情資料倉儲</w:t>
      </w:r>
      <w:r>
        <w:rPr>
          <w:color w:val="231F20"/>
        </w:rPr>
        <w:t>BO</w:t>
      </w:r>
      <w:r>
        <w:rPr>
          <w:color w:val="231F20"/>
          <w:spacing w:val="-20"/>
        </w:rPr>
        <w:t> 系統比對「主要活動地」、「接</w:t>
      </w:r>
      <w:r>
        <w:rPr>
          <w:color w:val="231F20"/>
        </w:rPr>
        <w:t>觸者轉個案」，硏判是否疑似聚集事件以利及時介入。</w:t>
      </w:r>
    </w:p>
    <w:p>
      <w:pPr>
        <w:pStyle w:val="BodyText"/>
        <w:spacing w:line="394" w:lineRule="exact"/>
        <w:ind w:left="391"/>
        <w:jc w:val="both"/>
      </w:pPr>
      <w:r>
        <w:rPr>
          <w:color w:val="231F20"/>
        </w:rPr>
        <w:t>二、「GIS 疑似聚集事件管理自動監測清單」之勾稽比對功能</w:t>
      </w:r>
    </w:p>
    <w:p>
      <w:pPr>
        <w:pStyle w:val="BodyText"/>
        <w:spacing w:line="230" w:lineRule="auto" w:before="3"/>
        <w:ind w:left="1349" w:right="1132" w:hanging="720"/>
        <w:jc w:val="both"/>
      </w:pPr>
      <w:r>
        <w:rPr>
          <w:color w:val="231F20"/>
          <w:w w:val="70"/>
        </w:rPr>
        <w:t>（ </w:t>
      </w:r>
      <w:r>
        <w:rPr>
          <w:color w:val="231F20"/>
          <w:spacing w:val="-2"/>
        </w:rPr>
        <w:t>— ) 該功能設於 </w:t>
      </w:r>
      <w:r>
        <w:rPr>
          <w:color w:val="231F20"/>
        </w:rPr>
        <w:t>TB</w:t>
      </w:r>
      <w:r>
        <w:rPr>
          <w:color w:val="231F20"/>
          <w:spacing w:val="-10"/>
        </w:rPr>
        <w:t> 系統，路徑：專案管理 ＞ 地理資訊應用 ＞</w:t>
      </w:r>
      <w:r>
        <w:rPr>
          <w:color w:val="231F20"/>
        </w:rPr>
        <w:t>GIS</w:t>
      </w:r>
      <w:r>
        <w:rPr>
          <w:color w:val="231F20"/>
          <w:spacing w:val="-3"/>
        </w:rPr>
        <w:t> 疑似聚集事件自動</w:t>
      </w:r>
      <w:r>
        <w:rPr>
          <w:color w:val="231F20"/>
        </w:rPr>
        <w:t>監測清單。</w:t>
      </w:r>
    </w:p>
    <w:p>
      <w:pPr>
        <w:pStyle w:val="BodyText"/>
        <w:spacing w:line="230" w:lineRule="auto"/>
        <w:ind w:left="1349" w:right="1130" w:hanging="720"/>
        <w:jc w:val="both"/>
      </w:pPr>
      <w:r>
        <w:rPr>
          <w:color w:val="231F20"/>
          <w:w w:val="65"/>
        </w:rPr>
        <w:t>（</w:t>
      </w:r>
      <w:r>
        <w:rPr>
          <w:color w:val="231F20"/>
          <w:spacing w:val="7"/>
          <w:w w:val="65"/>
        </w:rPr>
        <w:t> </w:t>
      </w:r>
      <w:r>
        <w:rPr>
          <w:color w:val="231F20"/>
        </w:rPr>
        <w:t>二 ) 公共衛生管理單位於個案新通報收案時應初步疫調並維護通報個案之通訊地址、活動地點後，將由 TB</w:t>
      </w:r>
      <w:r>
        <w:rPr>
          <w:color w:val="231F20"/>
          <w:spacing w:val="-2"/>
        </w:rPr>
        <w:t> 系統每日勾稽比對疑似聚集事件，衛生局需每週定期執行</w:t>
      </w:r>
      <w:r>
        <w:rPr>
          <w:color w:val="231F20"/>
        </w:rPr>
        <w:t>自動監測清單受理作業，並依疫情調査硏判結果：</w:t>
      </w:r>
    </w:p>
    <w:p>
      <w:pPr>
        <w:pStyle w:val="ListParagraph"/>
        <w:numPr>
          <w:ilvl w:val="0"/>
          <w:numId w:val="267"/>
        </w:numPr>
        <w:tabs>
          <w:tab w:pos="1349" w:val="left" w:leader="none"/>
        </w:tabs>
        <w:spacing w:line="230" w:lineRule="auto" w:before="0" w:after="0"/>
        <w:ind w:left="1349" w:right="1134" w:hanging="255"/>
        <w:jc w:val="both"/>
        <w:rPr>
          <w:sz w:val="24"/>
        </w:rPr>
      </w:pPr>
      <w:r>
        <w:rPr>
          <w:color w:val="231F20"/>
          <w:spacing w:val="2"/>
          <w:w w:val="95"/>
          <w:sz w:val="24"/>
        </w:rPr>
        <w:t>「符合疑似事件定義，成立新案」：初步疫調無法排除人、時、地相關者，</w:t>
      </w:r>
      <w:r>
        <w:rPr>
          <w:color w:val="231F20"/>
          <w:w w:val="95"/>
          <w:sz w:val="24"/>
        </w:rPr>
        <w:t>TB   </w:t>
      </w:r>
      <w:r>
        <w:rPr>
          <w:color w:val="231F20"/>
          <w:sz w:val="24"/>
        </w:rPr>
        <w:t>系統將自動建立新的聚集事件編號。</w:t>
      </w:r>
    </w:p>
    <w:p>
      <w:pPr>
        <w:spacing w:after="0" w:line="230" w:lineRule="auto"/>
        <w:jc w:val="both"/>
        <w:rPr>
          <w:sz w:val="24"/>
        </w:rPr>
        <w:sectPr>
          <w:pgSz w:w="11910" w:h="16840"/>
          <w:pgMar w:top="1060" w:bottom="0" w:left="980" w:right="0"/>
        </w:sectPr>
      </w:pPr>
    </w:p>
    <w:p>
      <w:pPr>
        <w:pStyle w:val="ListParagraph"/>
        <w:numPr>
          <w:ilvl w:val="0"/>
          <w:numId w:val="267"/>
        </w:numPr>
        <w:tabs>
          <w:tab w:pos="1350" w:val="left" w:leader="none"/>
        </w:tabs>
        <w:spacing w:line="230" w:lineRule="auto" w:before="70" w:after="0"/>
        <w:ind w:left="1349" w:right="1075" w:hanging="255"/>
        <w:jc w:val="both"/>
        <w:rPr>
          <w:sz w:val="24"/>
        </w:rPr>
      </w:pPr>
      <w:r>
        <w:rPr/>
        <w:pict>
          <v:group style="position:absolute;margin-left:-.000001pt;margin-top:340.166992pt;width:37.35pt;height:501.55pt;mso-position-horizontal-relative:page;mso-position-vertical-relative:page;z-index:252007424" coordorigin="0,6803" coordsize="747,10031">
            <v:shape style="position:absolute;left:178;top:7314;width:439;height:9520" type="#_x0000_t75" stroked="false">
              <v:imagedata r:id="rId438" o:title=""/>
            </v:shape>
            <v:shape style="position:absolute;left:0;top:6803;width:747;height:812" coordorigin="0,6803" coordsize="747,812" path="m365,6803l0,6803,0,7615,365,7615,387,7612,447,7578,713,7296,747,7209,738,7163,447,6839,387,6806,365,6803xe" filled="true" fillcolor="#f37b7d" stroked="false">
              <v:path arrowok="t"/>
              <v:fill type="solid"/>
            </v:shape>
            <v:shape style="position:absolute;left:216;top:7070;width:374;height:273" type="#_x0000_t75" stroked="false">
              <v:imagedata r:id="rId439" o:title=""/>
            </v:shape>
            <v:shape style="position:absolute;left:273;top:7753;width:250;height:3597" type="#_x0000_t75" stroked="false">
              <v:imagedata r:id="rId440"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140</w:t>
                    </w:r>
                  </w:p>
                </w:txbxContent>
              </v:textbox>
              <w10:wrap type="none"/>
            </v:shape>
            <w10:wrap type="none"/>
          </v:group>
        </w:pict>
      </w:r>
      <w:r>
        <w:rPr>
          <w:color w:val="231F20"/>
          <w:sz w:val="24"/>
        </w:rPr>
        <w:t>「符合疑似事件定義，併入已存在案件」：接觸者發病或經勾稽比對通訊地址、</w:t>
      </w:r>
      <w:r>
        <w:rPr>
          <w:color w:val="231F20"/>
          <w:spacing w:val="14"/>
          <w:sz w:val="24"/>
        </w:rPr>
        <w:t>活動地點</w:t>
      </w:r>
      <w:r>
        <w:rPr>
          <w:color w:val="231F20"/>
          <w:w w:val="70"/>
          <w:sz w:val="24"/>
        </w:rPr>
        <w:t>（</w:t>
      </w:r>
      <w:r>
        <w:rPr>
          <w:color w:val="231F20"/>
          <w:spacing w:val="-16"/>
          <w:w w:val="70"/>
          <w:sz w:val="24"/>
        </w:rPr>
        <w:t> </w:t>
      </w:r>
      <w:r>
        <w:rPr>
          <w:color w:val="231F20"/>
          <w:spacing w:val="-2"/>
          <w:sz w:val="24"/>
        </w:rPr>
        <w:t>排除同住家人)，該事件尚未結案或為甫結案 </w:t>
      </w:r>
      <w:r>
        <w:rPr>
          <w:color w:val="231F20"/>
          <w:sz w:val="24"/>
        </w:rPr>
        <w:t>1</w:t>
      </w:r>
      <w:r>
        <w:rPr>
          <w:color w:val="231F20"/>
          <w:spacing w:val="-8"/>
          <w:sz w:val="24"/>
        </w:rPr>
        <w:t> 年內之確定聚集案件； </w:t>
      </w:r>
      <w:r>
        <w:rPr>
          <w:color w:val="231F20"/>
          <w:sz w:val="24"/>
        </w:rPr>
        <w:t>由疾管署各區管制中心協助重啟聚集事件管理作業。</w:t>
      </w:r>
    </w:p>
    <w:p>
      <w:pPr>
        <w:pStyle w:val="ListParagraph"/>
        <w:numPr>
          <w:ilvl w:val="0"/>
          <w:numId w:val="267"/>
        </w:numPr>
        <w:tabs>
          <w:tab w:pos="1349" w:val="left" w:leader="none"/>
        </w:tabs>
        <w:spacing w:line="394" w:lineRule="exact" w:before="0" w:after="0"/>
        <w:ind w:left="1348" w:right="0" w:hanging="255"/>
        <w:jc w:val="both"/>
        <w:rPr>
          <w:sz w:val="24"/>
        </w:rPr>
      </w:pPr>
      <w:r>
        <w:rPr>
          <w:color w:val="231F20"/>
          <w:sz w:val="24"/>
        </w:rPr>
        <w:t>「不符合」：初步疫調已排除人、時、地相關者，並敘明不符合原因。</w:t>
      </w:r>
    </w:p>
    <w:p>
      <w:pPr>
        <w:pStyle w:val="BodyText"/>
        <w:spacing w:line="230" w:lineRule="auto" w:before="3"/>
        <w:ind w:left="1349" w:right="1134" w:hanging="720"/>
        <w:jc w:val="both"/>
      </w:pPr>
      <w:r>
        <w:rPr>
          <w:color w:val="231F20"/>
          <w:w w:val="70"/>
        </w:rPr>
        <w:t>（ </w:t>
      </w:r>
      <w:r>
        <w:rPr>
          <w:color w:val="231F20"/>
        </w:rPr>
        <w:t>三 ) 衛生局需督導轄下公衛管理人員每週定期至 TB 系統維護異常比對地址，路徑： 專案管理 ＞ 地理資訊應用 ＞GIS 地址比對異常清單(管理中)。</w:t>
      </w:r>
    </w:p>
    <w:p>
      <w:pPr>
        <w:pStyle w:val="BodyText"/>
        <w:spacing w:line="230" w:lineRule="auto"/>
        <w:ind w:left="878" w:right="1134" w:hanging="488"/>
        <w:jc w:val="both"/>
      </w:pPr>
      <w:r>
        <w:rPr>
          <w:color w:val="231F20"/>
        </w:rPr>
        <w:t>三、接觸者發病警示清冊：衛生局應輔導衛生所公共衛生個案管理人員每週定期檢視，其轄內接觸者發病，並以此清單輔助進行初判是否為聚集事件。該功能設於 TB 系統， 路徑：個案管理 ＞ 受理 </w:t>
      </w:r>
      <w:r>
        <w:rPr>
          <w:color w:val="231F20"/>
          <w:w w:val="110"/>
        </w:rPr>
        <w:t>- </w:t>
      </w:r>
      <w:r>
        <w:rPr>
          <w:color w:val="231F20"/>
        </w:rPr>
        <w:t>接觸者發病(接觸者發病警示清冊)。</w:t>
      </w:r>
    </w:p>
    <w:p>
      <w:pPr>
        <w:pStyle w:val="BodyText"/>
        <w:spacing w:line="394" w:lineRule="exact"/>
        <w:ind w:left="391"/>
        <w:jc w:val="both"/>
      </w:pPr>
      <w:r>
        <w:rPr>
          <w:color w:val="231F20"/>
        </w:rPr>
        <w:t>匹、未被排除聚集之事件結案監測：自最後 1 例具流行病學相關之個案通報日起，經追蹤</w:t>
      </w:r>
    </w:p>
    <w:p>
      <w:pPr>
        <w:pStyle w:val="BodyText"/>
        <w:spacing w:line="230" w:lineRule="auto"/>
        <w:ind w:left="878" w:right="1132"/>
        <w:jc w:val="both"/>
      </w:pPr>
      <w:r>
        <w:rPr>
          <w:color w:val="231F20"/>
        </w:rPr>
        <w:t>該事件於其後 1 年期間，未再有流行病學相關個案通報或未有蔥株分子分型相同個案被通報者，則該聚集事件即可結案。</w:t>
      </w:r>
    </w:p>
    <w:p>
      <w:pPr>
        <w:pStyle w:val="BodyText"/>
        <w:spacing w:before="3"/>
        <w:rPr>
          <w:sz w:val="20"/>
        </w:rPr>
      </w:pPr>
    </w:p>
    <w:p>
      <w:pPr>
        <w:pStyle w:val="Heading2"/>
      </w:pPr>
      <w:r>
        <w:rPr>
          <w:color w:val="231F20"/>
        </w:rPr>
        <w:t>肆、處理原則</w:t>
      </w:r>
    </w:p>
    <w:p>
      <w:pPr>
        <w:pStyle w:val="BodyText"/>
        <w:spacing w:line="404" w:lineRule="exact"/>
        <w:ind w:left="391"/>
        <w:jc w:val="both"/>
      </w:pPr>
      <w:r>
        <w:rPr>
          <w:color w:val="231F20"/>
          <w:w w:val="115"/>
        </w:rPr>
        <w:t>—、疫調重點(附件 12-1、12-2、12-3)</w:t>
      </w:r>
    </w:p>
    <w:p>
      <w:pPr>
        <w:pStyle w:val="BodyText"/>
        <w:spacing w:line="230" w:lineRule="auto" w:before="3"/>
        <w:ind w:left="1349" w:right="1128" w:hanging="720"/>
        <w:jc w:val="both"/>
      </w:pPr>
      <w:r>
        <w:rPr>
          <w:color w:val="231F20"/>
          <w:w w:val="70"/>
        </w:rPr>
        <w:t>（ </w:t>
      </w:r>
      <w:r>
        <w:rPr>
          <w:color w:val="231F20"/>
        </w:rPr>
        <w:t>— ) 衛生局事件管理者應於 TB 系統建立疑似聚集事件，並至少每半年上傳續報，內容包含接觸者檢査執行及潛伏結核感染檢驗及治療情況</w:t>
      </w:r>
      <w:r>
        <w:rPr>
          <w:color w:val="231F20"/>
          <w:w w:val="300"/>
        </w:rPr>
        <w:t>(</w:t>
      </w:r>
      <w:r>
        <w:rPr>
          <w:color w:val="231F20"/>
          <w:w w:val="102"/>
        </w:rPr>
        <w:t>I</w:t>
      </w:r>
      <w:r>
        <w:rPr>
          <w:color w:val="231F20"/>
          <w:w w:val="94"/>
        </w:rPr>
        <w:t>G</w:t>
      </w:r>
      <w:r>
        <w:rPr>
          <w:color w:val="231F20"/>
          <w:w w:val="88"/>
        </w:rPr>
        <w:t>R</w:t>
      </w:r>
      <w:r>
        <w:rPr>
          <w:color w:val="231F20"/>
          <w:w w:val="103"/>
        </w:rPr>
        <w:t>A</w:t>
      </w:r>
      <w:r>
        <w:rPr>
          <w:color w:val="231F20"/>
          <w:w w:val="41"/>
        </w:rPr>
        <w:t>／</w:t>
      </w:r>
      <w:r>
        <w:rPr>
          <w:color w:val="231F20"/>
          <w:w w:val="91"/>
        </w:rPr>
        <w:t>T</w:t>
      </w:r>
      <w:r>
        <w:rPr>
          <w:color w:val="231F20"/>
          <w:w w:val="85"/>
        </w:rPr>
        <w:t>S</w:t>
      </w:r>
      <w:r>
        <w:rPr>
          <w:color w:val="231F20"/>
          <w:w w:val="91"/>
        </w:rPr>
        <w:t>T</w:t>
      </w:r>
      <w:r>
        <w:rPr>
          <w:color w:val="231F20"/>
        </w:rPr>
        <w:t> 應執行及已執行人數、IGRA／TST 陽性數、LTBI 治療數)。</w:t>
      </w:r>
    </w:p>
    <w:p>
      <w:pPr>
        <w:pStyle w:val="BodyText"/>
        <w:spacing w:line="230" w:lineRule="auto"/>
        <w:ind w:left="1349" w:right="1138" w:hanging="720"/>
        <w:jc w:val="both"/>
      </w:pPr>
      <w:r>
        <w:rPr>
          <w:color w:val="231F20"/>
          <w:w w:val="65"/>
        </w:rPr>
        <w:t>（ </w:t>
      </w:r>
      <w:r>
        <w:rPr>
          <w:color w:val="231F20"/>
        </w:rPr>
        <w:t>二 ) 指標個案的傳染性：痰塗片陽性、痰培養陽性、胸部 X 光異常且有空洞，均表示高傳染性，有延遲診斷的情形，疫情可能已經擴大，應儘速調査。</w:t>
      </w:r>
    </w:p>
    <w:p>
      <w:pPr>
        <w:pStyle w:val="BodyText"/>
        <w:spacing w:line="230" w:lineRule="auto"/>
        <w:ind w:left="1349" w:right="1084" w:hanging="720"/>
        <w:jc w:val="both"/>
      </w:pPr>
      <w:r>
        <w:rPr>
          <w:color w:val="231F20"/>
          <w:w w:val="65"/>
        </w:rPr>
        <w:t>（ </w:t>
      </w:r>
      <w:r>
        <w:rPr>
          <w:color w:val="231F20"/>
        </w:rPr>
        <w:t>三 )  環境因子：指標個案與接觸者共處環境之通風換氣不佳、CO</w:t>
      </w:r>
      <w:r>
        <w:rPr>
          <w:color w:val="231F20"/>
          <w:position w:val="-3"/>
          <w:sz w:val="14"/>
        </w:rPr>
        <w:t>2 </w:t>
      </w:r>
      <w:r>
        <w:rPr>
          <w:color w:val="231F20"/>
        </w:rPr>
        <w:t>濃度高</w:t>
      </w:r>
      <w:r>
        <w:rPr>
          <w:color w:val="231F20"/>
          <w:w w:val="105"/>
        </w:rPr>
        <w:t>(</w:t>
      </w:r>
      <w:r>
        <w:rPr>
          <w:color w:val="231F20"/>
          <w:w w:val="65"/>
        </w:rPr>
        <w:t>三 </w:t>
      </w:r>
      <w:r>
        <w:rPr>
          <w:color w:val="231F20"/>
          <w:w w:val="105"/>
        </w:rPr>
        <w:t>1000ppm)，可能造成空氣中結核蔥濃度高，增加接觸者感染風險，應加</w:t>
      </w:r>
      <w:r>
        <w:rPr>
          <w:color w:val="231F20"/>
          <w:w w:val="110"/>
        </w:rPr>
        <w:t>強高風險環境監測與感染控制。</w:t>
      </w:r>
    </w:p>
    <w:p>
      <w:pPr>
        <w:pStyle w:val="BodyText"/>
        <w:spacing w:line="230" w:lineRule="auto"/>
        <w:ind w:left="1349" w:right="1132" w:hanging="720"/>
        <w:jc w:val="both"/>
      </w:pPr>
      <w:r>
        <w:rPr>
          <w:color w:val="231F20"/>
          <w:w w:val="70"/>
        </w:rPr>
        <w:t>（ </w:t>
      </w:r>
      <w:r>
        <w:rPr>
          <w:color w:val="231F20"/>
        </w:rPr>
        <w:t>匹 ) 接觸者之易感受性：高風險環境、易感受族群及有潛在性疾病者等，如：長照機構的年長者、懷孕婦女、HIV</w:t>
      </w:r>
      <w:r>
        <w:rPr>
          <w:color w:val="231F20"/>
          <w:spacing w:val="-6"/>
        </w:rPr>
        <w:t> 感染者、腎衰竭、糖尿病、癌症、 胃切除術後、類</w:t>
      </w:r>
      <w:r>
        <w:rPr>
          <w:color w:val="231F20"/>
          <w:spacing w:val="-1"/>
        </w:rPr>
        <w:t>風溼性關節炎使用生物製劑 </w:t>
      </w:r>
      <w:r>
        <w:rPr>
          <w:color w:val="231F20"/>
          <w:w w:val="32"/>
        </w:rPr>
        <w:t>（</w:t>
      </w:r>
      <w:r>
        <w:rPr>
          <w:color w:val="231F20"/>
          <w:spacing w:val="-1"/>
          <w:w w:val="91"/>
        </w:rPr>
        <w:t>T</w:t>
      </w:r>
      <w:r>
        <w:rPr>
          <w:color w:val="231F20"/>
          <w:spacing w:val="-1"/>
          <w:w w:val="111"/>
        </w:rPr>
        <w:t>N</w:t>
      </w:r>
      <w:r>
        <w:rPr>
          <w:color w:val="231F20"/>
          <w:w w:val="85"/>
        </w:rPr>
        <w:t>F</w:t>
      </w:r>
      <w:r>
        <w:rPr>
          <w:color w:val="231F20"/>
        </w:rPr>
        <w:t> </w:t>
      </w:r>
      <w:r>
        <w:rPr>
          <w:color w:val="231F20"/>
          <w:spacing w:val="-1"/>
          <w:w w:val="119"/>
        </w:rPr>
        <w:t>a</w:t>
      </w:r>
      <w:r>
        <w:rPr>
          <w:color w:val="231F20"/>
          <w:w w:val="129"/>
        </w:rPr>
        <w:t>-</w:t>
      </w:r>
      <w:r>
        <w:rPr>
          <w:color w:val="231F20"/>
          <w:spacing w:val="-1"/>
          <w:w w:val="113"/>
        </w:rPr>
        <w:t>b</w:t>
      </w:r>
      <w:r>
        <w:rPr>
          <w:color w:val="231F20"/>
          <w:spacing w:val="-1"/>
          <w:w w:val="116"/>
        </w:rPr>
        <w:t>l</w:t>
      </w:r>
      <w:r>
        <w:rPr>
          <w:color w:val="231F20"/>
          <w:w w:val="113"/>
        </w:rPr>
        <w:t>o</w:t>
      </w:r>
      <w:r>
        <w:rPr>
          <w:color w:val="231F20"/>
          <w:w w:val="99"/>
        </w:rPr>
        <w:t>c</w:t>
      </w:r>
      <w:r>
        <w:rPr>
          <w:color w:val="231F20"/>
          <w:spacing w:val="-6"/>
          <w:w w:val="106"/>
        </w:rPr>
        <w:t>k</w:t>
      </w:r>
      <w:r>
        <w:rPr>
          <w:color w:val="231F20"/>
          <w:spacing w:val="-1"/>
          <w:w w:val="101"/>
        </w:rPr>
        <w:t>e</w:t>
      </w:r>
      <w:r>
        <w:rPr>
          <w:color w:val="231F20"/>
          <w:spacing w:val="-1"/>
          <w:w w:val="111"/>
        </w:rPr>
        <w:t>r</w:t>
      </w:r>
      <w:r>
        <w:rPr>
          <w:color w:val="231F20"/>
          <w:w w:val="96"/>
        </w:rPr>
        <w:t>)</w:t>
      </w:r>
      <w:r>
        <w:rPr>
          <w:color w:val="231F20"/>
        </w:rPr>
        <w:t> 、長期使用免疫抑制劑等，感染結核蔥後較易發病。</w:t>
      </w:r>
    </w:p>
    <w:p>
      <w:pPr>
        <w:pStyle w:val="BodyText"/>
        <w:spacing w:line="230" w:lineRule="auto"/>
        <w:ind w:left="1349" w:right="1132" w:hanging="720"/>
        <w:jc w:val="both"/>
      </w:pPr>
      <w:r>
        <w:rPr>
          <w:color w:val="231F20"/>
          <w:w w:val="65"/>
        </w:rPr>
        <w:t>（ </w:t>
      </w:r>
      <w:r>
        <w:rPr>
          <w:color w:val="231F20"/>
        </w:rPr>
        <w:t>五 ) 篩出感染源及高風險族群：找出已發病但尚未被診斷的結核病個案、潛伏結核感染者；並對潛伏結核感染者，進行結核病衛教，以提高其警覺性，並評估是否進行潛伏結核感染檢驗及治療。</w:t>
      </w:r>
    </w:p>
    <w:p>
      <w:pPr>
        <w:pStyle w:val="BodyText"/>
        <w:spacing w:line="394" w:lineRule="exact"/>
        <w:ind w:left="629"/>
        <w:jc w:val="both"/>
      </w:pPr>
      <w:r>
        <w:rPr>
          <w:color w:val="231F20"/>
          <w:w w:val="65"/>
        </w:rPr>
        <w:t>（ </w:t>
      </w:r>
      <w:r>
        <w:rPr>
          <w:color w:val="231F20"/>
        </w:rPr>
        <w:t>六 ) 若蔥株比對結果相同，但流病關聯性不明確：</w:t>
      </w:r>
    </w:p>
    <w:p>
      <w:pPr>
        <w:pStyle w:val="ListParagraph"/>
        <w:numPr>
          <w:ilvl w:val="0"/>
          <w:numId w:val="268"/>
        </w:numPr>
        <w:tabs>
          <w:tab w:pos="1349" w:val="left" w:leader="none"/>
        </w:tabs>
        <w:spacing w:line="230" w:lineRule="auto" w:before="0" w:after="0"/>
        <w:ind w:left="1349" w:right="1075" w:hanging="255"/>
        <w:jc w:val="both"/>
        <w:rPr>
          <w:sz w:val="24"/>
        </w:rPr>
      </w:pPr>
      <w:r>
        <w:rPr>
          <w:color w:val="231F20"/>
          <w:spacing w:val="-8"/>
          <w:sz w:val="24"/>
        </w:rPr>
        <w:t>重新訪談個案</w:t>
      </w:r>
      <w:r>
        <w:rPr>
          <w:color w:val="231F20"/>
          <w:spacing w:val="12"/>
          <w:w w:val="128"/>
          <w:sz w:val="24"/>
        </w:rPr>
        <w:t>(附件</w:t>
      </w:r>
      <w:r>
        <w:rPr>
          <w:color w:val="231F20"/>
          <w:w w:val="108"/>
          <w:sz w:val="24"/>
        </w:rPr>
        <w:t>12-1</w:t>
      </w:r>
      <w:r>
        <w:rPr>
          <w:color w:val="231F20"/>
          <w:spacing w:val="-88"/>
          <w:w w:val="300"/>
          <w:sz w:val="24"/>
        </w:rPr>
        <w:t>)</w:t>
      </w:r>
      <w:r>
        <w:rPr>
          <w:color w:val="231F20"/>
          <w:spacing w:val="-11"/>
          <w:sz w:val="24"/>
        </w:rPr>
        <w:t>：在保護個案隱私下，進行個案與非個案之混合辨識，</w:t>
      </w:r>
      <w:r>
        <w:rPr>
          <w:color w:val="231F20"/>
          <w:w w:val="110"/>
          <w:sz w:val="24"/>
        </w:rPr>
        <w:t>以釐清流病關聯性。</w:t>
      </w:r>
    </w:p>
    <w:p>
      <w:pPr>
        <w:pStyle w:val="ListParagraph"/>
        <w:numPr>
          <w:ilvl w:val="0"/>
          <w:numId w:val="268"/>
        </w:numPr>
        <w:tabs>
          <w:tab w:pos="1349" w:val="left" w:leader="none"/>
        </w:tabs>
        <w:spacing w:line="404" w:lineRule="exact" w:before="0" w:after="0"/>
        <w:ind w:left="1348" w:right="0" w:hanging="255"/>
        <w:jc w:val="both"/>
        <w:rPr>
          <w:sz w:val="24"/>
        </w:rPr>
      </w:pPr>
      <w:r>
        <w:rPr>
          <w:color w:val="231F20"/>
          <w:spacing w:val="-1"/>
          <w:sz w:val="24"/>
        </w:rPr>
        <w:t>調閱個案先前執行 </w:t>
      </w:r>
      <w:r>
        <w:rPr>
          <w:color w:val="231F20"/>
          <w:sz w:val="24"/>
        </w:rPr>
        <w:t>X</w:t>
      </w:r>
      <w:r>
        <w:rPr>
          <w:color w:val="231F20"/>
          <w:spacing w:val="-3"/>
          <w:sz w:val="24"/>
        </w:rPr>
        <w:t> 光片委請委員複判，釐清可傳染期之起始。</w:t>
      </w:r>
    </w:p>
    <w:p>
      <w:pPr>
        <w:spacing w:after="0" w:line="404" w:lineRule="exact"/>
        <w:jc w:val="both"/>
        <w:rPr>
          <w:sz w:val="24"/>
        </w:rPr>
        <w:sectPr>
          <w:pgSz w:w="11910" w:h="16840"/>
          <w:pgMar w:top="1060" w:bottom="0" w:left="980" w:right="0"/>
        </w:sectPr>
      </w:pPr>
    </w:p>
    <w:p>
      <w:pPr>
        <w:pStyle w:val="ListParagraph"/>
        <w:numPr>
          <w:ilvl w:val="0"/>
          <w:numId w:val="268"/>
        </w:numPr>
        <w:tabs>
          <w:tab w:pos="1350" w:val="left" w:leader="none"/>
        </w:tabs>
        <w:spacing w:line="230" w:lineRule="auto" w:before="70" w:after="0"/>
        <w:ind w:left="1349" w:right="1125" w:hanging="255"/>
        <w:jc w:val="both"/>
        <w:rPr>
          <w:sz w:val="24"/>
        </w:rPr>
      </w:pPr>
      <w:r>
        <w:rPr>
          <w:color w:val="231F20"/>
          <w:spacing w:val="-2"/>
          <w:sz w:val="24"/>
        </w:rPr>
        <w:t>以指標個案通報日為基準日，回溯 </w:t>
      </w:r>
      <w:r>
        <w:rPr>
          <w:color w:val="231F20"/>
          <w:sz w:val="24"/>
        </w:rPr>
        <w:t>2</w:t>
      </w:r>
      <w:r>
        <w:rPr>
          <w:color w:val="231F20"/>
          <w:spacing w:val="-7"/>
          <w:sz w:val="24"/>
        </w:rPr>
        <w:t> 年內該校園學生 </w:t>
      </w:r>
      <w:r>
        <w:rPr>
          <w:color w:val="231F20"/>
          <w:w w:val="70"/>
          <w:sz w:val="24"/>
        </w:rPr>
        <w:t>／ </w:t>
      </w:r>
      <w:r>
        <w:rPr>
          <w:color w:val="231F20"/>
          <w:spacing w:val="-2"/>
          <w:sz w:val="24"/>
        </w:rPr>
        <w:t>教職員工或機構住民 </w:t>
      </w:r>
      <w:r>
        <w:rPr>
          <w:color w:val="231F20"/>
          <w:w w:val="70"/>
          <w:sz w:val="24"/>
        </w:rPr>
        <w:t>／ </w:t>
      </w:r>
      <w:r>
        <w:rPr>
          <w:color w:val="231F20"/>
          <w:sz w:val="24"/>
        </w:rPr>
        <w:t>人員</w:t>
      </w:r>
      <w:r>
        <w:rPr>
          <w:color w:val="231F20"/>
          <w:spacing w:val="7"/>
          <w:w w:val="280"/>
          <w:sz w:val="24"/>
        </w:rPr>
        <w:t>(</w:t>
      </w:r>
      <w:r>
        <w:rPr>
          <w:color w:val="231F20"/>
          <w:spacing w:val="9"/>
          <w:sz w:val="24"/>
        </w:rPr>
        <w:t>含外包、離職)名單進行</w:t>
      </w:r>
      <w:r>
        <w:rPr>
          <w:color w:val="231F20"/>
          <w:sz w:val="24"/>
        </w:rPr>
        <w:t>TB</w:t>
      </w:r>
      <w:r>
        <w:rPr>
          <w:color w:val="231F20"/>
          <w:spacing w:val="9"/>
          <w:sz w:val="24"/>
        </w:rPr>
        <w:t> 系統勾稽，如為 </w:t>
      </w:r>
      <w:r>
        <w:rPr>
          <w:color w:val="231F20"/>
          <w:sz w:val="24"/>
        </w:rPr>
        <w:t>TB</w:t>
      </w:r>
      <w:r>
        <w:rPr>
          <w:color w:val="231F20"/>
          <w:spacing w:val="7"/>
          <w:sz w:val="24"/>
        </w:rPr>
        <w:t> 系統登記有案之確診個案</w:t>
      </w:r>
      <w:r>
        <w:rPr>
          <w:color w:val="231F20"/>
          <w:sz w:val="24"/>
        </w:rPr>
        <w:t>且蔥株仍保留者，應進行基因分型比對。</w:t>
      </w:r>
    </w:p>
    <w:p>
      <w:pPr>
        <w:pStyle w:val="ListParagraph"/>
        <w:numPr>
          <w:ilvl w:val="0"/>
          <w:numId w:val="268"/>
        </w:numPr>
        <w:tabs>
          <w:tab w:pos="1349" w:val="left" w:leader="none"/>
        </w:tabs>
        <w:spacing w:line="230" w:lineRule="auto" w:before="0" w:after="0"/>
        <w:ind w:left="391" w:right="1134" w:firstLine="702"/>
        <w:jc w:val="both"/>
        <w:rPr>
          <w:sz w:val="24"/>
        </w:rPr>
      </w:pPr>
      <w:r>
        <w:rPr>
          <w:color w:val="231F20"/>
          <w:spacing w:val="9"/>
          <w:sz w:val="24"/>
        </w:rPr>
        <w:t>再次尋求環境</w:t>
      </w:r>
      <w:r>
        <w:rPr>
          <w:color w:val="231F20"/>
          <w:w w:val="80"/>
          <w:sz w:val="24"/>
        </w:rPr>
        <w:t>／ </w:t>
      </w:r>
      <w:r>
        <w:rPr>
          <w:color w:val="231F20"/>
          <w:spacing w:val="-2"/>
          <w:sz w:val="24"/>
        </w:rPr>
        <w:t>空調專家進行環境評估，內容參照附件 </w:t>
      </w:r>
      <w:r>
        <w:rPr>
          <w:color w:val="231F20"/>
          <w:sz w:val="24"/>
        </w:rPr>
        <w:t>12-2</w:t>
      </w:r>
      <w:r>
        <w:rPr>
          <w:color w:val="231F20"/>
          <w:spacing w:val="-8"/>
          <w:sz w:val="24"/>
        </w:rPr>
        <w:t> 及 </w:t>
      </w:r>
      <w:r>
        <w:rPr>
          <w:color w:val="231F20"/>
          <w:sz w:val="24"/>
        </w:rPr>
        <w:t>12-3</w:t>
      </w:r>
      <w:r>
        <w:rPr>
          <w:color w:val="231F20"/>
          <w:spacing w:val="-5"/>
          <w:sz w:val="24"/>
        </w:rPr>
        <w:t> 環境調査。</w:t>
      </w:r>
      <w:r>
        <w:rPr>
          <w:color w:val="231F20"/>
          <w:spacing w:val="1"/>
          <w:sz w:val="24"/>
        </w:rPr>
        <w:t>二、檢驗</w:t>
      </w:r>
    </w:p>
    <w:p>
      <w:pPr>
        <w:pStyle w:val="BodyText"/>
        <w:spacing w:line="230" w:lineRule="auto"/>
        <w:ind w:left="1349" w:right="1110" w:hanging="720"/>
        <w:jc w:val="both"/>
      </w:pPr>
      <w:r>
        <w:rPr>
          <w:color w:val="231F20"/>
          <w:w w:val="70"/>
        </w:rPr>
        <w:t>（ </w:t>
      </w:r>
      <w:r>
        <w:rPr>
          <w:color w:val="231F20"/>
          <w:spacing w:val="11"/>
        </w:rPr>
        <w:t>— ) 疑似聚集事件個案檢體，個案管理單位應進行—般痰塗片、培養、蔥種鑑</w:t>
      </w:r>
      <w:r>
        <w:rPr>
          <w:color w:val="231F20"/>
          <w:spacing w:val="12"/>
        </w:rPr>
        <w:t>定、—線藥敏試驗外，應進行核酸增幅檢驗 </w:t>
      </w:r>
      <w:r>
        <w:rPr>
          <w:color w:val="231F20"/>
        </w:rPr>
        <w:t>Nucleic</w:t>
      </w:r>
      <w:r>
        <w:rPr>
          <w:color w:val="231F20"/>
          <w:spacing w:val="61"/>
        </w:rPr>
        <w:t> </w:t>
      </w:r>
      <w:r>
        <w:rPr>
          <w:color w:val="231F20"/>
        </w:rPr>
        <w:t>Acid</w:t>
      </w:r>
      <w:r>
        <w:rPr>
          <w:color w:val="231F20"/>
          <w:spacing w:val="60"/>
        </w:rPr>
        <w:t> </w:t>
      </w:r>
      <w:r>
        <w:rPr>
          <w:color w:val="231F20"/>
        </w:rPr>
        <w:t>Amplification</w:t>
      </w:r>
      <w:r>
        <w:rPr>
          <w:color w:val="231F20"/>
          <w:spacing w:val="60"/>
        </w:rPr>
        <w:t> </w:t>
      </w:r>
      <w:r>
        <w:rPr>
          <w:color w:val="231F20"/>
          <w:spacing w:val="-8"/>
        </w:rPr>
        <w:t>Test </w:t>
      </w:r>
      <w:r>
        <w:rPr>
          <w:color w:val="231F20"/>
          <w:w w:val="300"/>
        </w:rPr>
        <w:t>(</w:t>
      </w:r>
      <w:r>
        <w:rPr>
          <w:color w:val="231F20"/>
          <w:spacing w:val="-1"/>
          <w:w w:val="111"/>
        </w:rPr>
        <w:t>N</w:t>
      </w:r>
      <w:r>
        <w:rPr>
          <w:color w:val="231F20"/>
          <w:w w:val="103"/>
        </w:rPr>
        <w:t>A</w:t>
      </w:r>
      <w:r>
        <w:rPr>
          <w:color w:val="231F20"/>
          <w:spacing w:val="-19"/>
          <w:w w:val="103"/>
        </w:rPr>
        <w:t>A</w:t>
      </w:r>
      <w:r>
        <w:rPr>
          <w:color w:val="231F20"/>
          <w:w w:val="91"/>
        </w:rPr>
        <w:t>T</w:t>
      </w:r>
      <w:r>
        <w:rPr>
          <w:color w:val="231F20"/>
          <w:w w:val="300"/>
        </w:rPr>
        <w:t>)</w:t>
      </w:r>
      <w:r>
        <w:rPr>
          <w:color w:val="231F20"/>
          <w:spacing w:val="3"/>
        </w:rPr>
        <w:t>，若有抗藥性結核病確定個案或硏判極可能為抗藥性個案，應進行分</w:t>
      </w:r>
      <w:r>
        <w:rPr>
          <w:color w:val="231F20"/>
        </w:rPr>
        <w:t>子生物抗藥性快速篩檢。</w:t>
      </w:r>
    </w:p>
    <w:p>
      <w:pPr>
        <w:pStyle w:val="BodyText"/>
        <w:spacing w:line="392" w:lineRule="exact"/>
        <w:ind w:left="629"/>
        <w:jc w:val="both"/>
      </w:pPr>
      <w:r>
        <w:rPr>
          <w:color w:val="231F20"/>
          <w:w w:val="65"/>
        </w:rPr>
        <w:t>（ </w:t>
      </w:r>
      <w:r>
        <w:rPr>
          <w:color w:val="231F20"/>
        </w:rPr>
        <w:t>二 ) 疑似聚集事件個案陽性蔥株送驗作業：</w:t>
      </w:r>
    </w:p>
    <w:p>
      <w:pPr>
        <w:pStyle w:val="ListParagraph"/>
        <w:numPr>
          <w:ilvl w:val="0"/>
          <w:numId w:val="269"/>
        </w:numPr>
        <w:tabs>
          <w:tab w:pos="1350" w:val="left" w:leader="none"/>
        </w:tabs>
        <w:spacing w:line="230" w:lineRule="auto" w:before="0" w:after="0"/>
        <w:ind w:left="1349" w:right="1130" w:hanging="255"/>
        <w:jc w:val="both"/>
        <w:rPr>
          <w:sz w:val="24"/>
        </w:rPr>
      </w:pPr>
      <w:r>
        <w:rPr>
          <w:color w:val="231F20"/>
          <w:spacing w:val="5"/>
          <w:sz w:val="24"/>
        </w:rPr>
        <w:t>疑似聚集事件所在地衛生局於實驗室資訊管理系統</w:t>
      </w:r>
      <w:r>
        <w:rPr>
          <w:color w:val="231F20"/>
          <w:w w:val="300"/>
          <w:sz w:val="24"/>
        </w:rPr>
        <w:t>(</w:t>
      </w:r>
      <w:r>
        <w:rPr>
          <w:color w:val="231F20"/>
          <w:spacing w:val="-1"/>
          <w:w w:val="90"/>
          <w:sz w:val="24"/>
        </w:rPr>
        <w:t>L</w:t>
      </w:r>
      <w:r>
        <w:rPr>
          <w:color w:val="231F20"/>
          <w:spacing w:val="-1"/>
          <w:w w:val="102"/>
          <w:sz w:val="24"/>
        </w:rPr>
        <w:t>I</w:t>
      </w:r>
      <w:r>
        <w:rPr>
          <w:color w:val="231F20"/>
          <w:spacing w:val="-1"/>
          <w:w w:val="115"/>
          <w:sz w:val="24"/>
        </w:rPr>
        <w:t>M</w:t>
      </w:r>
      <w:r>
        <w:rPr>
          <w:color w:val="231F20"/>
          <w:w w:val="85"/>
          <w:sz w:val="24"/>
        </w:rPr>
        <w:t>S</w:t>
      </w:r>
      <w:r>
        <w:rPr>
          <w:color w:val="231F20"/>
          <w:spacing w:val="6"/>
          <w:w w:val="108"/>
          <w:sz w:val="24"/>
        </w:rPr>
        <w:t>)進行疑似聚集事件</w:t>
      </w:r>
      <w:r>
        <w:rPr>
          <w:color w:val="231F20"/>
          <w:sz w:val="24"/>
        </w:rPr>
        <w:t>建立事件編號，並轉知個案管理單位之地方衛生局。</w:t>
      </w:r>
    </w:p>
    <w:p>
      <w:pPr>
        <w:pStyle w:val="ListParagraph"/>
        <w:numPr>
          <w:ilvl w:val="0"/>
          <w:numId w:val="269"/>
        </w:numPr>
        <w:tabs>
          <w:tab w:pos="1351" w:val="left" w:leader="none"/>
        </w:tabs>
        <w:spacing w:line="230" w:lineRule="auto" w:before="0" w:after="0"/>
        <w:ind w:left="1349" w:right="1132" w:hanging="255"/>
        <w:jc w:val="both"/>
        <w:rPr>
          <w:sz w:val="24"/>
        </w:rPr>
      </w:pPr>
      <w:r>
        <w:rPr/>
        <w:pict>
          <v:group style="position:absolute;margin-left:557.684509pt;margin-top:43.738605pt;width:37.35pt;height:501.55pt;mso-position-horizontal-relative:page;mso-position-vertical-relative:paragraph;z-index:252009472" coordorigin="11154,875" coordsize="747,10031">
            <v:shape style="position:absolute;left:11283;top:1386;width:439;height:9520" type="#_x0000_t75" stroked="false">
              <v:imagedata r:id="rId435" o:title=""/>
            </v:shape>
            <v:shape style="position:absolute;left:11153;top:874;width:747;height:812" coordorigin="11154,875" coordsize="747,812" path="m11900,875l11536,875,11514,877,11454,911,11188,1193,11154,1280,11162,1327,11454,1650,11514,1684,11536,1686,11900,1686,11900,875xe" filled="true" fillcolor="#f37b7d" stroked="false">
              <v:path arrowok="t"/>
              <v:fill type="solid"/>
            </v:shape>
            <v:shape style="position:absolute;left:11321;top:1141;width:374;height:273" type="#_x0000_t75" stroked="false">
              <v:imagedata r:id="rId436" o:title=""/>
            </v:shape>
            <v:shape style="position:absolute;left:11378;top:1825;width:250;height:3597" type="#_x0000_t75" stroked="false">
              <v:imagedata r:id="rId437" o:title=""/>
            </v:shape>
            <v:shape style="position:absolute;left:11368;top:10343;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141</w:t>
                    </w:r>
                  </w:p>
                </w:txbxContent>
              </v:textbox>
              <w10:wrap type="none"/>
            </v:shape>
            <w10:wrap type="none"/>
          </v:group>
        </w:pict>
      </w:r>
      <w:r>
        <w:rPr>
          <w:color w:val="231F20"/>
          <w:spacing w:val="-1"/>
          <w:sz w:val="24"/>
        </w:rPr>
        <w:t>由個案管理單位之地方衛生局負責聯絡各委託檢驗之實驗室取得陽性蔥株並完成</w:t>
      </w:r>
      <w:r>
        <w:rPr>
          <w:color w:val="231F20"/>
          <w:sz w:val="24"/>
        </w:rPr>
        <w:t>送驗單登錄後(送驗單之送驗項目：聚集事件；其他：須載明事件編號及名稱)  送驗。</w:t>
      </w:r>
    </w:p>
    <w:p>
      <w:pPr>
        <w:pStyle w:val="ListParagraph"/>
        <w:numPr>
          <w:ilvl w:val="0"/>
          <w:numId w:val="269"/>
        </w:numPr>
        <w:tabs>
          <w:tab w:pos="1349" w:val="left" w:leader="none"/>
        </w:tabs>
        <w:spacing w:line="394" w:lineRule="exact" w:before="0" w:after="0"/>
        <w:ind w:left="1348" w:right="0" w:hanging="255"/>
        <w:jc w:val="both"/>
        <w:rPr>
          <w:sz w:val="24"/>
        </w:rPr>
      </w:pPr>
      <w:r>
        <w:rPr>
          <w:color w:val="231F20"/>
          <w:sz w:val="24"/>
        </w:rPr>
        <w:t>疑似聚集事件所在地衛生局於實驗室資訊管理系統進行送驗單歸併作業。</w:t>
      </w:r>
    </w:p>
    <w:p>
      <w:pPr>
        <w:pStyle w:val="ListParagraph"/>
        <w:numPr>
          <w:ilvl w:val="0"/>
          <w:numId w:val="269"/>
        </w:numPr>
        <w:tabs>
          <w:tab w:pos="1351" w:val="left" w:leader="none"/>
        </w:tabs>
        <w:spacing w:line="230" w:lineRule="auto" w:before="0" w:after="0"/>
        <w:ind w:left="1349" w:right="1135" w:hanging="255"/>
        <w:jc w:val="both"/>
        <w:rPr>
          <w:sz w:val="24"/>
        </w:rPr>
      </w:pPr>
      <w:r>
        <w:rPr>
          <w:color w:val="231F20"/>
          <w:spacing w:val="-1"/>
          <w:sz w:val="24"/>
        </w:rPr>
        <w:t>疾管署檢驗及疫苗硏製中心分枝桿蔥實驗室於收受聚集事件蔥株後進行分子分型檢驗，原則上 </w:t>
      </w:r>
      <w:r>
        <w:rPr>
          <w:color w:val="231F20"/>
          <w:sz w:val="24"/>
        </w:rPr>
        <w:t>21</w:t>
      </w:r>
      <w:r>
        <w:rPr>
          <w:color w:val="231F20"/>
          <w:spacing w:val="-3"/>
          <w:sz w:val="24"/>
        </w:rPr>
        <w:t> 天內報告結果。</w:t>
      </w:r>
    </w:p>
    <w:p>
      <w:pPr>
        <w:pStyle w:val="BodyText"/>
        <w:spacing w:line="395" w:lineRule="exact"/>
        <w:ind w:left="391"/>
      </w:pPr>
      <w:r>
        <w:rPr>
          <w:color w:val="231F20"/>
        </w:rPr>
        <w:t>三、感染管制措施：</w:t>
      </w:r>
    </w:p>
    <w:p>
      <w:pPr>
        <w:pStyle w:val="BodyText"/>
        <w:spacing w:line="230" w:lineRule="auto"/>
        <w:ind w:left="1349" w:right="1136" w:hanging="720"/>
        <w:jc w:val="both"/>
      </w:pPr>
      <w:r>
        <w:rPr>
          <w:color w:val="231F20"/>
          <w:w w:val="70"/>
        </w:rPr>
        <w:t>（ </w:t>
      </w:r>
      <w:r>
        <w:rPr>
          <w:color w:val="231F20"/>
        </w:rPr>
        <w:t>— ) 為確保結核病聚集事件發生地維持良好通風換氣環境，避免個案持續發生，該發生地需依據「結核病聚集事件發生地通風換氣監測原則」進行通風換氣之改善與</w:t>
      </w:r>
      <w:r>
        <w:rPr>
          <w:color w:val="231F20"/>
          <w:w w:val="115"/>
        </w:rPr>
        <w:t>監測(附件 12-4)。</w:t>
      </w:r>
    </w:p>
    <w:p>
      <w:pPr>
        <w:pStyle w:val="BodyText"/>
        <w:spacing w:line="230" w:lineRule="auto"/>
        <w:ind w:left="1349" w:right="1123" w:hanging="720"/>
        <w:jc w:val="both"/>
      </w:pPr>
      <w:r>
        <w:rPr>
          <w:color w:val="231F20"/>
          <w:w w:val="65"/>
        </w:rPr>
        <w:t>（ </w:t>
      </w:r>
      <w:r>
        <w:rPr>
          <w:color w:val="231F20"/>
        </w:rPr>
        <w:t>二 ) 若資料硏判個案疑似或確診為結核病，醫療或人口密集機構應評估隔離之必要性。</w:t>
      </w:r>
    </w:p>
    <w:p>
      <w:pPr>
        <w:pStyle w:val="BodyText"/>
        <w:spacing w:line="395" w:lineRule="exact"/>
        <w:ind w:left="629"/>
        <w:jc w:val="both"/>
      </w:pPr>
      <w:r>
        <w:rPr>
          <w:color w:val="231F20"/>
          <w:w w:val="65"/>
        </w:rPr>
        <w:t>（ </w:t>
      </w:r>
      <w:r>
        <w:rPr>
          <w:color w:val="231F20"/>
        </w:rPr>
        <w:t>三 ) 醫療或人口密集機構應詳實執行轉床紀錄。</w:t>
      </w:r>
    </w:p>
    <w:p>
      <w:pPr>
        <w:pStyle w:val="BodyText"/>
        <w:spacing w:line="230" w:lineRule="auto"/>
        <w:ind w:left="1349" w:right="1123" w:hanging="720"/>
        <w:jc w:val="both"/>
      </w:pPr>
      <w:r>
        <w:rPr>
          <w:color w:val="231F20"/>
          <w:w w:val="65"/>
        </w:rPr>
        <w:t>（ </w:t>
      </w:r>
      <w:r>
        <w:rPr>
          <w:color w:val="231F20"/>
        </w:rPr>
        <w:t>匹 ) 配合疾管署感染管制査核作業，衛生局應輔導轄內醫院或機構落實院內感染監測、結核病通報、隔離治療及院內感染管制預防措施等。</w:t>
      </w:r>
    </w:p>
    <w:p>
      <w:pPr>
        <w:pStyle w:val="BodyText"/>
        <w:spacing w:line="230" w:lineRule="auto"/>
        <w:ind w:left="1349" w:right="1138" w:hanging="720"/>
        <w:jc w:val="both"/>
      </w:pPr>
      <w:r>
        <w:rPr>
          <w:color w:val="231F20"/>
          <w:w w:val="65"/>
        </w:rPr>
        <w:t>（ </w:t>
      </w:r>
      <w:r>
        <w:rPr>
          <w:color w:val="231F20"/>
        </w:rPr>
        <w:t>五 ) 在完成指定隔離作業前，衛生局應指示醫院或機構不得任意轉出個案，落實人員進出管制、妥適隔離、分流、集中管理。</w:t>
      </w:r>
    </w:p>
    <w:p>
      <w:pPr>
        <w:pStyle w:val="BodyText"/>
        <w:spacing w:line="395" w:lineRule="exact"/>
        <w:ind w:left="391"/>
      </w:pPr>
      <w:r>
        <w:rPr>
          <w:color w:val="231F20"/>
        </w:rPr>
        <w:t>匹、接觸者檢査追蹤：</w:t>
      </w:r>
    </w:p>
    <w:p>
      <w:pPr>
        <w:pStyle w:val="BodyText"/>
        <w:spacing w:line="230" w:lineRule="auto"/>
        <w:ind w:left="1349" w:right="1121" w:hanging="720"/>
        <w:jc w:val="both"/>
      </w:pPr>
      <w:r>
        <w:rPr>
          <w:color w:val="231F20"/>
          <w:w w:val="70"/>
        </w:rPr>
        <w:t>（</w:t>
      </w:r>
      <w:r>
        <w:rPr>
          <w:color w:val="231F20"/>
          <w:spacing w:val="-4"/>
          <w:w w:val="70"/>
        </w:rPr>
        <w:t> </w:t>
      </w:r>
      <w:r>
        <w:rPr>
          <w:color w:val="231F20"/>
          <w:spacing w:val="6"/>
        </w:rPr>
        <w:t>— ) 確定結核病聚集事件之接觸者，除依—般接觸者檢査，應進行潛伏結核感染</w:t>
      </w:r>
      <w:r>
        <w:rPr>
          <w:color w:val="231F20"/>
          <w:w w:val="300"/>
        </w:rPr>
        <w:t>(</w:t>
      </w:r>
      <w:r>
        <w:rPr>
          <w:color w:val="231F20"/>
          <w:spacing w:val="-15"/>
          <w:w w:val="90"/>
        </w:rPr>
        <w:t>L</w:t>
      </w:r>
      <w:r>
        <w:rPr>
          <w:color w:val="231F20"/>
          <w:w w:val="91"/>
        </w:rPr>
        <w:t>T</w:t>
      </w:r>
      <w:r>
        <w:rPr>
          <w:color w:val="231F20"/>
          <w:spacing w:val="-1"/>
          <w:w w:val="92"/>
        </w:rPr>
        <w:t>B</w:t>
      </w:r>
      <w:r>
        <w:rPr>
          <w:color w:val="231F20"/>
          <w:spacing w:val="-1"/>
          <w:w w:val="102"/>
        </w:rPr>
        <w:t>I</w:t>
      </w:r>
      <w:r>
        <w:rPr>
          <w:color w:val="231F20"/>
          <w:spacing w:val="7"/>
          <w:w w:val="300"/>
        </w:rPr>
        <w:t>)</w:t>
      </w:r>
      <w:r>
        <w:rPr>
          <w:color w:val="231F20"/>
          <w:spacing w:val="3"/>
        </w:rPr>
        <w:t>評估與治療；若未接受 </w:t>
      </w:r>
      <w:r>
        <w:rPr>
          <w:color w:val="231F20"/>
          <w:spacing w:val="-15"/>
          <w:w w:val="90"/>
        </w:rPr>
        <w:t>L</w:t>
      </w:r>
      <w:r>
        <w:rPr>
          <w:color w:val="231F20"/>
          <w:w w:val="91"/>
        </w:rPr>
        <w:t>T</w:t>
      </w:r>
      <w:r>
        <w:rPr>
          <w:color w:val="231F20"/>
          <w:spacing w:val="-1"/>
          <w:w w:val="92"/>
        </w:rPr>
        <w:t>B</w:t>
      </w:r>
      <w:r>
        <w:rPr>
          <w:color w:val="231F20"/>
          <w:w w:val="102"/>
        </w:rPr>
        <w:t>I</w:t>
      </w:r>
      <w:r>
        <w:rPr>
          <w:color w:val="231F20"/>
          <w:spacing w:val="1"/>
        </w:rPr>
        <w:t> 治療者，胸部 </w:t>
      </w:r>
      <w:r>
        <w:rPr>
          <w:color w:val="231F20"/>
          <w:w w:val="94"/>
        </w:rPr>
        <w:t>X</w:t>
      </w:r>
      <w:r>
        <w:rPr>
          <w:color w:val="231F20"/>
          <w:spacing w:val="4"/>
        </w:rPr>
        <w:t> 光檢査及症狀評估頻率原則上至少每 </w:t>
      </w:r>
      <w:r>
        <w:rPr>
          <w:color w:val="231F20"/>
        </w:rPr>
        <w:t>6 個月 1</w:t>
      </w:r>
      <w:r>
        <w:rPr>
          <w:color w:val="231F20"/>
          <w:spacing w:val="2"/>
        </w:rPr>
        <w:t> 次，檢査期程原則以事件之最後 </w:t>
      </w:r>
      <w:r>
        <w:rPr>
          <w:color w:val="231F20"/>
        </w:rPr>
        <w:t>1</w:t>
      </w:r>
      <w:r>
        <w:rPr>
          <w:color w:val="231F20"/>
          <w:spacing w:val="3"/>
        </w:rPr>
        <w:t> 例個案之確診日起算，</w:t>
      </w:r>
    </w:p>
    <w:p>
      <w:pPr>
        <w:pStyle w:val="BodyText"/>
        <w:spacing w:line="230" w:lineRule="auto"/>
        <w:ind w:left="1349" w:right="1134"/>
        <w:jc w:val="both"/>
      </w:pPr>
      <w:r>
        <w:rPr>
          <w:color w:val="231F20"/>
          <w:spacing w:val="11"/>
        </w:rPr>
        <w:t>至少追蹤 </w:t>
      </w:r>
      <w:r>
        <w:rPr>
          <w:color w:val="231F20"/>
        </w:rPr>
        <w:t>2 年；其餘與—般接觸者管理相同。另，若指標個案為中傳染力(塗片</w:t>
      </w:r>
      <w:r>
        <w:rPr>
          <w:color w:val="231F20"/>
          <w:spacing w:val="-4"/>
          <w:w w:val="105"/>
        </w:rPr>
        <w:t>陰性但培養鑑定為 </w:t>
      </w:r>
      <w:r>
        <w:rPr>
          <w:color w:val="231F20"/>
          <w:w w:val="105"/>
        </w:rPr>
        <w:t>MTBC)，</w:t>
      </w:r>
      <w:r>
        <w:rPr>
          <w:color w:val="231F20"/>
          <w:spacing w:val="-4"/>
          <w:w w:val="105"/>
        </w:rPr>
        <w:t>其接觸者同時包含年齡未滿 </w:t>
      </w:r>
      <w:r>
        <w:rPr>
          <w:color w:val="231F20"/>
          <w:w w:val="105"/>
        </w:rPr>
        <w:t>13</w:t>
      </w:r>
      <w:r>
        <w:rPr>
          <w:color w:val="231F20"/>
          <w:spacing w:val="-22"/>
          <w:w w:val="105"/>
        </w:rPr>
        <w:t> 歲及 </w:t>
      </w:r>
      <w:r>
        <w:rPr>
          <w:color w:val="231F20"/>
          <w:w w:val="105"/>
        </w:rPr>
        <w:t>13</w:t>
      </w:r>
      <w:r>
        <w:rPr>
          <w:color w:val="231F20"/>
          <w:spacing w:val="-28"/>
          <w:w w:val="105"/>
        </w:rPr>
        <w:t> 歲 </w:t>
      </w:r>
      <w:r>
        <w:rPr>
          <w:color w:val="231F20"/>
          <w:w w:val="70"/>
        </w:rPr>
        <w:t>（</w:t>
      </w:r>
      <w:r>
        <w:rPr>
          <w:color w:val="231F20"/>
          <w:spacing w:val="-19"/>
          <w:w w:val="70"/>
        </w:rPr>
        <w:t> </w:t>
      </w:r>
      <w:r>
        <w:rPr>
          <w:color w:val="231F20"/>
          <w:spacing w:val="-18"/>
          <w:w w:val="105"/>
        </w:rPr>
        <w:t>含 ) 以</w:t>
      </w:r>
    </w:p>
    <w:p>
      <w:pPr>
        <w:spacing w:after="0" w:line="230" w:lineRule="auto"/>
        <w:jc w:val="both"/>
        <w:sectPr>
          <w:pgSz w:w="11910" w:h="16840"/>
          <w:pgMar w:top="1060" w:bottom="0" w:left="980" w:right="0"/>
        </w:sectPr>
      </w:pPr>
    </w:p>
    <w:p>
      <w:pPr>
        <w:pStyle w:val="BodyText"/>
        <w:spacing w:line="230" w:lineRule="auto" w:before="70"/>
        <w:ind w:left="1349" w:right="1136"/>
      </w:pPr>
      <w:r>
        <w:rPr/>
        <w:pict>
          <v:group style="position:absolute;margin-left:-.000001pt;margin-top:340.166992pt;width:37.35pt;height:501.55pt;mso-position-horizontal-relative:page;mso-position-vertical-relative:page;z-index:252011520" coordorigin="0,6803" coordsize="747,10031">
            <v:shape style="position:absolute;left:178;top:7314;width:439;height:9520" type="#_x0000_t75" stroked="false">
              <v:imagedata r:id="rId438" o:title=""/>
            </v:shape>
            <v:shape style="position:absolute;left:0;top:6803;width:747;height:812" coordorigin="0,6803" coordsize="747,812" path="m365,6803l0,6803,0,7615,365,7615,387,7612,447,7578,713,7296,747,7209,738,7163,447,6839,387,6806,365,6803xe" filled="true" fillcolor="#f37b7d" stroked="false">
              <v:path arrowok="t"/>
              <v:fill type="solid"/>
            </v:shape>
            <v:shape style="position:absolute;left:216;top:7070;width:374;height:273" type="#_x0000_t75" stroked="false">
              <v:imagedata r:id="rId439" o:title=""/>
            </v:shape>
            <v:shape style="position:absolute;left:273;top:7753;width:250;height:3597" type="#_x0000_t75" stroked="false">
              <v:imagedata r:id="rId440"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142</w:t>
                    </w:r>
                  </w:p>
                </w:txbxContent>
              </v:textbox>
              <w10:wrap type="none"/>
            </v:shape>
            <w10:wrap type="none"/>
          </v:group>
        </w:pict>
      </w:r>
      <w:r>
        <w:rPr>
          <w:color w:val="231F20"/>
          <w:spacing w:val="-1"/>
        </w:rPr>
        <w:t>上者，亦請—併安排與本次聚集事件相關之指標個案接觸者不分年齡全數皆進行</w:t>
      </w:r>
      <w:r>
        <w:rPr>
          <w:color w:val="231F20"/>
          <w:spacing w:val="-4"/>
        </w:rPr>
        <w:t>LTBI</w:t>
      </w:r>
      <w:r>
        <w:rPr>
          <w:color w:val="231F20"/>
          <w:spacing w:val="-3"/>
        </w:rPr>
        <w:t> 檢驗。</w:t>
      </w:r>
    </w:p>
    <w:p>
      <w:pPr>
        <w:pStyle w:val="BodyText"/>
        <w:spacing w:line="230" w:lineRule="auto"/>
        <w:ind w:left="1349" w:right="1126" w:hanging="720"/>
        <w:jc w:val="both"/>
      </w:pPr>
      <w:r>
        <w:rPr>
          <w:color w:val="231F20"/>
          <w:w w:val="65"/>
        </w:rPr>
        <w:t>（</w:t>
      </w:r>
      <w:r>
        <w:rPr>
          <w:color w:val="231F20"/>
          <w:spacing w:val="3"/>
          <w:w w:val="65"/>
        </w:rPr>
        <w:t> </w:t>
      </w:r>
      <w:r>
        <w:rPr>
          <w:color w:val="231F20"/>
          <w:spacing w:val="-1"/>
        </w:rPr>
        <w:t>二 ) 與本次確定聚集事件相關之指標個案接觸者，請於 </w:t>
      </w:r>
      <w:r>
        <w:rPr>
          <w:color w:val="231F20"/>
        </w:rPr>
        <w:t>TB</w:t>
      </w:r>
      <w:r>
        <w:rPr>
          <w:color w:val="231F20"/>
          <w:spacing w:val="-2"/>
        </w:rPr>
        <w:t> 系統維護為聚集事件接觸者及所屬事件編號，路徑：接觸者 ＞ 接觸者批次新增上傳、接觸者批次下載及</w:t>
      </w:r>
      <w:r>
        <w:rPr>
          <w:color w:val="231F20"/>
        </w:rPr>
        <w:t>更新上傳。</w:t>
      </w:r>
    </w:p>
    <w:p>
      <w:pPr>
        <w:pStyle w:val="BodyText"/>
        <w:spacing w:line="230" w:lineRule="auto"/>
        <w:ind w:left="878" w:right="1131" w:hanging="488"/>
        <w:jc w:val="both"/>
      </w:pPr>
      <w:r>
        <w:rPr>
          <w:color w:val="231F20"/>
        </w:rPr>
        <w:t>五、工作時程原則：衛生局於 10 個工作天內完成疫調、撰寫報告，疾管署各區管制中心</w:t>
      </w:r>
      <w:r>
        <w:rPr>
          <w:color w:val="231F20"/>
          <w:spacing w:val="31"/>
        </w:rPr>
        <w:t>於</w:t>
      </w:r>
      <w:r>
        <w:rPr>
          <w:color w:val="231F20"/>
        </w:rPr>
        <w:t>5</w:t>
      </w:r>
      <w:r>
        <w:rPr>
          <w:color w:val="231F20"/>
          <w:spacing w:val="-10"/>
        </w:rPr>
        <w:t> 個工作天內完成審査作業，以儘速辦理為原則。確定聚集事件之首次專家會議</w:t>
      </w:r>
      <w:r>
        <w:rPr>
          <w:color w:val="231F20"/>
          <w:spacing w:val="-8"/>
          <w:w w:val="130"/>
        </w:rPr>
        <w:t>(原</w:t>
      </w:r>
      <w:r>
        <w:rPr>
          <w:color w:val="231F20"/>
          <w:spacing w:val="-2"/>
        </w:rPr>
        <w:t>則應至少同時包含 </w:t>
      </w:r>
      <w:r>
        <w:rPr>
          <w:color w:val="231F20"/>
        </w:rPr>
        <w:t>1</w:t>
      </w:r>
      <w:r>
        <w:rPr>
          <w:color w:val="231F20"/>
          <w:spacing w:val="-7"/>
        </w:rPr>
        <w:t> 名胸腔科及 </w:t>
      </w:r>
      <w:r>
        <w:rPr>
          <w:color w:val="231F20"/>
        </w:rPr>
        <w:t>1</w:t>
      </w:r>
      <w:r>
        <w:rPr>
          <w:color w:val="231F20"/>
          <w:spacing w:val="-5"/>
        </w:rPr>
        <w:t> 名感染科醫師；必要時，可邀請環境 </w:t>
      </w:r>
      <w:r>
        <w:rPr>
          <w:color w:val="231F20"/>
          <w:spacing w:val="-1"/>
          <w:w w:val="75"/>
        </w:rPr>
        <w:t>／ </w:t>
      </w:r>
      <w:r>
        <w:rPr>
          <w:color w:val="231F20"/>
        </w:rPr>
        <w:t>空調換氣專</w:t>
      </w:r>
      <w:r>
        <w:rPr>
          <w:color w:val="231F20"/>
          <w:spacing w:val="-1"/>
        </w:rPr>
        <w:t>家協助)，應於蔥株分子分型比對同型報告日後 </w:t>
      </w:r>
      <w:r>
        <w:rPr>
          <w:color w:val="231F20"/>
        </w:rPr>
        <w:t>15</w:t>
      </w:r>
      <w:r>
        <w:rPr>
          <w:color w:val="231F20"/>
          <w:spacing w:val="-1"/>
        </w:rPr>
        <w:t> 個工作天內召開。</w:t>
      </w:r>
    </w:p>
    <w:p>
      <w:pPr>
        <w:pStyle w:val="BodyText"/>
        <w:spacing w:line="230" w:lineRule="auto"/>
        <w:ind w:left="878" w:right="1133" w:hanging="488"/>
        <w:jc w:val="both"/>
      </w:pPr>
      <w:r>
        <w:rPr>
          <w:color w:val="231F20"/>
        </w:rPr>
        <w:t>六、跨區分工原則由事件所在地為主管縣市；跨單位轉移須有明確細蔥學證據或流病關聯性，並於 10 個工作天內完成轉移。</w:t>
      </w:r>
    </w:p>
    <w:p>
      <w:pPr>
        <w:pStyle w:val="BodyText"/>
        <w:spacing w:line="230" w:lineRule="auto"/>
        <w:ind w:left="878" w:right="1133" w:hanging="488"/>
      </w:pPr>
      <w:r>
        <w:rPr>
          <w:color w:val="231F20"/>
        </w:rPr>
        <w:t>七、因應疫情變化隨時更新資訊並檢口防治措施，主管機關應適時協助跨單位溝通合作及媒體溝通與處理。</w:t>
      </w:r>
    </w:p>
    <w:p>
      <w:pPr>
        <w:spacing w:after="0" w:line="230" w:lineRule="auto"/>
        <w:sectPr>
          <w:pgSz w:w="11910" w:h="16840"/>
          <w:pgMar w:top="1060" w:bottom="0" w:left="980" w:right="0"/>
        </w:sectPr>
      </w:pPr>
    </w:p>
    <w:p>
      <w:pPr>
        <w:pStyle w:val="Heading2"/>
        <w:spacing w:line="240" w:lineRule="auto" w:before="27"/>
      </w:pPr>
      <w:r>
        <w:rPr/>
        <w:pict>
          <v:rect style="position:absolute;margin-left:58.652pt;margin-top:149.645844pt;width:81.461pt;height:9.207pt;mso-position-horizontal-relative:page;mso-position-vertical-relative:paragraph;z-index:-266036224" filled="true" fillcolor="#e6e7e8" stroked="false">
            <v:fill type="solid"/>
            <w10:wrap type="none"/>
          </v:rect>
        </w:pict>
      </w:r>
      <w:r>
        <w:rPr/>
        <w:pict>
          <v:rect style="position:absolute;margin-left:58.652pt;margin-top:231.524841pt;width:139.121pt;height:9.207pt;mso-position-horizontal-relative:page;mso-position-vertical-relative:paragraph;z-index:-266035200" filled="true" fillcolor="#e6e7e8" stroked="false">
            <v:fill type="solid"/>
            <w10:wrap type="none"/>
          </v:rect>
        </w:pict>
      </w:r>
      <w:r>
        <w:rPr/>
        <w:pict>
          <v:group style="position:absolute;margin-left:326.759003pt;margin-top:224.716843pt;width:211.7pt;height:38.65pt;mso-position-horizontal-relative:page;mso-position-vertical-relative:paragraph;z-index:252030976" coordorigin="6535,4494" coordsize="4234,773">
            <v:rect style="position:absolute;left:6693;top:4619;width:2767;height:210" filled="true" fillcolor="#e6e7e8" stroked="false">
              <v:fill type="solid"/>
            </v:rect>
            <v:shape style="position:absolute;left:6535;top:4832;width:114;height:114" coordorigin="6535,4832" coordsize="114,114" path="m6535,4832l6535,4946,6649,4889,6535,4832xe" filled="true" fillcolor="#939598" stroked="false">
              <v:path arrowok="t"/>
              <v:fill type="solid"/>
            </v:shape>
            <v:shape style="position:absolute;left:6646;top:4503;width:4114;height:755" type="#_x0000_t202" filled="false" stroked="true" strokeweight=".9pt" strokecolor="#939598">
              <v:textbox inset="0,0,0,0">
                <w:txbxContent>
                  <w:p>
                    <w:pPr>
                      <w:tabs>
                        <w:tab w:pos="2931" w:val="left" w:leader="none"/>
                      </w:tabs>
                      <w:spacing w:line="393" w:lineRule="exact" w:before="0"/>
                      <w:ind w:left="99" w:right="0" w:firstLine="0"/>
                      <w:jc w:val="left"/>
                      <w:rPr>
                        <w:rFonts w:ascii="微軟正黑體" w:eastAsia="微軟正黑體" w:hint="eastAsia"/>
                        <w:b/>
                        <w:sz w:val="19"/>
                      </w:rPr>
                    </w:pPr>
                    <w:r>
                      <w:rPr>
                        <w:rFonts w:ascii="微軟正黑體" w:eastAsia="微軟正黑體" w:hint="eastAsia"/>
                        <w:b/>
                        <w:color w:val="231F20"/>
                        <w:spacing w:val="8"/>
                        <w:sz w:val="28"/>
                      </w:rPr>
                      <w:t>疾管署各區管制中</w:t>
                    </w:r>
                    <w:r>
                      <w:rPr>
                        <w:rFonts w:ascii="微軟正黑體" w:eastAsia="微軟正黑體" w:hint="eastAsia"/>
                        <w:b/>
                        <w:color w:val="231F20"/>
                        <w:sz w:val="28"/>
                      </w:rPr>
                      <w:t>心</w:t>
                      <w:tab/>
                    </w:r>
                    <w:r>
                      <w:rPr>
                        <w:rFonts w:ascii="微軟正黑體" w:eastAsia="微軟正黑體" w:hint="eastAsia"/>
                        <w:b/>
                        <w:color w:val="231F20"/>
                        <w:w w:val="65"/>
                        <w:sz w:val="19"/>
                      </w:rPr>
                      <w:t>（</w:t>
                    </w:r>
                    <w:r>
                      <w:rPr>
                        <w:rFonts w:ascii="微軟正黑體" w:eastAsia="微軟正黑體" w:hint="eastAsia"/>
                        <w:b/>
                        <w:color w:val="231F20"/>
                        <w:spacing w:val="-4"/>
                        <w:w w:val="65"/>
                        <w:sz w:val="19"/>
                      </w:rPr>
                      <w:t> </w:t>
                    </w:r>
                    <w:r>
                      <w:rPr>
                        <w:rFonts w:ascii="微軟正黑體" w:eastAsia="微軟正黑體" w:hint="eastAsia"/>
                        <w:b/>
                        <w:color w:val="231F20"/>
                        <w:sz w:val="19"/>
                      </w:rPr>
                      <w:t>初步疫情</w:t>
                    </w:r>
                    <w:r>
                      <w:rPr>
                        <w:rFonts w:ascii="微軟正黑體" w:eastAsia="微軟正黑體" w:hint="eastAsia"/>
                        <w:b/>
                        <w:color w:val="231F20"/>
                        <w:spacing w:val="-21"/>
                        <w:sz w:val="19"/>
                      </w:rPr>
                      <w:t> </w:t>
                    </w:r>
                    <w:r>
                      <w:rPr>
                        <w:rFonts w:ascii="微軟正黑體" w:eastAsia="微軟正黑體" w:hint="eastAsia"/>
                        <w:b/>
                        <w:color w:val="231F20"/>
                        <w:w w:val="65"/>
                        <w:sz w:val="19"/>
                      </w:rPr>
                      <w:t>）</w:t>
                    </w:r>
                  </w:p>
                  <w:p>
                    <w:pPr>
                      <w:spacing w:line="257" w:lineRule="exact" w:before="0"/>
                      <w:ind w:left="99" w:right="0" w:firstLine="0"/>
                      <w:jc w:val="left"/>
                      <w:rPr>
                        <w:sz w:val="18"/>
                      </w:rPr>
                    </w:pPr>
                    <w:r>
                      <w:rPr>
                        <w:color w:val="231F20"/>
                        <w:sz w:val="18"/>
                      </w:rPr>
                      <w:t>初判排除，結案。</w:t>
                    </w:r>
                  </w:p>
                </w:txbxContent>
              </v:textbox>
              <v:stroke dashstyle="solid"/>
              <w10:wrap type="none"/>
            </v:shape>
            <w10:wrap type="none"/>
          </v:group>
        </w:pict>
      </w:r>
      <w:r>
        <w:rPr/>
        <w:pict>
          <v:rect style="position:absolute;margin-left:58.652pt;margin-top:30.633844pt;width:81.461pt;height:9.207pt;mso-position-horizontal-relative:page;mso-position-vertical-relative:paragraph;z-index:-266025984" filled="true" fillcolor="#e6e7e8" stroked="false">
            <v:fill type="solid"/>
            <w10:wrap type="none"/>
          </v:rect>
        </w:pict>
      </w:r>
      <w:r>
        <w:rPr/>
        <w:pict>
          <v:group style="position:absolute;margin-left:174.141998pt;margin-top:120.930847pt;width:5.7pt;height:22.05pt;mso-position-horizontal-relative:page;mso-position-vertical-relative:paragraph;z-index:252033024" coordorigin="3483,2419" coordsize="114,441">
            <v:shape style="position:absolute;left:3482;top:2746;width:114;height:114" coordorigin="3483,2746" coordsize="114,114" path="m3596,2746l3483,2746,3540,2860,3596,2746xe" filled="true" fillcolor="#939598" stroked="false">
              <v:path arrowok="t"/>
              <v:fill type="solid"/>
            </v:shape>
            <v:line style="position:absolute" from="3540,2419" to="3540,2753" stroked="true" strokeweight="1.955pt" strokecolor="#939598">
              <v:stroke dashstyle="solid"/>
            </v:line>
            <w10:wrap type="none"/>
          </v:group>
        </w:pict>
      </w:r>
      <w:r>
        <w:rPr/>
        <w:pict>
          <v:group style="position:absolute;margin-left:174.141998pt;margin-top:204.535843pt;width:5.7pt;height:20.9pt;mso-position-horizontal-relative:page;mso-position-vertical-relative:paragraph;z-index:252034048" coordorigin="3483,4091" coordsize="114,418">
            <v:shape style="position:absolute;left:3482;top:4394;width:114;height:114" coordorigin="3483,4395" coordsize="114,114" path="m3596,4395l3483,4395,3540,4508,3596,4395xe" filled="true" fillcolor="#939598" stroked="false">
              <v:path arrowok="t"/>
              <v:fill type="solid"/>
            </v:shape>
            <v:line style="position:absolute" from="3540,4091" to="3540,4402" stroked="true" strokeweight="1.955pt" strokecolor="#939598">
              <v:stroke dashstyle="solid"/>
            </v:line>
            <w10:wrap type="none"/>
          </v:group>
        </w:pict>
      </w:r>
      <w:r>
        <w:rPr>
          <w:color w:val="231F20"/>
          <w:w w:val="120"/>
        </w:rPr>
        <w:t>伍、t呈</w:t>
      </w:r>
    </w:p>
    <w:p>
      <w:pPr>
        <w:pStyle w:val="BodyText"/>
        <w:ind w:left="147"/>
        <w:rPr>
          <w:rFonts w:ascii="微軟正黑體"/>
          <w:sz w:val="20"/>
        </w:rPr>
      </w:pPr>
      <w:r>
        <w:rPr>
          <w:rFonts w:ascii="微軟正黑體"/>
          <w:position w:val="0"/>
          <w:sz w:val="20"/>
        </w:rPr>
        <w:pict>
          <v:shape style="width:239.25pt;height:97.1pt;mso-position-horizontal-relative:char;mso-position-vertical-relative:line" type="#_x0000_t202" filled="false" stroked="true" strokeweight=".9pt" strokecolor="#939598">
            <w10:anchorlock/>
            <v:textbox inset="0,0,0,0">
              <w:txbxContent>
                <w:p>
                  <w:pPr>
                    <w:spacing w:line="409" w:lineRule="exact" w:before="0"/>
                    <w:ind w:left="118" w:right="0" w:firstLine="0"/>
                    <w:jc w:val="left"/>
                    <w:rPr>
                      <w:rFonts w:ascii="微軟正黑體" w:eastAsia="微軟正黑體" w:hint="eastAsia"/>
                      <w:b/>
                      <w:sz w:val="28"/>
                    </w:rPr>
                  </w:pPr>
                  <w:r>
                    <w:rPr>
                      <w:rFonts w:ascii="微軟正黑體" w:eastAsia="微軟正黑體" w:hint="eastAsia"/>
                      <w:b/>
                      <w:color w:val="231F20"/>
                      <w:sz w:val="28"/>
                    </w:rPr>
                    <w:t>地方衛生局</w:t>
                  </w:r>
                </w:p>
                <w:p>
                  <w:pPr>
                    <w:spacing w:line="175" w:lineRule="auto" w:before="4"/>
                    <w:ind w:left="118" w:right="260" w:firstLine="0"/>
                    <w:jc w:val="left"/>
                    <w:rPr>
                      <w:sz w:val="18"/>
                    </w:rPr>
                  </w:pPr>
                  <w:r>
                    <w:rPr>
                      <w:color w:val="231F20"/>
                      <w:spacing w:val="8"/>
                      <w:w w:val="95"/>
                      <w:sz w:val="18"/>
                    </w:rPr>
                    <w:t>每週定期監測轄區內疑似結核病聚集事件，利用TB</w:t>
                  </w:r>
                  <w:r>
                    <w:rPr>
                      <w:color w:val="231F20"/>
                      <w:spacing w:val="-17"/>
                      <w:w w:val="95"/>
                      <w:sz w:val="18"/>
                    </w:rPr>
                    <w:t>系  </w:t>
                  </w:r>
                  <w:r>
                    <w:rPr>
                      <w:color w:val="231F20"/>
                      <w:spacing w:val="7"/>
                      <w:sz w:val="18"/>
                    </w:rPr>
                    <w:t>統、疫情資料倉儲</w:t>
                  </w:r>
                  <w:r>
                    <w:rPr>
                      <w:color w:val="231F20"/>
                      <w:spacing w:val="11"/>
                      <w:sz w:val="18"/>
                    </w:rPr>
                    <w:t>BO</w:t>
                  </w:r>
                  <w:r>
                    <w:rPr>
                      <w:color w:val="231F20"/>
                      <w:sz w:val="18"/>
                    </w:rPr>
                    <w:t>系統：</w:t>
                  </w:r>
                </w:p>
                <w:p>
                  <w:pPr>
                    <w:numPr>
                      <w:ilvl w:val="0"/>
                      <w:numId w:val="270"/>
                    </w:numPr>
                    <w:tabs>
                      <w:tab w:pos="628" w:val="left" w:leader="none"/>
                    </w:tabs>
                    <w:spacing w:line="216" w:lineRule="exact" w:before="0"/>
                    <w:ind w:left="627" w:right="0" w:hanging="294"/>
                    <w:jc w:val="left"/>
                    <w:rPr>
                      <w:sz w:val="18"/>
                    </w:rPr>
                  </w:pPr>
                  <w:r>
                    <w:rPr>
                      <w:color w:val="231F20"/>
                      <w:sz w:val="18"/>
                    </w:rPr>
                    <w:t>比對「主要活動地」。</w:t>
                  </w:r>
                </w:p>
                <w:p>
                  <w:pPr>
                    <w:numPr>
                      <w:ilvl w:val="0"/>
                      <w:numId w:val="270"/>
                    </w:numPr>
                    <w:tabs>
                      <w:tab w:pos="628" w:val="left" w:leader="none"/>
                    </w:tabs>
                    <w:spacing w:line="230" w:lineRule="exact" w:before="0"/>
                    <w:ind w:left="627" w:right="0" w:hanging="294"/>
                    <w:jc w:val="left"/>
                    <w:rPr>
                      <w:sz w:val="18"/>
                    </w:rPr>
                  </w:pPr>
                  <w:r>
                    <w:rPr>
                      <w:color w:val="231F20"/>
                      <w:spacing w:val="9"/>
                      <w:sz w:val="18"/>
                    </w:rPr>
                    <w:t>接觸者轉個案時進—步蒐集相關資料。</w:t>
                  </w:r>
                </w:p>
                <w:p>
                  <w:pPr>
                    <w:numPr>
                      <w:ilvl w:val="0"/>
                      <w:numId w:val="270"/>
                    </w:numPr>
                    <w:tabs>
                      <w:tab w:pos="628" w:val="left" w:leader="none"/>
                    </w:tabs>
                    <w:spacing w:line="230" w:lineRule="exact" w:before="0"/>
                    <w:ind w:left="627" w:right="0" w:hanging="294"/>
                    <w:jc w:val="left"/>
                    <w:rPr>
                      <w:sz w:val="18"/>
                    </w:rPr>
                  </w:pPr>
                  <w:r>
                    <w:rPr>
                      <w:color w:val="231F20"/>
                      <w:spacing w:val="3"/>
                      <w:sz w:val="18"/>
                    </w:rPr>
                    <w:t>受理GIS</w:t>
                  </w:r>
                  <w:r>
                    <w:rPr>
                      <w:color w:val="231F20"/>
                      <w:spacing w:val="9"/>
                      <w:sz w:val="18"/>
                    </w:rPr>
                    <w:t>疑似聚集事件自動監測清單。</w:t>
                  </w:r>
                </w:p>
                <w:p>
                  <w:pPr>
                    <w:numPr>
                      <w:ilvl w:val="0"/>
                      <w:numId w:val="270"/>
                    </w:numPr>
                    <w:tabs>
                      <w:tab w:pos="628" w:val="left" w:leader="none"/>
                    </w:tabs>
                    <w:spacing w:line="272" w:lineRule="exact" w:before="0"/>
                    <w:ind w:left="627" w:right="0" w:hanging="294"/>
                    <w:jc w:val="left"/>
                    <w:rPr>
                      <w:sz w:val="18"/>
                    </w:rPr>
                  </w:pPr>
                  <w:r>
                    <w:rPr>
                      <w:color w:val="231F20"/>
                      <w:spacing w:val="9"/>
                      <w:sz w:val="18"/>
                    </w:rPr>
                    <w:t>檢視接觸者發病警示清單</w:t>
                  </w:r>
                </w:p>
              </w:txbxContent>
            </v:textbox>
            <v:stroke dashstyle="solid"/>
          </v:shape>
        </w:pict>
      </w:r>
      <w:r>
        <w:rPr>
          <w:rFonts w:ascii="微軟正黑體"/>
          <w:position w:val="0"/>
          <w:sz w:val="20"/>
        </w:rPr>
      </w:r>
    </w:p>
    <w:p>
      <w:pPr>
        <w:pStyle w:val="BodyText"/>
        <w:spacing w:before="9"/>
        <w:rPr>
          <w:rFonts w:ascii="微軟正黑體"/>
          <w:b/>
          <w:sz w:val="19"/>
        </w:rPr>
      </w:pPr>
      <w:r>
        <w:rPr/>
        <w:pict>
          <v:shape style="position:absolute;margin-left:56.811001pt;margin-top:20.337593pt;width:239.25pt;height:61.7pt;mso-position-horizontal-relative:page;mso-position-vertical-relative:paragraph;z-index:-251302912;mso-wrap-distance-left:0;mso-wrap-distance-right:0" type="#_x0000_t202" filled="false" stroked="true" strokeweight=".9pt" strokecolor="#939598">
            <v:textbox inset="0,0,0,0">
              <w:txbxContent>
                <w:p>
                  <w:pPr>
                    <w:tabs>
                      <w:tab w:pos="1903" w:val="left" w:leader="none"/>
                    </w:tabs>
                    <w:spacing w:line="405" w:lineRule="exact" w:before="0"/>
                    <w:ind w:left="119" w:right="0" w:firstLine="0"/>
                    <w:jc w:val="left"/>
                    <w:rPr>
                      <w:rFonts w:ascii="微軟正黑體" w:eastAsia="微軟正黑體" w:hint="eastAsia"/>
                      <w:b/>
                      <w:sz w:val="19"/>
                    </w:rPr>
                  </w:pPr>
                  <w:r>
                    <w:rPr>
                      <w:rFonts w:ascii="微軟正黑體" w:eastAsia="微軟正黑體" w:hint="eastAsia"/>
                      <w:b/>
                      <w:color w:val="231F20"/>
                      <w:sz w:val="28"/>
                    </w:rPr>
                    <w:t>地方衛生局</w:t>
                    <w:tab/>
                  </w:r>
                  <w:r>
                    <w:rPr>
                      <w:rFonts w:ascii="微軟正黑體" w:eastAsia="微軟正黑體" w:hint="eastAsia"/>
                      <w:b/>
                      <w:color w:val="231F20"/>
                      <w:w w:val="65"/>
                      <w:sz w:val="19"/>
                    </w:rPr>
                    <w:t>（</w:t>
                  </w:r>
                  <w:r>
                    <w:rPr>
                      <w:rFonts w:ascii="微軟正黑體" w:eastAsia="微軟正黑體" w:hint="eastAsia"/>
                      <w:b/>
                      <w:color w:val="231F20"/>
                      <w:spacing w:val="12"/>
                      <w:w w:val="65"/>
                      <w:sz w:val="19"/>
                    </w:rPr>
                    <w:t> </w:t>
                  </w:r>
                  <w:r>
                    <w:rPr>
                      <w:rFonts w:ascii="微軟正黑體" w:eastAsia="微軟正黑體" w:hint="eastAsia"/>
                      <w:b/>
                      <w:color w:val="231F20"/>
                      <w:sz w:val="19"/>
                    </w:rPr>
                    <w:t>初步疫調</w:t>
                  </w:r>
                  <w:r>
                    <w:rPr>
                      <w:rFonts w:ascii="微軟正黑體" w:eastAsia="微軟正黑體" w:hint="eastAsia"/>
                      <w:b/>
                      <w:color w:val="231F20"/>
                      <w:spacing w:val="-3"/>
                      <w:sz w:val="19"/>
                    </w:rPr>
                    <w:t> </w:t>
                  </w:r>
                  <w:r>
                    <w:rPr>
                      <w:rFonts w:ascii="微軟正黑體" w:eastAsia="微軟正黑體" w:hint="eastAsia"/>
                      <w:b/>
                      <w:color w:val="231F20"/>
                      <w:w w:val="65"/>
                      <w:sz w:val="19"/>
                    </w:rPr>
                    <w:t>）</w:t>
                  </w:r>
                </w:p>
                <w:p>
                  <w:pPr>
                    <w:spacing w:line="172" w:lineRule="auto" w:before="9"/>
                    <w:ind w:left="119" w:right="14" w:firstLine="0"/>
                    <w:jc w:val="left"/>
                    <w:rPr>
                      <w:sz w:val="18"/>
                    </w:rPr>
                  </w:pPr>
                  <w:r>
                    <w:rPr>
                      <w:color w:val="231F20"/>
                      <w:sz w:val="18"/>
                    </w:rPr>
                    <w:t>有疑似結核病聚集事件時，於 TB 系統開案並鍵入初報 ， 倘為接觸者轉個案時，則由接觸者個案管理之衛生局啟動調査。</w:t>
                  </w:r>
                </w:p>
              </w:txbxContent>
            </v:textbox>
            <v:stroke dashstyle="solid"/>
            <w10:wrap type="topAndBottom"/>
          </v:shape>
        </w:pict>
      </w:r>
    </w:p>
    <w:p>
      <w:pPr>
        <w:pStyle w:val="BodyText"/>
        <w:spacing w:before="16"/>
        <w:rPr>
          <w:rFonts w:ascii="微軟正黑體"/>
          <w:b/>
          <w:sz w:val="19"/>
        </w:rPr>
      </w:pPr>
    </w:p>
    <w:tbl>
      <w:tblPr>
        <w:tblW w:w="0" w:type="auto"/>
        <w:jc w:val="left"/>
        <w:tblInd w:w="167" w:type="dxa"/>
        <w:tblBorders>
          <w:top w:val="single" w:sz="8" w:space="0" w:color="939598"/>
          <w:left w:val="single" w:sz="8" w:space="0" w:color="939598"/>
          <w:bottom w:val="single" w:sz="8" w:space="0" w:color="939598"/>
          <w:right w:val="single" w:sz="8" w:space="0" w:color="939598"/>
          <w:insideH w:val="single" w:sz="8" w:space="0" w:color="939598"/>
          <w:insideV w:val="single" w:sz="8" w:space="0" w:color="939598"/>
        </w:tblBorders>
        <w:tblLayout w:type="fixed"/>
        <w:tblCellMar>
          <w:top w:w="0" w:type="dxa"/>
          <w:left w:w="0" w:type="dxa"/>
          <w:bottom w:w="0" w:type="dxa"/>
          <w:right w:w="0" w:type="dxa"/>
        </w:tblCellMar>
        <w:tblLook w:val="01E0"/>
      </w:tblPr>
      <w:tblGrid>
        <w:gridCol w:w="2403"/>
        <w:gridCol w:w="2381"/>
        <w:gridCol w:w="620"/>
      </w:tblGrid>
      <w:tr>
        <w:trPr>
          <w:trHeight w:val="353" w:hRule="atLeast"/>
        </w:trPr>
        <w:tc>
          <w:tcPr>
            <w:tcW w:w="4784" w:type="dxa"/>
            <w:gridSpan w:val="2"/>
            <w:vMerge w:val="restart"/>
          </w:tcPr>
          <w:p>
            <w:pPr>
              <w:pStyle w:val="TableParagraph"/>
              <w:tabs>
                <w:tab w:pos="3621" w:val="left" w:leader="none"/>
              </w:tabs>
              <w:spacing w:line="392" w:lineRule="exact"/>
              <w:ind w:left="126"/>
              <w:rPr>
                <w:rFonts w:ascii="微軟正黑體" w:eastAsia="微軟正黑體" w:hint="eastAsia"/>
                <w:b/>
                <w:sz w:val="19"/>
              </w:rPr>
            </w:pPr>
            <w:r>
              <w:rPr>
                <w:rFonts w:ascii="微軟正黑體" w:eastAsia="微軟正黑體" w:hint="eastAsia"/>
                <w:b/>
                <w:color w:val="231F20"/>
                <w:sz w:val="28"/>
              </w:rPr>
              <w:t>疾管署各區管制中心</w:t>
              <w:tab/>
            </w:r>
            <w:r>
              <w:rPr>
                <w:rFonts w:ascii="微軟正黑體" w:eastAsia="微軟正黑體" w:hint="eastAsia"/>
                <w:b/>
                <w:color w:val="231F20"/>
                <w:w w:val="65"/>
                <w:sz w:val="19"/>
              </w:rPr>
              <w:t>（</w:t>
            </w:r>
            <w:r>
              <w:rPr>
                <w:rFonts w:ascii="微軟正黑體" w:eastAsia="微軟正黑體" w:hint="eastAsia"/>
                <w:b/>
                <w:color w:val="231F20"/>
                <w:spacing w:val="-6"/>
                <w:w w:val="65"/>
                <w:sz w:val="19"/>
              </w:rPr>
              <w:t> </w:t>
            </w:r>
            <w:r>
              <w:rPr>
                <w:rFonts w:ascii="微軟正黑體" w:eastAsia="微軟正黑體" w:hint="eastAsia"/>
                <w:b/>
                <w:color w:val="231F20"/>
                <w:sz w:val="19"/>
              </w:rPr>
              <w:t>初步疫情</w:t>
            </w:r>
            <w:r>
              <w:rPr>
                <w:rFonts w:ascii="微軟正黑體" w:eastAsia="微軟正黑體" w:hint="eastAsia"/>
                <w:b/>
                <w:color w:val="231F20"/>
                <w:spacing w:val="-22"/>
                <w:sz w:val="19"/>
              </w:rPr>
              <w:t> </w:t>
            </w:r>
            <w:r>
              <w:rPr>
                <w:rFonts w:ascii="微軟正黑體" w:eastAsia="微軟正黑體" w:hint="eastAsia"/>
                <w:b/>
                <w:color w:val="231F20"/>
                <w:w w:val="65"/>
                <w:sz w:val="19"/>
              </w:rPr>
              <w:t>）</w:t>
            </w:r>
          </w:p>
          <w:p>
            <w:pPr>
              <w:pStyle w:val="TableParagraph"/>
              <w:spacing w:line="257" w:lineRule="exact"/>
              <w:ind w:left="126"/>
              <w:rPr>
                <w:sz w:val="18"/>
              </w:rPr>
            </w:pPr>
            <w:r>
              <w:rPr>
                <w:color w:val="231F20"/>
                <w:sz w:val="18"/>
              </w:rPr>
              <w:t>完成初判流行病學資料是否符合疑似結核病聚集？</w:t>
            </w:r>
          </w:p>
        </w:tc>
        <w:tc>
          <w:tcPr>
            <w:tcW w:w="620" w:type="dxa"/>
            <w:tcBorders>
              <w:top w:val="nil"/>
              <w:bottom w:val="single" w:sz="18" w:space="0" w:color="939598"/>
              <w:right w:val="nil"/>
            </w:tcBorders>
          </w:tcPr>
          <w:p>
            <w:pPr>
              <w:pStyle w:val="TableParagraph"/>
              <w:spacing w:before="19"/>
              <w:ind w:left="271"/>
              <w:rPr>
                <w:sz w:val="18"/>
              </w:rPr>
            </w:pPr>
            <w:r>
              <w:rPr>
                <w:color w:val="231F20"/>
                <w:sz w:val="18"/>
              </w:rPr>
              <w:t>否</w:t>
            </w:r>
          </w:p>
        </w:tc>
      </w:tr>
      <w:tr>
        <w:trPr>
          <w:trHeight w:val="336" w:hRule="atLeast"/>
        </w:trPr>
        <w:tc>
          <w:tcPr>
            <w:tcW w:w="4784" w:type="dxa"/>
            <w:gridSpan w:val="2"/>
            <w:vMerge/>
            <w:tcBorders>
              <w:top w:val="nil"/>
            </w:tcBorders>
          </w:tcPr>
          <w:p>
            <w:pPr>
              <w:rPr>
                <w:sz w:val="2"/>
                <w:szCs w:val="2"/>
              </w:rPr>
            </w:pPr>
          </w:p>
        </w:tc>
        <w:tc>
          <w:tcPr>
            <w:tcW w:w="620" w:type="dxa"/>
            <w:tcBorders>
              <w:top w:val="single" w:sz="18" w:space="0" w:color="939598"/>
              <w:bottom w:val="nil"/>
              <w:right w:val="nil"/>
            </w:tcBorders>
          </w:tcPr>
          <w:p>
            <w:pPr>
              <w:pStyle w:val="TableParagraph"/>
              <w:rPr>
                <w:rFonts w:ascii="Times New Roman"/>
                <w:sz w:val="18"/>
              </w:rPr>
            </w:pPr>
          </w:p>
        </w:tc>
      </w:tr>
      <w:tr>
        <w:trPr>
          <w:trHeight w:val="240" w:hRule="atLeast"/>
        </w:trPr>
        <w:tc>
          <w:tcPr>
            <w:tcW w:w="2403" w:type="dxa"/>
            <w:tcBorders>
              <w:left w:val="nil"/>
              <w:bottom w:val="nil"/>
              <w:right w:val="single" w:sz="18" w:space="0" w:color="939598"/>
            </w:tcBorders>
          </w:tcPr>
          <w:p>
            <w:pPr>
              <w:pStyle w:val="TableParagraph"/>
              <w:spacing w:line="217" w:lineRule="exact" w:before="3"/>
              <w:ind w:right="94"/>
              <w:jc w:val="right"/>
              <w:rPr>
                <w:sz w:val="18"/>
              </w:rPr>
            </w:pPr>
            <w:r>
              <w:rPr>
                <w:color w:val="231F20"/>
                <w:sz w:val="18"/>
              </w:rPr>
              <w:t>是</w:t>
            </w:r>
          </w:p>
        </w:tc>
        <w:tc>
          <w:tcPr>
            <w:tcW w:w="3001" w:type="dxa"/>
            <w:gridSpan w:val="2"/>
            <w:tcBorders>
              <w:top w:val="nil"/>
              <w:left w:val="single" w:sz="18" w:space="0" w:color="939598"/>
              <w:bottom w:val="nil"/>
              <w:right w:val="nil"/>
            </w:tcBorders>
          </w:tcPr>
          <w:p>
            <w:pPr>
              <w:pStyle w:val="TableParagraph"/>
              <w:rPr>
                <w:rFonts w:ascii="Times New Roman"/>
                <w:sz w:val="16"/>
              </w:rPr>
            </w:pPr>
          </w:p>
        </w:tc>
      </w:tr>
    </w:tbl>
    <w:p>
      <w:pPr>
        <w:pStyle w:val="BodyText"/>
        <w:ind w:left="147"/>
        <w:rPr>
          <w:rFonts w:ascii="微軟正黑體"/>
          <w:sz w:val="20"/>
        </w:rPr>
      </w:pPr>
      <w:r>
        <w:rPr>
          <w:rFonts w:ascii="微軟正黑體"/>
          <w:sz w:val="20"/>
        </w:rPr>
        <w:pict>
          <v:group style="width:482.1pt;height:74.650pt;mso-position-horizontal-relative:char;mso-position-vertical-relative:line" coordorigin="0,0" coordsize="9642,1493">
            <v:rect style="position:absolute;left:45;top:233;width:2749;height:185" filled="true" fillcolor="#e6e7e8" stroked="false">
              <v:fill type="solid"/>
            </v:rect>
            <v:rect style="position:absolute;left:9;top:111;width:4785;height:1054" filled="false" stroked="true" strokeweight=".9pt" strokecolor="#939598">
              <v:stroke dashstyle="solid"/>
            </v:rect>
            <v:shape style="position:absolute;left:5407;top:596;width:114;height:114" coordorigin="5408,597" coordsize="114,114" path="m5408,597l5408,710,5521,653,5408,597xe" filled="true" fillcolor="#939598" stroked="false">
              <v:path arrowok="t"/>
              <v:fill type="solid"/>
            </v:shape>
            <v:line style="position:absolute" from="4788,653" to="5415,653" stroked="true" strokeweight="1.955pt" strokecolor="#939598">
              <v:stroke dashstyle="solid"/>
            </v:line>
            <v:shape style="position:absolute;left:2355;top:0;width:114;height:114" coordorigin="2356,0" coordsize="114,114" path="m2469,0l2356,0,2412,113,2469,0xe" filled="true" fillcolor="#939598" stroked="false">
              <v:path arrowok="t"/>
              <v:fill type="solid"/>
            </v:shape>
            <v:shape style="position:absolute;left:2355;top:1378;width:114;height:114" coordorigin="2356,1379" coordsize="114,114" path="m2469,1379l2356,1379,2412,1492,2469,1379xe" filled="true" fillcolor="#939598" stroked="false">
              <v:path arrowok="t"/>
              <v:fill type="solid"/>
            </v:shape>
            <v:line style="position:absolute" from="2412,1167" to="2412,1386" stroked="true" strokeweight="1.955pt" strokecolor="#939598">
              <v:stroke dashstyle="solid"/>
            </v:line>
            <v:shape style="position:absolute;left:5519;top:111;width:4114;height:1054" type="#_x0000_t202" filled="false" stroked="true" strokeweight=".9pt" strokecolor="#939598">
              <v:textbox inset="0,0,0,0">
                <w:txbxContent>
                  <w:p>
                    <w:pPr>
                      <w:spacing w:line="240" w:lineRule="auto" w:before="17"/>
                      <w:rPr>
                        <w:rFonts w:ascii="微軟正黑體"/>
                        <w:b/>
                        <w:sz w:val="13"/>
                      </w:rPr>
                    </w:pPr>
                  </w:p>
                  <w:p>
                    <w:pPr>
                      <w:spacing w:line="272" w:lineRule="exact" w:before="0"/>
                      <w:ind w:left="99" w:right="0" w:firstLine="0"/>
                      <w:jc w:val="left"/>
                      <w:rPr>
                        <w:sz w:val="18"/>
                      </w:rPr>
                    </w:pPr>
                    <w:r>
                      <w:rPr>
                        <w:color w:val="231F20"/>
                        <w:sz w:val="18"/>
                      </w:rPr>
                      <w:t>跨單位轉移需有明確細蔥學證據或流病關聯性</w:t>
                    </w:r>
                  </w:p>
                  <w:p>
                    <w:pPr>
                      <w:spacing w:line="272" w:lineRule="exact" w:before="0"/>
                      <w:ind w:left="99" w:right="0" w:firstLine="0"/>
                      <w:jc w:val="left"/>
                      <w:rPr>
                        <w:sz w:val="18"/>
                      </w:rPr>
                    </w:pPr>
                    <w:r>
                      <w:rPr>
                        <w:color w:val="231F20"/>
                        <w:sz w:val="18"/>
                      </w:rPr>
                      <w:t>，並於10個工作天內完成轉移。</w:t>
                    </w:r>
                  </w:p>
                </w:txbxContent>
              </v:textbox>
              <v:stroke dashstyle="solid"/>
              <w10:wrap type="none"/>
            </v:shape>
            <v:shape style="position:absolute;left:136;top:492;width:4555;height:470" type="#_x0000_t202" filled="false" stroked="false">
              <v:textbox inset="0,0,0,0">
                <w:txbxContent>
                  <w:p>
                    <w:pPr>
                      <w:spacing w:line="175" w:lineRule="auto" w:before="36"/>
                      <w:ind w:left="0" w:right="18" w:firstLine="0"/>
                      <w:jc w:val="left"/>
                      <w:rPr>
                        <w:sz w:val="18"/>
                      </w:rPr>
                    </w:pPr>
                    <w:r>
                      <w:rPr>
                        <w:color w:val="231F20"/>
                        <w:sz w:val="18"/>
                      </w:rPr>
                      <w:t>初判疑似聚集事件發生地，並通知疑似結核病聚集事件所在地衛生局。</w:t>
                    </w:r>
                  </w:p>
                </w:txbxContent>
              </v:textbox>
              <w10:wrap type="none"/>
            </v:shape>
            <v:shape style="position:absolute;left:3631;top:235;width:1008;height:253" type="#_x0000_t202" filled="false" stroked="false">
              <v:textbox inset="0,0,0,0">
                <w:txbxContent>
                  <w:p>
                    <w:pPr>
                      <w:spacing w:line="253" w:lineRule="exact" w:before="0"/>
                      <w:ind w:left="0" w:right="0" w:firstLine="0"/>
                      <w:jc w:val="left"/>
                      <w:rPr>
                        <w:rFonts w:ascii="微軟正黑體" w:eastAsia="微軟正黑體" w:hint="eastAsia"/>
                        <w:b/>
                        <w:sz w:val="19"/>
                      </w:rPr>
                    </w:pPr>
                    <w:r>
                      <w:rPr>
                        <w:rFonts w:ascii="微軟正黑體" w:eastAsia="微軟正黑體" w:hint="eastAsia"/>
                        <w:b/>
                        <w:color w:val="231F20"/>
                        <w:w w:val="85"/>
                        <w:sz w:val="19"/>
                      </w:rPr>
                      <w:t>（</w:t>
                    </w:r>
                    <w:r>
                      <w:rPr>
                        <w:rFonts w:ascii="微軟正黑體" w:eastAsia="微軟正黑體" w:hint="eastAsia"/>
                        <w:b/>
                        <w:color w:val="231F20"/>
                        <w:spacing w:val="-10"/>
                        <w:w w:val="85"/>
                        <w:sz w:val="19"/>
                      </w:rPr>
                      <w:t> 初步疫情 </w:t>
                    </w:r>
                    <w:r>
                      <w:rPr>
                        <w:rFonts w:ascii="微軟正黑體" w:eastAsia="微軟正黑體" w:hint="eastAsia"/>
                        <w:b/>
                        <w:color w:val="231F20"/>
                        <w:w w:val="85"/>
                        <w:sz w:val="19"/>
                      </w:rPr>
                      <w:t>）</w:t>
                    </w:r>
                  </w:p>
                </w:txbxContent>
              </v:textbox>
              <w10:wrap type="none"/>
            </v:shape>
            <v:shape style="position:absolute;left:136;top:133;width:2539;height:373" type="#_x0000_t202" filled="false" stroked="false">
              <v:textbox inset="0,0,0,0">
                <w:txbxContent>
                  <w:p>
                    <w:pPr>
                      <w:spacing w:line="372" w:lineRule="exact" w:before="0"/>
                      <w:ind w:left="0" w:right="0" w:firstLine="0"/>
                      <w:jc w:val="left"/>
                      <w:rPr>
                        <w:rFonts w:ascii="微軟正黑體" w:eastAsia="微軟正黑體" w:hint="eastAsia"/>
                        <w:b/>
                        <w:sz w:val="28"/>
                      </w:rPr>
                    </w:pPr>
                    <w:r>
                      <w:rPr>
                        <w:rFonts w:ascii="微軟正黑體" w:eastAsia="微軟正黑體" w:hint="eastAsia"/>
                        <w:b/>
                        <w:color w:val="231F20"/>
                        <w:sz w:val="28"/>
                      </w:rPr>
                      <w:t>疾管署各區管制中心</w:t>
                    </w:r>
                  </w:p>
                </w:txbxContent>
              </v:textbox>
              <w10:wrap type="none"/>
            </v:shape>
          </v:group>
        </w:pict>
      </w:r>
      <w:r>
        <w:rPr>
          <w:rFonts w:ascii="微軟正黑體"/>
          <w:sz w:val="20"/>
        </w:rPr>
      </w:r>
    </w:p>
    <w:p>
      <w:pPr>
        <w:pStyle w:val="BodyText"/>
        <w:rPr>
          <w:rFonts w:ascii="微軟正黑體"/>
          <w:b/>
          <w:sz w:val="32"/>
        </w:rPr>
      </w:pPr>
    </w:p>
    <w:p>
      <w:pPr>
        <w:pStyle w:val="BodyText"/>
        <w:rPr>
          <w:rFonts w:ascii="微軟正黑體"/>
          <w:b/>
          <w:sz w:val="32"/>
        </w:rPr>
      </w:pPr>
    </w:p>
    <w:p>
      <w:pPr>
        <w:pStyle w:val="BodyText"/>
        <w:rPr>
          <w:rFonts w:ascii="微軟正黑體"/>
          <w:b/>
          <w:sz w:val="32"/>
        </w:rPr>
      </w:pPr>
    </w:p>
    <w:p>
      <w:pPr>
        <w:pStyle w:val="BodyText"/>
        <w:rPr>
          <w:rFonts w:ascii="微軟正黑體"/>
          <w:b/>
          <w:sz w:val="32"/>
        </w:rPr>
      </w:pPr>
    </w:p>
    <w:p>
      <w:pPr>
        <w:pStyle w:val="BodyText"/>
        <w:rPr>
          <w:rFonts w:ascii="微軟正黑體"/>
          <w:b/>
          <w:sz w:val="32"/>
        </w:rPr>
      </w:pPr>
    </w:p>
    <w:p>
      <w:pPr>
        <w:pStyle w:val="BodyText"/>
        <w:spacing w:before="9"/>
        <w:rPr>
          <w:rFonts w:ascii="微軟正黑體"/>
          <w:b/>
          <w:sz w:val="29"/>
        </w:rPr>
      </w:pPr>
    </w:p>
    <w:p>
      <w:pPr>
        <w:pStyle w:val="BodyText"/>
        <w:spacing w:line="230" w:lineRule="auto"/>
        <w:ind w:left="153" w:right="6827"/>
      </w:pPr>
      <w:r>
        <w:rPr/>
        <w:pict>
          <v:group style="position:absolute;margin-left:557.684509pt;margin-top:-238.289154pt;width:37.35pt;height:501.55pt;mso-position-horizontal-relative:page;mso-position-vertical-relative:paragraph;z-index:252020736" coordorigin="11154,-4766" coordsize="747,10031">
            <v:shape style="position:absolute;left:11283;top:-4255;width:439;height:9520" type="#_x0000_t75" stroked="false">
              <v:imagedata r:id="rId435" o:title=""/>
            </v:shape>
            <v:shape style="position:absolute;left:11153;top:-4766;width:747;height:812" coordorigin="11154,-4766" coordsize="747,812" path="m11900,-4766l11536,-4766,11514,-4764,11454,-4730,11188,-4447,11154,-4360,11162,-4314,11454,-3991,11514,-3957,11536,-3954,11900,-3954,11900,-4766xe" filled="true" fillcolor="#f37b7d" stroked="false">
              <v:path arrowok="t"/>
              <v:fill type="solid"/>
            </v:shape>
            <v:shape style="position:absolute;left:11321;top:-4499;width:374;height:273" type="#_x0000_t75" stroked="false">
              <v:imagedata r:id="rId436" o:title=""/>
            </v:shape>
            <v:shape style="position:absolute;left:11378;top:-3816;width:250;height:3597" type="#_x0000_t75" stroked="false">
              <v:imagedata r:id="rId437" o:title=""/>
            </v:shape>
            <v:shape style="position:absolute;left:11368;top:4702;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143</w:t>
                    </w:r>
                  </w:p>
                </w:txbxContent>
              </v:textbox>
              <w10:wrap type="none"/>
            </v:shape>
            <w10:wrap type="none"/>
          </v:group>
        </w:pict>
      </w:r>
      <w:r>
        <w:rPr/>
        <w:pict>
          <v:group style="position:absolute;margin-left:56.361pt;margin-top:-176.217148pt;width:240.15pt;height:77.650pt;mso-position-horizontal-relative:page;mso-position-vertical-relative:paragraph;z-index:252024832" coordorigin="1127,-3524" coordsize="4803,1553">
            <v:rect style="position:absolute;left:1173;top:-3402;width:4494;height:261" filled="true" fillcolor="#e6e7e8" stroked="false">
              <v:fill type="solid"/>
            </v:rect>
            <v:shape style="position:absolute;left:1136;top:-3516;width:4785;height:1535" type="#_x0000_t202" filled="false" stroked="true" strokeweight=".9pt" strokecolor="#939598">
              <v:textbox inset="0,0,0,0">
                <w:txbxContent>
                  <w:p>
                    <w:pPr>
                      <w:spacing w:line="422" w:lineRule="exact" w:before="0"/>
                      <w:ind w:left="118" w:right="0" w:firstLine="0"/>
                      <w:jc w:val="left"/>
                      <w:rPr>
                        <w:rFonts w:ascii="微軟正黑體" w:eastAsia="微軟正黑體" w:hint="eastAsia"/>
                        <w:b/>
                        <w:sz w:val="28"/>
                      </w:rPr>
                    </w:pPr>
                    <w:r>
                      <w:rPr>
                        <w:rFonts w:ascii="微軟正黑體" w:eastAsia="微軟正黑體" w:hint="eastAsia"/>
                        <w:b/>
                        <w:color w:val="231F20"/>
                        <w:sz w:val="28"/>
                      </w:rPr>
                      <w:t>疑似結核病聚集事件所在地衛生局</w:t>
                    </w:r>
                  </w:p>
                  <w:p>
                    <w:pPr>
                      <w:spacing w:line="180" w:lineRule="auto" w:before="7"/>
                      <w:ind w:left="118" w:right="112" w:firstLine="0"/>
                      <w:jc w:val="left"/>
                      <w:rPr>
                        <w:sz w:val="18"/>
                      </w:rPr>
                    </w:pPr>
                    <w:r>
                      <w:rPr>
                        <w:color w:val="231F20"/>
                        <w:sz w:val="18"/>
                      </w:rPr>
                      <w:t>下載並撰寫續報，疾管署各區管制中心審査後，疾管署各區管制中心或衛生局上傳 TB 系統 · 高傳播風險聚集事件增加接觸者追蹤、LTBI 治療範圍，並邀請專家評估環境。</w:t>
                    </w:r>
                  </w:p>
                </w:txbxContent>
              </v:textbox>
              <v:stroke dashstyle="solid"/>
              <w10:wrap type="none"/>
            </v:shape>
            <w10:wrap type="none"/>
          </v:group>
        </w:pict>
      </w:r>
      <w:r>
        <w:rPr/>
        <w:pict>
          <v:group style="position:absolute;margin-left:56.361pt;margin-top:-83.140152pt;width:240.15pt;height:80.05pt;mso-position-horizontal-relative:page;mso-position-vertical-relative:paragraph;z-index:252026880" coordorigin="1127,-1663" coordsize="4803,1601">
            <v:rect style="position:absolute;left:1173;top:-1536;width:4494;height:261" filled="true" fillcolor="#e6e7e8" stroked="false">
              <v:fill type="solid"/>
            </v:rect>
            <v:shape style="position:absolute;left:1136;top:-1654;width:4785;height:1583" type="#_x0000_t202" filled="false" stroked="true" strokeweight=".9pt" strokecolor="#939598">
              <v:textbox inset="0,0,0,0">
                <w:txbxContent>
                  <w:p>
                    <w:pPr>
                      <w:spacing w:line="440" w:lineRule="exact" w:before="0"/>
                      <w:ind w:left="118" w:right="0" w:firstLine="0"/>
                      <w:jc w:val="left"/>
                      <w:rPr>
                        <w:rFonts w:ascii="微軟正黑體" w:eastAsia="微軟正黑體" w:hint="eastAsia"/>
                        <w:b/>
                        <w:sz w:val="28"/>
                      </w:rPr>
                    </w:pPr>
                    <w:r>
                      <w:rPr>
                        <w:rFonts w:ascii="微軟正黑體" w:eastAsia="微軟正黑體" w:hint="eastAsia"/>
                        <w:b/>
                        <w:color w:val="231F20"/>
                        <w:sz w:val="28"/>
                      </w:rPr>
                      <w:t>疑似結核病聚集事件所在地衛生局</w:t>
                    </w:r>
                  </w:p>
                  <w:p>
                    <w:pPr>
                      <w:numPr>
                        <w:ilvl w:val="0"/>
                        <w:numId w:val="271"/>
                      </w:numPr>
                      <w:tabs>
                        <w:tab w:pos="563" w:val="left" w:leader="none"/>
                      </w:tabs>
                      <w:spacing w:line="175" w:lineRule="auto" w:before="18"/>
                      <w:ind w:left="571" w:right="178" w:hanging="238"/>
                      <w:jc w:val="left"/>
                      <w:rPr>
                        <w:sz w:val="18"/>
                      </w:rPr>
                    </w:pPr>
                    <w:r>
                      <w:rPr>
                        <w:color w:val="231F20"/>
                        <w:spacing w:val="8"/>
                        <w:sz w:val="18"/>
                      </w:rPr>
                      <w:t>至少每半年撰寫續報。追蹤結案時，應完成</w:t>
                    </w:r>
                    <w:r>
                      <w:rPr>
                        <w:color w:val="231F20"/>
                        <w:spacing w:val="2"/>
                        <w:sz w:val="18"/>
                      </w:rPr>
                      <w:t>TB</w:t>
                    </w:r>
                    <w:r>
                      <w:rPr>
                        <w:color w:val="231F20"/>
                        <w:spacing w:val="-25"/>
                        <w:sz w:val="18"/>
                      </w:rPr>
                      <w:t> 系</w:t>
                    </w:r>
                    <w:r>
                      <w:rPr>
                        <w:color w:val="231F20"/>
                        <w:sz w:val="18"/>
                      </w:rPr>
                      <w:t>統結案。</w:t>
                    </w:r>
                  </w:p>
                  <w:p>
                    <w:pPr>
                      <w:numPr>
                        <w:ilvl w:val="0"/>
                        <w:numId w:val="271"/>
                      </w:numPr>
                      <w:tabs>
                        <w:tab w:pos="563" w:val="left" w:leader="none"/>
                      </w:tabs>
                      <w:spacing w:line="175" w:lineRule="auto" w:before="3"/>
                      <w:ind w:left="571" w:right="205" w:hanging="238"/>
                      <w:jc w:val="left"/>
                      <w:rPr>
                        <w:sz w:val="18"/>
                      </w:rPr>
                    </w:pPr>
                    <w:r>
                      <w:rPr>
                        <w:color w:val="231F20"/>
                        <w:spacing w:val="9"/>
                        <w:sz w:val="18"/>
                      </w:rPr>
                      <w:t>蔥株相同，確定聚集事件時，於報告日後</w:t>
                    </w:r>
                    <w:r>
                      <w:rPr>
                        <w:color w:val="231F20"/>
                        <w:sz w:val="18"/>
                      </w:rPr>
                      <w:t>15</w:t>
                    </w:r>
                    <w:r>
                      <w:rPr>
                        <w:color w:val="231F20"/>
                        <w:spacing w:val="-5"/>
                        <w:sz w:val="18"/>
                      </w:rPr>
                      <w:t>個工</w:t>
                    </w:r>
                    <w:r>
                      <w:rPr>
                        <w:color w:val="231F20"/>
                        <w:spacing w:val="5"/>
                        <w:sz w:val="18"/>
                      </w:rPr>
                      <w:t>作天內召開專家會議。</w:t>
                    </w:r>
                  </w:p>
                </w:txbxContent>
              </v:textbox>
              <v:stroke dashstyle="solid"/>
              <w10:wrap type="none"/>
            </v:shape>
            <w10:wrap type="none"/>
          </v:group>
        </w:pict>
      </w:r>
      <w:r>
        <w:rPr/>
        <w:pict>
          <v:group style="position:absolute;margin-left:295.756989pt;margin-top:-43.204151pt;width:242.7pt;height:40.1pt;mso-position-horizontal-relative:page;mso-position-vertical-relative:paragraph;z-index:252028928" coordorigin="5915,-864" coordsize="4854,802">
            <v:rect style="position:absolute;left:6693;top:-743;width:3065;height:261" filled="true" fillcolor="#e6e7e8" stroked="false">
              <v:fill type="solid"/>
            </v:rect>
            <v:shape style="position:absolute;left:5915;top:-509;width:114;height:114" coordorigin="5915,-509" coordsize="114,114" path="m6029,-509l5915,-452,6029,-395,6029,-509xe" filled="true" fillcolor="#939598" stroked="false">
              <v:path arrowok="t"/>
              <v:fill type="solid"/>
            </v:shape>
            <v:line style="position:absolute" from="6022,-452" to="6649,-452" stroked="true" strokeweight="1.956pt" strokecolor="#939598">
              <v:stroke dashstyle="solid"/>
            </v:line>
            <v:shape style="position:absolute;left:6646;top:-856;width:4114;height:784" type="#_x0000_t202" filled="false" stroked="true" strokeweight=".9pt" strokecolor="#939598">
              <v:textbox inset="0,0,0,0">
                <w:txbxContent>
                  <w:p>
                    <w:pPr>
                      <w:spacing w:line="466" w:lineRule="exact" w:before="0"/>
                      <w:ind w:left="99" w:right="0" w:firstLine="0"/>
                      <w:jc w:val="left"/>
                      <w:rPr>
                        <w:rFonts w:ascii="微軟正黑體" w:eastAsia="微軟正黑體" w:hint="eastAsia"/>
                        <w:b/>
                        <w:sz w:val="28"/>
                      </w:rPr>
                    </w:pPr>
                    <w:r>
                      <w:rPr>
                        <w:rFonts w:ascii="微軟正黑體" w:eastAsia="微軟正黑體" w:hint="eastAsia"/>
                        <w:b/>
                        <w:color w:val="231F20"/>
                        <w:sz w:val="28"/>
                      </w:rPr>
                      <w:t>疾管署分枝桿菌實驗室</w:t>
                    </w:r>
                  </w:p>
                  <w:p>
                    <w:pPr>
                      <w:spacing w:line="300" w:lineRule="exact" w:before="0"/>
                      <w:ind w:left="99" w:right="0" w:firstLine="0"/>
                      <w:jc w:val="left"/>
                      <w:rPr>
                        <w:sz w:val="18"/>
                      </w:rPr>
                    </w:pPr>
                    <w:r>
                      <w:rPr>
                        <w:color w:val="231F20"/>
                        <w:sz w:val="18"/>
                      </w:rPr>
                      <w:t>收受檢體進行檢驗。</w:t>
                    </w:r>
                  </w:p>
                </w:txbxContent>
              </v:textbox>
              <v:stroke dashstyle="solid"/>
              <w10:wrap type="none"/>
            </v:shape>
            <w10:wrap type="none"/>
          </v:group>
        </w:pict>
      </w:r>
      <w:r>
        <w:rPr/>
        <w:pict>
          <v:group style="position:absolute;margin-left:295.756989pt;margin-top:-140.219147pt;width:36.7pt;height:5.7pt;mso-position-horizontal-relative:page;mso-position-vertical-relative:paragraph;z-index:252035072" coordorigin="5915,-2804" coordsize="734,114">
            <v:shape style="position:absolute;left:6535;top:-2805;width:114;height:114" coordorigin="6535,-2804" coordsize="114,114" path="m6535,-2804l6535,-2691,6649,-2748,6535,-2804xe" filled="true" fillcolor="#939598" stroked="false">
              <v:path arrowok="t"/>
              <v:fill type="solid"/>
            </v:shape>
            <v:line style="position:absolute" from="5915,-2748" to="6542,-2748" stroked="true" strokeweight="1.955pt" strokecolor="#939598">
              <v:stroke dashstyle="solid"/>
            </v:line>
            <w10:wrap type="none"/>
          </v:group>
        </w:pict>
      </w:r>
      <w:r>
        <w:rPr/>
        <w:pict>
          <v:group style="position:absolute;margin-left:295.756989pt;margin-top:-192.003143pt;width:140.4pt;height:29.6pt;mso-position-horizontal-relative:page;mso-position-vertical-relative:paragraph;z-index:-266021888" coordorigin="5915,-3840" coordsize="2808,592">
            <v:shape style="position:absolute;left:5915;top:-3362;width:114;height:114" coordorigin="5915,-3362" coordsize="114,114" path="m6029,-3362l5915,-3305,6029,-3249,6029,-3362xe" filled="true" fillcolor="#939598" stroked="false">
              <v:path arrowok="t"/>
              <v:fill type="solid"/>
            </v:shape>
            <v:shape style="position:absolute;left:6021;top:-3841;width:2690;height:555" coordorigin="6022,-3840" coordsize="2690,555" path="m6022,-3305l8711,-3305m8703,-3840l8703,-3286e" filled="false" stroked="true" strokeweight="1.955pt" strokecolor="#939598">
              <v:path arrowok="t"/>
              <v:stroke dashstyle="solid"/>
            </v:shape>
            <w10:wrap type="none"/>
          </v:group>
        </w:pict>
      </w:r>
      <w:r>
        <w:rPr/>
        <w:pict>
          <v:group style="position:absolute;margin-left:174.141998pt;margin-top:-99.066147pt;width:5.7pt;height:16.3pt;mso-position-horizontal-relative:page;mso-position-vertical-relative:paragraph;z-index:252037120" coordorigin="3483,-1981" coordsize="114,326">
            <v:shape style="position:absolute;left:3482;top:-1770;width:114;height:114" coordorigin="3483,-1769" coordsize="114,114" path="m3596,-1769l3483,-1769,3540,-1656,3596,-1769xe" filled="true" fillcolor="#939598" stroked="false">
              <v:path arrowok="t"/>
              <v:fill type="solid"/>
            </v:shape>
            <v:line style="position:absolute" from="3540,-1981" to="3540,-1762" stroked="true" strokeweight="1.955pt" strokecolor="#939598">
              <v:stroke dashstyle="solid"/>
            </v:line>
            <w10:wrap type="none"/>
          </v:group>
        </w:pict>
      </w:r>
      <w:r>
        <w:rPr/>
        <w:pict>
          <v:shape style="position:absolute;margin-left:432.608032pt;margin-top:-52.202164pt;width:5.7pt;height:9.1pt;mso-position-horizontal-relative:page;mso-position-vertical-relative:paragraph;z-index:252038144" coordorigin="8652,-1044" coordsize="114,182" path="m8766,-976l8728,-976,8728,-1044,8689,-1044,8689,-976,8652,-976,8709,-863,8766,-976e" filled="true" fillcolor="#939598" stroked="false">
            <v:path arrowok="t"/>
            <v:fill type="solid"/>
            <w10:wrap type="none"/>
          </v:shape>
        </w:pict>
      </w:r>
      <w:r>
        <w:rPr/>
        <w:pict>
          <v:shape style="position:absolute;margin-left:332.312012pt;margin-top:-156.666153pt;width:205.7pt;height:104.1pt;mso-position-horizontal-relative:page;mso-position-vertical-relative:paragraph;z-index:252039168" type="#_x0000_t202" filled="false" stroked="true" strokeweight=".9pt" strokecolor="#939598">
            <v:textbox inset="0,0,0,0">
              <w:txbxContent>
                <w:p>
                  <w:pPr>
                    <w:numPr>
                      <w:ilvl w:val="0"/>
                      <w:numId w:val="272"/>
                    </w:numPr>
                    <w:tabs>
                      <w:tab w:pos="327" w:val="left" w:leader="none"/>
                    </w:tabs>
                    <w:spacing w:line="175" w:lineRule="auto" w:before="146"/>
                    <w:ind w:left="326" w:right="95" w:hanging="227"/>
                    <w:jc w:val="left"/>
                    <w:rPr>
                      <w:sz w:val="18"/>
                    </w:rPr>
                  </w:pPr>
                  <w:r>
                    <w:rPr>
                      <w:color w:val="231F20"/>
                      <w:spacing w:val="3"/>
                      <w:sz w:val="18"/>
                    </w:rPr>
                    <w:t>第</w:t>
                  </w:r>
                  <w:r>
                    <w:rPr>
                      <w:color w:val="231F20"/>
                      <w:sz w:val="18"/>
                    </w:rPr>
                    <w:t>2</w:t>
                  </w:r>
                  <w:r>
                    <w:rPr>
                      <w:color w:val="231F20"/>
                      <w:spacing w:val="10"/>
                      <w:sz w:val="18"/>
                    </w:rPr>
                    <w:t>例個案有陽性蔥株時，事件所在地衛生</w:t>
                  </w:r>
                  <w:r>
                    <w:rPr>
                      <w:color w:val="231F20"/>
                      <w:spacing w:val="8"/>
                      <w:sz w:val="18"/>
                    </w:rPr>
                    <w:t>局於實驗室資訊管理系統 </w:t>
                  </w:r>
                  <w:r>
                    <w:rPr>
                      <w:color w:val="231F20"/>
                      <w:w w:val="70"/>
                      <w:sz w:val="18"/>
                    </w:rPr>
                    <w:t>（</w:t>
                  </w:r>
                  <w:r>
                    <w:rPr>
                      <w:color w:val="231F20"/>
                      <w:spacing w:val="14"/>
                      <w:w w:val="70"/>
                      <w:sz w:val="18"/>
                    </w:rPr>
                    <w:t> </w:t>
                  </w:r>
                  <w:r>
                    <w:rPr>
                      <w:color w:val="231F20"/>
                      <w:spacing w:val="7"/>
                      <w:sz w:val="18"/>
                    </w:rPr>
                    <w:t>LIMS</w:t>
                  </w:r>
                  <w:r>
                    <w:rPr>
                      <w:color w:val="231F20"/>
                      <w:spacing w:val="3"/>
                      <w:sz w:val="18"/>
                    </w:rPr>
                    <w:t> ) 建立事件編號。</w:t>
                  </w:r>
                </w:p>
                <w:p>
                  <w:pPr>
                    <w:numPr>
                      <w:ilvl w:val="0"/>
                      <w:numId w:val="272"/>
                    </w:numPr>
                    <w:tabs>
                      <w:tab w:pos="327" w:val="left" w:leader="none"/>
                    </w:tabs>
                    <w:spacing w:line="175" w:lineRule="auto" w:before="3"/>
                    <w:ind w:left="326" w:right="143" w:hanging="227"/>
                    <w:jc w:val="both"/>
                    <w:rPr>
                      <w:sz w:val="18"/>
                    </w:rPr>
                  </w:pPr>
                  <w:r>
                    <w:rPr>
                      <w:color w:val="231F20"/>
                      <w:spacing w:val="10"/>
                      <w:sz w:val="18"/>
                    </w:rPr>
                    <w:t>事件所在地衛生局請個案管理衛生局通知送</w:t>
                  </w:r>
                  <w:r>
                    <w:rPr>
                      <w:color w:val="231F20"/>
                      <w:spacing w:val="8"/>
                      <w:sz w:val="18"/>
                    </w:rPr>
                    <w:t>驗單位登錄送驗單，</w:t>
                  </w:r>
                  <w:r>
                    <w:rPr>
                      <w:color w:val="231F20"/>
                      <w:sz w:val="18"/>
                    </w:rPr>
                    <w:t>10 個工作天內進行蔥株</w:t>
                  </w:r>
                  <w:r>
                    <w:rPr>
                      <w:color w:val="231F20"/>
                      <w:spacing w:val="10"/>
                      <w:sz w:val="18"/>
                    </w:rPr>
                    <w:t>送驗，並於蔥株送出後通知事件所在地衛生局。</w:t>
                  </w:r>
                </w:p>
                <w:p>
                  <w:pPr>
                    <w:numPr>
                      <w:ilvl w:val="0"/>
                      <w:numId w:val="272"/>
                    </w:numPr>
                    <w:tabs>
                      <w:tab w:pos="327" w:val="left" w:leader="none"/>
                    </w:tabs>
                    <w:spacing w:line="260" w:lineRule="exact" w:before="0"/>
                    <w:ind w:left="326" w:right="0" w:hanging="228"/>
                    <w:jc w:val="both"/>
                    <w:rPr>
                      <w:sz w:val="18"/>
                    </w:rPr>
                  </w:pPr>
                  <w:r>
                    <w:rPr>
                      <w:color w:val="231F20"/>
                      <w:spacing w:val="10"/>
                      <w:sz w:val="18"/>
                    </w:rPr>
                    <w:t>事件所在地衛生局進行送驗單歸併作業。</w:t>
                  </w:r>
                </w:p>
              </w:txbxContent>
            </v:textbox>
            <v:stroke dashstyle="solid"/>
            <w10:wrap type="none"/>
          </v:shape>
        </w:pict>
      </w:r>
      <w:r>
        <w:rPr>
          <w:color w:val="231F20"/>
        </w:rPr>
        <w:t>附件 12-1、指標個案訪談面談紀錄表附件 12-2、—般聚集事件疫調報告附件 12-3、校園聚集事件疫調報告</w:t>
      </w:r>
    </w:p>
    <w:p>
      <w:pPr>
        <w:pStyle w:val="BodyText"/>
        <w:spacing w:line="403" w:lineRule="exact"/>
        <w:ind w:left="153"/>
      </w:pPr>
      <w:r>
        <w:rPr>
          <w:color w:val="231F20"/>
        </w:rPr>
        <w:t>附件 12-4、結核病聚集事件發生地通風換氣監測原則</w:t>
      </w:r>
    </w:p>
    <w:p>
      <w:pPr>
        <w:spacing w:after="0" w:line="403" w:lineRule="exact"/>
        <w:sectPr>
          <w:pgSz w:w="11910" w:h="16840"/>
          <w:pgMar w:top="1060" w:bottom="0" w:left="980" w:right="0"/>
        </w:sectPr>
      </w:pPr>
    </w:p>
    <w:p>
      <w:pPr>
        <w:pStyle w:val="Heading2"/>
        <w:spacing w:line="240" w:lineRule="auto" w:before="27"/>
      </w:pPr>
      <w:r>
        <w:rPr/>
        <w:pict>
          <v:group style="position:absolute;margin-left:-.000001pt;margin-top:340.166992pt;width:37.35pt;height:501.55pt;mso-position-horizontal-relative:page;mso-position-vertical-relative:page;z-index:252041216" coordorigin="0,6803" coordsize="747,10031">
            <v:shape style="position:absolute;left:178;top:7314;width:439;height:9520" type="#_x0000_t75" stroked="false">
              <v:imagedata r:id="rId438" o:title=""/>
            </v:shape>
            <v:shape style="position:absolute;left:0;top:6803;width:747;height:812" coordorigin="0,6803" coordsize="747,812" path="m365,6803l0,6803,0,7615,365,7615,387,7612,447,7578,713,7296,747,7209,738,7163,447,6839,387,6806,365,6803xe" filled="true" fillcolor="#f37b7d" stroked="false">
              <v:path arrowok="t"/>
              <v:fill type="solid"/>
            </v:shape>
            <v:shape style="position:absolute;left:216;top:7070;width:374;height:273" type="#_x0000_t75" stroked="false">
              <v:imagedata r:id="rId439" o:title=""/>
            </v:shape>
            <v:shape style="position:absolute;left:273;top:7753;width:250;height:3597" type="#_x0000_t75" stroked="false">
              <v:imagedata r:id="rId440"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144</w:t>
                    </w:r>
                  </w:p>
                </w:txbxContent>
              </v:textbox>
              <w10:wrap type="none"/>
            </v:shape>
            <w10:wrap type="none"/>
          </v:group>
        </w:pict>
      </w:r>
      <w:r>
        <w:rPr/>
        <w:pict>
          <v:shape style="position:absolute;margin-left:56.6675pt;margin-top:21.462345pt;width:482.05pt;height:663.15pt;mso-position-horizontal-relative:page;mso-position-vertical-relative:paragraph;z-index:25204224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40"/>
                    <w:gridCol w:w="1233"/>
                    <w:gridCol w:w="7148"/>
                  </w:tblGrid>
                  <w:tr>
                    <w:trPr>
                      <w:trHeight w:val="451" w:hRule="atLeast"/>
                    </w:trPr>
                    <w:tc>
                      <w:tcPr>
                        <w:tcW w:w="2473" w:type="dxa"/>
                        <w:gridSpan w:val="2"/>
                        <w:shd w:val="clear" w:color="auto" w:fill="E6E7E8"/>
                      </w:tcPr>
                      <w:p>
                        <w:pPr>
                          <w:pStyle w:val="TableParagraph"/>
                          <w:spacing w:line="431" w:lineRule="exact"/>
                          <w:ind w:left="755"/>
                          <w:rPr>
                            <w:rFonts w:ascii="微軟正黑體" w:eastAsia="微軟正黑體" w:hint="eastAsia"/>
                            <w:b/>
                            <w:sz w:val="24"/>
                          </w:rPr>
                        </w:pPr>
                        <w:r>
                          <w:rPr>
                            <w:rFonts w:ascii="微軟正黑體" w:eastAsia="微軟正黑體" w:hint="eastAsia"/>
                            <w:b/>
                            <w:color w:val="231F20"/>
                            <w:sz w:val="24"/>
                          </w:rPr>
                          <w:t>主責單位</w:t>
                        </w:r>
                      </w:p>
                    </w:tc>
                    <w:tc>
                      <w:tcPr>
                        <w:tcW w:w="7148" w:type="dxa"/>
                        <w:vMerge w:val="restart"/>
                        <w:shd w:val="clear" w:color="auto" w:fill="E6E7E8"/>
                      </w:tcPr>
                      <w:p>
                        <w:pPr>
                          <w:pStyle w:val="TableParagraph"/>
                          <w:spacing w:before="233"/>
                          <w:ind w:left="2841" w:right="2830"/>
                          <w:jc w:val="center"/>
                          <w:rPr>
                            <w:rFonts w:ascii="微軟正黑體" w:eastAsia="微軟正黑體" w:hint="eastAsia"/>
                            <w:b/>
                            <w:sz w:val="24"/>
                          </w:rPr>
                        </w:pPr>
                        <w:r>
                          <w:rPr>
                            <w:rFonts w:ascii="微軟正黑體" w:eastAsia="微軟正黑體" w:hint="eastAsia"/>
                            <w:b/>
                            <w:color w:val="231F20"/>
                            <w:w w:val="110"/>
                            <w:sz w:val="24"/>
                          </w:rPr>
                          <w:t>疫情監控t呈</w:t>
                        </w:r>
                      </w:p>
                    </w:tc>
                  </w:tr>
                  <w:tr>
                    <w:trPr>
                      <w:trHeight w:val="451" w:hRule="atLeast"/>
                    </w:trPr>
                    <w:tc>
                      <w:tcPr>
                        <w:tcW w:w="1240" w:type="dxa"/>
                        <w:shd w:val="clear" w:color="auto" w:fill="E6E7E8"/>
                      </w:tcPr>
                      <w:p>
                        <w:pPr>
                          <w:pStyle w:val="TableParagraph"/>
                          <w:spacing w:line="432" w:lineRule="exact"/>
                          <w:ind w:left="139"/>
                          <w:rPr>
                            <w:rFonts w:ascii="微軟正黑體" w:eastAsia="微軟正黑體" w:hint="eastAsia"/>
                            <w:b/>
                            <w:sz w:val="24"/>
                          </w:rPr>
                        </w:pPr>
                        <w:r>
                          <w:rPr>
                            <w:rFonts w:ascii="微軟正黑體" w:eastAsia="微軟正黑體" w:hint="eastAsia"/>
                            <w:b/>
                            <w:color w:val="231F20"/>
                            <w:sz w:val="24"/>
                          </w:rPr>
                          <w:t>區管中心</w:t>
                        </w:r>
                      </w:p>
                    </w:tc>
                    <w:tc>
                      <w:tcPr>
                        <w:tcW w:w="1233" w:type="dxa"/>
                        <w:shd w:val="clear" w:color="auto" w:fill="E6E7E8"/>
                      </w:tcPr>
                      <w:p>
                        <w:pPr>
                          <w:pStyle w:val="TableParagraph"/>
                          <w:spacing w:line="432" w:lineRule="exact"/>
                          <w:ind w:left="255"/>
                          <w:rPr>
                            <w:rFonts w:ascii="微軟正黑體" w:eastAsia="微軟正黑體" w:hint="eastAsia"/>
                            <w:b/>
                            <w:sz w:val="24"/>
                          </w:rPr>
                        </w:pPr>
                        <w:r>
                          <w:rPr>
                            <w:rFonts w:ascii="微軟正黑體" w:eastAsia="微軟正黑體" w:hint="eastAsia"/>
                            <w:b/>
                            <w:color w:val="231F20"/>
                            <w:sz w:val="24"/>
                          </w:rPr>
                          <w:t>衛生局</w:t>
                        </w:r>
                      </w:p>
                    </w:tc>
                    <w:tc>
                      <w:tcPr>
                        <w:tcW w:w="7148" w:type="dxa"/>
                        <w:vMerge/>
                        <w:tcBorders>
                          <w:top w:val="nil"/>
                        </w:tcBorders>
                        <w:shd w:val="clear" w:color="auto" w:fill="E6E7E8"/>
                      </w:tcPr>
                      <w:p>
                        <w:pPr>
                          <w:rPr>
                            <w:sz w:val="2"/>
                            <w:szCs w:val="2"/>
                          </w:rPr>
                        </w:pPr>
                      </w:p>
                    </w:tc>
                  </w:tr>
                  <w:tr>
                    <w:trPr>
                      <w:trHeight w:val="2888" w:hRule="atLeast"/>
                    </w:trPr>
                    <w:tc>
                      <w:tcPr>
                        <w:tcW w:w="1240" w:type="dxa"/>
                        <w:tcBorders>
                          <w:bottom w:val="nil"/>
                        </w:tcBorders>
                      </w:tcPr>
                      <w:p>
                        <w:pPr>
                          <w:pStyle w:val="TableParagraph"/>
                          <w:spacing w:before="58"/>
                          <w:ind w:left="13"/>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spacing w:before="9"/>
                          <w:rPr>
                            <w:rFonts w:ascii="微軟正黑體"/>
                            <w:b/>
                            <w:sz w:val="23"/>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spacing w:before="7"/>
                          <w:rPr>
                            <w:rFonts w:ascii="微軟正黑體"/>
                            <w:b/>
                            <w:sz w:val="24"/>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tc>
                    <w:tc>
                      <w:tcPr>
                        <w:tcW w:w="1233" w:type="dxa"/>
                        <w:tcBorders>
                          <w:bottom w:val="nil"/>
                        </w:tcBorders>
                      </w:tcPr>
                      <w:p>
                        <w:pPr>
                          <w:pStyle w:val="TableParagraph"/>
                          <w:spacing w:before="58"/>
                          <w:ind w:left="13"/>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spacing w:before="9"/>
                          <w:rPr>
                            <w:rFonts w:ascii="微軟正黑體"/>
                            <w:b/>
                            <w:sz w:val="23"/>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spacing w:before="7"/>
                          <w:rPr>
                            <w:rFonts w:ascii="微軟正黑體"/>
                            <w:b/>
                            <w:sz w:val="24"/>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tc>
                    <w:tc>
                      <w:tcPr>
                        <w:tcW w:w="7148" w:type="dxa"/>
                        <w:tcBorders>
                          <w:bottom w:val="nil"/>
                        </w:tcBorders>
                      </w:tcPr>
                      <w:p>
                        <w:pPr>
                          <w:pStyle w:val="TableParagraph"/>
                          <w:numPr>
                            <w:ilvl w:val="0"/>
                            <w:numId w:val="273"/>
                          </w:numPr>
                          <w:tabs>
                            <w:tab w:pos="351" w:val="left" w:leader="none"/>
                          </w:tabs>
                          <w:spacing w:line="230" w:lineRule="auto" w:before="43" w:after="0"/>
                          <w:ind w:left="350" w:right="87" w:hanging="238"/>
                          <w:jc w:val="both"/>
                          <w:rPr>
                            <w:sz w:val="24"/>
                          </w:rPr>
                        </w:pPr>
                        <w:r>
                          <w:rPr>
                            <w:color w:val="231F20"/>
                            <w:sz w:val="24"/>
                            <w:shd w:fill="D1D3D4" w:color="auto" w:val="clear"/>
                          </w:rPr>
                          <w:t>疫情監測</w:t>
                        </w:r>
                        <w:r>
                          <w:rPr>
                            <w:color w:val="231F20"/>
                            <w:spacing w:val="1"/>
                            <w:sz w:val="24"/>
                          </w:rPr>
                          <w:t> - 每週定期於</w:t>
                        </w:r>
                        <w:r>
                          <w:rPr>
                            <w:color w:val="231F20"/>
                            <w:sz w:val="24"/>
                          </w:rPr>
                          <w:t>TB</w:t>
                        </w:r>
                        <w:r>
                          <w:rPr>
                            <w:color w:val="231F20"/>
                            <w:spacing w:val="-8"/>
                            <w:sz w:val="24"/>
                          </w:rPr>
                          <w:t> 系統、疫情資料倉儲 </w:t>
                        </w:r>
                        <w:r>
                          <w:rPr>
                            <w:color w:val="231F20"/>
                            <w:sz w:val="24"/>
                          </w:rPr>
                          <w:t>BO</w:t>
                        </w:r>
                        <w:r>
                          <w:rPr>
                            <w:color w:val="231F20"/>
                            <w:spacing w:val="-11"/>
                            <w:sz w:val="24"/>
                          </w:rPr>
                          <w:t> 系統、「</w:t>
                        </w:r>
                        <w:r>
                          <w:rPr>
                            <w:color w:val="231F20"/>
                            <w:sz w:val="24"/>
                          </w:rPr>
                          <w:t>GIS </w:t>
                        </w:r>
                        <w:r>
                          <w:rPr>
                            <w:color w:val="231F20"/>
                            <w:spacing w:val="6"/>
                            <w:sz w:val="24"/>
                          </w:rPr>
                          <w:t>疑似聚集事件自動監測清單」、「接觸者發病警示清冊」監測</w:t>
                        </w:r>
                        <w:r>
                          <w:rPr>
                            <w:color w:val="231F20"/>
                            <w:sz w:val="24"/>
                          </w:rPr>
                          <w:t>疫情</w:t>
                        </w:r>
                      </w:p>
                      <w:p>
                        <w:pPr>
                          <w:pStyle w:val="TableParagraph"/>
                          <w:numPr>
                            <w:ilvl w:val="0"/>
                            <w:numId w:val="273"/>
                          </w:numPr>
                          <w:tabs>
                            <w:tab w:pos="356" w:val="left" w:leader="none"/>
                          </w:tabs>
                          <w:spacing w:line="411" w:lineRule="exact" w:before="0" w:after="0"/>
                          <w:ind w:left="355" w:right="0" w:hanging="244"/>
                          <w:jc w:val="both"/>
                          <w:rPr>
                            <w:sz w:val="24"/>
                          </w:rPr>
                        </w:pPr>
                        <w:r>
                          <w:rPr>
                            <w:color w:val="231F20"/>
                            <w:spacing w:val="-5"/>
                            <w:w w:val="120"/>
                            <w:sz w:val="24"/>
                            <w:shd w:fill="D1D3D4" w:color="auto" w:val="clear"/>
                          </w:rPr>
                          <w:t>疫情初判 </w:t>
                        </w:r>
                        <w:r>
                          <w:rPr>
                            <w:color w:val="231F20"/>
                            <w:w w:val="130"/>
                            <w:sz w:val="24"/>
                            <w:shd w:fill="D1D3D4" w:color="auto" w:val="clear"/>
                          </w:rPr>
                          <w:t>(初報)</w:t>
                        </w:r>
                      </w:p>
                      <w:p>
                        <w:pPr>
                          <w:pStyle w:val="TableParagraph"/>
                          <w:spacing w:line="230" w:lineRule="auto" w:before="10"/>
                          <w:ind w:left="605" w:right="99"/>
                          <w:jc w:val="both"/>
                          <w:rPr>
                            <w:sz w:val="24"/>
                          </w:rPr>
                        </w:pPr>
                        <w:r>
                          <w:rPr>
                            <w:color w:val="231F20"/>
                            <w:spacing w:val="-1"/>
                            <w:sz w:val="24"/>
                          </w:rPr>
                          <w:t>衛生局初步調査疫情，撰寫初報並於 </w:t>
                        </w:r>
                        <w:r>
                          <w:rPr>
                            <w:color w:val="231F20"/>
                            <w:sz w:val="24"/>
                          </w:rPr>
                          <w:t>TB</w:t>
                        </w:r>
                        <w:r>
                          <w:rPr>
                            <w:color w:val="231F20"/>
                            <w:spacing w:val="-5"/>
                            <w:sz w:val="24"/>
                          </w:rPr>
                          <w:t> 系統進行開案；疾管</w:t>
                        </w:r>
                        <w:r>
                          <w:rPr>
                            <w:color w:val="231F20"/>
                            <w:sz w:val="24"/>
                          </w:rPr>
                          <w:t>署各區管制中心審査初報及硏判</w:t>
                        </w:r>
                      </w:p>
                      <w:p>
                        <w:pPr>
                          <w:pStyle w:val="TableParagraph"/>
                          <w:numPr>
                            <w:ilvl w:val="0"/>
                            <w:numId w:val="273"/>
                          </w:numPr>
                          <w:tabs>
                            <w:tab w:pos="356" w:val="left" w:leader="none"/>
                          </w:tabs>
                          <w:spacing w:line="399" w:lineRule="exact" w:before="0" w:after="0"/>
                          <w:ind w:left="355" w:right="0" w:hanging="244"/>
                          <w:jc w:val="both"/>
                          <w:rPr>
                            <w:sz w:val="24"/>
                          </w:rPr>
                        </w:pPr>
                        <w:r>
                          <w:rPr>
                            <w:color w:val="231F20"/>
                            <w:spacing w:val="-5"/>
                            <w:w w:val="120"/>
                            <w:sz w:val="24"/>
                            <w:shd w:fill="D1D3D4" w:color="auto" w:val="clear"/>
                          </w:rPr>
                          <w:t>疫情調査 </w:t>
                        </w:r>
                        <w:r>
                          <w:rPr>
                            <w:color w:val="231F20"/>
                            <w:w w:val="130"/>
                            <w:sz w:val="24"/>
                            <w:shd w:fill="D1D3D4" w:color="auto" w:val="clear"/>
                          </w:rPr>
                          <w:t>(續報)</w:t>
                        </w:r>
                      </w:p>
                    </w:tc>
                  </w:tr>
                  <w:tr>
                    <w:trPr>
                      <w:trHeight w:val="3263" w:hRule="atLeast"/>
                    </w:trPr>
                    <w:tc>
                      <w:tcPr>
                        <w:tcW w:w="1240" w:type="dxa"/>
                        <w:tcBorders>
                          <w:top w:val="nil"/>
                          <w:bottom w:val="nil"/>
                        </w:tcBorders>
                      </w:tcPr>
                      <w:p>
                        <w:pPr>
                          <w:pStyle w:val="TableParagraph"/>
                          <w:rPr>
                            <w:rFonts w:ascii="Times New Roman"/>
                            <w:sz w:val="22"/>
                          </w:rPr>
                        </w:pPr>
                      </w:p>
                    </w:tc>
                    <w:tc>
                      <w:tcPr>
                        <w:tcW w:w="1233" w:type="dxa"/>
                        <w:tcBorders>
                          <w:top w:val="nil"/>
                          <w:bottom w:val="nil"/>
                        </w:tcBorders>
                      </w:tcPr>
                      <w:p>
                        <w:pPr>
                          <w:pStyle w:val="TableParagraph"/>
                          <w:rPr>
                            <w:rFonts w:ascii="Times New Roman"/>
                            <w:sz w:val="22"/>
                          </w:rPr>
                        </w:pPr>
                      </w:p>
                    </w:tc>
                    <w:tc>
                      <w:tcPr>
                        <w:tcW w:w="7148" w:type="dxa"/>
                        <w:tcBorders>
                          <w:top w:val="nil"/>
                          <w:bottom w:val="nil"/>
                        </w:tcBorders>
                      </w:tcPr>
                      <w:p>
                        <w:pPr>
                          <w:pStyle w:val="TableParagraph"/>
                          <w:spacing w:line="230" w:lineRule="auto" w:before="55"/>
                          <w:ind w:left="605" w:right="64" w:hanging="340"/>
                          <w:rPr>
                            <w:sz w:val="24"/>
                          </w:rPr>
                        </w:pPr>
                        <w:r>
                          <w:rPr>
                            <w:rFonts w:ascii="Wingdings" w:hAnsi="Wingdings" w:eastAsia="Wingdings"/>
                            <w:color w:val="231F20"/>
                            <w:sz w:val="24"/>
                          </w:rPr>
                          <w:t>申</w:t>
                        </w:r>
                        <w:r>
                          <w:rPr>
                            <w:rFonts w:ascii="Times New Roman" w:hAnsi="Times New Roman" w:eastAsia="Times New Roman"/>
                            <w:color w:val="231F20"/>
                            <w:sz w:val="24"/>
                          </w:rPr>
                          <w:t> </w:t>
                        </w:r>
                        <w:r>
                          <w:rPr>
                            <w:color w:val="231F20"/>
                            <w:spacing w:val="8"/>
                            <w:sz w:val="24"/>
                          </w:rPr>
                          <w:t>個案可傳染期、接觸者調査、現場環境調査、必要之隔離</w:t>
                        </w:r>
                        <w:r>
                          <w:rPr>
                            <w:color w:val="231F20"/>
                            <w:spacing w:val="-210"/>
                            <w:sz w:val="24"/>
                          </w:rPr>
                          <w:t>措</w:t>
                        </w:r>
                        <w:r>
                          <w:rPr>
                            <w:color w:val="231F20"/>
                            <w:w w:val="105"/>
                            <w:sz w:val="24"/>
                          </w:rPr>
                          <w:t>施</w:t>
                        </w:r>
                      </w:p>
                      <w:p>
                        <w:pPr>
                          <w:pStyle w:val="TableParagraph"/>
                          <w:spacing w:line="405" w:lineRule="exact"/>
                          <w:ind w:left="265"/>
                          <w:rPr>
                            <w:sz w:val="24"/>
                          </w:rPr>
                        </w:pPr>
                        <w:r>
                          <w:rPr>
                            <w:rFonts w:ascii="Wingdings" w:hAnsi="Wingdings" w:eastAsia="Wingdings"/>
                            <w:color w:val="231F20"/>
                            <w:sz w:val="24"/>
                          </w:rPr>
                          <w:t>申</w:t>
                        </w:r>
                        <w:r>
                          <w:rPr>
                            <w:rFonts w:ascii="Times New Roman" w:hAnsi="Times New Roman" w:eastAsia="Times New Roman"/>
                            <w:color w:val="231F20"/>
                            <w:sz w:val="24"/>
                          </w:rPr>
                          <w:t> </w:t>
                        </w:r>
                        <w:r>
                          <w:rPr>
                            <w:color w:val="231F20"/>
                            <w:sz w:val="24"/>
                          </w:rPr>
                          <w:t>事件發生地之環境空間大小、密度、個案可傳染期所在位置</w:t>
                        </w:r>
                      </w:p>
                      <w:p>
                        <w:pPr>
                          <w:pStyle w:val="TableParagraph"/>
                          <w:spacing w:line="235" w:lineRule="auto"/>
                          <w:ind w:left="605" w:right="91" w:hanging="340"/>
                          <w:rPr>
                            <w:sz w:val="24"/>
                          </w:rPr>
                        </w:pPr>
                        <w:r>
                          <w:rPr>
                            <w:rFonts w:ascii="Wingdings" w:hAnsi="Wingdings" w:eastAsia="Wingdings"/>
                            <w:color w:val="231F20"/>
                            <w:sz w:val="24"/>
                          </w:rPr>
                          <w:t>申</w:t>
                        </w:r>
                        <w:r>
                          <w:rPr>
                            <w:rFonts w:ascii="Times New Roman" w:hAnsi="Times New Roman" w:eastAsia="Times New Roman"/>
                            <w:color w:val="231F20"/>
                            <w:sz w:val="24"/>
                          </w:rPr>
                          <w:t> </w:t>
                        </w:r>
                        <w:r>
                          <w:rPr>
                            <w:color w:val="231F20"/>
                            <w:sz w:val="24"/>
                          </w:rPr>
                          <w:t>中央空調或獨立空調配置、空調進出氣口配置、換氣率、</w:t>
                        </w:r>
                        <w:r>
                          <w:rPr>
                            <w:color w:val="231F20"/>
                            <w:spacing w:val="-78"/>
                            <w:sz w:val="24"/>
                          </w:rPr>
                          <w:t>CO</w:t>
                        </w:r>
                        <w:r>
                          <w:rPr>
                            <w:color w:val="231F20"/>
                            <w:spacing w:val="-78"/>
                            <w:position w:val="-3"/>
                            <w:sz w:val="14"/>
                          </w:rPr>
                          <w:t>2</w:t>
                        </w:r>
                        <w:r>
                          <w:rPr>
                            <w:color w:val="231F20"/>
                            <w:spacing w:val="-37"/>
                            <w:position w:val="-3"/>
                            <w:sz w:val="14"/>
                          </w:rPr>
                          <w:t> </w:t>
                        </w:r>
                        <w:r>
                          <w:rPr>
                            <w:color w:val="231F20"/>
                            <w:w w:val="105"/>
                            <w:sz w:val="24"/>
                          </w:rPr>
                          <w:t>濃度</w:t>
                        </w:r>
                      </w:p>
                      <w:p>
                        <w:pPr>
                          <w:pStyle w:val="TableParagraph"/>
                          <w:spacing w:line="396" w:lineRule="exact"/>
                          <w:ind w:left="265"/>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撰寫疫調報告，若有新事證則撰寫續報上傳</w:t>
                        </w:r>
                      </w:p>
                      <w:p>
                        <w:pPr>
                          <w:pStyle w:val="TableParagraph"/>
                          <w:spacing w:line="391" w:lineRule="exact"/>
                          <w:ind w:left="265"/>
                          <w:rPr>
                            <w:sz w:val="24"/>
                          </w:rPr>
                        </w:pPr>
                        <w:r>
                          <w:rPr>
                            <w:rFonts w:ascii="Wingdings" w:hAnsi="Wingdings" w:eastAsia="Wingdings"/>
                            <w:color w:val="231F20"/>
                            <w:w w:val="105"/>
                            <w:sz w:val="24"/>
                          </w:rPr>
                          <w:t>申</w:t>
                        </w:r>
                        <w:r>
                          <w:rPr>
                            <w:rFonts w:ascii="Times New Roman" w:hAnsi="Times New Roman" w:eastAsia="Times New Roman"/>
                            <w:color w:val="231F20"/>
                            <w:w w:val="105"/>
                            <w:sz w:val="24"/>
                          </w:rPr>
                          <w:t> </w:t>
                        </w:r>
                        <w:r>
                          <w:rPr>
                            <w:color w:val="231F20"/>
                            <w:spacing w:val="-5"/>
                            <w:w w:val="105"/>
                            <w:sz w:val="24"/>
                          </w:rPr>
                          <w:t>若為高傳播風險(通風換氣極度不佳)，應增加接觸者追蹤</w:t>
                        </w:r>
                        <w:r>
                          <w:rPr>
                            <w:color w:val="231F20"/>
                            <w:spacing w:val="-135"/>
                            <w:w w:val="105"/>
                            <w:sz w:val="24"/>
                          </w:rPr>
                          <w:t>、</w:t>
                        </w:r>
                      </w:p>
                      <w:p>
                        <w:pPr>
                          <w:pStyle w:val="TableParagraph"/>
                          <w:spacing w:line="379" w:lineRule="exact"/>
                          <w:ind w:left="605"/>
                          <w:rPr>
                            <w:sz w:val="24"/>
                          </w:rPr>
                        </w:pPr>
                        <w:r>
                          <w:rPr>
                            <w:color w:val="231F20"/>
                            <w:sz w:val="24"/>
                          </w:rPr>
                          <w:t>LTBI 評估治療及環境改善</w:t>
                        </w:r>
                      </w:p>
                    </w:tc>
                  </w:tr>
                  <w:tr>
                    <w:trPr>
                      <w:trHeight w:val="4866" w:hRule="atLeast"/>
                    </w:trPr>
                    <w:tc>
                      <w:tcPr>
                        <w:tcW w:w="1240" w:type="dxa"/>
                        <w:tcBorders>
                          <w:top w:val="nil"/>
                          <w:bottom w:val="nil"/>
                        </w:tcBorders>
                      </w:tcPr>
                      <w:p>
                        <w:pPr>
                          <w:pStyle w:val="TableParagraph"/>
                          <w:rPr>
                            <w:rFonts w:ascii="Times New Roman"/>
                            <w:sz w:val="22"/>
                          </w:rPr>
                        </w:pPr>
                      </w:p>
                    </w:tc>
                    <w:tc>
                      <w:tcPr>
                        <w:tcW w:w="1233" w:type="dxa"/>
                        <w:tcBorders>
                          <w:top w:val="nil"/>
                          <w:bottom w:val="nil"/>
                        </w:tcBorders>
                      </w:tcPr>
                      <w:p>
                        <w:pPr>
                          <w:pStyle w:val="TableParagraph"/>
                          <w:spacing w:before="5"/>
                          <w:rPr>
                            <w:rFonts w:ascii="微軟正黑體"/>
                            <w:b/>
                            <w:sz w:val="25"/>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8"/>
                          <w:rPr>
                            <w:rFonts w:ascii="微軟正黑體"/>
                            <w:b/>
                            <w:sz w:val="18"/>
                          </w:rPr>
                        </w:pPr>
                      </w:p>
                      <w:p>
                        <w:pPr>
                          <w:pStyle w:val="TableParagraph"/>
                          <w:ind w:left="13"/>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rPr>
                            <w:rFonts w:ascii="微軟正黑體"/>
                            <w:b/>
                            <w:sz w:val="24"/>
                          </w:rPr>
                        </w:pPr>
                      </w:p>
                      <w:p>
                        <w:pPr>
                          <w:pStyle w:val="TableParagraph"/>
                          <w:spacing w:before="6"/>
                          <w:rPr>
                            <w:rFonts w:ascii="微軟正黑體"/>
                            <w:b/>
                            <w:sz w:val="22"/>
                          </w:rPr>
                        </w:pPr>
                      </w:p>
                      <w:p>
                        <w:pPr>
                          <w:pStyle w:val="TableParagraph"/>
                          <w:spacing w:line="312" w:lineRule="exact"/>
                          <w:ind w:left="13"/>
                          <w:jc w:val="center"/>
                          <w:rPr>
                            <w:rFonts w:ascii="新細明體" w:eastAsia="新細明體" w:hint="eastAsia"/>
                            <w:sz w:val="24"/>
                          </w:rPr>
                        </w:pPr>
                        <w:r>
                          <w:rPr>
                            <w:rFonts w:ascii="新細明體" w:eastAsia="新細明體" w:hint="eastAsia"/>
                            <w:color w:val="231F20"/>
                            <w:sz w:val="24"/>
                          </w:rPr>
                          <w:t>口</w:t>
                        </w:r>
                      </w:p>
                    </w:tc>
                    <w:tc>
                      <w:tcPr>
                        <w:tcW w:w="7148" w:type="dxa"/>
                        <w:tcBorders>
                          <w:top w:val="nil"/>
                          <w:bottom w:val="nil"/>
                        </w:tcBorders>
                      </w:tcPr>
                      <w:p>
                        <w:pPr>
                          <w:pStyle w:val="TableParagraph"/>
                          <w:spacing w:line="414" w:lineRule="exact" w:before="29"/>
                          <w:ind w:left="265"/>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疾管署各區管制中心審査疫調報告</w:t>
                        </w:r>
                      </w:p>
                      <w:p>
                        <w:pPr>
                          <w:pStyle w:val="TableParagraph"/>
                          <w:numPr>
                            <w:ilvl w:val="0"/>
                            <w:numId w:val="274"/>
                          </w:numPr>
                          <w:tabs>
                            <w:tab w:pos="356" w:val="left" w:leader="none"/>
                          </w:tabs>
                          <w:spacing w:line="410" w:lineRule="exact" w:before="0" w:after="0"/>
                          <w:ind w:left="355" w:right="0" w:hanging="244"/>
                          <w:jc w:val="left"/>
                          <w:rPr>
                            <w:sz w:val="24"/>
                          </w:rPr>
                        </w:pPr>
                        <w:r>
                          <w:rPr>
                            <w:color w:val="231F20"/>
                            <w:sz w:val="24"/>
                            <w:shd w:fill="D1D3D4" w:color="auto" w:val="clear"/>
                          </w:rPr>
                          <w:t>蔥株比對</w:t>
                        </w:r>
                      </w:p>
                      <w:p>
                        <w:pPr>
                          <w:pStyle w:val="TableParagraph"/>
                          <w:spacing w:line="228" w:lineRule="auto" w:before="10"/>
                          <w:ind w:left="265" w:right="66"/>
                          <w:jc w:val="right"/>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spacing w:val="-1"/>
                            <w:sz w:val="24"/>
                          </w:rPr>
                          <w:t>事件發生地管理單位於傳染病個案通報 </w:t>
                        </w:r>
                        <w:r>
                          <w:rPr>
                            <w:color w:val="231F20"/>
                            <w:sz w:val="24"/>
                          </w:rPr>
                          <w:t>TB</w:t>
                        </w:r>
                        <w:r>
                          <w:rPr>
                            <w:color w:val="231F20"/>
                            <w:spacing w:val="-2"/>
                            <w:sz w:val="24"/>
                          </w:rPr>
                          <w:t> 系統建立事件編</w:t>
                        </w:r>
                        <w:r>
                          <w:rPr>
                            <w:color w:val="231F20"/>
                            <w:spacing w:val="-174"/>
                            <w:sz w:val="24"/>
                          </w:rPr>
                          <w:t>號</w:t>
                        </w:r>
                        <w:r>
                          <w:rPr>
                            <w:rFonts w:ascii="Wingdings" w:hAnsi="Wingdings" w:eastAsia="Wingdings"/>
                            <w:color w:val="231F20"/>
                            <w:w w:val="160"/>
                            <w:sz w:val="24"/>
                          </w:rPr>
                          <w:t>申</w:t>
                        </w:r>
                        <w:r>
                          <w:rPr>
                            <w:rFonts w:ascii="Times New Roman" w:hAnsi="Times New Roman" w:eastAsia="Times New Roman"/>
                            <w:color w:val="231F20"/>
                            <w:spacing w:val="53"/>
                            <w:w w:val="160"/>
                            <w:sz w:val="24"/>
                          </w:rPr>
                          <w:t> </w:t>
                        </w:r>
                        <w:r>
                          <w:rPr>
                            <w:color w:val="231F20"/>
                            <w:spacing w:val="7"/>
                            <w:sz w:val="24"/>
                          </w:rPr>
                          <w:t>第 </w:t>
                        </w:r>
                        <w:r>
                          <w:rPr>
                            <w:color w:val="231F20"/>
                            <w:sz w:val="24"/>
                          </w:rPr>
                          <w:t>2</w:t>
                        </w:r>
                        <w:r>
                          <w:rPr>
                            <w:color w:val="231F20"/>
                            <w:spacing w:val="7"/>
                            <w:sz w:val="24"/>
                          </w:rPr>
                          <w:t> 例個案有陽性蔥株結果，個案管理單位通知送驗單位</w:t>
                        </w:r>
                        <w:r>
                          <w:rPr>
                            <w:color w:val="231F20"/>
                            <w:spacing w:val="-211"/>
                            <w:sz w:val="24"/>
                          </w:rPr>
                          <w:t>儘</w:t>
                        </w:r>
                        <w:r>
                          <w:rPr>
                            <w:color w:val="231F20"/>
                            <w:spacing w:val="8"/>
                            <w:sz w:val="24"/>
                          </w:rPr>
                          <w:t>速完成送驗單登錄，併同蔥株送驗，並於送出蔥株後通知事</w:t>
                        </w:r>
                      </w:p>
                      <w:p>
                        <w:pPr>
                          <w:pStyle w:val="TableParagraph"/>
                          <w:spacing w:line="391" w:lineRule="exact"/>
                          <w:ind w:left="605"/>
                          <w:rPr>
                            <w:sz w:val="24"/>
                          </w:rPr>
                        </w:pPr>
                        <w:r>
                          <w:rPr>
                            <w:color w:val="231F20"/>
                            <w:sz w:val="24"/>
                          </w:rPr>
                          <w:t>件所在地衛生局</w:t>
                        </w:r>
                      </w:p>
                      <w:p>
                        <w:pPr>
                          <w:pStyle w:val="TableParagraph"/>
                          <w:spacing w:line="410" w:lineRule="exact"/>
                          <w:ind w:left="265"/>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事件發生地管理單位進行送驗單歸併作業</w:t>
                        </w:r>
                      </w:p>
                      <w:p>
                        <w:pPr>
                          <w:pStyle w:val="TableParagraph"/>
                          <w:numPr>
                            <w:ilvl w:val="0"/>
                            <w:numId w:val="274"/>
                          </w:numPr>
                          <w:tabs>
                            <w:tab w:pos="356" w:val="left" w:leader="none"/>
                          </w:tabs>
                          <w:spacing w:line="396" w:lineRule="exact" w:before="0" w:after="0"/>
                          <w:ind w:left="355" w:right="0" w:hanging="244"/>
                          <w:jc w:val="left"/>
                          <w:rPr>
                            <w:sz w:val="24"/>
                          </w:rPr>
                        </w:pPr>
                        <w:r>
                          <w:rPr>
                            <w:color w:val="231F20"/>
                            <w:sz w:val="24"/>
                            <w:shd w:fill="D1D3D4" w:color="auto" w:val="clear"/>
                          </w:rPr>
                          <w:t>確定聚集事件硏判</w:t>
                        </w:r>
                      </w:p>
                      <w:p>
                        <w:pPr>
                          <w:pStyle w:val="TableParagraph"/>
                          <w:spacing w:line="230" w:lineRule="auto"/>
                          <w:ind w:left="605" w:right="67" w:hanging="340"/>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spacing w:val="2"/>
                            <w:sz w:val="24"/>
                          </w:rPr>
                          <w:t>確認蔥株比對報告，</w:t>
                        </w:r>
                        <w:r>
                          <w:rPr>
                            <w:color w:val="231F20"/>
                            <w:sz w:val="24"/>
                          </w:rPr>
                          <w:t>3</w:t>
                        </w:r>
                        <w:r>
                          <w:rPr>
                            <w:color w:val="231F20"/>
                            <w:spacing w:val="2"/>
                            <w:sz w:val="24"/>
                          </w:rPr>
                          <w:t> 個月內維護 </w:t>
                        </w:r>
                        <w:r>
                          <w:rPr>
                            <w:color w:val="231F20"/>
                            <w:sz w:val="24"/>
                          </w:rPr>
                          <w:t>TB</w:t>
                        </w:r>
                        <w:r>
                          <w:rPr>
                            <w:color w:val="231F20"/>
                            <w:spacing w:val="3"/>
                            <w:sz w:val="24"/>
                          </w:rPr>
                          <w:t> 系統，進行聚集事件</w:t>
                        </w:r>
                        <w:r>
                          <w:rPr>
                            <w:color w:val="231F20"/>
                            <w:spacing w:val="-215"/>
                            <w:sz w:val="24"/>
                          </w:rPr>
                          <w:t>分</w:t>
                        </w:r>
                        <w:r>
                          <w:rPr>
                            <w:color w:val="231F20"/>
                            <w:sz w:val="24"/>
                          </w:rPr>
                          <w:t>類硏判</w:t>
                        </w:r>
                      </w:p>
                      <w:p>
                        <w:pPr>
                          <w:pStyle w:val="TableParagraph"/>
                          <w:spacing w:line="410" w:lineRule="exact"/>
                          <w:ind w:left="265"/>
                          <w:rPr>
                            <w:sz w:val="24"/>
                          </w:rPr>
                        </w:pPr>
                        <w:r>
                          <w:rPr>
                            <w:rFonts w:ascii="Wingdings" w:hAnsi="Wingdings" w:eastAsia="Wingdings"/>
                            <w:color w:val="231F20"/>
                            <w:w w:val="155"/>
                            <w:sz w:val="24"/>
                          </w:rPr>
                          <w:t>申</w:t>
                        </w:r>
                        <w:r>
                          <w:rPr>
                            <w:rFonts w:ascii="Times New Roman" w:hAnsi="Times New Roman" w:eastAsia="Times New Roman"/>
                            <w:color w:val="231F20"/>
                            <w:w w:val="155"/>
                            <w:sz w:val="24"/>
                          </w:rPr>
                          <w:t> </w:t>
                        </w:r>
                        <w:r>
                          <w:rPr>
                            <w:color w:val="231F20"/>
                            <w:w w:val="105"/>
                            <w:sz w:val="24"/>
                          </w:rPr>
                          <w:t>接觸者 LTBI 評估與治療期程應儘速規劃</w:t>
                        </w:r>
                      </w:p>
                      <w:p>
                        <w:pPr>
                          <w:pStyle w:val="TableParagraph"/>
                          <w:numPr>
                            <w:ilvl w:val="0"/>
                            <w:numId w:val="274"/>
                          </w:numPr>
                          <w:tabs>
                            <w:tab w:pos="356" w:val="left" w:leader="none"/>
                          </w:tabs>
                          <w:spacing w:line="388" w:lineRule="exact" w:before="0" w:after="0"/>
                          <w:ind w:left="355" w:right="0" w:hanging="244"/>
                          <w:jc w:val="left"/>
                          <w:rPr>
                            <w:sz w:val="24"/>
                          </w:rPr>
                        </w:pPr>
                        <w:r>
                          <w:rPr>
                            <w:color w:val="231F20"/>
                            <w:sz w:val="24"/>
                            <w:shd w:fill="D1D3D4" w:color="auto" w:val="clear"/>
                          </w:rPr>
                          <w:t>召開專家會議</w:t>
                        </w:r>
                      </w:p>
                    </w:tc>
                  </w:tr>
                  <w:tr>
                    <w:trPr>
                      <w:trHeight w:val="822" w:hRule="atLeast"/>
                    </w:trPr>
                    <w:tc>
                      <w:tcPr>
                        <w:tcW w:w="1240" w:type="dxa"/>
                        <w:tcBorders>
                          <w:top w:val="nil"/>
                          <w:bottom w:val="nil"/>
                        </w:tcBorders>
                      </w:tcPr>
                      <w:p>
                        <w:pPr>
                          <w:pStyle w:val="TableParagraph"/>
                          <w:rPr>
                            <w:rFonts w:ascii="Times New Roman"/>
                            <w:sz w:val="22"/>
                          </w:rPr>
                        </w:pPr>
                      </w:p>
                    </w:tc>
                    <w:tc>
                      <w:tcPr>
                        <w:tcW w:w="1233" w:type="dxa"/>
                        <w:tcBorders>
                          <w:top w:val="nil"/>
                          <w:bottom w:val="nil"/>
                        </w:tcBorders>
                      </w:tcPr>
                      <w:p>
                        <w:pPr>
                          <w:pStyle w:val="TableParagraph"/>
                          <w:rPr>
                            <w:rFonts w:ascii="Times New Roman"/>
                            <w:sz w:val="22"/>
                          </w:rPr>
                        </w:pPr>
                      </w:p>
                    </w:tc>
                    <w:tc>
                      <w:tcPr>
                        <w:tcW w:w="7148" w:type="dxa"/>
                        <w:tcBorders>
                          <w:top w:val="nil"/>
                          <w:bottom w:val="nil"/>
                        </w:tcBorders>
                      </w:tcPr>
                      <w:p>
                        <w:pPr>
                          <w:pStyle w:val="TableParagraph"/>
                          <w:spacing w:line="409" w:lineRule="exact" w:before="14"/>
                          <w:ind w:left="265"/>
                          <w:rPr>
                            <w:sz w:val="24"/>
                          </w:rPr>
                        </w:pPr>
                        <w:r>
                          <w:rPr>
                            <w:rFonts w:ascii="Wingdings" w:hAnsi="Wingdings" w:eastAsia="Wingdings"/>
                            <w:color w:val="231F20"/>
                            <w:sz w:val="24"/>
                          </w:rPr>
                          <w:t>申</w:t>
                        </w:r>
                        <w:r>
                          <w:rPr>
                            <w:rFonts w:ascii="Times New Roman" w:hAnsi="Times New Roman" w:eastAsia="Times New Roman"/>
                            <w:color w:val="231F20"/>
                            <w:sz w:val="24"/>
                          </w:rPr>
                          <w:t> </w:t>
                        </w:r>
                        <w:r>
                          <w:rPr>
                            <w:color w:val="231F20"/>
                            <w:spacing w:val="15"/>
                            <w:sz w:val="24"/>
                          </w:rPr>
                          <w:t>釐清可能共同暴露、再次確認並進—步擴大接觸者追蹤</w:t>
                        </w:r>
                        <w:r>
                          <w:rPr>
                            <w:color w:val="231F20"/>
                            <w:spacing w:val="-120"/>
                            <w:sz w:val="24"/>
                          </w:rPr>
                          <w:t>及</w:t>
                        </w:r>
                      </w:p>
                      <w:p>
                        <w:pPr>
                          <w:pStyle w:val="TableParagraph"/>
                          <w:spacing w:line="379" w:lineRule="exact"/>
                          <w:ind w:left="605"/>
                          <w:rPr>
                            <w:sz w:val="24"/>
                          </w:rPr>
                        </w:pPr>
                        <w:r>
                          <w:rPr>
                            <w:color w:val="231F20"/>
                            <w:sz w:val="24"/>
                          </w:rPr>
                          <w:t>LTBI 評估範圍</w:t>
                        </w:r>
                      </w:p>
                    </w:tc>
                  </w:tr>
                  <w:tr>
                    <w:trPr>
                      <w:trHeight w:val="459" w:hRule="atLeast"/>
                    </w:trPr>
                    <w:tc>
                      <w:tcPr>
                        <w:tcW w:w="1240" w:type="dxa"/>
                        <w:tcBorders>
                          <w:top w:val="nil"/>
                        </w:tcBorders>
                      </w:tcPr>
                      <w:p>
                        <w:pPr>
                          <w:pStyle w:val="TableParagraph"/>
                          <w:rPr>
                            <w:rFonts w:ascii="Times New Roman"/>
                            <w:sz w:val="22"/>
                          </w:rPr>
                        </w:pPr>
                      </w:p>
                    </w:tc>
                    <w:tc>
                      <w:tcPr>
                        <w:tcW w:w="1233" w:type="dxa"/>
                        <w:tcBorders>
                          <w:top w:val="nil"/>
                        </w:tcBorders>
                      </w:tcPr>
                      <w:p>
                        <w:pPr>
                          <w:pStyle w:val="TableParagraph"/>
                          <w:rPr>
                            <w:rFonts w:ascii="Times New Roman"/>
                            <w:sz w:val="22"/>
                          </w:rPr>
                        </w:pPr>
                      </w:p>
                    </w:tc>
                    <w:tc>
                      <w:tcPr>
                        <w:tcW w:w="7148" w:type="dxa"/>
                        <w:tcBorders>
                          <w:top w:val="nil"/>
                        </w:tcBorders>
                      </w:tcPr>
                      <w:p>
                        <w:pPr>
                          <w:pStyle w:val="TableParagraph"/>
                          <w:spacing w:line="410" w:lineRule="exact" w:before="29"/>
                          <w:ind w:left="265"/>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上傳環境評估建議及會議紀錄</w:t>
                        </w:r>
                      </w:p>
                    </w:tc>
                  </w:tr>
                </w:tbl>
                <w:p>
                  <w:pPr>
                    <w:pStyle w:val="BodyText"/>
                  </w:pPr>
                </w:p>
              </w:txbxContent>
            </v:textbox>
            <w10:wrap type="none"/>
          </v:shape>
        </w:pict>
      </w:r>
      <w:r>
        <w:rPr>
          <w:color w:val="231F20"/>
        </w:rPr>
        <w:t>陞、聚集事件處理檢核表</w:t>
      </w:r>
    </w:p>
    <w:p>
      <w:pPr>
        <w:spacing w:after="0" w:line="240" w:lineRule="auto"/>
        <w:sectPr>
          <w:pgSz w:w="11910" w:h="16840"/>
          <w:pgMar w:top="1060" w:bottom="0" w:left="980" w:right="0"/>
        </w:sectPr>
      </w:pP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240"/>
        <w:gridCol w:w="1233"/>
        <w:gridCol w:w="7148"/>
      </w:tblGrid>
      <w:tr>
        <w:trPr>
          <w:trHeight w:val="451" w:hRule="atLeast"/>
        </w:trPr>
        <w:tc>
          <w:tcPr>
            <w:tcW w:w="2473" w:type="dxa"/>
            <w:gridSpan w:val="2"/>
            <w:shd w:val="clear" w:color="auto" w:fill="E6E7E8"/>
          </w:tcPr>
          <w:p>
            <w:pPr>
              <w:pStyle w:val="TableParagraph"/>
              <w:spacing w:line="432" w:lineRule="exact"/>
              <w:ind w:left="755"/>
              <w:rPr>
                <w:rFonts w:ascii="微軟正黑體" w:eastAsia="微軟正黑體" w:hint="eastAsia"/>
                <w:b/>
                <w:sz w:val="24"/>
              </w:rPr>
            </w:pPr>
            <w:r>
              <w:rPr>
                <w:rFonts w:ascii="微軟正黑體" w:eastAsia="微軟正黑體" w:hint="eastAsia"/>
                <w:b/>
                <w:color w:val="231F20"/>
                <w:sz w:val="24"/>
              </w:rPr>
              <w:t>主責單位</w:t>
            </w:r>
          </w:p>
        </w:tc>
        <w:tc>
          <w:tcPr>
            <w:tcW w:w="7148" w:type="dxa"/>
            <w:vMerge w:val="restart"/>
            <w:shd w:val="clear" w:color="auto" w:fill="E6E7E8"/>
          </w:tcPr>
          <w:p>
            <w:pPr>
              <w:pStyle w:val="TableParagraph"/>
              <w:spacing w:before="227"/>
              <w:ind w:left="2841" w:right="2830"/>
              <w:jc w:val="center"/>
              <w:rPr>
                <w:rFonts w:ascii="微軟正黑體" w:eastAsia="微軟正黑體" w:hint="eastAsia"/>
                <w:b/>
                <w:sz w:val="24"/>
              </w:rPr>
            </w:pPr>
            <w:r>
              <w:rPr>
                <w:rFonts w:ascii="微軟正黑體" w:eastAsia="微軟正黑體" w:hint="eastAsia"/>
                <w:b/>
                <w:color w:val="231F20"/>
                <w:w w:val="110"/>
                <w:sz w:val="24"/>
              </w:rPr>
              <w:t>疫情監控t呈</w:t>
            </w:r>
          </w:p>
        </w:tc>
      </w:tr>
      <w:tr>
        <w:trPr>
          <w:trHeight w:val="451" w:hRule="atLeast"/>
        </w:trPr>
        <w:tc>
          <w:tcPr>
            <w:tcW w:w="1240" w:type="dxa"/>
            <w:shd w:val="clear" w:color="auto" w:fill="E6E7E8"/>
          </w:tcPr>
          <w:p>
            <w:pPr>
              <w:pStyle w:val="TableParagraph"/>
              <w:spacing w:line="432" w:lineRule="exact"/>
              <w:ind w:left="139"/>
              <w:rPr>
                <w:rFonts w:ascii="微軟正黑體" w:eastAsia="微軟正黑體" w:hint="eastAsia"/>
                <w:b/>
                <w:sz w:val="24"/>
              </w:rPr>
            </w:pPr>
            <w:r>
              <w:rPr>
                <w:rFonts w:ascii="微軟正黑體" w:eastAsia="微軟正黑體" w:hint="eastAsia"/>
                <w:b/>
                <w:color w:val="231F20"/>
                <w:sz w:val="24"/>
              </w:rPr>
              <w:t>區管中心</w:t>
            </w:r>
          </w:p>
        </w:tc>
        <w:tc>
          <w:tcPr>
            <w:tcW w:w="1233" w:type="dxa"/>
            <w:shd w:val="clear" w:color="auto" w:fill="E6E7E8"/>
          </w:tcPr>
          <w:p>
            <w:pPr>
              <w:pStyle w:val="TableParagraph"/>
              <w:spacing w:line="432" w:lineRule="exact"/>
              <w:ind w:left="255"/>
              <w:rPr>
                <w:rFonts w:ascii="微軟正黑體" w:eastAsia="微軟正黑體" w:hint="eastAsia"/>
                <w:b/>
                <w:sz w:val="24"/>
              </w:rPr>
            </w:pPr>
            <w:r>
              <w:rPr>
                <w:rFonts w:ascii="微軟正黑體" w:eastAsia="微軟正黑體" w:hint="eastAsia"/>
                <w:b/>
                <w:color w:val="231F20"/>
                <w:sz w:val="24"/>
              </w:rPr>
              <w:t>衛生局</w:t>
            </w:r>
          </w:p>
        </w:tc>
        <w:tc>
          <w:tcPr>
            <w:tcW w:w="7148" w:type="dxa"/>
            <w:vMerge/>
            <w:tcBorders>
              <w:top w:val="nil"/>
            </w:tcBorders>
            <w:shd w:val="clear" w:color="auto" w:fill="E6E7E8"/>
          </w:tcPr>
          <w:p>
            <w:pPr>
              <w:rPr>
                <w:sz w:val="2"/>
                <w:szCs w:val="2"/>
              </w:rPr>
            </w:pPr>
          </w:p>
        </w:tc>
      </w:tr>
      <w:tr>
        <w:trPr>
          <w:trHeight w:val="5309" w:hRule="atLeast"/>
        </w:trPr>
        <w:tc>
          <w:tcPr>
            <w:tcW w:w="1240" w:type="dxa"/>
          </w:tcPr>
          <w:p>
            <w:pPr>
              <w:pStyle w:val="TableParagraph"/>
              <w:rPr>
                <w:rFonts w:ascii="Times New Roman"/>
                <w:sz w:val="22"/>
              </w:rPr>
            </w:pPr>
          </w:p>
        </w:tc>
        <w:tc>
          <w:tcPr>
            <w:tcW w:w="1233" w:type="dxa"/>
          </w:tcPr>
          <w:p>
            <w:pPr>
              <w:pStyle w:val="TableParagraph"/>
              <w:rPr>
                <w:rFonts w:ascii="微軟正黑體"/>
                <w:b/>
                <w:sz w:val="24"/>
              </w:rPr>
            </w:pPr>
          </w:p>
          <w:p>
            <w:pPr>
              <w:pStyle w:val="TableParagraph"/>
              <w:rPr>
                <w:rFonts w:ascii="微軟正黑體"/>
                <w:b/>
                <w:sz w:val="24"/>
              </w:rPr>
            </w:pPr>
          </w:p>
          <w:p>
            <w:pPr>
              <w:pStyle w:val="TableParagraph"/>
              <w:spacing w:before="10"/>
              <w:rPr>
                <w:rFonts w:ascii="微軟正黑體"/>
                <w:b/>
                <w:sz w:val="20"/>
              </w:rPr>
            </w:pPr>
          </w:p>
          <w:p>
            <w:pPr>
              <w:pStyle w:val="TableParagraph"/>
              <w:ind w:left="12"/>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5"/>
              <w:rPr>
                <w:rFonts w:ascii="微軟正黑體"/>
                <w:b/>
                <w:sz w:val="13"/>
              </w:rPr>
            </w:pPr>
          </w:p>
          <w:p>
            <w:pPr>
              <w:pStyle w:val="TableParagraph"/>
              <w:spacing w:line="820" w:lineRule="atLeast"/>
              <w:ind w:left="495" w:right="480" w:hanging="1"/>
              <w:jc w:val="center"/>
              <w:rPr>
                <w:rFonts w:ascii="新細明體" w:eastAsia="新細明體" w:hint="eastAsia"/>
                <w:sz w:val="24"/>
              </w:rPr>
            </w:pPr>
            <w:r>
              <w:rPr>
                <w:rFonts w:ascii="新細明體" w:eastAsia="新細明體" w:hint="eastAsia"/>
                <w:color w:val="231F20"/>
                <w:sz w:val="24"/>
              </w:rPr>
              <w:t>口口</w:t>
            </w:r>
          </w:p>
        </w:tc>
        <w:tc>
          <w:tcPr>
            <w:tcW w:w="7148" w:type="dxa"/>
          </w:tcPr>
          <w:p>
            <w:pPr>
              <w:pStyle w:val="TableParagraph"/>
              <w:spacing w:line="230" w:lineRule="auto" w:before="36"/>
              <w:ind w:left="605" w:right="79" w:hanging="340"/>
              <w:jc w:val="both"/>
              <w:rPr>
                <w:sz w:val="24"/>
              </w:rPr>
            </w:pPr>
            <w:r>
              <w:rPr>
                <w:rFonts w:ascii="Wingdings" w:hAnsi="Wingdings" w:eastAsia="Wingdings"/>
                <w:color w:val="231F20"/>
                <w:w w:val="150"/>
                <w:sz w:val="24"/>
              </w:rPr>
              <w:t>申</w:t>
            </w:r>
            <w:r>
              <w:rPr>
                <w:rFonts w:ascii="Times New Roman" w:hAnsi="Times New Roman" w:eastAsia="Times New Roman"/>
                <w:color w:val="231F20"/>
                <w:w w:val="150"/>
                <w:sz w:val="24"/>
              </w:rPr>
              <w:t> </w:t>
            </w:r>
            <w:r>
              <w:rPr>
                <w:color w:val="231F20"/>
                <w:spacing w:val="16"/>
                <w:sz w:val="24"/>
              </w:rPr>
              <w:t>每半年追蹤決議辦理情形，上傳續報更新包含接檢執行</w:t>
            </w:r>
            <w:r>
              <w:rPr>
                <w:color w:val="231F20"/>
                <w:spacing w:val="-199"/>
                <w:sz w:val="24"/>
              </w:rPr>
              <w:t>及</w:t>
            </w:r>
            <w:r>
              <w:rPr>
                <w:color w:val="231F20"/>
                <w:spacing w:val="-15"/>
                <w:w w:val="90"/>
                <w:sz w:val="24"/>
              </w:rPr>
              <w:t>L</w:t>
            </w:r>
            <w:r>
              <w:rPr>
                <w:color w:val="231F20"/>
                <w:w w:val="91"/>
                <w:sz w:val="24"/>
              </w:rPr>
              <w:t>T</w:t>
            </w:r>
            <w:r>
              <w:rPr>
                <w:color w:val="231F20"/>
                <w:spacing w:val="-1"/>
                <w:w w:val="92"/>
                <w:sz w:val="24"/>
              </w:rPr>
              <w:t>B</w:t>
            </w:r>
            <w:r>
              <w:rPr>
                <w:color w:val="231F20"/>
                <w:w w:val="102"/>
                <w:sz w:val="24"/>
              </w:rPr>
              <w:t>I</w:t>
            </w:r>
            <w:r>
              <w:rPr>
                <w:color w:val="231F20"/>
                <w:spacing w:val="14"/>
                <w:sz w:val="24"/>
              </w:rPr>
              <w:t> 治療情況</w:t>
            </w:r>
            <w:r>
              <w:rPr>
                <w:color w:val="231F20"/>
                <w:w w:val="300"/>
                <w:sz w:val="24"/>
              </w:rPr>
              <w:t>(</w:t>
            </w:r>
            <w:r>
              <w:rPr>
                <w:color w:val="231F20"/>
                <w:spacing w:val="-1"/>
                <w:w w:val="102"/>
                <w:sz w:val="24"/>
              </w:rPr>
              <w:t>I</w:t>
            </w:r>
            <w:r>
              <w:rPr>
                <w:color w:val="231F20"/>
                <w:w w:val="94"/>
                <w:sz w:val="24"/>
              </w:rPr>
              <w:t>G</w:t>
            </w:r>
            <w:r>
              <w:rPr>
                <w:color w:val="231F20"/>
                <w:spacing w:val="-1"/>
                <w:w w:val="88"/>
                <w:sz w:val="24"/>
              </w:rPr>
              <w:t>R</w:t>
            </w:r>
            <w:r>
              <w:rPr>
                <w:color w:val="231F20"/>
                <w:w w:val="103"/>
                <w:sz w:val="24"/>
              </w:rPr>
              <w:t>A</w:t>
            </w:r>
            <w:r>
              <w:rPr>
                <w:color w:val="231F20"/>
                <w:spacing w:val="16"/>
                <w:sz w:val="24"/>
              </w:rPr>
              <w:t> 應執行及已執行數、</w:t>
            </w:r>
            <w:r>
              <w:rPr>
                <w:color w:val="231F20"/>
                <w:spacing w:val="-1"/>
                <w:w w:val="102"/>
                <w:sz w:val="24"/>
              </w:rPr>
              <w:t>I</w:t>
            </w:r>
            <w:r>
              <w:rPr>
                <w:color w:val="231F20"/>
                <w:w w:val="94"/>
                <w:sz w:val="24"/>
              </w:rPr>
              <w:t>G</w:t>
            </w:r>
            <w:r>
              <w:rPr>
                <w:color w:val="231F20"/>
                <w:spacing w:val="-1"/>
                <w:w w:val="88"/>
                <w:sz w:val="24"/>
              </w:rPr>
              <w:t>R</w:t>
            </w:r>
            <w:r>
              <w:rPr>
                <w:color w:val="231F20"/>
                <w:w w:val="103"/>
                <w:sz w:val="24"/>
              </w:rPr>
              <w:t>A</w:t>
            </w:r>
            <w:r>
              <w:rPr>
                <w:color w:val="231F20"/>
                <w:spacing w:val="9"/>
                <w:sz w:val="24"/>
              </w:rPr>
              <w:t> 陽性數、 </w:t>
            </w:r>
            <w:r>
              <w:rPr>
                <w:color w:val="231F20"/>
                <w:spacing w:val="-4"/>
                <w:sz w:val="24"/>
              </w:rPr>
              <w:t>LTBI</w:t>
            </w:r>
            <w:r>
              <w:rPr>
                <w:color w:val="231F20"/>
                <w:spacing w:val="-2"/>
                <w:sz w:val="24"/>
              </w:rPr>
              <w:t> 治療數)及環境評估建議事項改善情況</w:t>
            </w:r>
          </w:p>
          <w:p>
            <w:pPr>
              <w:pStyle w:val="TableParagraph"/>
              <w:numPr>
                <w:ilvl w:val="0"/>
                <w:numId w:val="275"/>
              </w:numPr>
              <w:tabs>
                <w:tab w:pos="356" w:val="left" w:leader="none"/>
              </w:tabs>
              <w:spacing w:line="409" w:lineRule="exact" w:before="0" w:after="0"/>
              <w:ind w:left="355" w:right="0" w:hanging="244"/>
              <w:jc w:val="both"/>
              <w:rPr>
                <w:sz w:val="24"/>
              </w:rPr>
            </w:pPr>
            <w:r>
              <w:rPr>
                <w:color w:val="231F20"/>
                <w:sz w:val="24"/>
                <w:shd w:fill="D1D3D4" w:color="auto" w:val="clear"/>
              </w:rPr>
              <w:t>接觸者檢査、</w:t>
            </w:r>
            <w:r>
              <w:rPr>
                <w:color w:val="231F20"/>
                <w:spacing w:val="-4"/>
                <w:sz w:val="24"/>
                <w:shd w:fill="D1D3D4" w:color="auto" w:val="clear"/>
              </w:rPr>
              <w:t>LTBI</w:t>
            </w:r>
            <w:r>
              <w:rPr>
                <w:color w:val="231F20"/>
                <w:spacing w:val="-3"/>
                <w:sz w:val="24"/>
                <w:shd w:fill="D1D3D4" w:color="auto" w:val="clear"/>
              </w:rPr>
              <w:t> 評估</w:t>
            </w:r>
          </w:p>
          <w:p>
            <w:pPr>
              <w:pStyle w:val="TableParagraph"/>
              <w:spacing w:line="230" w:lineRule="auto" w:before="8"/>
              <w:ind w:left="605" w:right="93" w:hanging="340"/>
              <w:jc w:val="both"/>
              <w:rPr>
                <w:sz w:val="24"/>
              </w:rPr>
            </w:pPr>
            <w:r>
              <w:rPr>
                <w:rFonts w:ascii="Wingdings" w:hAnsi="Wingdings" w:eastAsia="Wingdings"/>
                <w:color w:val="231F20"/>
                <w:w w:val="155"/>
                <w:sz w:val="24"/>
              </w:rPr>
              <w:t>申</w:t>
            </w:r>
            <w:r>
              <w:rPr>
                <w:rFonts w:ascii="Times New Roman" w:hAnsi="Times New Roman" w:eastAsia="Times New Roman"/>
                <w:color w:val="231F20"/>
                <w:w w:val="155"/>
                <w:sz w:val="24"/>
              </w:rPr>
              <w:t> </w:t>
            </w:r>
            <w:r>
              <w:rPr>
                <w:color w:val="231F20"/>
                <w:spacing w:val="1"/>
                <w:sz w:val="24"/>
              </w:rPr>
              <w:t>接觸者除依—般接觸者檢査，應進行 </w:t>
            </w:r>
            <w:r>
              <w:rPr>
                <w:color w:val="231F20"/>
                <w:spacing w:val="-4"/>
                <w:sz w:val="24"/>
              </w:rPr>
              <w:t>LTBI</w:t>
            </w:r>
            <w:r>
              <w:rPr>
                <w:color w:val="231F20"/>
                <w:spacing w:val="1"/>
                <w:sz w:val="24"/>
              </w:rPr>
              <w:t> 評估與治療；若</w:t>
            </w:r>
            <w:r>
              <w:rPr>
                <w:color w:val="231F20"/>
                <w:spacing w:val="-216"/>
                <w:sz w:val="24"/>
              </w:rPr>
              <w:t>未</w:t>
            </w:r>
            <w:r>
              <w:rPr>
                <w:color w:val="231F20"/>
                <w:spacing w:val="-5"/>
                <w:sz w:val="24"/>
              </w:rPr>
              <w:t>接受 </w:t>
            </w:r>
            <w:r>
              <w:rPr>
                <w:color w:val="231F20"/>
                <w:spacing w:val="-4"/>
                <w:sz w:val="24"/>
              </w:rPr>
              <w:t>LTBI 治療者，胸部 </w:t>
            </w:r>
            <w:r>
              <w:rPr>
                <w:color w:val="231F20"/>
                <w:sz w:val="24"/>
              </w:rPr>
              <w:t>X</w:t>
            </w:r>
            <w:r>
              <w:rPr>
                <w:color w:val="231F20"/>
                <w:spacing w:val="-3"/>
                <w:sz w:val="24"/>
              </w:rPr>
              <w:t> 光檢査及症狀評估頻率原則上至少</w:t>
            </w:r>
            <w:r>
              <w:rPr>
                <w:color w:val="231F20"/>
                <w:spacing w:val="-2"/>
                <w:sz w:val="24"/>
              </w:rPr>
              <w:t>每 </w:t>
            </w:r>
            <w:r>
              <w:rPr>
                <w:color w:val="231F20"/>
                <w:sz w:val="24"/>
              </w:rPr>
              <w:t>6</w:t>
            </w:r>
            <w:r>
              <w:rPr>
                <w:color w:val="231F20"/>
                <w:spacing w:val="-1"/>
                <w:sz w:val="24"/>
              </w:rPr>
              <w:t> 個月 </w:t>
            </w:r>
            <w:r>
              <w:rPr>
                <w:color w:val="231F20"/>
                <w:sz w:val="24"/>
              </w:rPr>
              <w:t>1 次，檢査期程原則以事件之最後 1</w:t>
            </w:r>
            <w:r>
              <w:rPr>
                <w:color w:val="231F20"/>
                <w:spacing w:val="3"/>
                <w:sz w:val="24"/>
              </w:rPr>
              <w:t> 例個案之確診</w:t>
            </w:r>
          </w:p>
          <w:p>
            <w:pPr>
              <w:pStyle w:val="TableParagraph"/>
              <w:spacing w:line="399" w:lineRule="exact"/>
              <w:ind w:left="605"/>
              <w:jc w:val="both"/>
              <w:rPr>
                <w:sz w:val="24"/>
              </w:rPr>
            </w:pPr>
            <w:r>
              <w:rPr>
                <w:color w:val="231F20"/>
                <w:sz w:val="24"/>
              </w:rPr>
              <w:t>日起算，至少追蹤 2 年</w:t>
            </w:r>
          </w:p>
          <w:p>
            <w:pPr>
              <w:pStyle w:val="TableParagraph"/>
              <w:spacing w:line="230" w:lineRule="auto" w:before="7"/>
              <w:ind w:left="605" w:right="92" w:hanging="340"/>
              <w:jc w:val="both"/>
              <w:rPr>
                <w:sz w:val="24"/>
              </w:rPr>
            </w:pPr>
            <w:r>
              <w:rPr>
                <w:rFonts w:ascii="Wingdings" w:hAnsi="Wingdings" w:eastAsia="Wingdings"/>
                <w:color w:val="231F20"/>
                <w:w w:val="160"/>
                <w:sz w:val="24"/>
              </w:rPr>
              <w:t>申</w:t>
            </w:r>
            <w:r>
              <w:rPr>
                <w:rFonts w:ascii="Times New Roman" w:hAnsi="Times New Roman" w:eastAsia="Times New Roman"/>
                <w:color w:val="231F20"/>
                <w:spacing w:val="67"/>
                <w:w w:val="160"/>
                <w:sz w:val="24"/>
              </w:rPr>
              <w:t> </w:t>
            </w:r>
            <w:r>
              <w:rPr>
                <w:color w:val="231F20"/>
                <w:spacing w:val="5"/>
                <w:sz w:val="24"/>
              </w:rPr>
              <w:t>校園聚集事件，學校應依專家會議決議，通知擴大接檢範</w:t>
            </w:r>
            <w:r>
              <w:rPr>
                <w:color w:val="231F20"/>
                <w:spacing w:val="-222"/>
                <w:sz w:val="24"/>
              </w:rPr>
              <w:t>圍</w:t>
            </w:r>
            <w:r>
              <w:rPr>
                <w:color w:val="231F20"/>
                <w:sz w:val="24"/>
              </w:rPr>
              <w:t>之接觸者：校園說明會及接觸者檢査時間</w:t>
            </w:r>
          </w:p>
          <w:p>
            <w:pPr>
              <w:pStyle w:val="TableParagraph"/>
              <w:numPr>
                <w:ilvl w:val="0"/>
                <w:numId w:val="275"/>
              </w:numPr>
              <w:tabs>
                <w:tab w:pos="356" w:val="left" w:leader="none"/>
              </w:tabs>
              <w:spacing w:line="410" w:lineRule="exact" w:before="0" w:after="0"/>
              <w:ind w:left="355" w:right="0" w:hanging="244"/>
              <w:jc w:val="both"/>
              <w:rPr>
                <w:sz w:val="24"/>
              </w:rPr>
            </w:pPr>
            <w:r>
              <w:rPr>
                <w:color w:val="231F20"/>
                <w:sz w:val="24"/>
                <w:shd w:fill="D1D3D4" w:color="auto" w:val="clear"/>
              </w:rPr>
              <w:t>妥適隔離、分流、集中管理</w:t>
            </w:r>
          </w:p>
          <w:p>
            <w:pPr>
              <w:pStyle w:val="TableParagraph"/>
              <w:spacing w:line="410" w:lineRule="exact"/>
              <w:ind w:left="265"/>
              <w:jc w:val="both"/>
              <w:rPr>
                <w:sz w:val="24"/>
              </w:rPr>
            </w:pPr>
            <w:r>
              <w:rPr>
                <w:rFonts w:ascii="Wingdings" w:hAnsi="Wingdings" w:eastAsia="Wingdings"/>
                <w:color w:val="231F20"/>
                <w:w w:val="160"/>
                <w:sz w:val="24"/>
              </w:rPr>
              <w:t>申</w:t>
            </w:r>
            <w:r>
              <w:rPr>
                <w:rFonts w:ascii="Times New Roman" w:hAnsi="Times New Roman" w:eastAsia="Times New Roman"/>
                <w:color w:val="231F20"/>
                <w:w w:val="160"/>
                <w:sz w:val="24"/>
              </w:rPr>
              <w:t> </w:t>
            </w:r>
            <w:r>
              <w:rPr>
                <w:color w:val="231F20"/>
                <w:w w:val="105"/>
                <w:sz w:val="24"/>
              </w:rPr>
              <w:t>持續追蹤機構內落實感控措施、轉床紀錄</w:t>
            </w:r>
          </w:p>
          <w:p>
            <w:pPr>
              <w:pStyle w:val="TableParagraph"/>
              <w:numPr>
                <w:ilvl w:val="0"/>
                <w:numId w:val="275"/>
              </w:numPr>
              <w:tabs>
                <w:tab w:pos="356" w:val="left" w:leader="none"/>
              </w:tabs>
              <w:spacing w:line="403" w:lineRule="exact" w:before="0" w:after="0"/>
              <w:ind w:left="355" w:right="0" w:hanging="244"/>
              <w:jc w:val="both"/>
              <w:rPr>
                <w:sz w:val="24"/>
              </w:rPr>
            </w:pPr>
            <w:r>
              <w:rPr>
                <w:color w:val="231F20"/>
                <w:sz w:val="24"/>
                <w:shd w:fill="D1D3D4" w:color="auto" w:val="clear"/>
              </w:rPr>
              <w:t>結案</w:t>
            </w:r>
            <w:r>
              <w:rPr>
                <w:color w:val="231F20"/>
                <w:spacing w:val="-8"/>
                <w:sz w:val="24"/>
              </w:rPr>
              <w:t> </w:t>
            </w:r>
            <w:r>
              <w:rPr>
                <w:color w:val="231F20"/>
                <w:spacing w:val="-7"/>
                <w:w w:val="110"/>
                <w:sz w:val="24"/>
              </w:rPr>
              <w:t>- </w:t>
            </w:r>
            <w:r>
              <w:rPr>
                <w:color w:val="231F20"/>
                <w:spacing w:val="-3"/>
                <w:sz w:val="24"/>
              </w:rPr>
              <w:t>完成 </w:t>
            </w:r>
            <w:r>
              <w:rPr>
                <w:color w:val="231F20"/>
                <w:sz w:val="24"/>
              </w:rPr>
              <w:t>TB</w:t>
            </w:r>
            <w:r>
              <w:rPr>
                <w:color w:val="231F20"/>
                <w:spacing w:val="-3"/>
                <w:sz w:val="24"/>
              </w:rPr>
              <w:t> 系統結案</w:t>
            </w:r>
          </w:p>
        </w:tc>
      </w:tr>
    </w:tbl>
    <w:p>
      <w:pPr>
        <w:rPr>
          <w:sz w:val="2"/>
          <w:szCs w:val="2"/>
        </w:rPr>
      </w:pPr>
      <w:r>
        <w:rPr/>
        <w:pict>
          <v:group style="position:absolute;margin-left:557.684509pt;margin-top:340.166992pt;width:37.35pt;height:501.55pt;mso-position-horizontal-relative:page;mso-position-vertical-relative:page;z-index:252044288" coordorigin="11154,6803" coordsize="747,10031">
            <v:shape style="position:absolute;left:11283;top:7314;width:439;height:9520" type="#_x0000_t75" stroked="false">
              <v:imagedata r:id="rId435" o:title=""/>
            </v:shape>
            <v:shape style="position:absolute;left:11153;top:6803;width:747;height:812" coordorigin="11154,6803" coordsize="747,812" path="m11900,6803l11536,6803,11514,6806,11454,6839,11188,7122,11154,7209,11162,7255,11454,7578,11514,7612,11536,7615,11900,7615,11900,6803xe" filled="true" fillcolor="#f37b7d" stroked="false">
              <v:path arrowok="t"/>
              <v:fill type="solid"/>
            </v:shape>
            <v:shape style="position:absolute;left:11321;top:7070;width:374;height:273" type="#_x0000_t75" stroked="false">
              <v:imagedata r:id="rId436" o:title=""/>
            </v:shape>
            <v:shape style="position:absolute;left:11378;top:7753;width:250;height:3597" type="#_x0000_t75" stroked="false">
              <v:imagedata r:id="rId437" o:title=""/>
            </v:shape>
            <v:shape style="position:absolute;left:11368;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145</w:t>
                    </w:r>
                  </w:p>
                </w:txbxContent>
              </v:textbox>
              <w10:wrap type="none"/>
            </v:shape>
            <w10:wrap type="none"/>
          </v:group>
        </w:pict>
      </w:r>
    </w:p>
    <w:p>
      <w:pPr>
        <w:spacing w:after="0"/>
        <w:rPr>
          <w:sz w:val="2"/>
          <w:szCs w:val="2"/>
        </w:rPr>
        <w:sectPr>
          <w:pgSz w:w="11910" w:h="16840"/>
          <w:pgMar w:top="1200" w:bottom="0" w:left="980" w:right="0"/>
        </w:sectPr>
      </w:pPr>
    </w:p>
    <w:p>
      <w:pPr>
        <w:pStyle w:val="BodyText"/>
        <w:spacing w:before="16"/>
        <w:rPr>
          <w:rFonts w:ascii="微軟正黑體"/>
          <w:b/>
          <w:sz w:val="10"/>
        </w:rPr>
      </w:pPr>
      <w:r>
        <w:rPr/>
        <w:pict>
          <v:group style="position:absolute;margin-left:-.000001pt;margin-top:340.166992pt;width:37.35pt;height:501.55pt;mso-position-horizontal-relative:page;mso-position-vertical-relative:page;z-index:252046336" coordorigin="0,6803" coordsize="747,10031">
            <v:shape style="position:absolute;left:178;top:7314;width:439;height:9520" type="#_x0000_t75" stroked="false">
              <v:imagedata r:id="rId438" o:title=""/>
            </v:shape>
            <v:shape style="position:absolute;left:0;top:6803;width:747;height:812" coordorigin="0,6803" coordsize="747,812" path="m365,6803l0,6803,0,7615,365,7615,387,7612,447,7578,713,7296,747,7209,738,7163,447,6839,387,6806,365,6803xe" filled="true" fillcolor="#f37b7d" stroked="false">
              <v:path arrowok="t"/>
              <v:fill type="solid"/>
            </v:shape>
            <v:shape style="position:absolute;left:216;top:7070;width:374;height:273" type="#_x0000_t75" stroked="false">
              <v:imagedata r:id="rId439" o:title=""/>
            </v:shape>
            <v:shape style="position:absolute;left:273;top:7753;width:250;height:3597" type="#_x0000_t75" stroked="false">
              <v:imagedata r:id="rId440"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146</w:t>
                    </w:r>
                  </w:p>
                </w:txbxContent>
              </v:textbox>
              <w10:wrap type="none"/>
            </v:shape>
            <w10:wrap type="none"/>
          </v:group>
        </w:pict>
      </w:r>
    </w:p>
    <w:p>
      <w:pPr>
        <w:spacing w:after="0"/>
        <w:rPr>
          <w:rFonts w:ascii="微軟正黑體"/>
          <w:sz w:val="10"/>
        </w:rPr>
        <w:sectPr>
          <w:pgSz w:w="11910" w:h="16840"/>
          <w:pgMar w:top="1600" w:bottom="0" w:left="980" w:right="0"/>
        </w:sectPr>
      </w:pPr>
    </w:p>
    <w:p>
      <w:pPr>
        <w:spacing w:line="581" w:lineRule="exact" w:before="0"/>
        <w:ind w:left="1411" w:right="0" w:firstLine="0"/>
        <w:jc w:val="left"/>
        <w:rPr>
          <w:rFonts w:ascii="微軟正黑體" w:eastAsia="微軟正黑體" w:hint="eastAsia"/>
          <w:b/>
          <w:sz w:val="32"/>
        </w:rPr>
      </w:pPr>
      <w:r>
        <w:rPr>
          <w:rFonts w:ascii="微軟正黑體" w:eastAsia="微軟正黑體" w:hint="eastAsia"/>
          <w:b/>
          <w:color w:val="231F20"/>
          <w:sz w:val="32"/>
        </w:rPr>
        <w:t>第十三章 結核病病人飛航限制及航空器接觸者追蹤</w:t>
      </w:r>
    </w:p>
    <w:p>
      <w:pPr>
        <w:pStyle w:val="BodyText"/>
        <w:spacing w:before="6"/>
        <w:rPr>
          <w:rFonts w:ascii="微軟正黑體"/>
          <w:b/>
          <w:sz w:val="13"/>
        </w:rPr>
      </w:pPr>
    </w:p>
    <w:p>
      <w:pPr>
        <w:spacing w:line="436" w:lineRule="exact" w:before="39"/>
        <w:ind w:left="153" w:right="0" w:firstLine="0"/>
        <w:jc w:val="left"/>
        <w:rPr>
          <w:rFonts w:ascii="微軟正黑體" w:eastAsia="微軟正黑體" w:hint="eastAsia"/>
          <w:b/>
          <w:sz w:val="24"/>
        </w:rPr>
      </w:pPr>
      <w:r>
        <w:rPr>
          <w:rFonts w:ascii="微軟正黑體" w:eastAsia="微軟正黑體" w:hint="eastAsia"/>
          <w:b/>
          <w:color w:val="231F20"/>
          <w:sz w:val="24"/>
        </w:rPr>
        <w:t>壹、目的</w:t>
      </w:r>
    </w:p>
    <w:p>
      <w:pPr>
        <w:pStyle w:val="BodyText"/>
        <w:spacing w:line="413" w:lineRule="exact"/>
        <w:ind w:left="1116"/>
      </w:pPr>
      <w:r>
        <w:rPr>
          <w:color w:val="231F20"/>
        </w:rPr>
        <w:t>避免傳染性結核病病人因搭乘大眾航空器造成傳染，參考 WHO 有關結核病與搭機</w:t>
      </w:r>
    </w:p>
    <w:p>
      <w:pPr>
        <w:pStyle w:val="BodyText"/>
        <w:spacing w:line="230" w:lineRule="auto"/>
        <w:ind w:left="635" w:right="1135"/>
      </w:pPr>
      <w:r>
        <w:rPr>
          <w:color w:val="231F20"/>
          <w:w w:val="105"/>
        </w:rPr>
        <w:t>旅遊之健唐指引(Tuberculosis and air travel Guidelines for prevention and control WHO)進行飛航限制及接觸者追蹤。</w:t>
      </w:r>
    </w:p>
    <w:p>
      <w:pPr>
        <w:pStyle w:val="BodyText"/>
        <w:spacing w:before="13"/>
        <w:rPr>
          <w:sz w:val="19"/>
        </w:rPr>
      </w:pPr>
    </w:p>
    <w:p>
      <w:pPr>
        <w:pStyle w:val="Heading2"/>
        <w:spacing w:before="1"/>
      </w:pPr>
      <w:r>
        <w:rPr>
          <w:color w:val="231F20"/>
        </w:rPr>
        <w:t>貳、法源依據</w:t>
      </w:r>
    </w:p>
    <w:p>
      <w:pPr>
        <w:pStyle w:val="BodyText"/>
        <w:spacing w:line="404" w:lineRule="exact"/>
        <w:ind w:left="635"/>
      </w:pPr>
      <w:r>
        <w:rPr>
          <w:color w:val="231F20"/>
        </w:rPr>
        <w:t>傳染病防治法第匹十八條第—項、第五十八條第—項第五款</w:t>
      </w:r>
    </w:p>
    <w:p>
      <w:pPr>
        <w:pStyle w:val="BodyText"/>
        <w:spacing w:line="409" w:lineRule="exact"/>
        <w:ind w:left="635"/>
      </w:pPr>
      <w:r>
        <w:rPr>
          <w:color w:val="231F20"/>
          <w:w w:val="105"/>
        </w:rPr>
        <w:t>限制傳染性結核病病人搭乘大眾航空器出國 </w:t>
      </w:r>
      <w:r>
        <w:rPr>
          <w:color w:val="231F20"/>
          <w:w w:val="70"/>
        </w:rPr>
        <w:t>（ </w:t>
      </w:r>
      <w:r>
        <w:rPr>
          <w:color w:val="231F20"/>
          <w:w w:val="105"/>
        </w:rPr>
        <w:t>境 ) 實施要點 </w:t>
      </w:r>
      <w:r>
        <w:rPr>
          <w:color w:val="231F20"/>
          <w:w w:val="125"/>
        </w:rPr>
        <w:t>(附件 13-1)</w:t>
      </w:r>
    </w:p>
    <w:p>
      <w:pPr>
        <w:pStyle w:val="BodyText"/>
        <w:spacing w:before="16"/>
        <w:rPr>
          <w:sz w:val="19"/>
        </w:rPr>
      </w:pPr>
    </w:p>
    <w:p>
      <w:pPr>
        <w:pStyle w:val="Heading2"/>
      </w:pPr>
      <w:r>
        <w:rPr>
          <w:color w:val="231F20"/>
        </w:rPr>
        <w:t>參、結核病病人飛航限制</w:t>
      </w:r>
    </w:p>
    <w:p>
      <w:pPr>
        <w:pStyle w:val="BodyText"/>
        <w:spacing w:line="404" w:lineRule="exact"/>
        <w:ind w:left="391"/>
      </w:pPr>
      <w:r>
        <w:rPr>
          <w:color w:val="231F20"/>
        </w:rPr>
        <w:t>—、飛航限制規定</w:t>
      </w:r>
    </w:p>
    <w:p>
      <w:pPr>
        <w:pStyle w:val="BodyText"/>
        <w:spacing w:line="230" w:lineRule="auto" w:before="3"/>
        <w:ind w:left="878" w:right="1133"/>
      </w:pPr>
      <w:r>
        <w:rPr/>
        <w:pict>
          <v:group style="position:absolute;margin-left:557.684509pt;margin-top:49.337803pt;width:37.35pt;height:474.55pt;mso-position-horizontal-relative:page;mso-position-vertical-relative:paragraph;z-index:252048384" coordorigin="11154,987" coordsize="747,9491">
            <v:shape style="position:absolute;left:11283;top:1498;width:439;height:8980" type="#_x0000_t75" stroked="false">
              <v:imagedata r:id="rId441" o:title=""/>
            </v:shape>
            <v:shape style="position:absolute;left:11153;top:986;width:747;height:812" coordorigin="11154,987" coordsize="747,812" path="m11900,987l11536,987,11514,989,11454,1023,11188,1305,11154,1392,11162,1439,11454,1762,11514,1796,11536,1798,11900,1798,11900,987xe" filled="true" fillcolor="#7c8ac4" stroked="false">
              <v:path arrowok="t"/>
              <v:fill type="solid"/>
            </v:shape>
            <v:shape style="position:absolute;left:11321;top:1253;width:377;height:278" type="#_x0000_t75" stroked="false">
              <v:imagedata r:id="rId442" o:title=""/>
            </v:shape>
            <v:shape style="position:absolute;left:11378;top:1948;width:251;height:5720" type="#_x0000_t75" stroked="false">
              <v:imagedata r:id="rId443" o:title=""/>
            </v:shape>
            <v:shape style="position:absolute;left:11368;top:9914;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147</w:t>
                    </w:r>
                  </w:p>
                </w:txbxContent>
              </v:textbox>
              <w10:wrap type="none"/>
            </v:shape>
            <w10:wrap type="none"/>
          </v:group>
        </w:pict>
      </w:r>
      <w:r>
        <w:rPr/>
        <w:pict>
          <v:shape style="position:absolute;margin-left:92.936501pt;margin-top:38.105305pt;width:445.8pt;height:214pt;mso-position-horizontal-relative:page;mso-position-vertical-relative:paragraph;z-index:252049408"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3880"/>
                    <w:gridCol w:w="1620"/>
                    <w:gridCol w:w="3392"/>
                  </w:tblGrid>
                  <w:tr>
                    <w:trPr>
                      <w:trHeight w:val="451" w:hRule="atLeast"/>
                    </w:trPr>
                    <w:tc>
                      <w:tcPr>
                        <w:tcW w:w="3880" w:type="dxa"/>
                        <w:shd w:val="clear" w:color="auto" w:fill="E6E7E8"/>
                      </w:tcPr>
                      <w:p>
                        <w:pPr>
                          <w:pStyle w:val="TableParagraph"/>
                          <w:spacing w:line="431" w:lineRule="exact"/>
                          <w:ind w:left="1439" w:right="1425"/>
                          <w:jc w:val="center"/>
                          <w:rPr>
                            <w:rFonts w:ascii="微軟正黑體" w:eastAsia="微軟正黑體" w:hint="eastAsia"/>
                            <w:b/>
                            <w:sz w:val="24"/>
                          </w:rPr>
                        </w:pPr>
                        <w:r>
                          <w:rPr>
                            <w:rFonts w:ascii="微軟正黑體" w:eastAsia="微軟正黑體" w:hint="eastAsia"/>
                            <w:b/>
                            <w:color w:val="231F20"/>
                            <w:sz w:val="24"/>
                          </w:rPr>
                          <w:t>限制對象</w:t>
                        </w:r>
                      </w:p>
                    </w:tc>
                    <w:tc>
                      <w:tcPr>
                        <w:tcW w:w="1620" w:type="dxa"/>
                        <w:shd w:val="clear" w:color="auto" w:fill="E6E7E8"/>
                      </w:tcPr>
                      <w:p>
                        <w:pPr>
                          <w:pStyle w:val="TableParagraph"/>
                          <w:spacing w:line="431" w:lineRule="exact"/>
                          <w:ind w:left="330"/>
                          <w:rPr>
                            <w:rFonts w:ascii="微軟正黑體" w:eastAsia="微軟正黑體" w:hint="eastAsia"/>
                            <w:b/>
                            <w:sz w:val="24"/>
                          </w:rPr>
                        </w:pPr>
                        <w:r>
                          <w:rPr>
                            <w:rFonts w:ascii="微軟正黑體" w:eastAsia="微軟正黑體" w:hint="eastAsia"/>
                            <w:b/>
                            <w:color w:val="231F20"/>
                            <w:sz w:val="24"/>
                          </w:rPr>
                          <w:t>限制條件</w:t>
                        </w:r>
                      </w:p>
                    </w:tc>
                    <w:tc>
                      <w:tcPr>
                        <w:tcW w:w="3392" w:type="dxa"/>
                        <w:shd w:val="clear" w:color="auto" w:fill="E6E7E8"/>
                      </w:tcPr>
                      <w:p>
                        <w:pPr>
                          <w:pStyle w:val="TableParagraph"/>
                          <w:spacing w:line="431" w:lineRule="exact"/>
                          <w:ind w:left="977"/>
                          <w:rPr>
                            <w:rFonts w:ascii="微軟正黑體" w:eastAsia="微軟正黑體" w:hint="eastAsia"/>
                            <w:b/>
                            <w:sz w:val="24"/>
                          </w:rPr>
                        </w:pPr>
                        <w:r>
                          <w:rPr>
                            <w:rFonts w:ascii="微軟正黑體" w:eastAsia="微軟正黑體" w:hint="eastAsia"/>
                            <w:b/>
                            <w:color w:val="231F20"/>
                            <w:sz w:val="24"/>
                          </w:rPr>
                          <w:t>解除限制條件</w:t>
                        </w:r>
                      </w:p>
                    </w:tc>
                  </w:tr>
                  <w:tr>
                    <w:trPr>
                      <w:trHeight w:val="1651" w:hRule="atLeast"/>
                    </w:trPr>
                    <w:tc>
                      <w:tcPr>
                        <w:tcW w:w="3880" w:type="dxa"/>
                      </w:tcPr>
                      <w:p>
                        <w:pPr>
                          <w:pStyle w:val="TableParagraph"/>
                          <w:spacing w:before="31"/>
                          <w:ind w:left="84"/>
                          <w:rPr>
                            <w:sz w:val="24"/>
                          </w:rPr>
                        </w:pPr>
                        <w:r>
                          <w:rPr>
                            <w:color w:val="231F20"/>
                            <w:sz w:val="24"/>
                          </w:rPr>
                          <w:t>甲類：痰抹片陽性之肺結核病病人</w:t>
                        </w:r>
                      </w:p>
                    </w:tc>
                    <w:tc>
                      <w:tcPr>
                        <w:tcW w:w="1620" w:type="dxa"/>
                      </w:tcPr>
                      <w:p>
                        <w:pPr>
                          <w:pStyle w:val="TableParagraph"/>
                          <w:spacing w:line="230" w:lineRule="auto" w:before="43"/>
                          <w:ind w:left="84" w:right="78"/>
                          <w:jc w:val="both"/>
                          <w:rPr>
                            <w:sz w:val="24"/>
                          </w:rPr>
                        </w:pPr>
                        <w:r>
                          <w:rPr>
                            <w:color w:val="231F20"/>
                            <w:sz w:val="24"/>
                          </w:rPr>
                          <w:t>不得搭乘單次航程逾八小時之大眾航空器</w:t>
                        </w:r>
                      </w:p>
                      <w:p>
                        <w:pPr>
                          <w:pStyle w:val="TableParagraph"/>
                          <w:spacing w:line="385" w:lineRule="exact"/>
                          <w:ind w:left="84"/>
                          <w:rPr>
                            <w:sz w:val="24"/>
                          </w:rPr>
                        </w:pPr>
                        <w:r>
                          <w:rPr>
                            <w:color w:val="231F20"/>
                            <w:w w:val="135"/>
                            <w:sz w:val="24"/>
                          </w:rPr>
                          <w:t>出國(境)</w:t>
                        </w:r>
                      </w:p>
                    </w:tc>
                    <w:tc>
                      <w:tcPr>
                        <w:tcW w:w="3392" w:type="dxa"/>
                      </w:tcPr>
                      <w:p>
                        <w:pPr>
                          <w:pStyle w:val="TableParagraph"/>
                          <w:spacing w:line="230" w:lineRule="auto" w:before="43"/>
                          <w:ind w:left="85" w:right="45"/>
                          <w:rPr>
                            <w:sz w:val="24"/>
                          </w:rPr>
                        </w:pPr>
                        <w:r>
                          <w:rPr>
                            <w:color w:val="231F20"/>
                            <w:sz w:val="24"/>
                          </w:rPr>
                          <w:t>於直接觀察治療達 14 天或有其他證據顯示無傳染之虞</w:t>
                        </w:r>
                      </w:p>
                    </w:tc>
                  </w:tr>
                  <w:tr>
                    <w:trPr>
                      <w:trHeight w:val="1251" w:hRule="atLeast"/>
                    </w:trPr>
                    <w:tc>
                      <w:tcPr>
                        <w:tcW w:w="3880" w:type="dxa"/>
                      </w:tcPr>
                      <w:p>
                        <w:pPr>
                          <w:pStyle w:val="TableParagraph"/>
                          <w:spacing w:line="230" w:lineRule="auto" w:before="43"/>
                          <w:ind w:left="804" w:right="93" w:hanging="720"/>
                          <w:rPr>
                            <w:sz w:val="24"/>
                          </w:rPr>
                        </w:pPr>
                        <w:r>
                          <w:rPr>
                            <w:color w:val="231F20"/>
                            <w:w w:val="110"/>
                            <w:sz w:val="24"/>
                          </w:rPr>
                          <w:t>乙類：多重抗藥性(MDR)結核病病人</w:t>
                        </w:r>
                      </w:p>
                      <w:p>
                        <w:pPr>
                          <w:pStyle w:val="TableParagraph"/>
                          <w:spacing w:line="386" w:lineRule="exact"/>
                          <w:ind w:left="804"/>
                          <w:rPr>
                            <w:sz w:val="24"/>
                          </w:rPr>
                        </w:pPr>
                        <w:r>
                          <w:rPr>
                            <w:color w:val="231F20"/>
                            <w:w w:val="120"/>
                            <w:sz w:val="24"/>
                          </w:rPr>
                          <w:t>(單純肺外 MDR 除外)</w:t>
                        </w:r>
                      </w:p>
                    </w:tc>
                    <w:tc>
                      <w:tcPr>
                        <w:tcW w:w="1620" w:type="dxa"/>
                        <w:vMerge w:val="restart"/>
                      </w:tcPr>
                      <w:p>
                        <w:pPr>
                          <w:pStyle w:val="TableParagraph"/>
                          <w:spacing w:line="230" w:lineRule="auto" w:before="43"/>
                          <w:ind w:left="84" w:right="78"/>
                          <w:jc w:val="both"/>
                          <w:rPr>
                            <w:sz w:val="24"/>
                          </w:rPr>
                        </w:pPr>
                        <w:r>
                          <w:rPr>
                            <w:color w:val="231F20"/>
                            <w:sz w:val="24"/>
                          </w:rPr>
                          <w:t>—律禁止搭乘大眾航空器出</w:t>
                        </w:r>
                        <w:r>
                          <w:rPr>
                            <w:color w:val="231F20"/>
                            <w:w w:val="130"/>
                            <w:sz w:val="24"/>
                          </w:rPr>
                          <w:t>國(境)</w:t>
                        </w:r>
                      </w:p>
                    </w:tc>
                    <w:tc>
                      <w:tcPr>
                        <w:tcW w:w="3392" w:type="dxa"/>
                      </w:tcPr>
                      <w:p>
                        <w:pPr>
                          <w:pStyle w:val="TableParagraph"/>
                          <w:spacing w:before="31"/>
                          <w:ind w:left="85"/>
                          <w:rPr>
                            <w:sz w:val="24"/>
                          </w:rPr>
                        </w:pPr>
                        <w:r>
                          <w:rPr>
                            <w:color w:val="231F20"/>
                            <w:sz w:val="24"/>
                          </w:rPr>
                          <w:t>痰培養呈陰性</w:t>
                        </w:r>
                      </w:p>
                    </w:tc>
                  </w:tr>
                  <w:tr>
                    <w:trPr>
                      <w:trHeight w:val="851" w:hRule="atLeast"/>
                    </w:trPr>
                    <w:tc>
                      <w:tcPr>
                        <w:tcW w:w="3880" w:type="dxa"/>
                      </w:tcPr>
                      <w:p>
                        <w:pPr>
                          <w:pStyle w:val="TableParagraph"/>
                          <w:spacing w:before="31"/>
                          <w:ind w:left="84"/>
                          <w:rPr>
                            <w:sz w:val="24"/>
                          </w:rPr>
                        </w:pPr>
                        <w:r>
                          <w:rPr>
                            <w:color w:val="231F20"/>
                            <w:sz w:val="24"/>
                          </w:rPr>
                          <w:t>丙類：慢性傳染性結核病病人</w:t>
                        </w:r>
                      </w:p>
                    </w:tc>
                    <w:tc>
                      <w:tcPr>
                        <w:tcW w:w="1620" w:type="dxa"/>
                        <w:vMerge/>
                        <w:tcBorders>
                          <w:top w:val="nil"/>
                        </w:tcBorders>
                      </w:tcPr>
                      <w:p>
                        <w:pPr>
                          <w:rPr>
                            <w:sz w:val="2"/>
                            <w:szCs w:val="2"/>
                          </w:rPr>
                        </w:pPr>
                      </w:p>
                    </w:tc>
                    <w:tc>
                      <w:tcPr>
                        <w:tcW w:w="3392" w:type="dxa"/>
                      </w:tcPr>
                      <w:p>
                        <w:pPr>
                          <w:pStyle w:val="TableParagraph"/>
                          <w:spacing w:line="409" w:lineRule="exact" w:before="31"/>
                          <w:ind w:left="85"/>
                          <w:rPr>
                            <w:sz w:val="24"/>
                          </w:rPr>
                        </w:pPr>
                        <w:r>
                          <w:rPr>
                            <w:color w:val="231F20"/>
                            <w:sz w:val="24"/>
                          </w:rPr>
                          <w:t>經 2 年持續追蹤痰培養皆為陰</w:t>
                        </w:r>
                      </w:p>
                      <w:p>
                        <w:pPr>
                          <w:pStyle w:val="TableParagraph"/>
                          <w:spacing w:line="391" w:lineRule="exact"/>
                          <w:ind w:left="85"/>
                          <w:rPr>
                            <w:sz w:val="24"/>
                          </w:rPr>
                        </w:pPr>
                        <w:r>
                          <w:rPr>
                            <w:color w:val="231F20"/>
                            <w:sz w:val="24"/>
                          </w:rPr>
                          <w:t>性且完成管理</w:t>
                        </w:r>
                      </w:p>
                    </w:tc>
                  </w:tr>
                </w:tbl>
                <w:p>
                  <w:pPr>
                    <w:pStyle w:val="BodyText"/>
                  </w:pPr>
                </w:p>
              </w:txbxContent>
            </v:textbox>
            <w10:wrap type="none"/>
          </v:shape>
        </w:pict>
      </w:r>
      <w:r>
        <w:rPr>
          <w:color w:val="231F20"/>
        </w:rPr>
        <w:t>限制對象及條件如下表所示，個案若違反相關規定，經本署與內政部移民署資料勾稽確認後，將通知衛生主管機關，於個案再次入境後可依傳染病防治法逕行處置。</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5"/>
        <w:rPr>
          <w:sz w:val="37"/>
        </w:rPr>
      </w:pPr>
    </w:p>
    <w:p>
      <w:pPr>
        <w:pStyle w:val="BodyText"/>
        <w:spacing w:line="409" w:lineRule="exact"/>
        <w:ind w:left="391"/>
      </w:pPr>
      <w:r>
        <w:rPr>
          <w:color w:val="231F20"/>
        </w:rPr>
        <w:t>二、作業流程</w:t>
      </w:r>
    </w:p>
    <w:p>
      <w:pPr>
        <w:pStyle w:val="BodyText"/>
        <w:spacing w:line="230" w:lineRule="auto" w:before="3"/>
        <w:ind w:left="878" w:right="1133"/>
      </w:pPr>
      <w:r>
        <w:rPr>
          <w:color w:val="231F20"/>
        </w:rPr>
        <w:t>疑似結核病個案就醫後經醫療院所通報，醫師或醫院個管人員衛教個案應延遲旅行， 若得知傳染性或潛在傳染個案即將要去旅行，並須立刻通知衛生單位。</w:t>
      </w:r>
    </w:p>
    <w:p>
      <w:pPr>
        <w:pStyle w:val="BodyText"/>
        <w:spacing w:line="230" w:lineRule="auto"/>
        <w:ind w:left="878" w:right="1130"/>
        <w:jc w:val="both"/>
      </w:pPr>
      <w:r>
        <w:rPr>
          <w:color w:val="231F20"/>
        </w:rPr>
        <w:t>公衛管理人員於收案訪視個案時應予衛教，經確認為確診結核病 </w:t>
      </w:r>
      <w:r>
        <w:rPr>
          <w:color w:val="231F20"/>
          <w:w w:val="70"/>
        </w:rPr>
        <w:t>／ </w:t>
      </w:r>
      <w:r>
        <w:rPr>
          <w:color w:val="231F20"/>
        </w:rPr>
        <w:t>傳染性多重抗藥性結核病個案後，發給限制對象「限制傳染性結核病病人搭乘大眾航空器出國 </w:t>
      </w:r>
      <w:r>
        <w:rPr>
          <w:color w:val="231F20"/>
          <w:w w:val="70"/>
        </w:rPr>
        <w:t>（ </w:t>
      </w:r>
      <w:r>
        <w:rPr>
          <w:color w:val="231F20"/>
        </w:rPr>
        <w:t>境 ) 通</w:t>
      </w:r>
      <w:r>
        <w:rPr>
          <w:color w:val="231F20"/>
          <w:w w:val="95"/>
        </w:rPr>
        <w:t>知單」（ —式兩份 )，請其簽名並取回機關存査聯，過程中如遇特殊情形，請參考附件</w:t>
      </w:r>
      <w:r>
        <w:rPr>
          <w:color w:val="231F20"/>
        </w:rPr>
        <w:t>13-2。若個案後續藥敏結果確認為 MDR-TB，應再次告知個案需待痰培養陰性後才</w:t>
      </w:r>
      <w:r>
        <w:rPr>
          <w:color w:val="231F20"/>
          <w:w w:val="105"/>
        </w:rPr>
        <w:t>可解除飛航限制。</w:t>
      </w:r>
    </w:p>
    <w:p>
      <w:pPr>
        <w:pStyle w:val="BodyText"/>
        <w:spacing w:line="230" w:lineRule="auto"/>
        <w:ind w:left="878" w:right="1133"/>
        <w:jc w:val="both"/>
      </w:pPr>
      <w:r>
        <w:rPr>
          <w:color w:val="231F20"/>
        </w:rPr>
        <w:t>另如接獲本署通知個案經勾稽發現違反飛航限制出國(境)，應於個案入境後依傳染  </w:t>
      </w:r>
      <w:r>
        <w:rPr>
          <w:color w:val="231F20"/>
          <w:spacing w:val="-1"/>
        </w:rPr>
        <w:t>病防治法逕行處置。相關作業流程如下圖 </w:t>
      </w:r>
      <w:r>
        <w:rPr>
          <w:color w:val="231F20"/>
        </w:rPr>
        <w:t>1：</w:t>
      </w:r>
    </w:p>
    <w:p>
      <w:pPr>
        <w:spacing w:after="0" w:line="230" w:lineRule="auto"/>
        <w:jc w:val="both"/>
        <w:sectPr>
          <w:pgSz w:w="11910" w:h="16840"/>
          <w:pgMar w:top="1060" w:bottom="0" w:left="980" w:right="0"/>
        </w:sectPr>
      </w:pPr>
    </w:p>
    <w:p>
      <w:pPr>
        <w:pStyle w:val="BodyText"/>
        <w:spacing w:before="59"/>
        <w:ind w:left="153"/>
      </w:pPr>
      <w:r>
        <w:rPr/>
        <w:pict>
          <v:group style="position:absolute;margin-left:147.639999pt;margin-top:27.751379pt;width:263.650pt;height:74.7pt;mso-position-horizontal-relative:page;mso-position-vertical-relative:paragraph;z-index:-251265024;mso-wrap-distance-left:0;mso-wrap-distance-right:0" coordorigin="2953,555" coordsize="5273,1494">
            <v:shape style="position:absolute;left:2952;top:555;width:5273;height:1494" coordorigin="2953,555" coordsize="5273,1494" path="m3807,556l3764,556,3741,557,3668,565,3597,578,3526,597,3458,621,3393,650,3330,683,3270,722,3214,765,3163,812,3116,863,3074,919,3037,978,3007,1040,2983,1106,2965,1175,2955,1247,2953,1322,2954,1342,2955,1360,2966,1435,2985,1507,3011,1576,3045,1640,3084,1701,3129,1758,3180,1810,3235,1857,3295,1900,3358,1937,3424,1970,3493,1997,3564,2019,3637,2035,3711,2045,3785,2049,7415,2049,7490,2043,7563,2031,3785,2031,3711,2026,3637,2016,3565,1999,3494,1977,3426,1950,3361,1917,3298,1880,3240,1837,3186,1790,3137,1738,3093,1681,3055,1621,3024,1556,2999,1487,2982,1415,2972,1340,2972,1321,2971,1302,2976,1226,2989,1153,3010,1084,3038,1018,3072,956,3113,897,3159,843,3210,793,3266,748,3326,708,3390,672,3456,642,3525,617,3597,597,3669,584,3743,577,3785,574,3805,574,3800,572,7550,572,7490,562,7443,558,3814,558,3807,556xm7550,572l3800,572,3807,574,7392,574,7413,575,7489,581,7563,594,7636,612,7707,636,7775,666,7841,701,7902,741,7960,787,8013,837,8060,891,8102,950,8138,1013,8166,1080,8188,1151,8201,1225,8206,1302,8206,1322,8205,1340,8196,1415,8179,1485,8155,1553,8125,1616,8088,1676,8045,1732,7998,1784,7945,1831,7888,1873,7828,1911,7764,1944,7697,1972,7629,1995,7558,2012,7486,2024,7413,2029,7392,2031,7563,2031,7565,2030,7639,2012,7710,1988,7779,1958,7845,1923,7908,1883,7967,1837,8020,1787,8069,1733,8112,1674,8149,1611,8179,1544,8202,1473,8217,1399,8224,1321,8225,1302,8224,1283,8217,1205,8202,1131,8179,1060,8149,994,8112,931,8069,872,8020,817,7966,767,7907,722,7845,682,7779,647,7710,617,7638,593,7565,575,7550,572xm3800,572l3805,574,3807,574,3800,572xm3809,555l3807,555,3785,556,3807,556,3814,558,3812,556,3809,555xm7415,556l3812,556,3814,558,7443,558,7415,556xe" filled="true" fillcolor="#999b9f" stroked="false">
              <v:path arrowok="t"/>
              <v:fill type="solid"/>
            </v:shape>
            <v:shape style="position:absolute;left:2952;top:555;width:5273;height:1494" type="#_x0000_t202" filled="false" stroked="false">
              <v:textbox inset="0,0,0,0">
                <w:txbxContent>
                  <w:p>
                    <w:pPr>
                      <w:spacing w:line="240" w:lineRule="auto" w:before="14"/>
                      <w:rPr>
                        <w:sz w:val="23"/>
                      </w:rPr>
                    </w:pPr>
                  </w:p>
                  <w:p>
                    <w:pPr>
                      <w:spacing w:line="228" w:lineRule="auto" w:before="0"/>
                      <w:ind w:left="415" w:right="400" w:firstLine="0"/>
                      <w:jc w:val="left"/>
                      <w:rPr>
                        <w:rFonts w:ascii="新細明體" w:eastAsia="新細明體" w:hint="eastAsia"/>
                        <w:sz w:val="17"/>
                      </w:rPr>
                    </w:pPr>
                    <w:r>
                      <w:rPr>
                        <w:rFonts w:ascii="新細明體" w:eastAsia="新細明體" w:hint="eastAsia"/>
                        <w:color w:val="343133"/>
                        <w:w w:val="110"/>
                        <w:sz w:val="17"/>
                      </w:rPr>
                      <w:t>病人確診為結核病／傳染性多重抗藥性結核病個案； </w:t>
                    </w:r>
                    <w:r>
                      <w:rPr>
                        <w:rFonts w:ascii="新細明體" w:eastAsia="新細明體" w:hint="eastAsia"/>
                        <w:color w:val="343133"/>
                        <w:spacing w:val="-1"/>
                        <w:w w:val="105"/>
                        <w:sz w:val="17"/>
                      </w:rPr>
                      <w:t>醫師／醫隗個管人員進行傳染性結核病人飛航隈制相關 </w:t>
                    </w:r>
                    <w:r>
                      <w:rPr>
                        <w:rFonts w:ascii="新細明體" w:eastAsia="新細明體" w:hint="eastAsia"/>
                        <w:color w:val="343133"/>
                        <w:w w:val="110"/>
                        <w:sz w:val="17"/>
                      </w:rPr>
                      <w:t>衛教</w:t>
                    </w:r>
                  </w:p>
                </w:txbxContent>
              </v:textbox>
              <w10:wrap type="none"/>
            </v:shape>
            <w10:wrap type="topAndBottom"/>
          </v:group>
        </w:pict>
      </w:r>
      <w:r>
        <w:rPr/>
        <w:pict>
          <v:group style="position:absolute;margin-left:-.000001pt;margin-top:367.170013pt;width:37.35pt;height:474.55pt;mso-position-horizontal-relative:page;mso-position-vertical-relative:page;z-index:252064768" coordorigin="0,7343" coordsize="747,9491">
            <v:shape style="position:absolute;left:178;top:7854;width:439;height:8980" type="#_x0000_t75" stroked="false">
              <v:imagedata r:id="rId444" o:title=""/>
            </v:shape>
            <v:shape style="position:absolute;left:0;top:7343;width:747;height:812" coordorigin="0,7343" coordsize="747,812" path="m365,7343l0,7343,0,8155,365,8155,387,8152,447,8119,713,7836,747,7749,738,7703,447,7380,387,7346,365,7343xe" filled="true" fillcolor="#7c8ac4" stroked="false">
              <v:path arrowok="t"/>
              <v:fill type="solid"/>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148</w:t>
                    </w:r>
                  </w:p>
                </w:txbxContent>
              </v:textbox>
              <w10:wrap type="none"/>
            </v:shape>
            <w10:wrap type="none"/>
          </v:group>
        </w:pict>
      </w:r>
      <w:r>
        <w:rPr/>
        <w:pict>
          <v:group style="position:absolute;margin-left:150.149002pt;margin-top:96.770828pt;width:258.6pt;height:50.75pt;mso-position-horizontal-relative:page;mso-position-vertical-relative:paragraph;z-index:-265991168" coordorigin="3003,1935" coordsize="5172,1015">
            <v:shape style="position:absolute;left:3002;top:2380;width:5172;height:570" coordorigin="3003,2380" coordsize="5172,570" path="m8170,2380l3008,2380,3003,2385,3003,2945,3008,2950,8170,2950,8174,2945,8174,2941,3022,2941,3013,2932,3022,2932,3022,2399,3013,2399,3022,2390,8174,2390,8174,2385,8170,2380xm3022,2932l3013,2932,3022,2941,3022,2932xm8155,2932l3022,2932,3022,2941,8155,2941,8155,2932xm8155,2390l8155,2941,8164,2932,8174,2932,8174,2399,8164,2399,8155,2390xm8174,2932l8164,2932,8155,2941,8174,2941,8174,2932xm3022,2390l3013,2399,3022,2399,3022,2390xm8155,2390l3022,2390,3022,2399,8155,2399,8155,2390xm8174,2390l8155,2390,8164,2399,8174,2399,8174,2390xe" filled="true" fillcolor="#999b9f" stroked="false">
              <v:path arrowok="t"/>
              <v:fill type="solid"/>
            </v:shape>
            <v:shape style="position:absolute;left:3002;top:1935;width:5172;height:1015" type="#_x0000_t202" filled="false" stroked="false">
              <v:textbox inset="0,0,0,0">
                <w:txbxContent>
                  <w:p>
                    <w:pPr>
                      <w:spacing w:line="565" w:lineRule="exact" w:before="0"/>
                      <w:ind w:left="17" w:right="0" w:firstLine="0"/>
                      <w:jc w:val="center"/>
                      <w:rPr>
                        <w:rFonts w:ascii="Times New Roman"/>
                        <w:sz w:val="51"/>
                      </w:rPr>
                    </w:pPr>
                    <w:r>
                      <w:rPr>
                        <w:rFonts w:ascii="Times New Roman"/>
                        <w:color w:val="999A9E"/>
                        <w:w w:val="78"/>
                        <w:sz w:val="51"/>
                      </w:rPr>
                      <w:t>I</w:t>
                    </w:r>
                  </w:p>
                  <w:p>
                    <w:pPr>
                      <w:spacing w:before="46"/>
                      <w:ind w:left="171" w:right="0" w:firstLine="0"/>
                      <w:jc w:val="left"/>
                      <w:rPr>
                        <w:rFonts w:ascii="新細明體" w:eastAsia="新細明體" w:hint="eastAsia"/>
                        <w:sz w:val="17"/>
                      </w:rPr>
                    </w:pPr>
                    <w:r>
                      <w:rPr>
                        <w:rFonts w:ascii="新細明體" w:eastAsia="新細明體" w:hint="eastAsia"/>
                        <w:color w:val="343133"/>
                        <w:w w:val="105"/>
                        <w:sz w:val="17"/>
                      </w:rPr>
                      <w:t>公衛端收案並確認個案符合限制 對象條件 </w:t>
                    </w:r>
                    <w:r>
                      <w:rPr>
                        <w:rFonts w:ascii="新細明體" w:eastAsia="新細明體" w:hint="eastAsia"/>
                        <w:color w:val="565456"/>
                        <w:w w:val="105"/>
                        <w:sz w:val="17"/>
                      </w:rPr>
                      <w:t>。</w:t>
                    </w:r>
                  </w:p>
                </w:txbxContent>
              </v:textbox>
              <w10:wrap type="none"/>
            </v:shape>
            <w10:wrap type="none"/>
          </v:group>
        </w:pict>
      </w:r>
      <w:r>
        <w:rPr/>
        <w:pict>
          <v:group style="position:absolute;margin-left:149.807007pt;margin-top:254.958588pt;width:259.3pt;height:53.7pt;mso-position-horizontal-relative:page;mso-position-vertical-relative:page;z-index:-265989120" coordorigin="2996,5099" coordsize="5186,1074">
            <v:shape style="position:absolute;left:2996;top:5416;width:5186;height:756" coordorigin="2996,5416" coordsize="5186,756" path="m8178,5416l3001,5416,2996,5421,2996,6168,3001,6172,8178,6172,8182,6168,8182,6162,3016,6162,3006,6153,3016,6153,3016,5436,3006,5436,3016,5427,8182,5427,8182,5421,8178,5416xm3016,6153l3006,6153,3016,6162,3016,6153xm8163,6153l3016,6153,3016,6162,8163,6162,8163,6153xm8163,5427l8163,6162,8172,6153,8182,6153,8182,5436,8172,5436,8163,5427xm8182,6153l8172,6153,8163,6162,8182,6162,8182,6153xm3016,5427l3006,5436,3016,5436,3016,5427xm8163,5427l3016,5427,3016,5436,8163,5436,8163,5427xm8182,5427l8163,5427,8172,5436,8182,5436,8182,5427xe" filled="true" fillcolor="#999b9f" stroked="false">
              <v:path arrowok="t"/>
              <v:fill type="solid"/>
            </v:shape>
            <v:shape style="position:absolute;left:2996;top:5099;width:5186;height:1074" type="#_x0000_t202" filled="false" stroked="false">
              <v:textbox inset="0,0,0,0">
                <w:txbxContent>
                  <w:p>
                    <w:pPr>
                      <w:spacing w:line="479" w:lineRule="exact" w:before="0"/>
                      <w:ind w:left="0" w:right="2" w:firstLine="0"/>
                      <w:jc w:val="center"/>
                      <w:rPr>
                        <w:rFonts w:ascii="Arial"/>
                        <w:sz w:val="44"/>
                      </w:rPr>
                    </w:pPr>
                    <w:r>
                      <w:rPr>
                        <w:rFonts w:ascii="Arial"/>
                        <w:color w:val="999A9E"/>
                        <w:w w:val="53"/>
                        <w:sz w:val="44"/>
                      </w:rPr>
                      <w:t>+</w:t>
                    </w:r>
                  </w:p>
                  <w:p>
                    <w:pPr>
                      <w:spacing w:line="223" w:lineRule="auto" w:before="0"/>
                      <w:ind w:left="165" w:right="172" w:firstLine="1"/>
                      <w:jc w:val="left"/>
                      <w:rPr>
                        <w:rFonts w:ascii="新細明體" w:hAnsi="新細明體" w:eastAsia="新細明體" w:hint="eastAsia"/>
                        <w:sz w:val="17"/>
                      </w:rPr>
                    </w:pPr>
                    <w:r>
                      <w:rPr>
                        <w:rFonts w:ascii="新細明體" w:hAnsi="新細明體" w:eastAsia="新細明體" w:hint="eastAsia"/>
                        <w:color w:val="343133"/>
                        <w:w w:val="105"/>
                        <w:sz w:val="17"/>
                      </w:rPr>
                      <w:t>於個案訪視 時進行衛教（</w:t>
                    </w:r>
                    <w:r>
                      <w:rPr>
                        <w:rFonts w:ascii="新細明體" w:hAnsi="新細明體" w:eastAsia="新細明體" w:hint="eastAsia"/>
                        <w:color w:val="343133"/>
                        <w:spacing w:val="-9"/>
                        <w:w w:val="105"/>
                        <w:sz w:val="17"/>
                      </w:rPr>
                      <w:t> 附件 </w:t>
                    </w:r>
                    <w:r>
                      <w:rPr>
                        <w:rFonts w:ascii="Arial" w:hAnsi="Arial" w:eastAsia="Arial"/>
                        <w:color w:val="343133"/>
                        <w:spacing w:val="2"/>
                        <w:w w:val="105"/>
                        <w:sz w:val="19"/>
                      </w:rPr>
                      <w:t>13-4</w:t>
                    </w:r>
                    <w:r>
                      <w:rPr>
                        <w:rFonts w:ascii="Arial" w:hAnsi="Arial" w:eastAsia="Arial"/>
                        <w:color w:val="343133"/>
                        <w:spacing w:val="-24"/>
                        <w:w w:val="105"/>
                        <w:sz w:val="19"/>
                      </w:rPr>
                      <w:t> ) </w:t>
                    </w:r>
                    <w:r>
                      <w:rPr>
                        <w:rFonts w:ascii="Arial" w:hAnsi="Arial" w:eastAsia="Arial"/>
                        <w:color w:val="343133"/>
                        <w:w w:val="105"/>
                        <w:sz w:val="19"/>
                      </w:rPr>
                      <w:t>· </w:t>
                    </w:r>
                    <w:r>
                      <w:rPr>
                        <w:rFonts w:ascii="新細明體" w:hAnsi="新細明體" w:eastAsia="新細明體" w:hint="eastAsia"/>
                        <w:color w:val="343133"/>
                        <w:w w:val="105"/>
                        <w:sz w:val="17"/>
                      </w:rPr>
                      <w:t>發給限制出國（境）</w:t>
                    </w:r>
                    <w:r>
                      <w:rPr>
                        <w:rFonts w:ascii="新細明體" w:hAnsi="新細明體" w:eastAsia="新細明體" w:hint="eastAsia"/>
                        <w:color w:val="343133"/>
                        <w:spacing w:val="-13"/>
                        <w:w w:val="105"/>
                        <w:sz w:val="17"/>
                      </w:rPr>
                      <w:t>通</w:t>
                    </w:r>
                    <w:r>
                      <w:rPr>
                        <w:rFonts w:ascii="新細明體" w:hAnsi="新細明體" w:eastAsia="新細明體" w:hint="eastAsia"/>
                        <w:color w:val="343133"/>
                        <w:spacing w:val="6"/>
                        <w:w w:val="105"/>
                        <w:sz w:val="17"/>
                      </w:rPr>
                      <w:t>知單．並請其簽 名</w:t>
                    </w:r>
                    <w:r>
                      <w:rPr>
                        <w:rFonts w:ascii="新細明體" w:hAnsi="新細明體" w:eastAsia="新細明體" w:hint="eastAsia"/>
                        <w:color w:val="565456"/>
                        <w:w w:val="105"/>
                        <w:sz w:val="17"/>
                      </w:rPr>
                      <w:t>。</w:t>
                    </w:r>
                  </w:p>
                </w:txbxContent>
              </v:textbox>
              <w10:wrap type="none"/>
            </v:shape>
            <w10:wrap type="none"/>
          </v:group>
        </w:pict>
      </w:r>
      <w:r>
        <w:rPr/>
        <w:pict>
          <v:group style="position:absolute;margin-left:57.139pt;margin-top:322.752960pt;width:481.15pt;height:392.75pt;mso-position-horizontal-relative:page;mso-position-vertical-relative:page;z-index:-265982976" coordorigin="1143,6455" coordsize="9623,7855">
            <v:line style="position:absolute" from="2230,6465" to="9683,6465" stroked="true" strokeweight=".96405pt" strokecolor="#999b9f">
              <v:stroke dashstyle="solid"/>
            </v:line>
            <v:shape style="position:absolute;left:9680;top:6472;width:2;height:5833" coordorigin="9680,6472" coordsize="0,5833" path="m9680,6472l9680,6730m9680,7267l9680,12305e" filled="false" stroked="true" strokeweight=".97pt" strokecolor="#999b9f">
              <v:path arrowok="t"/>
              <v:stroke dashstyle="solid"/>
            </v:shape>
            <v:shape style="position:absolute;left:1142;top:6720;width:9623;height:4774" coordorigin="1143,6721" coordsize="9623,4774" path="m3317,7547l3313,7544,3298,7544,3298,7562,3298,11475,1162,11475,1162,7562,3298,7562,3298,7544,1147,7544,1143,7547,1143,11490,1147,11495,3313,11495,3317,11490,3317,11486,3317,11475,3317,7562,3317,7553,3317,7547m10765,6725l10761,6721,10746,6721,10746,6740,10746,7256,8610,7256,8610,6740,10746,6740,10746,6721,8595,6721,8592,6725,8592,7271,8595,7276,10761,7276,10765,7271,10765,7267,10765,7256,10765,6740,10765,6730,10765,6725e" filled="true" fillcolor="#999b9f" stroked="false">
              <v:path arrowok="t"/>
              <v:fill type="solid"/>
            </v:shape>
            <v:line style="position:absolute" from="2230,11486" to="2230,12305" stroked="true" strokeweight=".969pt" strokecolor="#999b9f">
              <v:stroke dashstyle="solid"/>
            </v:line>
            <v:shape style="position:absolute;left:3045;top:11837;width:5172;height:2473" coordorigin="3045,11837" coordsize="5172,2473" path="m3070,13776l3052,13773,3051,13777,3050,13790,3047,13802,3047,13815,3046,13827,3047,13832,3066,13831,3066,13815,3068,13792,3070,13780,3070,13776m3077,13903l3075,13896,3068,13862,3067,13851,3067,13849,3047,13851,3047,13852,3050,13865,3051,13877,3054,13890,3057,13902,3059,13908,3077,13903m3094,13707l3077,13699,3074,13705,3069,13717,3065,13728,3060,13741,3057,13752,3057,13753,3075,13758,3075,13757,3082,13734,3086,13724,3091,13713,3094,13707m3106,13970l3091,13941,3086,13930,3083,13920,3065,13927,3069,13937,3074,13949,3079,13961,3085,13972,3090,13979,3106,13970m3132,13644l3117,13633,3114,13638,3106,13648,3085,13682,3102,13691,3108,13680,3122,13659,3130,13648,3132,13644m3149,14030l3146,14026,3136,14016,3130,14005,3122,13995,3116,13986,3100,13996,3106,14005,3114,14017,3123,14028,3131,14038,3135,14043,3149,14030m3182,13589l3168,13575,3149,13596,3131,13616,3130,13617,3144,13630,3146,13627,3182,13589m3203,14083l3183,14066,3163,14046,3162,14044,3148,14056,3150,14059,3169,14079,3190,14096,3203,14083m3240,13542l3229,13526,3215,13537,3191,13556,3183,13563,3196,13576,3204,13570,3227,13551,3240,13542m3262,14127l3250,14120,3227,14102,3216,14094,3205,14109,3215,14118,3240,14136,3252,14143,3262,14127m3303,13501l3293,13484,3266,13501,3245,13515,3255,13531,3277,13516,3303,13501m3327,14165l3304,14153,3278,14137,3268,14154,3295,14170,3318,14182,3327,14165m3369,13467l3361,13450,3353,13454,3310,13475,3319,13492,3369,13467m3394,14197l3393,14197,3362,14184,3343,14175,3335,14190,3354,14201,3386,14214,3387,14215,3394,14197m3439,13438l3433,13421,3418,13425,3385,13439,3379,13442,3387,13459,3393,13456,3425,13444,3439,13438m3465,14224l3458,14222,3425,14210,3411,14205,3404,14222,3418,14228,3452,14240,3458,14243,3465,14224m3511,13415l3505,13397,3487,13402,3452,13413,3450,13414,3457,13432,3458,13431,3493,13420,3511,13415m3537,14246l3528,14244,3492,14234,3482,14230,3476,14248,3488,14252,3523,14262,3532,14264,3537,14246m3584,13396l3579,13378,3560,13382,3524,13391,3529,13409,3584,13396m3610,14263l3602,14262,3564,14254,3555,14251,3550,14270,3598,14280,3606,14282,3610,14263m3658,13381l3654,13363,3637,13365,3598,13373,3602,13391,3641,13385,3658,13381m3684,14277l3679,14276,3641,14269,3629,14268,3625,14286,3677,14295,3682,14295,3684,14277m3733,13371l3731,13353,3717,13354,3676,13360,3674,13360,3676,13379,3679,13378,3719,13373,3733,13371m3759,14285l3719,14281,3703,14279,3701,14297,3717,14299,3758,14304,3759,14285m3808,13365l3807,13346,3799,13347,3758,13349,3749,13350,3751,13370,3759,13369,3800,13365,3808,13365m3834,14289l3800,14288,3779,14287,3776,14305,3800,14307,3834,14308,3834,14289m3911,14290l3854,14290,3854,14308,3885,14310,3911,14310,3911,14290m3942,13345l3885,13345,3890,13347,3883,13355,3883,13344,3841,13345,3825,13346,3826,13364,3842,13364,3883,13363,3942,13363,3942,13347,3942,13346,3942,13345m3986,14290l3929,14290,3929,14310,3986,14310,3986,14290m4018,13345l3961,13345,3961,13363,4018,13363,4018,13345m4063,14290l4005,14290,4005,14310,4063,14310,4063,14290m4093,13345l4036,13345,4036,13363,4093,13363,4093,13345m4139,14290l4082,14290,4082,14310,4139,14310,4139,14290m4170,13345l4113,13345,4113,13363,4170,13363,4170,13345m4214,14290l4157,14290,4157,14310,4214,14310,4214,14290m4246,13345l4189,13345,4189,13363,4246,13363,4246,13345m4291,14290l4234,14290,4234,14310,4291,14310,4291,14290m4321,13345l4264,13345,4264,13363,4321,13363,4321,13345m4367,14290l4310,14290,4310,14310,4367,14310,4367,14290m4398,13345l4341,13345,4341,13363,4398,13363,4398,13345m4442,14290l4385,14290,4385,14310,4442,14310,4442,14290m4474,13345l4417,13345,4417,13363,4474,13363,4474,13345m4519,14290l4462,14290,4462,14310,4519,14310,4519,14290m4550,13345l4493,13345,4493,13363,4550,13363,4550,13345m4595,14290l4538,14290,4538,14310,4595,14310,4595,14290m4626,13345l4569,13345,4569,13363,4626,13363,4626,13345m4670,14290l4613,14290,4613,14310,4670,14310,4670,14290m4702,13345l4645,13345,4645,13363,4702,13363,4702,13345m4747,14290l4690,14290,4690,14310,4747,14310,4747,14290m4778,13345l4721,13345,4721,13363,4778,13363,4778,13345m4823,14290l4766,14290,4766,14310,4823,14310,4823,14290m4854,13345l4797,13345,4797,13363,4854,13363,4854,13345m4899,14290l4842,14290,4842,14310,4899,14310,4899,14290m4930,13345l4873,13345,4873,13363,4930,13363,4930,13345m4975,14290l4918,14290,4918,14310,4975,14310,4975,14290m5006,13345l4949,13345,4949,13363,5006,13363,5006,13345m5051,14290l4994,14290,4994,14310,5051,14310,5051,14290m5082,13345l5025,13345,5025,13363,5082,13363,5082,13345m5127,14290l5070,14290,5070,14310,5127,14310,5127,14290m5159,13345l5102,13345,5102,13363,5159,13363,5159,13345m5203,14290l5146,14290,5146,14310,5203,14310,5203,14290m5234,13345l5177,13345,5177,13363,5234,13363,5234,13345m5279,14290l5222,14290,5222,14310,5279,14310,5279,14290m5310,13345l5253,13345,5253,13363,5310,13363,5310,13345m5355,14290l5298,14290,5298,14310,5355,14310,5355,14290m5387,13345l5330,13345,5330,13363,5387,13363,5387,13345m5431,14290l5374,14290,5374,14310,5431,14310,5431,14290m5462,13345l5405,13345,5405,13363,5462,13363,5462,13345m5508,14290l5451,14290,5451,14310,5508,14310,5508,14290m5538,13345l5481,13345,5481,13363,5538,13363,5538,13345m5583,14290l5526,14290,5526,14310,5583,14310,5583,14290m5615,13345l5558,13345,5558,13363,5615,13363,5615,13345m5640,12916l5622,12916,5622,12972,5640,12972,5640,12916m5640,12840l5621,12840,5622,12896,5640,12896,5640,12840m5641,13143l5622,13143,5622,13200,5641,13200,5641,13143m5641,13067l5622,13067,5622,13123,5641,13123,5641,13067m5641,13047l5640,12992,5622,12992,5622,13049,5641,13047m5659,14290l5602,14290,5602,14310,5659,14310,5659,14290m5690,13345l5636,13345,5679,13260,5689,13240,5641,13240,5641,13218,5622,13219,5622,13240,5575,13240,5632,13354,5633,13352,5633,13363,5690,13363,5690,13345m5736,14290l5679,14290,5679,14310,5736,14310,5736,14290m5766,13345l5709,13345,5709,13363,5766,13363,5766,13345m5811,14290l5754,14290,5754,14310,5811,14310,5811,14290m5843,13345l5786,13345,5786,13363,5843,13363,5843,13345m5887,14290l5830,14290,5830,14310,5887,14310,5887,14290m5918,13345l5861,13345,5861,13363,5918,13363,5918,13345m5964,14290l5907,14290,5907,14310,5964,14310,5964,14290m5995,13345l5938,13345,5938,13363,5995,13363,5995,13345m6039,14290l5982,14290,5982,14310,6039,14310,6039,14290m6071,13345l6014,13345,6014,13363,6071,13363,6071,13345m6115,14290l6058,14290,6058,14310,6115,14310,6115,14290m6146,13345l6089,13345,6089,13363,6146,13363,6146,13345m6192,14290l6135,14290,6135,14310,6192,14310,6192,14290m6223,13345l6166,13345,6166,13363,6223,13363,6223,13345m6267,14290l6210,14290,6210,14310,6267,14310,6267,14290m6299,13345l6242,13345,6242,13363,6299,13363,6299,13345m6344,14290l6287,14290,6287,14310,6344,14310,6344,14290m6374,13345l6317,13345,6317,13363,6374,13363,6374,13345m6420,14290l6363,14290,6363,14310,6420,14310,6420,14290m6451,13345l6394,13345,6394,13363,6451,13363,6451,13345m6495,14290l6438,14290,6438,14310,6495,14310,6495,14290m6527,13345l6470,13345,6470,13363,6527,13363,6527,13345m6572,14290l6515,14290,6515,14310,6572,14310,6572,14290m6602,13345l6545,13345,6545,13363,6602,13363,6602,13345m6648,14290l6591,14290,6591,14310,6648,14310,6648,14290m6679,13345l6622,13345,6622,13363,6679,13363,6679,13345m6723,14290l6666,14290,6666,14310,6723,14310,6723,14290m6755,13345l6698,13345,6698,13363,6755,13363,6755,13345m6800,14290l6743,14290,6743,14310,6800,14310,6800,14290m6831,13345l6774,13345,6774,13363,6831,13363,6831,13345m6876,14290l6819,14290,6819,14310,6876,14310,6876,14290m6907,13345l6850,13345,6850,13363,6907,13363,6907,13345m6951,14290l6894,14290,6894,14310,6951,14310,6951,14290m6983,13345l6926,13345,6926,13363,6983,13363,6983,13345m7028,14290l6971,14290,6971,14310,7028,14310,7028,14290m7059,13345l7002,13345,7002,13363,7059,13363,7059,13345m7104,14290l7047,14290,7047,14310,7104,14310,7104,14290m7135,13345l7078,13345,7078,13363,7135,13363,7135,13345m7180,14290l7123,14290,7123,14310,7180,14310,7180,14290m7212,13345l7154,13345,7154,13363,7212,13363,7212,13345m7256,14290l7199,14290,7199,14310,7256,14310,7256,14290m7287,13345l7230,13345,7230,13363,7287,13363,7287,13345m7332,14290l7275,14290,7275,14310,7332,14310,7332,14290m7363,13345l7306,13345,7306,13363,7363,13363,7363,13345m7408,14290l7351,14290,7351,14310,7378,14310,7408,14308,7408,14290m7440,13346l7421,13345,7383,13345,7381,13363,7421,13364,7438,13365,7440,13346m7485,14305l7483,14287,7462,14288,7427,14289,7427,14308,7464,14307,7485,14305m7516,13350l7506,13350,7464,13347,7459,13347,7458,13365,7462,13365,7503,13369,7514,13370,7516,13350m7561,14298l7558,14279,7545,14281,7503,14285,7502,14285,7503,14304,7506,14304,7547,14299,7561,14298m7592,13361l7587,13360,7547,13354,7535,13353,7533,13372,7545,13373,7584,13378,7589,13379,7592,13361m7637,14286l7634,14268,7623,14270,7584,14276,7578,14277,7580,14295,7587,14295,7627,14288,7637,14286m7668,13374l7665,13373,7627,13366,7611,13363,7607,13382,7623,13385,7662,13392,7663,13392,7668,13374m7711,14270l7707,14252,7699,14254,7661,14262,7652,14264,7655,14282,7703,14272,7711,14270m7742,13391l7740,13391,7703,13382,7686,13378,7681,13397,7699,13400,7735,13409,7736,13409,7742,13391m7785,14249l7780,14231,7770,14234,7735,14244,7725,14247,7729,14265,7776,14252,7785,14249m7815,13415l7811,13413,7776,13402,7760,13397,7754,13415,7770,13420,7806,13431,7808,13432,7815,13415m7857,14223l7850,14205,7838,14211,7805,14222,7798,14226,7803,14243,7811,14240,7846,14228,7857,14223m7887,13442l7878,13439,7846,13425,7833,13421,7826,13439,7839,13444,7879,13461,7887,13442m7928,14192l7919,14175,7902,14184,7871,14197,7867,14198,7875,14215,7879,14214,7910,14201,7928,14192m7955,13476l7940,13469,7910,13454,7904,13450,7896,13467,7902,13471,7931,13486,7946,13493,7955,13476m7994,14154l7985,14138,7960,14153,7936,14167,7945,14182,7969,14170,7994,14154m8020,13516l7997,13500,7972,13486,7962,13503,7987,13517,8010,13532,8020,13516m8058,14110l8045,14095,8036,14103,8012,14120,8000,14128,8011,14144,8024,14136,8049,14118,8058,14110m8082,13564l8071,13555,8049,13537,8036,13528,8025,13543,8037,13551,8060,13570,8069,13577,8082,13564m8115,14059l8100,14045,8100,14046,8081,14066,8060,14084,8073,14098,8094,14079,8114,14059,8115,14059m8135,13619l8133,13616,8114,13595,8095,13577,8083,13590,8100,13608,8118,13629,8121,13631,8135,13619m8163,13997l8147,13987,8142,13995,8118,14026,8114,14031,8127,14044,8133,14038,8141,14027,8150,14017,8158,14005,8163,13997m8179,13682l8165,13659,8149,13636,8148,13634,8132,13646,8134,13649,8142,13659,8156,13680,8162,13691,8163,13692,8179,13683,8179,13682m8198,13928l8180,13923,8178,13930,8172,13942,8167,13952,8162,13963,8157,13971,8173,13982,8179,13972,8184,13960,8190,13949,8195,13937,8198,13928m8207,13752l8204,13740,8199,13728,8195,13716,8190,13705,8188,13700,8171,13709,8173,13713,8178,13724,8181,13735,8186,13747,8189,13758,8189,13760,8207,13756,8207,13752m8215,13853l8197,13851,8196,13862,8191,13885,8188,13896,8186,13904,8204,13910,8207,13901,8209,13888,8212,13877,8214,13865,8215,13853m8215,12293l8202,12224,8197,12212,8197,12305,8196,12318,8183,12384,8156,12444,8117,12499,8068,12548,8010,12591,7946,12629,7876,12661,7804,12688,7731,12710,7658,12728,7587,12741,7521,12749,7461,12752,7377,12755,3841,12755,3779,12752,3711,12746,3638,12735,3562,12719,3485,12697,3410,12671,3337,12640,3269,12603,3208,12560,3155,12511,3112,12456,3082,12395,3066,12328,3065,12318,3065,12305,3074,12240,3097,12180,3133,12126,3178,12077,3232,12033,3293,11995,3359,11961,3428,11933,3499,11909,3569,11890,3636,11876,3700,11866,3799,11858,3883,11856,7377,11856,7461,11858,7521,11862,7587,11870,7657,11883,7730,11900,7804,11923,7876,11950,7946,11983,8011,12021,8068,12064,8118,12113,8157,12167,8183,12227,8196,12294,8197,12305,8197,12212,8175,12161,8135,12105,8085,12054,8026,12009,7961,11969,7890,11935,7816,11907,7740,11883,7666,11865,7614,11856,7593,11852,7525,11843,7420,11837,3840,11837,3757,11842,3696,11848,3629,11858,3559,11873,3487,11893,3415,11917,3345,11947,3278,11981,3216,12021,3161,12067,3115,12118,3079,12174,3055,12237,3045,12305,3046,12316,3046,12330,3062,12395,3089,12455,3128,12509,3175,12557,3231,12600,3293,12638,3360,12671,3430,12699,3503,12722,3575,12741,3647,12755,3716,12765,3782,12771,3883,12774,5621,12774,5621,12822,5640,12822,5640,12774,7377,12774,7462,12772,7525,12767,7594,12758,7615,12755,7667,12745,7742,12727,7817,12704,7890,12676,7961,12642,8026,12603,8085,12558,8135,12507,8175,12450,8202,12387,8215,12318,8215,12293m8216,13814l8214,13789,8212,13776,8212,13775,8194,13778,8194,13781,8196,13792,8197,13803,8197,13816,8198,13827,8198,13833,8216,13833,8216,13814e" filled="true" fillcolor="#999b9f" stroked="false">
              <v:path arrowok="t"/>
              <v:fill type="solid"/>
            </v:shape>
            <v:line style="position:absolute" from="8212,12313" to="9712,12313" stroked="true" strokeweight=".961186pt" strokecolor="#000000">
              <v:stroke dashstyle="solid"/>
            </v:line>
            <v:shape style="position:absolute;left:9131;top:6942;width:1124;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343133"/>
                        <w:w w:val="105"/>
                        <w:sz w:val="17"/>
                      </w:rPr>
                      <w:t>個案配合簽名</w:t>
                    </w:r>
                  </w:p>
                </w:txbxContent>
              </v:textbox>
              <w10:wrap type="none"/>
            </v:shape>
            <v:shape style="position:absolute;left:1292;top:7617;width:1872;height:2716" type="#_x0000_t202" filled="false" stroked="false">
              <v:textbox inset="0,0,0,0">
                <w:txbxContent>
                  <w:p>
                    <w:pPr>
                      <w:numPr>
                        <w:ilvl w:val="0"/>
                        <w:numId w:val="276"/>
                      </w:numPr>
                      <w:tabs>
                        <w:tab w:pos="285" w:val="left" w:leader="none"/>
                      </w:tabs>
                      <w:spacing w:line="228" w:lineRule="auto" w:before="0"/>
                      <w:ind w:left="283" w:right="99" w:hanging="284"/>
                      <w:jc w:val="left"/>
                      <w:rPr>
                        <w:rFonts w:ascii="Times New Roman" w:eastAsia="Times New Roman"/>
                        <w:color w:val="343133"/>
                        <w:sz w:val="21"/>
                      </w:rPr>
                    </w:pPr>
                    <w:r>
                      <w:rPr>
                        <w:rFonts w:ascii="新細明體" w:eastAsia="新細明體" w:hint="eastAsia"/>
                        <w:color w:val="343133"/>
                        <w:spacing w:val="-2"/>
                        <w:w w:val="110"/>
                        <w:sz w:val="17"/>
                      </w:rPr>
                      <w:t>依個案管理流程尋</w:t>
                    </w:r>
                    <w:r>
                      <w:rPr>
                        <w:rFonts w:ascii="新細明體" w:eastAsia="新細明體" w:hint="eastAsia"/>
                        <w:color w:val="343133"/>
                        <w:w w:val="110"/>
                        <w:sz w:val="17"/>
                      </w:rPr>
                      <w:t>找個案可能所在</w:t>
                    </w:r>
                    <w:r>
                      <w:rPr>
                        <w:rFonts w:ascii="新細明體" w:eastAsia="新細明體" w:hint="eastAsia"/>
                        <w:color w:val="343133"/>
                        <w:spacing w:val="15"/>
                        <w:w w:val="110"/>
                        <w:sz w:val="17"/>
                      </w:rPr>
                      <w:t>地</w:t>
                    </w:r>
                    <w:r>
                      <w:rPr>
                        <w:rFonts w:ascii="新細明體" w:eastAsia="新細明體" w:hint="eastAsia"/>
                        <w:color w:val="565456"/>
                        <w:w w:val="110"/>
                        <w:sz w:val="17"/>
                      </w:rPr>
                      <w:t>。</w:t>
                    </w:r>
                  </w:p>
                  <w:p>
                    <w:pPr>
                      <w:numPr>
                        <w:ilvl w:val="0"/>
                        <w:numId w:val="276"/>
                      </w:numPr>
                      <w:tabs>
                        <w:tab w:pos="284" w:val="left" w:leader="none"/>
                      </w:tabs>
                      <w:spacing w:line="228" w:lineRule="auto" w:before="0"/>
                      <w:ind w:left="280" w:right="18" w:hanging="271"/>
                      <w:jc w:val="both"/>
                      <w:rPr>
                        <w:rFonts w:ascii="Arial" w:eastAsia="Arial"/>
                        <w:color w:val="343133"/>
                        <w:sz w:val="19"/>
                      </w:rPr>
                    </w:pPr>
                    <w:r>
                      <w:rPr>
                        <w:rFonts w:ascii="新細明體" w:eastAsia="新細明體" w:hint="eastAsia"/>
                        <w:color w:val="343133"/>
                        <w:spacing w:val="-2"/>
                        <w:w w:val="115"/>
                        <w:sz w:val="17"/>
                      </w:rPr>
                      <w:t>仍無法尋獲時，以</w:t>
                    </w:r>
                    <w:r>
                      <w:rPr>
                        <w:rFonts w:ascii="新細明體" w:eastAsia="新細明體" w:hint="eastAsia"/>
                        <w:color w:val="343133"/>
                        <w:w w:val="115"/>
                        <w:sz w:val="17"/>
                      </w:rPr>
                      <w:t>雙掛號郵寄方式送</w:t>
                    </w:r>
                    <w:r>
                      <w:rPr>
                        <w:rFonts w:ascii="新細明體" w:eastAsia="新細明體" w:hint="eastAsia"/>
                        <w:color w:val="343133"/>
                        <w:spacing w:val="-2"/>
                        <w:w w:val="115"/>
                        <w:sz w:val="17"/>
                      </w:rPr>
                      <w:t>達當事人之戶籍地</w:t>
                    </w:r>
                    <w:r>
                      <w:rPr>
                        <w:rFonts w:ascii="新細明體" w:eastAsia="新細明體" w:hint="eastAsia"/>
                        <w:color w:val="343133"/>
                        <w:w w:val="115"/>
                        <w:sz w:val="17"/>
                      </w:rPr>
                      <w:t>或最可能之住居 </w:t>
                    </w:r>
                    <w:r>
                      <w:rPr>
                        <w:rFonts w:ascii="新細明體" w:eastAsia="新細明體" w:hint="eastAsia"/>
                        <w:color w:val="343133"/>
                        <w:spacing w:val="-2"/>
                        <w:w w:val="115"/>
                        <w:sz w:val="17"/>
                      </w:rPr>
                      <w:t>所，並留存雙掛號證明及註明事由作為個案管理紀錄附卷；以郵寄日為交</w:t>
                    </w:r>
                    <w:r>
                      <w:rPr>
                        <w:rFonts w:ascii="新細明體" w:eastAsia="新細明體" w:hint="eastAsia"/>
                        <w:color w:val="343133"/>
                        <w:spacing w:val="14"/>
                        <w:w w:val="115"/>
                        <w:sz w:val="17"/>
                      </w:rPr>
                      <w:t>付日</w:t>
                    </w:r>
                    <w:r>
                      <w:rPr>
                        <w:rFonts w:ascii="新細明體" w:eastAsia="新細明體" w:hint="eastAsia"/>
                        <w:color w:val="565456"/>
                        <w:w w:val="115"/>
                        <w:sz w:val="17"/>
                      </w:rPr>
                      <w:t>。</w:t>
                    </w:r>
                  </w:p>
                </w:txbxContent>
              </v:textbox>
              <w10:wrap type="none"/>
            </v:shape>
            <v:shape style="position:absolute;left:3422;top:12118;width:4575;height:408" type="#_x0000_t202" filled="false" stroked="false">
              <v:textbox inset="0,0,0,0">
                <w:txbxContent>
                  <w:p>
                    <w:pPr>
                      <w:tabs>
                        <w:tab w:pos="1557" w:val="left" w:leader="none"/>
                      </w:tabs>
                      <w:spacing w:line="196" w:lineRule="exact" w:before="0"/>
                      <w:ind w:left="32" w:right="0" w:firstLine="0"/>
                      <w:jc w:val="left"/>
                      <w:rPr>
                        <w:rFonts w:ascii="新細明體" w:eastAsia="新細明體" w:hint="eastAsia"/>
                        <w:sz w:val="17"/>
                      </w:rPr>
                    </w:pPr>
                    <w:r>
                      <w:rPr>
                        <w:rFonts w:ascii="新細明體" w:eastAsia="新細明體" w:hint="eastAsia"/>
                        <w:color w:val="343133"/>
                        <w:w w:val="110"/>
                        <w:sz w:val="17"/>
                      </w:rPr>
                      <w:t>取回機關存查聯</w:t>
                      <w:tab/>
                      <w:t>於結核病追蹤管理系統鍵入通知單歹</w:t>
                    </w:r>
                  </w:p>
                  <w:p>
                    <w:pPr>
                      <w:spacing w:line="211" w:lineRule="exact" w:before="0"/>
                      <w:ind w:left="0" w:right="0" w:firstLine="0"/>
                      <w:jc w:val="left"/>
                      <w:rPr>
                        <w:rFonts w:ascii="新細明體" w:eastAsia="新細明體" w:hint="eastAsia"/>
                        <w:sz w:val="17"/>
                      </w:rPr>
                    </w:pPr>
                    <w:r>
                      <w:rPr>
                        <w:rFonts w:ascii="新細明體" w:eastAsia="新細明體" w:hint="eastAsia"/>
                        <w:color w:val="343133"/>
                        <w:sz w:val="17"/>
                      </w:rPr>
                      <w:t>亻寸日期（ 附件 </w:t>
                    </w:r>
                    <w:r>
                      <w:rPr>
                        <w:rFonts w:ascii="Arial" w:eastAsia="Arial"/>
                        <w:color w:val="343133"/>
                        <w:sz w:val="19"/>
                      </w:rPr>
                      <w:t>13-5 )</w:t>
                    </w:r>
                    <w:r>
                      <w:rPr>
                        <w:rFonts w:ascii="新細明體" w:eastAsia="新細明體" w:hint="eastAsia"/>
                        <w:color w:val="565456"/>
                        <w:sz w:val="17"/>
                      </w:rPr>
                      <w:t>。</w:t>
                    </w:r>
                  </w:p>
                </w:txbxContent>
              </v:textbox>
              <w10:wrap type="none"/>
            </v:shape>
            <v:shape style="position:absolute;left:6284;top:12945;width:3767;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343133"/>
                        <w:w w:val="110"/>
                        <w:sz w:val="17"/>
                      </w:rPr>
                      <w:t>若經本署通知有限制對象違反規定出國（境）</w:t>
                    </w:r>
                  </w:p>
                </w:txbxContent>
              </v:textbox>
              <w10:wrap type="none"/>
            </v:shape>
            <v:shape style="position:absolute;left:3460;top:13752;width:3632;height:171" type="#_x0000_t202" filled="false" stroked="false">
              <v:textbox inset="0,0,0,0">
                <w:txbxContent>
                  <w:p>
                    <w:pPr>
                      <w:spacing w:line="170" w:lineRule="exact" w:before="0"/>
                      <w:ind w:left="0" w:right="0" w:firstLine="0"/>
                      <w:jc w:val="left"/>
                      <w:rPr>
                        <w:rFonts w:ascii="新細明體" w:eastAsia="新細明體" w:hint="eastAsia"/>
                        <w:sz w:val="17"/>
                      </w:rPr>
                    </w:pPr>
                    <w:r>
                      <w:rPr>
                        <w:rFonts w:ascii="新細明體" w:eastAsia="新細明體" w:hint="eastAsia"/>
                        <w:color w:val="343133"/>
                        <w:w w:val="105"/>
                        <w:sz w:val="17"/>
                      </w:rPr>
                      <w:t>於個案入境後</w:t>
                    </w:r>
                    <w:r>
                      <w:rPr>
                        <w:rFonts w:ascii="新細明體" w:eastAsia="新細明體" w:hint="eastAsia"/>
                        <w:color w:val="565456"/>
                        <w:w w:val="105"/>
                        <w:sz w:val="17"/>
                      </w:rPr>
                      <w:t>，</w:t>
                    </w:r>
                    <w:r>
                      <w:rPr>
                        <w:rFonts w:ascii="新細明體" w:eastAsia="新細明體" w:hint="eastAsia"/>
                        <w:color w:val="343133"/>
                        <w:w w:val="105"/>
                        <w:sz w:val="17"/>
                      </w:rPr>
                      <w:t>依傳染病防治 法逕行處置</w:t>
                    </w:r>
                    <w:r>
                      <w:rPr>
                        <w:rFonts w:ascii="新細明體" w:eastAsia="新細明體" w:hint="eastAsia"/>
                        <w:color w:val="565456"/>
                        <w:w w:val="105"/>
                        <w:sz w:val="17"/>
                      </w:rPr>
                      <w:t>。</w:t>
                    </w:r>
                  </w:p>
                </w:txbxContent>
              </v:textbox>
              <w10:wrap type="none"/>
            </v:shape>
            <w10:wrap type="none"/>
          </v:group>
        </w:pict>
      </w:r>
      <w:r>
        <w:rPr/>
        <w:pict>
          <v:shape style="position:absolute;margin-left:181.285004pt;margin-top:336.487pt;width:108.7pt;height:27.8pt;mso-position-horizontal-relative:page;mso-position-vertical-relative:page;z-index:252076032" coordorigin="3626,6730" coordsize="2174,556" path="m5795,6730l3629,6730,3626,6734,3626,7281,3629,7285,5795,7285,5800,7281,5800,7276,3644,7276,3635,7267,3644,7267,3644,6749,3635,6749,3644,6740,5800,6740,5800,6734,5795,6730xm3644,7267l3635,7267,3644,7276,3644,7267xm5780,7267l3644,7267,3644,7276,5780,7276,5780,7267xm5780,6740l5780,7276,5790,7267,5800,7267,5800,6749,5790,6749,5780,6740xm5800,7267l5790,7267,5780,7276,5800,7276,5800,7267xm3644,6740l3635,6749,3644,6749,3644,6740xm5780,6740l3644,6740,3644,6749,5780,6749,5780,6740xm5800,6740l5780,6740,5790,6749,5800,6749,5800,6740xe" filled="true" fillcolor="#999b9f" stroked="false">
            <v:path arrowok="t"/>
            <v:fill type="solid"/>
            <w10:wrap type="none"/>
          </v:shape>
        </w:pict>
      </w:r>
      <w:r>
        <w:rPr/>
        <w:pict>
          <v:shape style="position:absolute;margin-left:243.410202pt;margin-top:343.759186pt;width:20.350pt;height:11pt;mso-position-horizontal-relative:page;mso-position-vertical-relative:page;z-index:252077056" type="#_x0000_t202" filled="false" stroked="false">
            <v:textbox inset="0,0,0,0" style="layout-flow:vertical-ideographic">
              <w:txbxContent>
                <w:p>
                  <w:pPr>
                    <w:spacing w:line="132" w:lineRule="auto" w:before="0"/>
                    <w:ind w:left="29" w:right="0" w:firstLine="0"/>
                    <w:jc w:val="left"/>
                    <w:rPr>
                      <w:rFonts w:ascii="新細明體" w:eastAsia="新細明體" w:hint="eastAsia"/>
                      <w:sz w:val="17"/>
                    </w:rPr>
                  </w:pPr>
                  <w:r>
                    <w:rPr>
                      <w:rFonts w:ascii="新細明體" w:eastAsia="新細明體" w:hint="eastAsia"/>
                      <w:color w:val="343133"/>
                      <w:w w:val="100"/>
                      <w:sz w:val="17"/>
                    </w:rPr>
                    <w:t>名</w:t>
                  </w:r>
                </w:p>
                <w:p>
                  <w:pPr>
                    <w:spacing w:before="0"/>
                    <w:ind w:left="20" w:right="0" w:firstLine="0"/>
                    <w:jc w:val="left"/>
                    <w:rPr>
                      <w:rFonts w:ascii="新細明體" w:eastAsia="新細明體" w:hint="eastAsia"/>
                      <w:sz w:val="17"/>
                    </w:rPr>
                  </w:pPr>
                  <w:r>
                    <w:rPr>
                      <w:rFonts w:ascii="新細明體" w:eastAsia="新細明體" w:hint="eastAsia"/>
                      <w:color w:val="343133"/>
                      <w:w w:val="100"/>
                      <w:sz w:val="17"/>
                    </w:rPr>
                    <w:t>簽</w:t>
                  </w:r>
                </w:p>
              </w:txbxContent>
            </v:textbox>
            <w10:wrap type="none"/>
          </v:shape>
        </w:pict>
      </w:r>
      <w:r>
        <w:rPr/>
        <w:pict>
          <v:shape style="position:absolute;margin-left:232.833984pt;margin-top:343.738495pt;width:11.05pt;height:11.05pt;mso-position-horizontal-relative:page;mso-position-vertical-relative:page;z-index:252078080"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18"/>
                    </w:rPr>
                  </w:pPr>
                  <w:r>
                    <w:rPr>
                      <w:rFonts w:ascii="新細明體" w:eastAsia="新細明體" w:hint="eastAsia"/>
                      <w:color w:val="565456"/>
                      <w:w w:val="100"/>
                      <w:sz w:val="18"/>
                    </w:rPr>
                    <w:t>法</w:t>
                  </w:r>
                </w:p>
              </w:txbxContent>
            </v:textbox>
            <w10:wrap type="none"/>
          </v:shape>
        </w:pict>
      </w:r>
      <w:r>
        <w:rPr/>
        <w:pict>
          <v:shape style="position:absolute;margin-left:216.516006pt;margin-top:343.945496pt;width:21.6pt;height:10.65pt;mso-position-horizontal-relative:page;mso-position-vertical-relative:page;z-index:252079104" type="#_x0000_t202" filled="false" stroked="false">
            <v:textbox inset="0,0,0,0" style="layout-flow:vertical-ideographic">
              <w:txbxContent>
                <w:p>
                  <w:pPr>
                    <w:spacing w:line="156" w:lineRule="auto" w:before="0"/>
                    <w:ind w:left="20" w:right="0" w:firstLine="0"/>
                    <w:jc w:val="left"/>
                    <w:rPr>
                      <w:rFonts w:ascii="新細明體" w:eastAsia="新細明體" w:hint="eastAsia"/>
                      <w:sz w:val="17"/>
                    </w:rPr>
                  </w:pPr>
                  <w:r>
                    <w:rPr>
                      <w:rFonts w:ascii="新細明體" w:eastAsia="新細明體" w:hint="eastAsia"/>
                      <w:color w:val="565456"/>
                      <w:w w:val="100"/>
                      <w:sz w:val="17"/>
                    </w:rPr>
                    <w:t>旱</w:t>
                  </w:r>
                </w:p>
                <w:p>
                  <w:pPr>
                    <w:spacing w:before="0"/>
                    <w:ind w:left="22" w:right="0" w:firstLine="0"/>
                    <w:jc w:val="left"/>
                    <w:rPr>
                      <w:rFonts w:ascii="新細明體" w:eastAsia="新細明體" w:hint="eastAsia"/>
                      <w:sz w:val="17"/>
                    </w:rPr>
                  </w:pPr>
                  <w:r>
                    <w:rPr>
                      <w:rFonts w:ascii="新細明體" w:eastAsia="新細明體" w:hint="eastAsia"/>
                      <w:color w:val="343133"/>
                      <w:w w:val="100"/>
                      <w:sz w:val="17"/>
                    </w:rPr>
                    <w:t>案</w:t>
                  </w:r>
                </w:p>
              </w:txbxContent>
            </v:textbox>
            <w10:wrap type="none"/>
          </v:shape>
        </w:pict>
      </w:r>
      <w:r>
        <w:rPr/>
        <w:pict>
          <v:shape style="position:absolute;margin-left:207.549805pt;margin-top:343.865906pt;width:10.55pt;height:10.55pt;mso-position-horizontal-relative:page;mso-position-vertical-relative:page;z-index:252080128" type="#_x0000_t202" filled="false" stroked="false">
            <v:textbox inset="0,0,0,0" style="layout-flow:vertical-ideographic">
              <w:txbxContent>
                <w:p>
                  <w:pPr>
                    <w:spacing w:line="180" w:lineRule="auto" w:before="0"/>
                    <w:ind w:left="20" w:right="0" w:firstLine="0"/>
                    <w:jc w:val="left"/>
                    <w:rPr>
                      <w:rFonts w:ascii="新細明體" w:eastAsia="新細明體" w:hint="eastAsia"/>
                      <w:sz w:val="17"/>
                    </w:rPr>
                  </w:pPr>
                  <w:r>
                    <w:rPr>
                      <w:rFonts w:ascii="新細明體" w:eastAsia="新細明體" w:hint="eastAsia"/>
                      <w:color w:val="343133"/>
                      <w:w w:val="100"/>
                      <w:sz w:val="17"/>
                    </w:rPr>
                    <w:t>因</w:t>
                  </w:r>
                </w:p>
              </w:txbxContent>
            </v:textbox>
            <w10:wrap type="none"/>
          </v:shape>
        </w:pict>
      </w:r>
      <w:r>
        <w:rPr/>
        <w:pict>
          <v:shape style="position:absolute;margin-left:207.306488pt;margin-top:347.485504pt;width:2.8pt;height:3.55pt;mso-position-horizontal-relative:page;mso-position-vertical-relative:page;z-index:252081152" type="#_x0000_t202" filled="false" stroked="false">
            <v:textbox inset="0,0,0,0" style="layout-flow:vertical-ideographic">
              <w:txbxContent>
                <w:p>
                  <w:pPr>
                    <w:spacing w:line="228" w:lineRule="auto" w:before="0"/>
                    <w:ind w:left="20" w:right="0" w:firstLine="0"/>
                    <w:jc w:val="left"/>
                    <w:rPr>
                      <w:rFonts w:ascii="新細明體"/>
                      <w:sz w:val="3"/>
                    </w:rPr>
                  </w:pPr>
                  <w:r>
                    <w:rPr>
                      <w:rFonts w:ascii="新細明體"/>
                      <w:color w:val="565456"/>
                      <w:w w:val="99"/>
                      <w:sz w:val="3"/>
                    </w:rPr>
                    <w:t>d</w:t>
                  </w:r>
                </w:p>
              </w:txbxContent>
            </v:textbox>
            <w10:wrap type="none"/>
          </v:shape>
        </w:pict>
      </w:r>
      <w:r>
        <w:rPr/>
        <w:pict>
          <v:shape style="position:absolute;margin-left:9.911264pt;margin-top:413.376709pt;width:15.35pt;height:288.95pt;mso-position-horizontal-relative:page;mso-position-vertical-relative:page;z-index:252082176" type="#_x0000_t202" filled="false" stroked="false">
            <v:textbox inset="0,0,0,0" style="layout-flow:vertical-ideographic">
              <w:txbxContent>
                <w:p>
                  <w:pPr>
                    <w:spacing w:line="168" w:lineRule="auto" w:before="0"/>
                    <w:ind w:left="20" w:right="0" w:firstLine="0"/>
                    <w:jc w:val="left"/>
                    <w:rPr>
                      <w:rFonts w:ascii="新細明體" w:eastAsia="新細明體" w:hint="eastAsia"/>
                      <w:sz w:val="26"/>
                    </w:rPr>
                  </w:pPr>
                  <w:r>
                    <w:rPr>
                      <w:rFonts w:ascii="新細明體" w:eastAsia="新細明體" w:hint="eastAsia"/>
                      <w:color w:val="565456"/>
                      <w:spacing w:val="60"/>
                      <w:w w:val="100"/>
                      <w:sz w:val="26"/>
                    </w:rPr>
                    <w:t>結</w:t>
                  </w:r>
                  <w:r>
                    <w:rPr>
                      <w:rFonts w:ascii="新細明體" w:eastAsia="新細明體" w:hint="eastAsia"/>
                      <w:color w:val="565456"/>
                      <w:spacing w:val="60"/>
                      <w:w w:val="100"/>
                      <w:position w:val="1"/>
                      <w:sz w:val="26"/>
                    </w:rPr>
                    <w:t>核</w:t>
                  </w:r>
                  <w:r>
                    <w:rPr>
                      <w:rFonts w:ascii="新細明體" w:eastAsia="新細明體" w:hint="eastAsia"/>
                      <w:color w:val="565456"/>
                      <w:w w:val="100"/>
                      <w:sz w:val="26"/>
                    </w:rPr>
                    <w:t>病</w:t>
                  </w:r>
                  <w:r>
                    <w:rPr>
                      <w:rFonts w:ascii="新細明體" w:eastAsia="新細明體" w:hint="eastAsia"/>
                      <w:color w:val="565456"/>
                      <w:spacing w:val="-2"/>
                      <w:sz w:val="26"/>
                    </w:rPr>
                    <w:t> </w:t>
                  </w:r>
                  <w:r>
                    <w:rPr>
                      <w:rFonts w:ascii="新細明體" w:eastAsia="新細明體" w:hint="eastAsia"/>
                      <w:color w:val="565456"/>
                      <w:spacing w:val="30"/>
                      <w:w w:val="100"/>
                      <w:sz w:val="26"/>
                    </w:rPr>
                    <w:t>病人</w:t>
                  </w:r>
                  <w:r>
                    <w:rPr>
                      <w:rFonts w:ascii="新細明體" w:eastAsia="新細明體" w:hint="eastAsia"/>
                      <w:color w:val="565456"/>
                      <w:spacing w:val="-2"/>
                      <w:sz w:val="26"/>
                    </w:rPr>
                    <w:t> </w:t>
                  </w:r>
                  <w:r>
                    <w:rPr>
                      <w:rFonts w:ascii="新細明體" w:eastAsia="新細明體" w:hint="eastAsia"/>
                      <w:color w:val="565456"/>
                      <w:spacing w:val="36"/>
                      <w:w w:val="100"/>
                      <w:sz w:val="26"/>
                    </w:rPr>
                    <w:t>飛航限</w:t>
                  </w:r>
                  <w:r>
                    <w:rPr>
                      <w:rFonts w:ascii="新細明體" w:eastAsia="新細明體" w:hint="eastAsia"/>
                      <w:color w:val="565456"/>
                      <w:spacing w:val="-3"/>
                      <w:sz w:val="26"/>
                    </w:rPr>
                    <w:t> </w:t>
                  </w:r>
                  <w:r>
                    <w:rPr>
                      <w:rFonts w:ascii="新細明體" w:eastAsia="新細明體" w:hint="eastAsia"/>
                      <w:color w:val="565456"/>
                      <w:w w:val="100"/>
                      <w:sz w:val="26"/>
                    </w:rPr>
                    <w:t>制</w:t>
                  </w:r>
                  <w:r>
                    <w:rPr>
                      <w:rFonts w:ascii="新細明體" w:eastAsia="新細明體" w:hint="eastAsia"/>
                      <w:color w:val="565456"/>
                      <w:spacing w:val="1"/>
                      <w:sz w:val="26"/>
                    </w:rPr>
                    <w:t> </w:t>
                  </w:r>
                  <w:r>
                    <w:rPr>
                      <w:rFonts w:ascii="新細明體" w:eastAsia="新細明體" w:hint="eastAsia"/>
                      <w:color w:val="565456"/>
                      <w:spacing w:val="60"/>
                      <w:w w:val="100"/>
                      <w:sz w:val="26"/>
                    </w:rPr>
                    <w:t>及航</w:t>
                  </w:r>
                  <w:r>
                    <w:rPr>
                      <w:rFonts w:ascii="新細明體" w:eastAsia="新細明體" w:hint="eastAsia"/>
                      <w:color w:val="565456"/>
                      <w:spacing w:val="60"/>
                      <w:w w:val="100"/>
                      <w:position w:val="1"/>
                      <w:sz w:val="26"/>
                    </w:rPr>
                    <w:t>空</w:t>
                  </w:r>
                  <w:r>
                    <w:rPr>
                      <w:rFonts w:ascii="新細明體" w:eastAsia="新細明體" w:hint="eastAsia"/>
                      <w:color w:val="565456"/>
                      <w:spacing w:val="30"/>
                      <w:w w:val="100"/>
                      <w:sz w:val="26"/>
                    </w:rPr>
                    <w:t>器接</w:t>
                  </w:r>
                  <w:r>
                    <w:rPr>
                      <w:rFonts w:ascii="新細明體" w:eastAsia="新細明體" w:hint="eastAsia"/>
                      <w:color w:val="565456"/>
                      <w:sz w:val="26"/>
                    </w:rPr>
                    <w:t> </w:t>
                  </w:r>
                  <w:r>
                    <w:rPr>
                      <w:rFonts w:ascii="新細明體" w:eastAsia="新細明體" w:hint="eastAsia"/>
                      <w:color w:val="565456"/>
                      <w:spacing w:val="56"/>
                      <w:w w:val="100"/>
                      <w:position w:val="1"/>
                      <w:sz w:val="26"/>
                    </w:rPr>
                    <w:t>觸</w:t>
                  </w:r>
                  <w:r>
                    <w:rPr>
                      <w:rFonts w:ascii="新細明體" w:eastAsia="新細明體" w:hint="eastAsia"/>
                      <w:color w:val="565456"/>
                      <w:spacing w:val="28"/>
                      <w:w w:val="100"/>
                      <w:sz w:val="26"/>
                    </w:rPr>
                    <w:t>者追</w:t>
                  </w:r>
                  <w:r>
                    <w:rPr>
                      <w:rFonts w:ascii="新細明體" w:eastAsia="新細明體" w:hint="eastAsia"/>
                      <w:color w:val="565456"/>
                      <w:spacing w:val="-2"/>
                      <w:sz w:val="26"/>
                    </w:rPr>
                    <w:t> </w:t>
                  </w:r>
                  <w:r>
                    <w:rPr>
                      <w:rFonts w:ascii="新細明體" w:eastAsia="新細明體" w:hint="eastAsia"/>
                      <w:color w:val="565456"/>
                      <w:w w:val="100"/>
                      <w:sz w:val="26"/>
                    </w:rPr>
                    <w:t>蹤</w:t>
                  </w:r>
                </w:p>
              </w:txbxContent>
            </v:textbox>
            <w10:wrap type="none"/>
          </v:shape>
        </w:pict>
      </w:r>
      <w:r>
        <w:rPr>
          <w:color w:val="231F20"/>
        </w:rPr>
        <w:t>圖 1、傳染性結核病病人飛航限制作業流程</w:t>
      </w:r>
    </w:p>
    <w:p>
      <w:pPr>
        <w:pStyle w:val="BodyText"/>
        <w:rPr>
          <w:sz w:val="20"/>
        </w:rPr>
      </w:pPr>
    </w:p>
    <w:p>
      <w:pPr>
        <w:pStyle w:val="BodyText"/>
        <w:spacing w:before="12"/>
      </w:pPr>
      <w:r>
        <w:rPr/>
        <w:pict>
          <v:group style="position:absolute;margin-left:150.205994pt;margin-top:23.463005pt;width:258.5pt;height:59.35pt;mso-position-horizontal-relative:page;mso-position-vertical-relative:paragraph;z-index:-251262976;mso-wrap-distance-left:0;mso-wrap-distance-right:0" coordorigin="3004,469" coordsize="5170,1187">
            <v:shape style="position:absolute;left:3004;top:789;width:5170;height:867" coordorigin="3004,790" coordsize="5170,867" path="m8170,790l3008,790,3004,794,3004,1651,3008,1656,8170,1656,8174,1651,8174,1645,3022,1645,3013,1636,3022,1636,3022,808,3013,808,3022,799,8174,799,8174,794,8170,790xm3022,1636l3013,1636,3022,1645,3022,1636xm8156,1636l3022,1636,3022,1645,8156,1645,8156,1636xm8156,799l8156,1645,8165,1636,8174,1636,8174,808,8165,808,8156,799xm8174,1636l8165,1636,8156,1645,8174,1645,8174,1636xm3022,799l3013,808,3022,808,3022,799xm8156,799l3022,799,3022,808,8156,808,8156,799xm8174,799l8156,799,8165,808,8174,808,8174,799xe" filled="true" fillcolor="#999b9f" stroked="false">
              <v:path arrowok="t"/>
              <v:fill type="solid"/>
            </v:shape>
            <v:shape style="position:absolute;left:3004;top:469;width:5170;height:1187" type="#_x0000_t202" filled="false" stroked="false">
              <v:textbox inset="0,0,0,0">
                <w:txbxContent>
                  <w:p>
                    <w:pPr>
                      <w:spacing w:line="452" w:lineRule="exact" w:before="0"/>
                      <w:ind w:left="0" w:right="2" w:firstLine="0"/>
                      <w:jc w:val="center"/>
                      <w:rPr>
                        <w:rFonts w:ascii="Arial"/>
                        <w:sz w:val="44"/>
                      </w:rPr>
                    </w:pPr>
                    <w:r>
                      <w:rPr>
                        <w:rFonts w:ascii="Arial"/>
                        <w:color w:val="999A9E"/>
                        <w:w w:val="53"/>
                        <w:sz w:val="44"/>
                      </w:rPr>
                      <w:t>+</w:t>
                    </w:r>
                  </w:p>
                  <w:p>
                    <w:pPr>
                      <w:spacing w:line="194" w:lineRule="exact" w:before="0"/>
                      <w:ind w:left="77" w:right="55" w:firstLine="0"/>
                      <w:jc w:val="center"/>
                      <w:rPr>
                        <w:rFonts w:ascii="新細明體" w:eastAsia="新細明體" w:hint="eastAsia"/>
                        <w:sz w:val="17"/>
                      </w:rPr>
                    </w:pPr>
                    <w:r>
                      <w:rPr>
                        <w:rFonts w:ascii="新細明體" w:eastAsia="新細明體" w:hint="eastAsia"/>
                        <w:color w:val="343133"/>
                        <w:w w:val="110"/>
                        <w:sz w:val="17"/>
                      </w:rPr>
                      <w:t>自結核病追蹤管理系統下載「限制傳染性結核病病人搭乘大</w:t>
                    </w:r>
                  </w:p>
                  <w:p>
                    <w:pPr>
                      <w:tabs>
                        <w:tab w:pos="3295" w:val="left" w:leader="none"/>
                      </w:tabs>
                      <w:spacing w:line="229" w:lineRule="exact" w:before="0"/>
                      <w:ind w:left="0" w:right="55" w:firstLine="0"/>
                      <w:jc w:val="center"/>
                      <w:rPr>
                        <w:rFonts w:ascii="新細明體" w:hAnsi="新細明體" w:eastAsia="新細明體" w:hint="eastAsia"/>
                        <w:sz w:val="17"/>
                      </w:rPr>
                    </w:pPr>
                    <w:r>
                      <w:rPr>
                        <w:rFonts w:ascii="新細明體" w:hAnsi="新細明體" w:eastAsia="新細明體" w:hint="eastAsia"/>
                        <w:color w:val="343133"/>
                        <w:sz w:val="17"/>
                      </w:rPr>
                      <w:t>眾航空器出國（境）通知單」(—式兩份）</w:t>
                      <w:tab/>
                    </w:r>
                    <w:r>
                      <w:rPr>
                        <w:rFonts w:ascii="新細明體" w:hAnsi="新細明體" w:eastAsia="新細明體" w:hint="eastAsia"/>
                        <w:color w:val="343133"/>
                        <w:w w:val="105"/>
                        <w:sz w:val="17"/>
                      </w:rPr>
                      <w:t>列印並填妥（附件</w:t>
                    </w:r>
                  </w:p>
                  <w:p>
                    <w:pPr>
                      <w:spacing w:line="241" w:lineRule="exact" w:before="0"/>
                      <w:ind w:left="158" w:right="0" w:firstLine="0"/>
                      <w:jc w:val="left"/>
                      <w:rPr>
                        <w:rFonts w:ascii="新細明體" w:eastAsia="新細明體" w:hint="eastAsia"/>
                        <w:sz w:val="17"/>
                      </w:rPr>
                    </w:pPr>
                    <w:r>
                      <w:rPr>
                        <w:rFonts w:ascii="Arial" w:eastAsia="Arial"/>
                        <w:color w:val="343133"/>
                        <w:w w:val="105"/>
                        <w:sz w:val="19"/>
                      </w:rPr>
                      <w:t>13-3 ) </w:t>
                    </w:r>
                    <w:r>
                      <w:rPr>
                        <w:rFonts w:ascii="新細明體" w:eastAsia="新細明體" w:hint="eastAsia"/>
                        <w:color w:val="565456"/>
                        <w:w w:val="105"/>
                        <w:sz w:val="17"/>
                      </w:rPr>
                      <w:t>。</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spacing w:before="4"/>
        <w:rPr>
          <w:sz w:val="26"/>
        </w:rPr>
      </w:pPr>
      <w:r>
        <w:rPr/>
        <w:pict>
          <v:group style="position:absolute;margin-left:57.139pt;margin-top:24.817053pt;width:108.7pt;height:27.8pt;mso-position-horizontal-relative:page;mso-position-vertical-relative:paragraph;z-index:-251260928;mso-wrap-distance-left:0;mso-wrap-distance-right:0" coordorigin="1143,496" coordsize="2174,556">
            <v:shape style="position:absolute;left:1142;top:496;width:2174;height:556" coordorigin="1143,496" coordsize="2174,556" path="m3313,496l1147,496,1143,500,1143,1047,1147,1051,3313,1051,3317,1047,3317,1041,1162,1041,1152,1032,1162,1032,1162,515,1152,515,1162,505,3317,505,3317,500,3313,496xm1162,1032l1152,1032,1162,1041,1162,1032xm3298,1032l1162,1032,1162,1041,3298,1041,3298,1032xm3298,505l3298,1041,3307,1032,3317,1032,3317,515,3307,515,3298,505xm3317,1032l3307,1032,3298,1041,3317,1041,3317,1032xm1162,505l1152,515,1162,515,1162,505xm3298,505l1162,505,1162,515,3298,515,3298,505xm3317,505l3298,505,3307,515,3317,515,3317,505xe" filled="true" fillcolor="#999b9f" stroked="false">
              <v:path arrowok="t"/>
              <v:fill type="solid"/>
            </v:shape>
            <v:shape style="position:absolute;left:1142;top:496;width:2174;height:556" type="#_x0000_t202" filled="false" stroked="false">
              <v:textbox inset="0,0,0,0">
                <w:txbxContent>
                  <w:p>
                    <w:pPr>
                      <w:spacing w:line="240" w:lineRule="auto" w:before="3"/>
                      <w:rPr>
                        <w:sz w:val="12"/>
                      </w:rPr>
                    </w:pPr>
                  </w:p>
                  <w:p>
                    <w:pPr>
                      <w:spacing w:before="0"/>
                      <w:ind w:left="240" w:right="0" w:firstLine="0"/>
                      <w:jc w:val="left"/>
                      <w:rPr>
                        <w:rFonts w:ascii="新細明體" w:eastAsia="新細明體" w:hint="eastAsia"/>
                        <w:sz w:val="17"/>
                      </w:rPr>
                    </w:pPr>
                    <w:r>
                      <w:rPr>
                        <w:rFonts w:ascii="新細明體" w:eastAsia="新細明體" w:hint="eastAsia"/>
                        <w:color w:val="343133"/>
                        <w:w w:val="105"/>
                        <w:sz w:val="17"/>
                      </w:rPr>
                      <w:t>個案行蹤</w:t>
                    </w:r>
                    <w:r>
                      <w:rPr>
                        <w:rFonts w:ascii="新細明體" w:eastAsia="新細明體" w:hint="eastAsia"/>
                        <w:color w:val="828285"/>
                        <w:w w:val="105"/>
                        <w:sz w:val="17"/>
                      </w:rPr>
                      <w:t>［ </w:t>
                    </w:r>
                    <w:r>
                      <w:rPr>
                        <w:rFonts w:ascii="新細明體" w:eastAsia="新細明體" w:hint="eastAsia"/>
                        <w:color w:val="343133"/>
                        <w:w w:val="105"/>
                        <w:sz w:val="17"/>
                      </w:rPr>
                      <w:t>明或失落</w:t>
                    </w:r>
                  </w:p>
                </w:txbxContent>
              </v:textbox>
              <w10:wrap type="none"/>
            </v:shape>
            <w10:wrap type="topAndBottom"/>
          </v:group>
        </w:pict>
      </w:r>
      <w:r>
        <w:rPr/>
        <w:pict>
          <v:group style="position:absolute;margin-left:305.432007pt;margin-top:24.817053pt;width:108.7pt;height:27.8pt;mso-position-horizontal-relative:page;mso-position-vertical-relative:paragraph;z-index:-251258880;mso-wrap-distance-left:0;mso-wrap-distance-right:0" coordorigin="6109,496" coordsize="2174,556">
            <v:shape style="position:absolute;left:6108;top:496;width:2174;height:556" coordorigin="6109,496" coordsize="2174,556" path="m8278,496l6112,496,6109,500,6109,1047,6112,1051,8278,1051,8283,1047,8283,1041,6127,1041,6118,1032,6127,1032,6127,515,6118,515,6127,505,8283,505,8283,500,8278,496xm6127,1032l6118,1032,6127,1041,6127,1032xm8263,1032l6127,1032,6127,1041,8263,1041,8263,1032xm8263,505l8263,1041,8273,1032,8283,1032,8283,515,8273,515,8263,505xm8283,1032l8273,1032,8263,1041,8283,1041,8283,1032xm6127,505l6118,515,6127,515,6127,505xm8263,505l6127,505,6127,515,8263,515,8263,505xm8283,505l8263,505,8273,515,8283,515,8283,505xe" filled="true" fillcolor="#999b9f" stroked="false">
              <v:path arrowok="t"/>
              <v:fill type="solid"/>
            </v:shape>
            <v:shape style="position:absolute;left:6108;top:496;width:2174;height:556" type="#_x0000_t202" filled="false" stroked="false">
              <v:textbox inset="0,0,0,0">
                <w:txbxContent>
                  <w:p>
                    <w:pPr>
                      <w:spacing w:line="240" w:lineRule="auto" w:before="6"/>
                      <w:rPr>
                        <w:sz w:val="11"/>
                      </w:rPr>
                    </w:pPr>
                  </w:p>
                  <w:p>
                    <w:pPr>
                      <w:spacing w:before="0"/>
                      <w:ind w:left="534" w:right="0" w:firstLine="0"/>
                      <w:jc w:val="left"/>
                      <w:rPr>
                        <w:rFonts w:ascii="新細明體" w:eastAsia="新細明體" w:hint="eastAsia"/>
                        <w:sz w:val="17"/>
                      </w:rPr>
                    </w:pPr>
                    <w:r>
                      <w:rPr>
                        <w:rFonts w:ascii="新細明體" w:eastAsia="新細明體" w:hint="eastAsia"/>
                        <w:color w:val="343133"/>
                        <w:sz w:val="17"/>
                      </w:rPr>
                      <w:t>個案 拒</w:t>
                    </w:r>
                    <w:r>
                      <w:rPr>
                        <w:rFonts w:ascii="新細明體" w:eastAsia="新細明體" w:hint="eastAsia"/>
                        <w:color w:val="828285"/>
                        <w:sz w:val="17"/>
                      </w:rPr>
                      <w:t>［</w:t>
                    </w:r>
                    <w:r>
                      <w:rPr>
                        <w:rFonts w:ascii="新細明體" w:eastAsia="新細明體" w:hint="eastAsia"/>
                        <w:color w:val="343133"/>
                        <w:sz w:val="17"/>
                      </w:rPr>
                      <w:t>苞簽名</w:t>
                    </w:r>
                  </w:p>
                </w:txbxContent>
              </v:textbox>
              <w10:wrap type="none"/>
            </v:shape>
            <w10:wrap type="topAndBottom"/>
          </v:group>
        </w:pict>
      </w:r>
      <w:r>
        <w:rPr/>
        <w:pict>
          <v:group style="position:absolute;margin-left:181.341995pt;margin-top:66.416054pt;width:108.75pt;height:197.6pt;mso-position-horizontal-relative:page;mso-position-vertical-relative:paragraph;z-index:-251256832;mso-wrap-distance-left:0;mso-wrap-distance-right:0" coordorigin="3627,1328" coordsize="2175,3952">
            <v:shape style="position:absolute;left:3626;top:1328;width:2175;height:3952" coordorigin="3627,1328" coordsize="2175,3952" path="m5797,1328l3631,1328,3627,1333,3627,5276,3631,5279,5797,5279,5802,5276,5802,5270,3646,5270,3637,5261,3646,5261,3646,1348,3637,1348,3646,1339,5802,1339,5802,1333,5797,1328xm3646,5261l3637,5261,3646,5270,3646,5261xm5782,5261l3646,5261,3646,5270,5782,5270,5782,5261xm5782,1339l5782,5270,5792,5261,5802,5261,5802,1348,5792,1348,5782,1339xm5802,5261l5792,5261,5782,5270,5802,5270,5802,5261xm3646,1339l3637,1348,3646,1348,3646,1339xm5782,1339l3646,1339,3646,1348,5782,1348,5782,1339xm5802,1339l5782,1339,5792,1348,5802,1348,5802,1339xe" filled="true" fillcolor="#999b9f" stroked="false">
              <v:path arrowok="t"/>
              <v:fill type="solid"/>
            </v:shape>
            <v:shape style="position:absolute;left:3626;top:1328;width:2175;height:3952" type="#_x0000_t202" filled="false" stroked="false">
              <v:textbox inset="0,0,0,0">
                <w:txbxContent>
                  <w:p>
                    <w:pPr>
                      <w:spacing w:line="240" w:lineRule="auto" w:before="15"/>
                      <w:rPr>
                        <w:sz w:val="8"/>
                      </w:rPr>
                    </w:pPr>
                  </w:p>
                  <w:p>
                    <w:pPr>
                      <w:numPr>
                        <w:ilvl w:val="0"/>
                        <w:numId w:val="277"/>
                      </w:numPr>
                      <w:tabs>
                        <w:tab w:pos="437" w:val="left" w:leader="none"/>
                      </w:tabs>
                      <w:spacing w:line="223" w:lineRule="auto" w:before="0"/>
                      <w:ind w:left="435" w:right="237" w:hanging="279"/>
                      <w:jc w:val="both"/>
                      <w:rPr>
                        <w:rFonts w:ascii="新細明體" w:eastAsia="新細明體" w:hint="eastAsia"/>
                        <w:sz w:val="17"/>
                      </w:rPr>
                    </w:pPr>
                    <w:r>
                      <w:rPr>
                        <w:rFonts w:ascii="新細明體" w:eastAsia="新細明體" w:hint="eastAsia"/>
                        <w:color w:val="343133"/>
                        <w:spacing w:val="-2"/>
                        <w:w w:val="110"/>
                        <w:sz w:val="17"/>
                      </w:rPr>
                      <w:t>以印章代替簽名； </w:t>
                    </w:r>
                    <w:r>
                      <w:rPr>
                        <w:rFonts w:ascii="新細明體" w:eastAsia="新細明體" w:hint="eastAsia"/>
                        <w:color w:val="343133"/>
                        <w:w w:val="110"/>
                        <w:sz w:val="17"/>
                      </w:rPr>
                      <w:t>指印或其他符號經</w:t>
                    </w:r>
                    <w:r>
                      <w:rPr>
                        <w:rFonts w:ascii="Arial" w:eastAsia="Arial"/>
                        <w:color w:val="343133"/>
                        <w:w w:val="105"/>
                        <w:sz w:val="19"/>
                      </w:rPr>
                      <w:t>2</w:t>
                    </w:r>
                    <w:r>
                      <w:rPr>
                        <w:rFonts w:ascii="Arial" w:eastAsia="Arial"/>
                        <w:color w:val="343133"/>
                        <w:spacing w:val="-19"/>
                        <w:w w:val="105"/>
                        <w:sz w:val="19"/>
                      </w:rPr>
                      <w:t> </w:t>
                    </w:r>
                    <w:r>
                      <w:rPr>
                        <w:rFonts w:ascii="新細明體" w:eastAsia="新細明體" w:hint="eastAsia"/>
                        <w:color w:val="343133"/>
                        <w:spacing w:val="1"/>
                        <w:w w:val="105"/>
                        <w:sz w:val="17"/>
                      </w:rPr>
                      <w:t>人簽名證明 發生</w:t>
                    </w:r>
                    <w:r>
                      <w:rPr>
                        <w:rFonts w:ascii="新細明體" w:eastAsia="新細明體" w:hint="eastAsia"/>
                        <w:color w:val="343133"/>
                        <w:spacing w:val="1"/>
                        <w:w w:val="110"/>
                        <w:sz w:val="17"/>
                      </w:rPr>
                      <w:t>相同效力。</w:t>
                    </w:r>
                  </w:p>
                  <w:p>
                    <w:pPr>
                      <w:numPr>
                        <w:ilvl w:val="0"/>
                        <w:numId w:val="277"/>
                      </w:numPr>
                      <w:tabs>
                        <w:tab w:pos="442" w:val="left" w:leader="none"/>
                      </w:tabs>
                      <w:spacing w:line="236" w:lineRule="exact" w:before="0"/>
                      <w:ind w:left="441" w:right="0" w:hanging="276"/>
                      <w:jc w:val="both"/>
                      <w:rPr>
                        <w:rFonts w:ascii="新細明體" w:eastAsia="新細明體" w:hint="eastAsia"/>
                        <w:sz w:val="17"/>
                      </w:rPr>
                    </w:pPr>
                    <w:r>
                      <w:rPr>
                        <w:rFonts w:ascii="新細明體" w:eastAsia="新細明體" w:hint="eastAsia"/>
                        <w:color w:val="343133"/>
                        <w:w w:val="110"/>
                        <w:sz w:val="17"/>
                      </w:rPr>
                      <w:t>如個案因身體或事</w:t>
                    </w:r>
                  </w:p>
                  <w:p>
                    <w:pPr>
                      <w:spacing w:line="228" w:lineRule="auto" w:before="2"/>
                      <w:ind w:left="438" w:right="149" w:firstLine="1"/>
                      <w:jc w:val="both"/>
                      <w:rPr>
                        <w:rFonts w:ascii="新細明體" w:hAnsi="新細明體" w:eastAsia="新細明體" w:hint="eastAsia"/>
                        <w:sz w:val="17"/>
                      </w:rPr>
                    </w:pPr>
                    <w:r>
                      <w:rPr>
                        <w:rFonts w:ascii="新細明體" w:hAnsi="新細明體" w:eastAsia="新細明體" w:hint="eastAsia"/>
                        <w:color w:val="343133"/>
                        <w:w w:val="115"/>
                        <w:sz w:val="17"/>
                      </w:rPr>
                      <w:t>實狀況（如植物人</w:t>
                    </w:r>
                    <w:r>
                      <w:rPr>
                        <w:rFonts w:ascii="新細明體" w:hAnsi="新細明體" w:eastAsia="新細明體" w:hint="eastAsia"/>
                        <w:color w:val="343133"/>
                        <w:w w:val="101"/>
                        <w:sz w:val="17"/>
                      </w:rPr>
                      <w:t>或用呼吸器等）</w:t>
                    </w:r>
                    <w:r>
                      <w:rPr>
                        <w:rFonts w:ascii="新細明體" w:hAnsi="新細明體" w:eastAsia="新細明體" w:hint="eastAsia"/>
                        <w:color w:val="343133"/>
                        <w:w w:val="490"/>
                        <w:sz w:val="17"/>
                      </w:rPr>
                      <w:t>·</w:t>
                    </w:r>
                    <w:r>
                      <w:rPr>
                        <w:rFonts w:ascii="新細明體" w:hAnsi="新細明體" w:eastAsia="新細明體" w:hint="eastAsia"/>
                        <w:color w:val="343133"/>
                        <w:spacing w:val="-13"/>
                        <w:sz w:val="17"/>
                      </w:rPr>
                      <w:t> </w:t>
                    </w:r>
                    <w:r>
                      <w:rPr>
                        <w:rFonts w:ascii="新細明體" w:hAnsi="新細明體" w:eastAsia="新細明體" w:hint="eastAsia"/>
                        <w:color w:val="343133"/>
                        <w:spacing w:val="-15"/>
                        <w:w w:val="103"/>
                        <w:sz w:val="17"/>
                      </w:rPr>
                      <w:t>絕</w:t>
                    </w:r>
                    <w:r>
                      <w:rPr>
                        <w:rFonts w:ascii="新細明體" w:hAnsi="新細明體" w:eastAsia="新細明體" w:hint="eastAsia"/>
                        <w:color w:val="343133"/>
                        <w:w w:val="115"/>
                        <w:sz w:val="17"/>
                      </w:rPr>
                      <w:t>不可能在短期內搭機出國 且簽名有其困難者．於機關存查聯上註明即 </w:t>
                    </w:r>
                    <w:r>
                      <w:rPr>
                        <w:rFonts w:ascii="新細明體" w:hAnsi="新細明體" w:eastAsia="新細明體" w:hint="eastAsia"/>
                        <w:color w:val="343133"/>
                        <w:spacing w:val="12"/>
                        <w:w w:val="115"/>
                        <w:sz w:val="17"/>
                      </w:rPr>
                      <w:t>可</w:t>
                    </w:r>
                    <w:r>
                      <w:rPr>
                        <w:rFonts w:ascii="新細明體" w:hAnsi="新細明體" w:eastAsia="新細明體" w:hint="eastAsia"/>
                        <w:color w:val="565456"/>
                        <w:w w:val="115"/>
                        <w:sz w:val="17"/>
                      </w:rPr>
                      <w:t>。</w:t>
                    </w:r>
                  </w:p>
                  <w:p>
                    <w:pPr>
                      <w:numPr>
                        <w:ilvl w:val="0"/>
                        <w:numId w:val="277"/>
                      </w:numPr>
                      <w:tabs>
                        <w:tab w:pos="442" w:val="left" w:leader="none"/>
                      </w:tabs>
                      <w:spacing w:line="233" w:lineRule="exact" w:before="0"/>
                      <w:ind w:left="441" w:right="0" w:hanging="275"/>
                      <w:jc w:val="both"/>
                      <w:rPr>
                        <w:rFonts w:ascii="新細明體" w:eastAsia="新細明體" w:hint="eastAsia"/>
                        <w:sz w:val="17"/>
                      </w:rPr>
                    </w:pPr>
                    <w:r>
                      <w:rPr>
                        <w:rFonts w:ascii="新細明體" w:eastAsia="新細明體" w:hint="eastAsia"/>
                        <w:color w:val="343133"/>
                        <w:w w:val="110"/>
                        <w:sz w:val="17"/>
                      </w:rPr>
                      <w:t>如個案確診時人在</w:t>
                    </w:r>
                  </w:p>
                  <w:p>
                    <w:pPr>
                      <w:spacing w:line="228" w:lineRule="auto" w:before="3"/>
                      <w:ind w:left="440" w:right="220" w:firstLine="0"/>
                      <w:jc w:val="both"/>
                      <w:rPr>
                        <w:rFonts w:ascii="新細明體" w:eastAsia="新細明體" w:hint="eastAsia"/>
                        <w:sz w:val="17"/>
                      </w:rPr>
                    </w:pPr>
                    <w:r>
                      <w:rPr>
                        <w:rFonts w:ascii="新細明體" w:eastAsia="新細明體" w:hint="eastAsia"/>
                        <w:color w:val="343133"/>
                        <w:w w:val="105"/>
                        <w:sz w:val="17"/>
                      </w:rPr>
                      <w:t>國外．可由家</w:t>
                    </w:r>
                    <w:r>
                      <w:rPr>
                        <w:rFonts w:ascii="新細明體" w:eastAsia="新細明體" w:hint="eastAsia"/>
                        <w:color w:val="565456"/>
                        <w:w w:val="105"/>
                        <w:sz w:val="17"/>
                      </w:rPr>
                      <w:t>屬</w:t>
                    </w:r>
                    <w:r>
                      <w:rPr>
                        <w:rFonts w:ascii="新細明體" w:eastAsia="新細明體" w:hint="eastAsia"/>
                        <w:color w:val="343133"/>
                        <w:w w:val="105"/>
                        <w:sz w:val="17"/>
                      </w:rPr>
                      <w:t>簽立或待個案回國時再簽立</w:t>
                    </w:r>
                    <w:r>
                      <w:rPr>
                        <w:rFonts w:ascii="新細明體" w:eastAsia="新細明體" w:hint="eastAsia"/>
                        <w:color w:val="565456"/>
                        <w:w w:val="105"/>
                        <w:sz w:val="17"/>
                      </w:rPr>
                      <w:t>。</w:t>
                    </w:r>
                  </w:p>
                </w:txbxContent>
              </v:textbox>
              <w10:wrap type="none"/>
            </v:shape>
            <w10:wrap type="topAndBottom"/>
          </v:group>
        </w:pict>
      </w:r>
      <w:r>
        <w:rPr/>
        <w:pict>
          <v:group style="position:absolute;margin-left:306.401978pt;margin-top:66.529053pt;width:155.8pt;height:197.45pt;mso-position-horizontal-relative:page;mso-position-vertical-relative:paragraph;z-index:-251253760;mso-wrap-distance-left:0;mso-wrap-distance-right:0" coordorigin="6128,1331" coordsize="3116,3949">
            <v:shape style="position:absolute;left:6129;top:1330;width:2174;height:795" coordorigin="6129,1331" coordsize="2174,795" path="m8298,1331l6133,1331,6129,1335,6129,2121,6133,2125,8298,2125,8303,2121,8303,2115,6147,2115,6138,2106,6147,2106,6147,1350,6138,1350,6147,1340,8303,1340,8303,1335,8298,1331xm6147,2106l6138,2106,6147,2115,6147,2106xm8284,2106l6147,2106,6147,2115,8284,2115,8284,2106xm8284,1340l8284,2115,8294,2106,8303,2106,8303,1350,8294,1350,8284,1340xm8303,2106l8294,2106,8284,2115,8303,2115,8303,2106xm6147,1340l6138,1350,6147,1350,6147,1340xm8284,1340l6147,1340,6147,1350,8284,1350,8284,1340xm8303,1340l8284,1340,8294,1350,8303,1350,8303,1340xe" filled="true" fillcolor="#999b9f" stroked="false">
              <v:path arrowok="t"/>
              <v:fill type="solid"/>
            </v:shape>
            <v:shape style="position:absolute;left:6128;top:2331;width:3116;height:2948" coordorigin="6128,2332" coordsize="3116,2948" path="m6204,5260l6147,5260,6147,5279,6204,5279,6204,5260xm6147,5214l6128,5214,6128,5270,6147,5270,6147,5214xm6147,5138l6128,5138,6128,5194,6147,5194,6147,5138xm6147,5061l6128,5061,6128,5118,6147,5118,6147,5061xm6147,4987l6128,4987,6128,5043,6147,5043,6147,4987xm6147,4911l6128,4911,6128,4967,6147,4967,6147,4911xm6147,4834l6128,4834,6128,4891,6147,4891,6147,4834xm6147,4760l6128,4760,6128,4816,6147,4816,6147,4760xm6147,4684l6128,4684,6128,4740,6147,4740,6147,4684xm6147,4607l6128,4607,6128,4664,6147,4664,6147,4607xm6147,4533l6128,4533,6128,4589,6147,4589,6147,4533xm6147,4457l6128,4457,6128,4513,6147,4513,6147,4457xm6147,4380l6128,4380,6128,4437,6147,4437,6147,4380xm6147,4306l6128,4306,6128,4362,6147,4362,6147,4306xm6147,4230l6128,4230,6128,4286,6147,4286,6147,4230xm6147,4153l6128,4153,6128,4210,6147,4210,6147,4153xm6147,4079l6128,4079,6128,4135,6147,4135,6147,4079xm6147,4002l6128,4002,6128,4059,6147,4059,6147,4002xm6147,3926l6128,3926,6128,3983,6147,3983,6147,3926xm6147,3852l6128,3852,6128,3908,6147,3908,6147,3852xm6147,3775l6128,3775,6128,3832,6147,3832,6147,3775xm6147,3699l6128,3699,6128,3756,6147,3756,6147,3699xm6147,3625l6128,3625,6128,3681,6147,3681,6147,3625xm6147,3548l6128,3548,6128,3605,6147,3605,6147,3548xm6147,3472l6128,3472,6128,3529,6147,3529,6147,3472xm6147,3398l6128,3398,6128,3454,6147,3454,6147,3398xm6147,3321l6128,3321,6128,3378,6147,3378,6147,3321xm6147,3245l6128,3245,6128,3302,6147,3302,6147,3245xm6147,3171l6128,3171,6128,3227,6147,3227,6147,3171xm6147,3094l6128,3094,6128,3151,6147,3151,6147,3094xm6147,3018l6128,3018,6128,3075,6147,3075,6147,3018xm6147,2944l6128,2944,6128,3000,6147,3000,6147,2944xm6147,2867l6128,2867,6128,2924,6147,2924,6147,2867xm6147,2791l6128,2791,6128,2848,6147,2848,6147,2791xm6147,2716l6128,2716,6128,2773,6147,2773,6147,2716xm6147,2640l6128,2640,6128,2697,6147,2697,6147,2640xm6147,2564l6128,2564,6128,2621,6147,2621,6147,2564xm6147,2489l6128,2489,6128,2546,6147,2546,6147,2489xm6147,2413l6128,2413,6128,2470,6147,2470,6147,2413xm6141,2332l6133,2332,6128,2336,6128,2394,6147,2394,6147,2350,6138,2350,6141,2348,6141,2332xm6141,2348l6138,2350,6141,2350,6141,2348xm6147,2341l6141,2348,6141,2350,6147,2350,6147,2341xm6217,2332l6160,2332,6160,2350,6217,2350,6217,2332xm6293,2332l6236,2332,6236,2350,6293,2350,6293,2332xm6369,2332l6312,2332,6312,2350,6369,2350,6369,2332xm6445,2332l6388,2332,6388,2350,6445,2350,6445,2332xm6522,2332l6464,2332,6464,2350,6522,2350,6522,2332xm6597,2332l6540,2332,6540,2350,6597,2350,6597,2332xm6673,2332l6616,2332,6616,2350,6673,2350,6673,2332xm6750,2332l6693,2332,6693,2350,6750,2350,6750,2332xm6825,2332l6768,2332,6768,2350,6825,2350,6825,2332xm6901,2332l6844,2332,6844,2350,6901,2350,6901,2332xm6978,2332l6921,2332,6921,2350,6978,2350,6978,2332xm7053,2332l6996,2332,6996,2350,7053,2350,7053,2332xm7129,2332l7072,2332,7072,2350,7129,2350,7129,2332xm7206,2332l7149,2332,7149,2350,7206,2350,7206,2332xm7281,2332l7224,2332,7224,2350,7281,2350,7281,2332xm7358,2332l7300,2332,7300,2350,7358,2350,7358,2332xm7434,2332l7377,2332,7377,2350,7434,2350,7434,2332xm7509,2332l7452,2332,7452,2350,7509,2350,7509,2332xm7586,2332l7529,2332,7529,2350,7586,2350,7586,2332xm7662,2332l7605,2332,7605,2350,7662,2350,7662,2332xm7737,2332l7680,2332,7680,2350,7737,2350,7737,2332xm7814,2332l7757,2332,7757,2350,7814,2350,7814,2332xm7890,2332l7833,2332,7833,2350,7890,2350,7890,2332xm7965,2332l7908,2332,7908,2350,7965,2350,7965,2332xm8042,2332l7985,2332,7985,2350,8042,2350,8042,2332xm8118,2332l8061,2332,8061,2350,8118,2350,8118,2332xm8194,2332l8136,2332,8136,2350,8194,2350,8194,2332xm8270,2332l8213,2332,8213,2350,8270,2350,8270,2332xm8346,2332l8289,2332,8289,2350,8346,2350,8346,2332xm8422,2332l8365,2332,8365,2350,8422,2350,8422,2332xm8498,2332l8441,2332,8441,2350,8498,2350,8498,2332xm8574,2332l8517,2332,8517,2350,8574,2350,8574,2332xm8650,2332l8593,2332,8593,2350,8650,2350,8650,2332xm8726,2332l8669,2332,8669,2350,8726,2350,8726,2332xm8803,2332l8746,2332,8746,2350,8803,2350,8803,2332xm8878,2332l8821,2332,8821,2350,8878,2350,8878,2332xm8954,2332l8897,2332,8897,2350,8954,2350,8954,2332xm9031,2332l8974,2332,8974,2350,9031,2350,9031,2332xm9106,2332l9049,2332,9049,2350,9106,2350,9106,2332xm9182,2332l9125,2332,9125,2350,9182,2350,9182,2332xm9226,2341l9226,2365,9244,2365,9244,2350,9235,2350,9226,2341xm9241,2332l9202,2332,9202,2350,9226,2350,9226,2341,9244,2341,9244,2336,9241,2332xm9244,2341l9226,2341,9235,2350,9244,2350,9244,2341xm9244,2383l9226,2383,9226,2440,9244,2440,9244,2383xm9244,2459l9226,2459,9226,2516,9244,2516,9244,2459xm9244,2535l9226,2535,9226,2592,9244,2592,9244,2535xm9244,2610l9226,2610,9226,2667,9244,2667,9244,2610xm9244,2686l9226,2686,9226,2743,9244,2743,9244,2686xm9244,2762l9226,2762,9226,2819,9244,2819,9244,2762xm9244,2837l9226,2837,9226,2894,9244,2894,9244,2837xm9244,2913l9226,2913,9226,2970,9244,2970,9244,2913xm9244,2989l9226,2989,9226,3046,9244,3046,9244,2989xm9244,3064l9226,3064,9226,3121,9244,3121,9244,3064xm9244,3140l9226,3140,9226,3197,9244,3197,9244,3140xm9244,3216l9226,3216,9226,3273,9244,3273,9244,3216xm9244,3291l9226,3291,9226,3348,9244,3348,9244,3291xm9244,3367l9226,3367,9226,3424,9244,3424,9244,3367xm9244,3443l9226,3443,9226,3500,9244,3500,9244,3443xm9244,3518l9226,3518,9226,3575,9244,3575,9244,3518xm9244,3594l9226,3594,9226,3651,9244,3651,9244,3594xm9244,3670l9226,3670,9226,3727,9244,3727,9244,3670xm9244,3745l9226,3745,9226,3802,9244,3802,9244,3745xm9244,3821l9226,3821,9226,3878,9244,3878,9244,3821xm9244,3897l9226,3897,9226,3954,9244,3954,9244,3897xm9244,3972l9226,3972,9226,4029,9244,4029,9244,3972xm9244,4048l9226,4048,9226,4105,9244,4105,9244,4048xm9244,4124l9226,4124,9226,4181,9244,4181,9244,4124xm9244,4199l9226,4199,9226,4256,9244,4256,9244,4199xm9244,4275l9226,4275,9226,4332,9244,4332,9244,4275xm9244,4351l9226,4351,9226,4408,9244,4408,9244,4351xm9244,4426l9226,4426,9226,4483,9244,4483,9244,4426xm9244,4502l9226,4502,9226,4559,9244,4559,9244,4502xm9244,4578l9226,4578,9226,4635,9244,4635,9244,4578xm9244,4653l9226,4653,9226,4710,9244,4710,9244,4653xm9244,4729l9226,4729,9226,4786,9244,4786,9244,4729xm9244,4805l9226,4805,9226,4862,9244,4862,9244,4805xm9244,4880l9226,4880,9226,4937,9244,4937,9244,4880xm9244,4956l9226,4956,9226,5013,9244,5013,9244,4956xm9244,5032l9226,5032,9226,5089,9244,5089,9244,5032xm9244,5107l9226,5107,9226,5164,9244,5164,9244,5107xm9244,5183l9226,5183,9226,5240,9244,5240,9244,5183xm9226,5260l9189,5260,9189,5279,9241,5279,9244,5275,9244,5270,9226,5270,9226,5260xm9244,5259l9226,5259,9226,5270,9235,5260,9244,5260,9244,5259xm9244,5260l9235,5260,9226,5270,9244,5270,9244,5260xm9170,5260l9113,5260,9113,5279,9170,5279,9170,5260xm9095,5260l9037,5260,9037,5279,9095,5279,9095,5260xm9018,5260l8961,5260,8961,5279,9018,5279,9018,5260xm8942,5260l8885,5260,8885,5279,8942,5279,8942,5260xm8866,5260l8809,5260,8809,5279,8866,5279,8866,5260xm8790,5260l8733,5260,8733,5279,8790,5279,8790,5260xm8714,5260l8657,5260,8657,5279,8714,5279,8714,5260xm8638,5260l8581,5260,8581,5279,8638,5279,8638,5260xm8562,5260l8505,5260,8505,5279,8562,5279,8562,5260xm8485,5260l8428,5260,8428,5279,8485,5279,8485,5260xm8410,5260l8353,5260,8353,5279,8410,5279,8410,5260xm8334,5260l8277,5260,8277,5279,8334,5279,8334,5260xm8257,5260l8200,5260,8200,5279,8257,5279,8257,5260xm8182,5260l8125,5260,8125,5279,8182,5279,8182,5260xm8106,5260l8049,5260,8049,5279,8106,5279,8106,5260xm8029,5260l7972,5260,7972,5279,8029,5279,8029,5260xm7954,5260l7897,5260,7897,5279,7954,5279,7954,5260xm7878,5260l7821,5260,7821,5279,7878,5279,7878,5260xm7801,5260l7744,5260,7744,5279,7801,5279,7801,5260xm7726,5260l7669,5260,7669,5279,7726,5279,7726,5260xm7649,5260l7592,5260,7592,5279,7649,5279,7649,5260xm7573,5260l7516,5260,7516,5279,7573,5279,7573,5260xm7498,5260l7441,5260,7441,5279,7498,5279,7498,5260xm7421,5260l7364,5260,7364,5279,7421,5279,7421,5260xm7345,5260l7288,5260,7288,5279,7345,5279,7345,5260xm7270,5260l7213,5260,7213,5279,7270,5279,7270,5260xm7193,5260l7136,5260,7136,5279,7193,5279,7193,5260xm7117,5260l7060,5260,7060,5279,7117,5279,7117,5260xm7042,5260l6985,5260,6985,5279,7042,5279,7042,5260xm6965,5260l6908,5260,6908,5279,6965,5279,6965,5260xm6889,5260l6832,5260,6832,5279,6889,5279,6889,5260xm6813,5260l6756,5260,6756,5279,6813,5279,6813,5260xm6737,5260l6680,5260,6680,5279,6737,5279,6737,5260xm6661,5260l6604,5260,6604,5279,6661,5279,6661,5260xm6585,5260l6528,5260,6528,5279,6585,5279,6585,5260xm6509,5260l6452,5260,6452,5279,6509,5279,6509,5260xm6433,5260l6376,5260,6376,5279,6433,5279,6433,5260xm6357,5260l6300,5260,6300,5279,6357,5279,6357,5260xm6281,5260l6224,5260,6224,5279,6281,5279,6281,5260xe" filled="true" fillcolor="#999b9f" stroked="false">
              <v:path arrowok="t"/>
              <v:fill type="solid"/>
            </v:shape>
            <v:shape style="position:absolute;left:7157;top:2114;width:115;height:226" type="#_x0000_t75" stroked="false">
              <v:imagedata r:id="rId445" o:title=""/>
            </v:shape>
            <v:shape style="position:absolute;left:6298;top:1535;width:1695;height:397" type="#_x0000_t202" filled="false" stroked="false">
              <v:textbox inset="0,0,0,0">
                <w:txbxContent>
                  <w:p>
                    <w:pPr>
                      <w:spacing w:line="198" w:lineRule="exact" w:before="0"/>
                      <w:ind w:left="4" w:right="0" w:firstLine="0"/>
                      <w:jc w:val="left"/>
                      <w:rPr>
                        <w:rFonts w:ascii="新細明體" w:eastAsia="新細明體" w:hint="eastAsia"/>
                        <w:sz w:val="17"/>
                      </w:rPr>
                    </w:pPr>
                    <w:r>
                      <w:rPr>
                        <w:rFonts w:ascii="新細明體" w:eastAsia="新細明體" w:hint="eastAsia"/>
                        <w:color w:val="343133"/>
                        <w:w w:val="110"/>
                        <w:sz w:val="17"/>
                      </w:rPr>
                      <w:t>勸說並告知傳染病防</w:t>
                    </w:r>
                  </w:p>
                  <w:p>
                    <w:pPr>
                      <w:spacing w:line="198" w:lineRule="exact" w:before="0"/>
                      <w:ind w:left="0" w:right="0" w:firstLine="0"/>
                      <w:jc w:val="left"/>
                      <w:rPr>
                        <w:rFonts w:ascii="新細明體" w:eastAsia="新細明體" w:hint="eastAsia"/>
                        <w:sz w:val="17"/>
                      </w:rPr>
                    </w:pPr>
                    <w:r>
                      <w:rPr>
                        <w:rFonts w:ascii="新細明體" w:eastAsia="新細明體" w:hint="eastAsia"/>
                        <w:color w:val="343133"/>
                        <w:w w:val="105"/>
                        <w:sz w:val="17"/>
                      </w:rPr>
                      <w:t>治法權利義 務</w:t>
                    </w:r>
                    <w:r>
                      <w:rPr>
                        <w:rFonts w:ascii="新細明體" w:eastAsia="新細明體" w:hint="eastAsia"/>
                        <w:color w:val="565456"/>
                        <w:w w:val="105"/>
                        <w:sz w:val="17"/>
                      </w:rPr>
                      <w:t>。</w:t>
                    </w:r>
                  </w:p>
                </w:txbxContent>
              </v:textbox>
              <w10:wrap type="none"/>
            </v:shape>
            <v:shape style="position:absolute;left:6288;top:2597;width:2854;height:2439" type="#_x0000_t202" filled="false" stroked="false">
              <v:textbox inset="0,0,0,0">
                <w:txbxContent>
                  <w:p>
                    <w:pPr>
                      <w:spacing w:line="187" w:lineRule="exact" w:before="0"/>
                      <w:ind w:left="15" w:right="0" w:firstLine="0"/>
                      <w:jc w:val="left"/>
                      <w:rPr>
                        <w:rFonts w:ascii="新細明體" w:eastAsia="新細明體" w:hint="eastAsia"/>
                        <w:sz w:val="17"/>
                      </w:rPr>
                    </w:pPr>
                    <w:r>
                      <w:rPr>
                        <w:rFonts w:ascii="新細明體" w:eastAsia="新細明體" w:hint="eastAsia"/>
                        <w:color w:val="343133"/>
                        <w:w w:val="110"/>
                        <w:sz w:val="17"/>
                      </w:rPr>
                      <w:t>如個案仍拒簽，參考以下方式：</w:t>
                    </w:r>
                  </w:p>
                  <w:p>
                    <w:pPr>
                      <w:numPr>
                        <w:ilvl w:val="0"/>
                        <w:numId w:val="278"/>
                      </w:numPr>
                      <w:tabs>
                        <w:tab w:pos="242" w:val="left" w:leader="none"/>
                      </w:tabs>
                      <w:spacing w:line="228" w:lineRule="auto" w:before="0"/>
                      <w:ind w:left="237" w:right="124" w:hanging="238"/>
                      <w:jc w:val="left"/>
                      <w:rPr>
                        <w:rFonts w:ascii="Times New Roman" w:eastAsia="Times New Roman"/>
                        <w:color w:val="343133"/>
                        <w:sz w:val="21"/>
                      </w:rPr>
                    </w:pPr>
                    <w:r>
                      <w:rPr>
                        <w:rFonts w:ascii="新細明體" w:eastAsia="新細明體" w:hint="eastAsia"/>
                        <w:color w:val="343133"/>
                        <w:spacing w:val="3"/>
                        <w:w w:val="105"/>
                        <w:sz w:val="17"/>
                      </w:rPr>
                      <w:t>如有 </w:t>
                    </w:r>
                    <w:r>
                      <w:rPr>
                        <w:rFonts w:ascii="Arial" w:eastAsia="Arial"/>
                        <w:color w:val="343133"/>
                        <w:w w:val="105"/>
                        <w:sz w:val="19"/>
                      </w:rPr>
                      <w:t>2</w:t>
                    </w:r>
                    <w:r>
                      <w:rPr>
                        <w:rFonts w:ascii="Arial" w:eastAsia="Arial"/>
                        <w:color w:val="343133"/>
                        <w:spacing w:val="-2"/>
                        <w:w w:val="105"/>
                        <w:sz w:val="19"/>
                      </w:rPr>
                      <w:t> </w:t>
                    </w:r>
                    <w:r>
                      <w:rPr>
                        <w:rFonts w:ascii="新細明體" w:eastAsia="新細明體" w:hint="eastAsia"/>
                        <w:color w:val="343133"/>
                        <w:spacing w:val="8"/>
                        <w:w w:val="105"/>
                        <w:sz w:val="17"/>
                      </w:rPr>
                      <w:t>人以上同行，取得 </w:t>
                    </w:r>
                    <w:r>
                      <w:rPr>
                        <w:rFonts w:ascii="Arial" w:eastAsia="Arial"/>
                        <w:color w:val="343133"/>
                        <w:w w:val="105"/>
                        <w:sz w:val="19"/>
                      </w:rPr>
                      <w:t>2</w:t>
                    </w:r>
                    <w:r>
                      <w:rPr>
                        <w:rFonts w:ascii="Arial" w:eastAsia="Arial"/>
                        <w:color w:val="343133"/>
                        <w:spacing w:val="-6"/>
                        <w:w w:val="105"/>
                        <w:sz w:val="19"/>
                      </w:rPr>
                      <w:t> </w:t>
                    </w:r>
                    <w:r>
                      <w:rPr>
                        <w:rFonts w:ascii="新細明體" w:eastAsia="新細明體" w:hint="eastAsia"/>
                        <w:color w:val="343133"/>
                        <w:spacing w:val="-13"/>
                        <w:w w:val="105"/>
                        <w:sz w:val="17"/>
                      </w:rPr>
                      <w:t>人</w:t>
                    </w:r>
                    <w:r>
                      <w:rPr>
                        <w:rFonts w:ascii="新細明體" w:eastAsia="新細明體" w:hint="eastAsia"/>
                        <w:color w:val="343133"/>
                        <w:spacing w:val="3"/>
                        <w:w w:val="105"/>
                        <w:sz w:val="17"/>
                      </w:rPr>
                      <w:t>以上簽名證明 </w:t>
                    </w:r>
                    <w:r>
                      <w:rPr>
                        <w:rFonts w:ascii="新細明體" w:eastAsia="新細明體" w:hint="eastAsia"/>
                        <w:color w:val="565456"/>
                        <w:w w:val="105"/>
                        <w:sz w:val="17"/>
                      </w:rPr>
                      <w:t>。</w:t>
                    </w:r>
                  </w:p>
                  <w:p>
                    <w:pPr>
                      <w:numPr>
                        <w:ilvl w:val="0"/>
                        <w:numId w:val="278"/>
                      </w:numPr>
                      <w:tabs>
                        <w:tab w:pos="236" w:val="left" w:leader="none"/>
                      </w:tabs>
                      <w:spacing w:line="221" w:lineRule="exact" w:before="0"/>
                      <w:ind w:left="235" w:right="0" w:hanging="226"/>
                      <w:jc w:val="left"/>
                      <w:rPr>
                        <w:rFonts w:ascii="Times New Roman" w:eastAsia="Times New Roman"/>
                        <w:color w:val="343133"/>
                        <w:sz w:val="20"/>
                      </w:rPr>
                    </w:pPr>
                    <w:r>
                      <w:rPr>
                        <w:rFonts w:ascii="新細明體" w:eastAsia="新細明體" w:hint="eastAsia"/>
                        <w:color w:val="343133"/>
                        <w:w w:val="105"/>
                        <w:sz w:val="17"/>
                      </w:rPr>
                      <w:t>再次前往，並尋求其他相關人員</w:t>
                    </w:r>
                  </w:p>
                  <w:p>
                    <w:pPr>
                      <w:spacing w:line="215" w:lineRule="exact" w:before="0"/>
                      <w:ind w:left="238" w:right="0" w:firstLine="0"/>
                      <w:jc w:val="left"/>
                      <w:rPr>
                        <w:rFonts w:ascii="新細明體" w:eastAsia="新細明體" w:hint="eastAsia"/>
                        <w:sz w:val="17"/>
                      </w:rPr>
                    </w:pPr>
                    <w:r>
                      <w:rPr>
                        <w:rFonts w:ascii="新細明體" w:eastAsia="新細明體" w:hint="eastAsia"/>
                        <w:color w:val="343133"/>
                        <w:w w:val="105"/>
                        <w:sz w:val="17"/>
                      </w:rPr>
                      <w:t>之協助</w:t>
                    </w:r>
                    <w:r>
                      <w:rPr>
                        <w:rFonts w:ascii="新細明體" w:eastAsia="新細明體" w:hint="eastAsia"/>
                        <w:color w:val="565456"/>
                        <w:w w:val="105"/>
                        <w:sz w:val="17"/>
                      </w:rPr>
                      <w:t>。</w:t>
                    </w:r>
                  </w:p>
                  <w:p>
                    <w:pPr>
                      <w:numPr>
                        <w:ilvl w:val="0"/>
                        <w:numId w:val="278"/>
                      </w:numPr>
                      <w:tabs>
                        <w:tab w:pos="239" w:val="left" w:leader="none"/>
                      </w:tabs>
                      <w:spacing w:line="228" w:lineRule="auto" w:before="0"/>
                      <w:ind w:left="241" w:right="200" w:hanging="231"/>
                      <w:jc w:val="left"/>
                      <w:rPr>
                        <w:rFonts w:ascii="Times New Roman" w:eastAsia="Times New Roman"/>
                        <w:color w:val="343133"/>
                        <w:sz w:val="21"/>
                      </w:rPr>
                    </w:pPr>
                    <w:r>
                      <w:rPr>
                        <w:rFonts w:ascii="新細明體" w:eastAsia="新細明體" w:hint="eastAsia"/>
                        <w:color w:val="343133"/>
                        <w:spacing w:val="-2"/>
                        <w:w w:val="105"/>
                        <w:sz w:val="17"/>
                      </w:rPr>
                      <w:t>交付予與個案同居且能辨別事</w:t>
                    </w:r>
                    <w:r>
                      <w:rPr>
                        <w:rFonts w:ascii="新細明體" w:eastAsia="新細明體" w:hint="eastAsia"/>
                        <w:color w:val="343133"/>
                        <w:spacing w:val="6"/>
                        <w:w w:val="105"/>
                        <w:sz w:val="17"/>
                      </w:rPr>
                      <w:t>理能力之同 居人</w:t>
                    </w:r>
                    <w:r>
                      <w:rPr>
                        <w:rFonts w:ascii="新細明體" w:eastAsia="新細明體" w:hint="eastAsia"/>
                        <w:color w:val="565456"/>
                        <w:w w:val="105"/>
                        <w:sz w:val="17"/>
                      </w:rPr>
                      <w:t>。</w:t>
                    </w:r>
                  </w:p>
                  <w:p>
                    <w:pPr>
                      <w:numPr>
                        <w:ilvl w:val="0"/>
                        <w:numId w:val="278"/>
                      </w:numPr>
                      <w:tabs>
                        <w:tab w:pos="238" w:val="left" w:leader="none"/>
                      </w:tabs>
                      <w:spacing w:line="221" w:lineRule="exact" w:before="0"/>
                      <w:ind w:left="237" w:right="0" w:hanging="237"/>
                      <w:jc w:val="left"/>
                      <w:rPr>
                        <w:rFonts w:ascii="Times New Roman" w:eastAsia="Times New Roman"/>
                        <w:color w:val="343133"/>
                        <w:sz w:val="21"/>
                      </w:rPr>
                    </w:pPr>
                    <w:r>
                      <w:rPr>
                        <w:rFonts w:ascii="新細明體" w:eastAsia="新細明體" w:hint="eastAsia"/>
                        <w:color w:val="343133"/>
                        <w:w w:val="110"/>
                        <w:sz w:val="17"/>
                      </w:rPr>
                      <w:t>以雙掛號郵寄方式送達於當事</w:t>
                    </w:r>
                  </w:p>
                  <w:p>
                    <w:pPr>
                      <w:spacing w:line="224" w:lineRule="exact" w:before="0"/>
                      <w:ind w:left="239" w:right="0" w:firstLine="0"/>
                      <w:jc w:val="left"/>
                      <w:rPr>
                        <w:rFonts w:ascii="新細明體" w:eastAsia="新細明體" w:hint="eastAsia"/>
                        <w:sz w:val="17"/>
                      </w:rPr>
                    </w:pPr>
                    <w:r>
                      <w:rPr>
                        <w:rFonts w:ascii="新細明體" w:eastAsia="新細明體" w:hint="eastAsia"/>
                        <w:color w:val="343133"/>
                        <w:w w:val="105"/>
                        <w:sz w:val="17"/>
                      </w:rPr>
                      <w:t>人</w:t>
                    </w:r>
                    <w:r>
                      <w:rPr>
                        <w:rFonts w:ascii="新細明體" w:eastAsia="新細明體" w:hint="eastAsia"/>
                        <w:color w:val="565456"/>
                        <w:w w:val="105"/>
                        <w:sz w:val="17"/>
                      </w:rPr>
                      <w:t>。</w:t>
                    </w:r>
                  </w:p>
                  <w:p>
                    <w:pPr>
                      <w:numPr>
                        <w:ilvl w:val="0"/>
                        <w:numId w:val="278"/>
                      </w:numPr>
                      <w:tabs>
                        <w:tab w:pos="242" w:val="left" w:leader="none"/>
                      </w:tabs>
                      <w:spacing w:line="223" w:lineRule="auto" w:before="0"/>
                      <w:ind w:left="241" w:right="144" w:hanging="226"/>
                      <w:jc w:val="left"/>
                      <w:rPr>
                        <w:rFonts w:ascii="Arial" w:eastAsia="Arial"/>
                        <w:color w:val="343133"/>
                        <w:sz w:val="19"/>
                      </w:rPr>
                    </w:pPr>
                    <w:r>
                      <w:rPr>
                        <w:rFonts w:ascii="新細明體" w:eastAsia="新細明體" w:hint="eastAsia"/>
                        <w:color w:val="343133"/>
                        <w:w w:val="105"/>
                        <w:sz w:val="17"/>
                      </w:rPr>
                      <w:t>將通知單送達於個案之住居處</w:t>
                    </w:r>
                    <w:r>
                      <w:rPr>
                        <w:rFonts w:ascii="新細明體" w:eastAsia="新細明體" w:hint="eastAsia"/>
                        <w:color w:val="343133"/>
                        <w:spacing w:val="1"/>
                        <w:w w:val="105"/>
                        <w:sz w:val="17"/>
                      </w:rPr>
                      <w:t>所， 並留存送達證明或 證據</w:t>
                    </w:r>
                    <w:r>
                      <w:rPr>
                        <w:rFonts w:ascii="新細明體" w:eastAsia="新細明體" w:hint="eastAsia"/>
                        <w:color w:val="565456"/>
                        <w:spacing w:val="-13"/>
                        <w:w w:val="105"/>
                        <w:sz w:val="17"/>
                      </w:rPr>
                      <w:t>。</w:t>
                    </w:r>
                  </w:p>
                </w:txbxContent>
              </v:textbox>
              <w10:wrap type="none"/>
            </v:shape>
            <w10:wrap type="topAndBottom"/>
          </v:group>
        </w:pict>
      </w:r>
    </w:p>
    <w:p>
      <w:pPr>
        <w:pStyle w:val="BodyText"/>
        <w:rPr>
          <w:sz w:val="12"/>
        </w:rPr>
      </w:pPr>
    </w:p>
    <w:p>
      <w:pPr>
        <w:spacing w:after="0"/>
        <w:rPr>
          <w:sz w:val="12"/>
        </w:rPr>
        <w:sectPr>
          <w:pgSz w:w="11910" w:h="16840"/>
          <w:pgMar w:top="1060" w:bottom="0" w:left="980" w:right="0"/>
        </w:sectPr>
      </w:pPr>
    </w:p>
    <w:p>
      <w:pPr>
        <w:pStyle w:val="Heading2"/>
        <w:spacing w:before="27"/>
      </w:pPr>
      <w:r>
        <w:rPr/>
        <w:pict>
          <v:group style="position:absolute;margin-left:129.143005pt;margin-top:255.940994pt;width:5.1pt;height:13.55pt;mso-position-horizontal-relative:page;mso-position-vertical-relative:page;z-index:252106752" coordorigin="2583,5119" coordsize="102,271">
            <v:shape style="position:absolute;left:2582;top:5278;width:102;height:112" coordorigin="2583,5278" coordsize="102,112" path="m2684,5278l2583,5278,2634,5390,2684,5278xe" filled="true" fillcolor="#6e7c4e" stroked="false">
              <v:path arrowok="t"/>
              <v:fill type="solid"/>
            </v:shape>
            <v:line style="position:absolute" from="2634,5119" to="2634,5319" stroked="true" strokeweight="1pt" strokecolor="#6e7c4e">
              <v:stroke dashstyle="solid"/>
            </v:line>
            <w10:wrap type="none"/>
          </v:group>
        </w:pict>
      </w:r>
      <w:r>
        <w:rPr>
          <w:color w:val="231F20"/>
        </w:rPr>
        <w:t>肆、結核病航空器接觸者追蹤</w:t>
      </w:r>
    </w:p>
    <w:p>
      <w:pPr>
        <w:pStyle w:val="BodyText"/>
        <w:spacing w:line="404" w:lineRule="exact"/>
        <w:ind w:left="391"/>
      </w:pPr>
      <w:r>
        <w:rPr>
          <w:color w:val="231F20"/>
        </w:rPr>
        <w:t>—、作業流程</w:t>
      </w:r>
    </w:p>
    <w:p>
      <w:pPr>
        <w:pStyle w:val="BodyText"/>
        <w:spacing w:line="230" w:lineRule="auto" w:before="3"/>
        <w:ind w:left="878" w:right="1132"/>
      </w:pPr>
      <w:r>
        <w:rPr>
          <w:color w:val="231F20"/>
        </w:rPr>
        <w:t>航空公司機組人員若於航空器上發現結核病病人，應依—般呼吸迴傳染病方式進行處理，並通知航空器降落地衛生主管機關。其他相關作業流程如下圖 2：</w:t>
      </w:r>
    </w:p>
    <w:p>
      <w:pPr>
        <w:pStyle w:val="BodyText"/>
        <w:spacing w:line="404" w:lineRule="exact"/>
        <w:ind w:left="153"/>
      </w:pPr>
      <w:r>
        <w:rPr/>
        <w:pict>
          <v:group style="position:absolute;margin-left:81.563004pt;margin-top:26.856853pt;width:100.65pt;height:76.6pt;mso-position-horizontal-relative:page;mso-position-vertical-relative:paragraph;z-index:-251232256;mso-wrap-distance-left:0;mso-wrap-distance-right:0" coordorigin="1631,537" coordsize="2013,1532">
            <v:line style="position:absolute" from="2634,1744" to="2634,2069" stroked="true" strokeweight="1pt" strokecolor="#6e7c4e">
              <v:stroke dashstyle="solid"/>
            </v:line>
            <v:shape style="position:absolute;left:1641;top:547;width:1993;height:1197" coordorigin="1641,547" coordsize="1993,1197" path="m3634,1146l3630,1051,3617,960,3596,876,3568,799,3534,730,3494,670,3449,621,3399,583,3290,548,3290,547,1998,547,1940,555,1834,614,1787,663,1746,722,1710,792,1681,871,1659,956,1646,1049,1641,1146,1646,1243,1659,1335,1681,1421,1710,1499,1746,1569,1787,1629,1834,1677,1885,1714,1998,1744,3290,1744,3290,1744,3346,1733,3449,1671,3494,1621,3534,1562,3568,1493,3596,1415,3617,1331,3630,1241,3634,1146xe" filled="false" stroked="true" strokeweight="1pt" strokecolor="#6e7c4e">
              <v:path arrowok="t"/>
              <v:stroke dashstyle="solid"/>
            </v:shape>
            <v:shape style="position:absolute;left:1631;top:537;width:2013;height:1532" type="#_x0000_t202" filled="false" stroked="false">
              <v:textbox inset="0,0,0,0">
                <w:txbxContent>
                  <w:p>
                    <w:pPr>
                      <w:spacing w:line="240" w:lineRule="auto" w:before="2"/>
                      <w:rPr>
                        <w:sz w:val="23"/>
                      </w:rPr>
                    </w:pPr>
                  </w:p>
                  <w:p>
                    <w:pPr>
                      <w:spacing w:line="168" w:lineRule="auto" w:before="0"/>
                      <w:ind w:left="619" w:right="595" w:firstLine="0"/>
                      <w:jc w:val="left"/>
                      <w:rPr>
                        <w:sz w:val="19"/>
                      </w:rPr>
                    </w:pPr>
                    <w:r>
                      <w:rPr>
                        <w:color w:val="231F20"/>
                        <w:sz w:val="19"/>
                      </w:rPr>
                      <w:t>國外發現指標個案</w:t>
                    </w:r>
                  </w:p>
                </w:txbxContent>
              </v:textbox>
              <w10:wrap type="none"/>
            </v:shape>
            <w10:wrap type="topAndBottom"/>
          </v:group>
        </w:pict>
      </w:r>
      <w:r>
        <w:rPr/>
        <w:pict>
          <v:group style="position:absolute;margin-left:186.985001pt;margin-top:26.855854pt;width:165.3pt;height:134.85pt;mso-position-horizontal-relative:page;mso-position-vertical-relative:paragraph;z-index:-265947136" coordorigin="3740,537" coordsize="3306,2697">
            <v:shape style="position:absolute;left:3749;top:547;width:3286;height:1221" coordorigin="3750,547" coordsize="3286,1221" path="m6425,1767l4360,1767,4284,1763,4210,1749,4140,1726,4074,1696,4012,1658,3955,1613,3904,1562,3859,1505,3821,1443,3791,1377,3768,1307,3754,1234,3750,1157,3754,1081,3768,1008,3791,937,3821,871,3859,809,3904,753,3955,702,4012,657,4074,619,4140,588,4210,566,4284,552,4360,547,6425,547,6501,552,6575,566,6645,588,6711,619,6773,657,6829,702,6881,753,6925,809,6963,871,6994,937,7016,1008,7030,1081,7035,1157,7030,1234,7016,1307,6994,1377,6963,1443,6925,1505,6881,1562,6829,1613,6773,1658,6711,1696,6645,1726,6575,1749,6501,1763,6425,1767xe" filled="false" stroked="true" strokeweight="1pt" strokecolor="#6e7c4e">
              <v:path arrowok="t"/>
              <v:stroke dashstyle="solid"/>
            </v:shape>
            <v:shape style="position:absolute;left:5336;top:2545;width:102;height:112" coordorigin="5336,2546" coordsize="102,112" path="m5438,2546l5336,2546,5387,2657,5438,2546xe" filled="true" fillcolor="#6e7c4e" stroked="false">
              <v:path arrowok="t"/>
              <v:fill type="solid"/>
            </v:shape>
            <v:line style="position:absolute" from="5387,1778" to="5387,2586" stroked="true" strokeweight="1pt" strokecolor="#6e7c4e">
              <v:stroke dashstyle="solid"/>
            </v:line>
            <v:shape style="position:absolute;left:4062;top:794;width:2663;height:713" type="#_x0000_t202" filled="false" stroked="false">
              <v:textbox inset="0,0,0,0">
                <w:txbxContent>
                  <w:p>
                    <w:pPr>
                      <w:spacing w:line="168" w:lineRule="auto" w:before="43"/>
                      <w:ind w:left="-1" w:right="18" w:firstLine="0"/>
                      <w:jc w:val="center"/>
                      <w:rPr>
                        <w:sz w:val="19"/>
                      </w:rPr>
                    </w:pPr>
                    <w:r>
                      <w:rPr>
                        <w:color w:val="231F20"/>
                        <w:w w:val="90"/>
                        <w:sz w:val="19"/>
                      </w:rPr>
                      <w:t>公衛管理人員／醫師／醫院個管人</w:t>
                    </w:r>
                    <w:r>
                      <w:rPr>
                        <w:color w:val="231F20"/>
                        <w:spacing w:val="-2"/>
                        <w:w w:val="95"/>
                        <w:sz w:val="19"/>
                      </w:rPr>
                      <w:t>員詢問結核病個案病史時發現曾</w:t>
                    </w:r>
                    <w:r>
                      <w:rPr>
                        <w:color w:val="231F20"/>
                        <w:spacing w:val="-4"/>
                        <w:sz w:val="19"/>
                      </w:rPr>
                      <w:t>於 </w:t>
                    </w:r>
                    <w:r>
                      <w:rPr>
                        <w:color w:val="231F20"/>
                        <w:sz w:val="19"/>
                      </w:rPr>
                      <w:t>3</w:t>
                    </w:r>
                    <w:r>
                      <w:rPr>
                        <w:color w:val="231F20"/>
                        <w:spacing w:val="-3"/>
                        <w:sz w:val="19"/>
                      </w:rPr>
                      <w:t> 個月內搭乘大眾航空器</w:t>
                    </w:r>
                  </w:p>
                </w:txbxContent>
              </v:textbox>
              <w10:wrap type="none"/>
            </v:shape>
            <v:shape style="position:absolute;left:5493;top:2038;width:400;height:266" type="#_x0000_t202" filled="false" stroked="false">
              <v:textbox inset="0,0,0,0">
                <w:txbxContent>
                  <w:p>
                    <w:pPr>
                      <w:spacing w:line="266" w:lineRule="exact" w:before="0"/>
                      <w:ind w:left="0" w:right="0" w:firstLine="0"/>
                      <w:jc w:val="left"/>
                      <w:rPr>
                        <w:sz w:val="20"/>
                      </w:rPr>
                    </w:pPr>
                    <w:r>
                      <w:rPr>
                        <w:color w:val="231F20"/>
                        <w:sz w:val="20"/>
                      </w:rPr>
                      <w:t>通報</w:t>
                    </w:r>
                  </w:p>
                </w:txbxContent>
              </v:textbox>
              <w10:wrap type="none"/>
            </v:shape>
            <v:shape style="position:absolute;left:3991;top:2656;width:2794;height:568" type="#_x0000_t202" filled="false" stroked="true" strokeweight="1pt" strokecolor="#6e7c4e">
              <v:textbox inset="0,0,0,0">
                <w:txbxContent>
                  <w:p>
                    <w:pPr>
                      <w:spacing w:before="113"/>
                      <w:ind w:left="907" w:right="0" w:firstLine="0"/>
                      <w:jc w:val="left"/>
                      <w:rPr>
                        <w:sz w:val="19"/>
                      </w:rPr>
                    </w:pPr>
                    <w:r>
                      <w:rPr>
                        <w:color w:val="231F20"/>
                        <w:sz w:val="19"/>
                      </w:rPr>
                      <w:t>地方衛生局</w:t>
                    </w:r>
                  </w:p>
                </w:txbxContent>
              </v:textbox>
              <v:stroke dashstyle="solid"/>
              <w10:wrap type="none"/>
            </v:shape>
            <w10:wrap type="none"/>
          </v:group>
        </w:pict>
      </w:r>
      <w:r>
        <w:rPr/>
        <w:pict>
          <v:group style="position:absolute;margin-left:362.619995pt;margin-top:26.855854pt;width:153.4pt;height:134.85pt;mso-position-horizontal-relative:page;mso-position-vertical-relative:paragraph;z-index:-265943040" coordorigin="7252,537" coordsize="3068,2697">
            <v:shape style="position:absolute;left:7262;top:547;width:3048;height:1221" coordorigin="7262,547" coordsize="3048,1221" path="m9700,1767l7873,1767,7796,1763,7723,1749,7653,1726,7586,1696,7525,1658,7468,1613,7417,1562,7372,1505,7334,1443,7304,1377,7281,1307,7267,1234,7262,1157,7267,1081,7281,1008,7304,937,7334,871,7372,809,7417,753,7468,702,7525,657,7586,619,7653,588,7723,566,7796,552,7873,547,9700,547,9776,552,9850,566,9920,588,9986,619,10048,657,10105,702,10156,753,10201,809,10238,871,10269,937,10292,1008,10305,1081,10310,1157,10305,1234,10292,1307,10269,1377,10238,1443,10201,1505,10156,1562,10105,1613,10048,1658,9986,1696,9920,1726,9850,1749,9776,1763,9700,1767xe" filled="false" stroked="true" strokeweight="1pt" strokecolor="#6e7c4e">
              <v:path arrowok="t"/>
              <v:stroke dashstyle="solid"/>
            </v:shape>
            <v:shape style="position:absolute;left:8706;top:2545;width:102;height:112" coordorigin="8707,2546" coordsize="102,112" path="m8808,2546l8707,2546,8758,2657,8808,2546xe" filled="true" fillcolor="#6e7c4e" stroked="false">
              <v:path arrowok="t"/>
              <v:fill type="solid"/>
            </v:shape>
            <v:line style="position:absolute" from="8758,1778" to="8758,2586" stroked="true" strokeweight="1pt" strokecolor="#6e7c4e">
              <v:stroke dashstyle="solid"/>
            </v:line>
            <v:shape style="position:absolute;left:7587;top:776;width:2469;height:713" type="#_x0000_t202" filled="false" stroked="false">
              <v:textbox inset="0,0,0,0">
                <w:txbxContent>
                  <w:p>
                    <w:pPr>
                      <w:spacing w:line="168" w:lineRule="auto" w:before="43"/>
                      <w:ind w:left="0" w:right="18" w:firstLine="0"/>
                      <w:jc w:val="both"/>
                      <w:rPr>
                        <w:sz w:val="19"/>
                      </w:rPr>
                    </w:pPr>
                    <w:r>
                      <w:rPr>
                        <w:color w:val="231F20"/>
                        <w:spacing w:val="13"/>
                        <w:w w:val="95"/>
                        <w:sz w:val="19"/>
                      </w:rPr>
                      <w:t>航空公司發現曾有結核病個</w:t>
                    </w:r>
                    <w:r>
                      <w:rPr>
                        <w:color w:val="231F20"/>
                        <w:spacing w:val="21"/>
                        <w:sz w:val="19"/>
                      </w:rPr>
                      <w:t>案於 </w:t>
                    </w:r>
                    <w:r>
                      <w:rPr>
                        <w:color w:val="231F20"/>
                        <w:sz w:val="19"/>
                      </w:rPr>
                      <w:t>3 個月內搭乘大眾航空</w:t>
                    </w:r>
                    <w:r>
                      <w:rPr>
                        <w:color w:val="231F20"/>
                        <w:spacing w:val="-3"/>
                        <w:sz w:val="19"/>
                      </w:rPr>
                      <w:t>器；或於機上發現結核病個案</w:t>
                    </w:r>
                  </w:p>
                </w:txbxContent>
              </v:textbox>
              <w10:wrap type="none"/>
            </v:shape>
            <v:shape style="position:absolute;left:8905;top:2038;width:400;height:266" type="#_x0000_t202" filled="false" stroked="false">
              <v:textbox inset="0,0,0,0">
                <w:txbxContent>
                  <w:p>
                    <w:pPr>
                      <w:spacing w:line="266" w:lineRule="exact" w:before="0"/>
                      <w:ind w:left="0" w:right="0" w:firstLine="0"/>
                      <w:jc w:val="left"/>
                      <w:rPr>
                        <w:sz w:val="20"/>
                      </w:rPr>
                    </w:pPr>
                    <w:r>
                      <w:rPr>
                        <w:color w:val="231F20"/>
                        <w:sz w:val="20"/>
                      </w:rPr>
                      <w:t>通報</w:t>
                    </w:r>
                  </w:p>
                </w:txbxContent>
              </v:textbox>
              <w10:wrap type="none"/>
            </v:shape>
            <v:shape style="position:absolute;left:7838;top:2656;width:1896;height:568" type="#_x0000_t202" filled="false" stroked="true" strokeweight="1pt" strokecolor="#6e7c4e">
              <v:textbox inset="0,0,0,0">
                <w:txbxContent>
                  <w:p>
                    <w:pPr>
                      <w:spacing w:before="113"/>
                      <w:ind w:left="471" w:right="0" w:firstLine="0"/>
                      <w:jc w:val="left"/>
                      <w:rPr>
                        <w:sz w:val="19"/>
                      </w:rPr>
                    </w:pPr>
                    <w:r>
                      <w:rPr>
                        <w:color w:val="231F20"/>
                        <w:sz w:val="19"/>
                      </w:rPr>
                      <w:t>本署檢疫組</w:t>
                    </w:r>
                  </w:p>
                </w:txbxContent>
              </v:textbox>
              <v:stroke dashstyle="solid"/>
              <w10:wrap type="none"/>
            </v:shape>
            <w10:wrap type="none"/>
          </v:group>
        </w:pict>
      </w:r>
      <w:r>
        <w:rPr>
          <w:color w:val="231F20"/>
        </w:rPr>
        <w:t>圖 2、結核病航空器接觸者追蹤作業流程</w:t>
      </w:r>
    </w:p>
    <w:p>
      <w:pPr>
        <w:spacing w:line="243" w:lineRule="exact" w:before="0"/>
        <w:ind w:left="705" w:right="0" w:firstLine="0"/>
        <w:jc w:val="left"/>
        <w:rPr>
          <w:sz w:val="18"/>
        </w:rPr>
      </w:pPr>
      <w:r>
        <w:rPr>
          <w:color w:val="231F20"/>
          <w:w w:val="115"/>
          <w:sz w:val="18"/>
        </w:rPr>
        <w:t>National IHR Focal point</w:t>
      </w:r>
    </w:p>
    <w:p>
      <w:pPr>
        <w:pStyle w:val="BodyText"/>
        <w:spacing w:before="12"/>
        <w:rPr>
          <w:sz w:val="14"/>
        </w:rPr>
      </w:pPr>
      <w:r>
        <w:rPr/>
        <w:pict>
          <v:shape style="position:absolute;margin-left:84.278999pt;margin-top:15.275477pt;width:94.8pt;height:28.4pt;mso-position-horizontal-relative:page;mso-position-vertical-relative:paragraph;z-index:-251231232;mso-wrap-distance-left:0;mso-wrap-distance-right:0" type="#_x0000_t202" filled="false" stroked="true" strokeweight="1pt" strokecolor="#6e7c4e">
            <v:textbox inset="0,0,0,0">
              <w:txbxContent>
                <w:p>
                  <w:pPr>
                    <w:spacing w:before="113"/>
                    <w:ind w:left="468" w:right="0" w:firstLine="0"/>
                    <w:jc w:val="left"/>
                    <w:rPr>
                      <w:sz w:val="19"/>
                    </w:rPr>
                  </w:pPr>
                  <w:r>
                    <w:rPr>
                      <w:color w:val="231F20"/>
                      <w:sz w:val="19"/>
                    </w:rPr>
                    <w:t>本署慢性組</w:t>
                  </w:r>
                </w:p>
              </w:txbxContent>
            </v:textbox>
            <v:stroke dashstyle="solid"/>
            <w10:wrap type="topAndBottom"/>
          </v:shape>
        </w:pict>
      </w:r>
      <w:r>
        <w:rPr/>
        <w:pict>
          <v:group style="position:absolute;margin-left:339.253998pt;margin-top:25.945478pt;width:53.15pt;height:5.1pt;mso-position-horizontal-relative:page;mso-position-vertical-relative:paragraph;z-index:-251230208;mso-wrap-distance-left:0;mso-wrap-distance-right:0" coordorigin="6785,519" coordsize="1063,102">
            <v:shape style="position:absolute;left:6785;top:518;width:112;height:102" coordorigin="6785,519" coordsize="112,102" path="m6897,519l6785,570,6897,620,6897,519xe" filled="true" fillcolor="#6e7c4e" stroked="false">
              <v:path arrowok="t"/>
              <v:fill type="solid"/>
            </v:shape>
            <v:line style="position:absolute" from="7847,570" to="6856,570" stroked="true" strokeweight="1pt" strokecolor="#6e7c4e">
              <v:stroke dashstyle="solid"/>
            </v:lin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7"/>
        </w:rPr>
      </w:pPr>
    </w:p>
    <w:p>
      <w:pPr>
        <w:tabs>
          <w:tab w:pos="1519" w:val="left" w:leader="none"/>
        </w:tabs>
        <w:spacing w:line="324" w:lineRule="exact" w:before="75"/>
        <w:ind w:left="1266" w:right="0" w:firstLine="0"/>
        <w:jc w:val="center"/>
        <w:rPr>
          <w:sz w:val="19"/>
        </w:rPr>
      </w:pPr>
      <w:r>
        <w:rPr/>
        <w:pict>
          <v:group style="position:absolute;margin-left:557.684509pt;margin-top:-156.546082pt;width:37.35pt;height:474.55pt;mso-position-horizontal-relative:page;mso-position-vertical-relative:paragraph;z-index:252093440" coordorigin="11154,-3131" coordsize="747,9491">
            <v:shape style="position:absolute;left:11283;top:-2620;width:439;height:8980" type="#_x0000_t75" stroked="false">
              <v:imagedata r:id="rId441" o:title=""/>
            </v:shape>
            <v:shape style="position:absolute;left:11153;top:-3131;width:747;height:812" coordorigin="11154,-3131" coordsize="747,812" path="m11900,-3131l11536,-3131,11514,-3129,11454,-3095,11188,-2813,11154,-2725,11162,-2679,11454,-2356,11514,-2322,11536,-2320,11900,-2320,11900,-3131xe" filled="true" fillcolor="#7c8ac4" stroked="false">
              <v:path arrowok="t"/>
              <v:fill type="solid"/>
            </v:shape>
            <v:shape style="position:absolute;left:11321;top:-2864;width:377;height:278" type="#_x0000_t75" stroked="false">
              <v:imagedata r:id="rId442" o:title=""/>
            </v:shape>
            <v:shape style="position:absolute;left:11378;top:-2170;width:251;height:5720" type="#_x0000_t75" stroked="false">
              <v:imagedata r:id="rId443" o:title=""/>
            </v:shape>
            <v:shape style="position:absolute;left:11368;top:5797;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149</w:t>
                    </w:r>
                  </w:p>
                </w:txbxContent>
              </v:textbox>
              <w10:wrap type="none"/>
            </v:shape>
            <w10:wrap type="none"/>
          </v:group>
        </w:pict>
      </w:r>
      <w:r>
        <w:rPr/>
        <w:pict>
          <v:group style="position:absolute;margin-left:81.917999pt;margin-top:-225.918076pt;width:411.95pt;height:222.6pt;mso-position-horizontal-relative:page;mso-position-vertical-relative:paragraph;z-index:252104704" coordorigin="1638,-4518" coordsize="8239,4452">
            <v:shape style="position:absolute;left:1648;top:-2123;width:6331;height:673" coordorigin="1648,-2123" coordsize="6331,673" path="m7782,-2123l1845,-2123,1648,-1926,1648,-1647,1845,-1451,7782,-1451,7979,-1647,7979,-1926,7782,-2123xe" filled="true" fillcolor="#e4e9d6" stroked="false">
              <v:path arrowok="t"/>
              <v:fill type="solid"/>
            </v:shape>
            <v:shape style="position:absolute;left:1648;top:-2123;width:6331;height:673" coordorigin="1648,-2123" coordsize="6331,673" path="m1845,-1451l1648,-1647,1648,-1926,1845,-2123,7782,-2123,7979,-1926,7979,-1647,7782,-1451,1845,-1451xe" filled="false" stroked="true" strokeweight="1.0pt" strokecolor="#6e7c4e">
              <v:path arrowok="t"/>
              <v:stroke dashstyle="solid"/>
            </v:shape>
            <v:shape style="position:absolute;left:4497;top:-2235;width:102;height:112" coordorigin="4497,-2234" coordsize="102,112" path="m4599,-2234l4497,-2234,4548,-2123,4599,-2234xe" filled="true" fillcolor="#6e7c4e" stroked="false">
              <v:path arrowok="t"/>
              <v:fill type="solid"/>
            </v:shape>
            <v:shape style="position:absolute;left:1648;top:-4019;width:8219;height:1487" coordorigin="1648,-4019" coordsize="8219,1487" path="m9424,-4019l2091,-4019,1648,-3583,1648,-2968,2091,-2532,9424,-2532,9867,-2968,9867,-3583,9424,-4019xe" filled="true" fillcolor="#e4e9d6" stroked="false">
              <v:path arrowok="t"/>
              <v:fill type="solid"/>
            </v:shape>
            <v:shape style="position:absolute;left:1648;top:-4019;width:8219;height:1487" coordorigin="1648,-4019" coordsize="8219,1487" path="m2091,-2532l1648,-2968,1648,-3583,2091,-4019,9424,-4019,9867,-3583,9867,-2968,9424,-2532,2091,-2532xe" filled="false" stroked="true" strokeweight="1pt" strokecolor="#6e7c4e">
              <v:path arrowok="t"/>
              <v:stroke dashstyle="solid"/>
            </v:shape>
            <v:line style="position:absolute" from="2634,-4514" to="2634,-4019" stroked="true" strokeweight="1pt" strokecolor="#6e7c4e">
              <v:stroke dashstyle="solid"/>
            </v:line>
            <v:shape style="position:absolute;left:5336;top:-4131;width:102;height:112" coordorigin="5336,-4130" coordsize="102,112" path="m5438,-4130l5336,-4130,5387,-4019,5438,-4130xe" filled="true" fillcolor="#6e7c4e" stroked="false">
              <v:path arrowok="t"/>
              <v:fill type="solid"/>
            </v:shape>
            <v:line style="position:absolute" from="5387,-4518" to="5387,-4090" stroked="true" strokeweight="1pt" strokecolor="#6e7c4e">
              <v:stroke dashstyle="solid"/>
            </v:line>
            <v:line style="position:absolute" from="4548,-2532" to="4548,-2194" stroked="true" strokeweight="1pt" strokecolor="#6e7c4e">
              <v:stroke dashstyle="solid"/>
            </v:line>
            <v:shape style="position:absolute;left:1688;top:-1058;width:5870;height:613" coordorigin="1688,-1057" coordsize="5870,613" path="m7441,-1057l1818,-1057,1688,-924,1688,-565,1818,-445,7441,-445,7558,-565,7558,-927,7441,-1057xe" filled="true" fillcolor="#e4e9d6" stroked="false">
              <v:path arrowok="t"/>
              <v:fill type="solid"/>
            </v:shape>
            <v:shape style="position:absolute;left:1688;top:-1058;width:5870;height:613" coordorigin="1688,-1057" coordsize="5870,613" path="m1818,-445l1688,-565,1688,-924,1818,-1057,7441,-1057,7558,-927,7558,-565,7441,-445,1818,-445xe" filled="false" stroked="true" strokeweight="1pt" strokecolor="#6e7c4e">
              <v:path arrowok="t"/>
              <v:stroke dashstyle="solid"/>
            </v:shape>
            <v:shape style="position:absolute;left:4497;top:-1146;width:102;height:112" coordorigin="4497,-1146" coordsize="102,112" path="m4599,-1146l4497,-1146,4548,-1034,4599,-1146xe" filled="true" fillcolor="#6e7c4e" stroked="false">
              <v:path arrowok="t"/>
              <v:fill type="solid"/>
            </v:shape>
            <v:line style="position:absolute" from="4548,-1444" to="4548,-1106" stroked="true" strokeweight="1pt" strokecolor="#6e7c4e">
              <v:stroke dashstyle="solid"/>
            </v:line>
            <v:shape style="position:absolute;left:8192;top:-1184;width:1675;height:756" coordorigin="8193,-1183" coordsize="1675,756" path="m9867,-805l9859,-890,9838,-968,9804,-1037,9759,-1096,9705,-1141,9644,-1170,9578,-1183,9578,-1183,8493,-1183,8424,-1173,8361,-1145,8305,-1100,8259,-1042,8223,-972,8201,-892,8193,-805,8201,-719,8223,-639,8259,-569,8305,-511,8361,-466,8424,-438,8493,-428,9578,-428,9578,-428,9644,-441,9705,-470,9759,-515,9804,-573,9838,-643,9859,-721,9867,-805xe" filled="false" stroked="true" strokeweight="1.0pt" strokecolor="#6e7c4e">
              <v:path arrowok="t"/>
              <v:stroke dashstyle="solid"/>
            </v:shape>
            <v:shape style="position:absolute;left:8055;top:-802;width:112;height:102" coordorigin="8056,-802" coordsize="112,102" path="m8056,-802l8056,-701,8167,-751,8056,-802xe" filled="true" fillcolor="#6e7c4e" stroked="false">
              <v:path arrowok="t"/>
              <v:fill type="solid"/>
            </v:shape>
            <v:line style="position:absolute" from="7581,-751" to="8096,-751" stroked="true" strokeweight="1pt" strokecolor="#6e7c4e">
              <v:stroke dashstyle="solid"/>
            </v:line>
            <v:shape style="position:absolute;left:8243;top:-1272;width:111;height:119" coordorigin="8244,-1272" coordsize="111,119" path="m8322,-1272l8244,-1207,8354,-1154,8322,-1272xe" filled="true" fillcolor="#6e7c4e" stroked="false">
              <v:path arrowok="t"/>
              <v:fill type="solid"/>
            </v:shape>
            <v:line style="position:absolute" from="7963,-1625" to="8309,-1209" stroked="true" strokeweight="1pt" strokecolor="#6e7c4e">
              <v:stroke dashstyle="solid"/>
            </v:line>
            <v:shape style="position:absolute;left:9007;top:-1305;width:98;height:122" coordorigin="9007,-1304" coordsize="98,122" path="m9007,-1304l9024,-1183,9105,-1275,9007,-1304xe" filled="true" fillcolor="#6e7c4e" stroked="false">
              <v:path arrowok="t"/>
              <v:fill type="solid"/>
            </v:shape>
            <v:line style="position:absolute" from="9428,-2539" to="9045,-1251" stroked="true" strokeweight="1.0pt" strokecolor="#6e7c4e">
              <v:stroke dashstyle="solid"/>
            </v:line>
            <v:shape style="position:absolute;left:4497;top:-178;width:102;height:112" coordorigin="4497,-178" coordsize="102,112" path="m4599,-178l4497,-178,4548,-66,4599,-178xe" filled="true" fillcolor="#6e7c4e" stroked="false">
              <v:path arrowok="t"/>
              <v:fill type="solid"/>
            </v:shape>
            <v:line style="position:absolute" from="4548,-422" to="4548,-138" stroked="true" strokeweight="1pt" strokecolor="#6e7c4e">
              <v:stroke dashstyle="solid"/>
            </v:line>
            <v:shape style="position:absolute;left:5518;top:-4394;width:2285;height:252" type="#_x0000_t202" filled="false" stroked="false">
              <v:textbox inset="0,0,0,0">
                <w:txbxContent>
                  <w:p>
                    <w:pPr>
                      <w:spacing w:line="251" w:lineRule="exact" w:before="0"/>
                      <w:ind w:left="0" w:right="0" w:firstLine="0"/>
                      <w:jc w:val="left"/>
                      <w:rPr>
                        <w:sz w:val="19"/>
                      </w:rPr>
                    </w:pPr>
                    <w:r>
                      <w:rPr>
                        <w:color w:val="231F20"/>
                        <w:w w:val="95"/>
                        <w:sz w:val="19"/>
                      </w:rPr>
                      <w:t>收集個案資料進行風險評估</w:t>
                    </w:r>
                  </w:p>
                </w:txbxContent>
              </v:textbox>
              <w10:wrap type="none"/>
            </v:shape>
            <v:shape style="position:absolute;left:2014;top:-3642;width:7025;height:713" type="#_x0000_t202" filled="false" stroked="false">
              <v:textbox inset="0,0,0,0">
                <w:txbxContent>
                  <w:p>
                    <w:pPr>
                      <w:spacing w:line="256" w:lineRule="exact" w:before="0"/>
                      <w:ind w:left="0" w:right="0" w:firstLine="0"/>
                      <w:jc w:val="left"/>
                      <w:rPr>
                        <w:sz w:val="19"/>
                      </w:rPr>
                    </w:pPr>
                    <w:r>
                      <w:rPr>
                        <w:color w:val="231F20"/>
                        <w:sz w:val="19"/>
                      </w:rPr>
                      <w:t>搭乘大眾航空器時，為傳染性個案？</w:t>
                    </w:r>
                  </w:p>
                  <w:p>
                    <w:pPr>
                      <w:spacing w:line="168" w:lineRule="auto" w:before="18"/>
                      <w:ind w:left="0" w:right="18" w:firstLine="0"/>
                      <w:jc w:val="left"/>
                      <w:rPr>
                        <w:sz w:val="19"/>
                      </w:rPr>
                    </w:pPr>
                    <w:r>
                      <w:rPr>
                        <w:color w:val="231F20"/>
                        <w:sz w:val="19"/>
                      </w:rPr>
                      <w:t>A.痰抹片陽性且培養鑑定為 MTBC，且胸部 X 光開洞之肺結核(或喉結核)病病人； B.多重抗藥性結核病病人(無冊痰抹片及胸部 X 光結果，單純肺外 MDR 除外)</w:t>
                    </w:r>
                  </w:p>
                </w:txbxContent>
              </v:textbox>
              <w10:wrap type="none"/>
            </v:shape>
            <v:shape style="position:absolute;left:1901;top:-2381;width:5697;height:714" type="#_x0000_t202" filled="false" stroked="false">
              <v:textbox inset="0,0,0,0">
                <w:txbxContent>
                  <w:p>
                    <w:pPr>
                      <w:spacing w:line="300" w:lineRule="exact" w:before="0"/>
                      <w:ind w:left="169" w:right="0" w:firstLine="0"/>
                      <w:jc w:val="center"/>
                      <w:rPr>
                        <w:rFonts w:ascii="微軟正黑體" w:eastAsia="微軟正黑體" w:hint="eastAsia"/>
                        <w:b/>
                        <w:sz w:val="19"/>
                      </w:rPr>
                    </w:pPr>
                    <w:r>
                      <w:rPr>
                        <w:rFonts w:ascii="微軟正黑體" w:eastAsia="微軟正黑體" w:hint="eastAsia"/>
                        <w:b/>
                        <w:color w:val="231F20"/>
                        <w:w w:val="99"/>
                        <w:sz w:val="19"/>
                      </w:rPr>
                      <w:t>是</w:t>
                    </w:r>
                  </w:p>
                  <w:p>
                    <w:pPr>
                      <w:spacing w:line="276" w:lineRule="exact" w:before="137"/>
                      <w:ind w:left="0" w:right="0" w:firstLine="0"/>
                      <w:jc w:val="left"/>
                      <w:rPr>
                        <w:sz w:val="19"/>
                      </w:rPr>
                    </w:pPr>
                    <w:r>
                      <w:rPr>
                        <w:color w:val="231F20"/>
                        <w:spacing w:val="-2"/>
                        <w:w w:val="105"/>
                        <w:sz w:val="19"/>
                      </w:rPr>
                      <w:t>搭乘大眾航空器日期距個案被通報(或被發現)旅遊史於 </w:t>
                    </w:r>
                    <w:r>
                      <w:rPr>
                        <w:color w:val="231F20"/>
                        <w:w w:val="105"/>
                        <w:sz w:val="19"/>
                      </w:rPr>
                      <w:t>3</w:t>
                    </w:r>
                    <w:r>
                      <w:rPr>
                        <w:color w:val="231F20"/>
                        <w:spacing w:val="-7"/>
                        <w:w w:val="105"/>
                        <w:sz w:val="19"/>
                      </w:rPr>
                      <w:t> 個月內？</w:t>
                    </w:r>
                  </w:p>
                </w:txbxContent>
              </v:textbox>
              <w10:wrap type="none"/>
            </v:shape>
            <v:shape style="position:absolute;left:8860;top:-2186;width:209;height:252" type="#_x0000_t202" filled="false" stroked="false">
              <v:textbox inset="0,0,0,0">
                <w:txbxContent>
                  <w:p>
                    <w:pPr>
                      <w:spacing w:line="251" w:lineRule="exact" w:before="0"/>
                      <w:ind w:left="0" w:right="0" w:firstLine="0"/>
                      <w:jc w:val="left"/>
                      <w:rPr>
                        <w:rFonts w:ascii="微軟正黑體" w:eastAsia="微軟正黑體" w:hint="eastAsia"/>
                        <w:b/>
                        <w:sz w:val="19"/>
                      </w:rPr>
                    </w:pPr>
                    <w:r>
                      <w:rPr>
                        <w:rFonts w:ascii="微軟正黑體" w:eastAsia="微軟正黑體" w:hint="eastAsia"/>
                        <w:b/>
                        <w:color w:val="231F20"/>
                        <w:w w:val="99"/>
                        <w:sz w:val="19"/>
                      </w:rPr>
                      <w:t>否</w:t>
                    </w:r>
                  </w:p>
                </w:txbxContent>
              </v:textbox>
              <w10:wrap type="none"/>
            </v:shape>
            <v:shape style="position:absolute;left:4740;top:-1416;width:209;height:252" type="#_x0000_t202" filled="false" stroked="false">
              <v:textbox inset="0,0,0,0">
                <w:txbxContent>
                  <w:p>
                    <w:pPr>
                      <w:spacing w:line="251" w:lineRule="exact" w:before="0"/>
                      <w:ind w:left="0" w:right="0" w:firstLine="0"/>
                      <w:jc w:val="left"/>
                      <w:rPr>
                        <w:rFonts w:ascii="微軟正黑體" w:eastAsia="微軟正黑體" w:hint="eastAsia"/>
                        <w:b/>
                        <w:sz w:val="19"/>
                      </w:rPr>
                    </w:pPr>
                    <w:r>
                      <w:rPr>
                        <w:rFonts w:ascii="微軟正黑體" w:eastAsia="微軟正黑體" w:hint="eastAsia"/>
                        <w:b/>
                        <w:color w:val="231F20"/>
                        <w:w w:val="99"/>
                        <w:sz w:val="19"/>
                      </w:rPr>
                      <w:t>是</w:t>
                    </w:r>
                  </w:p>
                </w:txbxContent>
              </v:textbox>
              <w10:wrap type="none"/>
            </v:shape>
            <v:shape style="position:absolute;left:7866;top:-1476;width:209;height:252" type="#_x0000_t202" filled="false" stroked="false">
              <v:textbox inset="0,0,0,0">
                <w:txbxContent>
                  <w:p>
                    <w:pPr>
                      <w:spacing w:line="251" w:lineRule="exact" w:before="0"/>
                      <w:ind w:left="0" w:right="0" w:firstLine="0"/>
                      <w:jc w:val="left"/>
                      <w:rPr>
                        <w:rFonts w:ascii="微軟正黑體" w:eastAsia="微軟正黑體" w:hint="eastAsia"/>
                        <w:b/>
                        <w:sz w:val="19"/>
                      </w:rPr>
                    </w:pPr>
                    <w:r>
                      <w:rPr>
                        <w:rFonts w:ascii="微軟正黑體" w:eastAsia="微軟正黑體" w:hint="eastAsia"/>
                        <w:b/>
                        <w:color w:val="231F20"/>
                        <w:w w:val="99"/>
                        <w:sz w:val="19"/>
                      </w:rPr>
                      <w:t>否</w:t>
                    </w:r>
                  </w:p>
                </w:txbxContent>
              </v:textbox>
              <w10:wrap type="none"/>
            </v:shape>
            <v:shape style="position:absolute;left:1901;top:-868;width:4612;height:252" type="#_x0000_t202" filled="false" stroked="false">
              <v:textbox inset="0,0,0,0">
                <w:txbxContent>
                  <w:p>
                    <w:pPr>
                      <w:spacing w:line="251" w:lineRule="exact" w:before="0"/>
                      <w:ind w:left="0" w:right="0" w:firstLine="0"/>
                      <w:jc w:val="left"/>
                      <w:rPr>
                        <w:sz w:val="19"/>
                      </w:rPr>
                    </w:pPr>
                    <w:r>
                      <w:rPr>
                        <w:color w:val="231F20"/>
                        <w:sz w:val="19"/>
                      </w:rPr>
                      <w:t>搭乘大眾航空器之飛行時程，其中—段曾超過 8 小時？</w:t>
                    </w:r>
                  </w:p>
                </w:txbxContent>
              </v:textbox>
              <w10:wrap type="none"/>
            </v:shape>
            <v:shape style="position:absolute;left:7723;top:-1076;width:209;height:252" type="#_x0000_t202" filled="false" stroked="false">
              <v:textbox inset="0,0,0,0">
                <w:txbxContent>
                  <w:p>
                    <w:pPr>
                      <w:spacing w:line="251" w:lineRule="exact" w:before="0"/>
                      <w:ind w:left="0" w:right="0" w:firstLine="0"/>
                      <w:jc w:val="left"/>
                      <w:rPr>
                        <w:rFonts w:ascii="微軟正黑體" w:eastAsia="微軟正黑體" w:hint="eastAsia"/>
                        <w:b/>
                        <w:sz w:val="19"/>
                      </w:rPr>
                    </w:pPr>
                    <w:r>
                      <w:rPr>
                        <w:rFonts w:ascii="微軟正黑體" w:eastAsia="微軟正黑體" w:hint="eastAsia"/>
                        <w:b/>
                        <w:color w:val="231F20"/>
                        <w:w w:val="99"/>
                        <w:sz w:val="19"/>
                      </w:rPr>
                      <w:t>否</w:t>
                    </w:r>
                  </w:p>
                </w:txbxContent>
              </v:textbox>
              <w10:wrap type="none"/>
            </v:shape>
            <v:shape style="position:absolute;left:8410;top:-940;width:1151;height:252" type="#_x0000_t202" filled="false" stroked="false">
              <v:textbox inset="0,0,0,0">
                <w:txbxContent>
                  <w:p>
                    <w:pPr>
                      <w:spacing w:line="251" w:lineRule="exact" w:before="0"/>
                      <w:ind w:left="0" w:right="0" w:firstLine="0"/>
                      <w:jc w:val="left"/>
                      <w:rPr>
                        <w:sz w:val="19"/>
                      </w:rPr>
                    </w:pPr>
                    <w:r>
                      <w:rPr>
                        <w:color w:val="231F20"/>
                        <w:spacing w:val="-10"/>
                        <w:sz w:val="19"/>
                      </w:rPr>
                      <w:t>無須作進 —步</w:t>
                    </w:r>
                  </w:p>
                </w:txbxContent>
              </v:textbox>
              <w10:wrap type="none"/>
            </v:shape>
            <v:shape style="position:absolute;left:4740;top:-404;width:209;height:252" type="#_x0000_t202" filled="false" stroked="false">
              <v:textbox inset="0,0,0,0">
                <w:txbxContent>
                  <w:p>
                    <w:pPr>
                      <w:spacing w:line="251" w:lineRule="exact" w:before="0"/>
                      <w:ind w:left="0" w:right="0" w:firstLine="0"/>
                      <w:jc w:val="left"/>
                      <w:rPr>
                        <w:rFonts w:ascii="微軟正黑體" w:eastAsia="微軟正黑體" w:hint="eastAsia"/>
                        <w:b/>
                        <w:sz w:val="19"/>
                      </w:rPr>
                    </w:pPr>
                    <w:r>
                      <w:rPr>
                        <w:rFonts w:ascii="微軟正黑體" w:eastAsia="微軟正黑體" w:hint="eastAsia"/>
                        <w:b/>
                        <w:color w:val="231F20"/>
                        <w:w w:val="99"/>
                        <w:sz w:val="19"/>
                      </w:rPr>
                      <w:t>是</w:t>
                    </w:r>
                  </w:p>
                </w:txbxContent>
              </v:textbox>
              <w10:wrap type="none"/>
            </v:shape>
            <w10:wrap type="none"/>
          </v:group>
        </w:pict>
      </w:r>
      <w:r>
        <w:rPr/>
        <w:pict>
          <v:shape style="position:absolute;margin-left:383.546997pt;margin-top:15.570917pt;width:5.6pt;height:5.1pt;mso-position-horizontal-relative:page;mso-position-vertical-relative:paragraph;z-index:252116992" coordorigin="7671,311" coordsize="112,102" path="m7671,311l7671,413,7782,362,7671,311xe" filled="true" fillcolor="#6e7c4e" stroked="false">
            <v:path arrowok="t"/>
            <v:fill type="solid"/>
            <w10:wrap type="none"/>
          </v:shape>
        </w:pict>
      </w:r>
      <w:r>
        <w:rPr/>
        <w:pict>
          <v:shape style="position:absolute;margin-left:322.131989pt;margin-top:15.570917pt;width:5.6pt;height:5.1pt;mso-position-horizontal-relative:page;mso-position-vertical-relative:paragraph;z-index:252118016" coordorigin="6443,311" coordsize="112,102" path="m6554,311l6443,362,6554,413,6554,311xe" filled="true" fillcolor="#6e7c4e" stroked="false">
            <v:path arrowok="t"/>
            <v:fill type="solid"/>
            <w10:wrap type="none"/>
          </v:shape>
        </w:pict>
      </w:r>
      <w:r>
        <w:rPr/>
        <w:pict>
          <v:shape style="position:absolute;margin-left:389.121002pt;margin-top:-.514083pt;width:134.4pt;height:37.25pt;mso-position-horizontal-relative:page;mso-position-vertical-relative:paragraph;z-index:252119040" type="#_x0000_t202" filled="false" stroked="true" strokeweight="1pt" strokecolor="#6e7c4e">
            <v:textbox inset="0,0,0,0">
              <w:txbxContent>
                <w:p>
                  <w:pPr>
                    <w:spacing w:before="205"/>
                    <w:ind w:left="186" w:right="0" w:firstLine="0"/>
                    <w:jc w:val="left"/>
                    <w:rPr>
                      <w:sz w:val="19"/>
                    </w:rPr>
                  </w:pPr>
                  <w:r>
                    <w:rPr>
                      <w:color w:val="231F20"/>
                      <w:sz w:val="19"/>
                    </w:rPr>
                    <w:t>航空公司、內政部移民署註</w:t>
                  </w:r>
                  <w:r>
                    <w:rPr>
                      <w:color w:val="231F20"/>
                      <w:sz w:val="19"/>
                      <w:vertAlign w:val="superscript"/>
                    </w:rPr>
                    <w:t>2</w:t>
                  </w:r>
                </w:p>
              </w:txbxContent>
            </v:textbox>
            <v:stroke dashstyle="solid"/>
            <w10:wrap type="none"/>
          </v:shape>
        </w:pict>
      </w:r>
      <w:r>
        <w:rPr/>
        <w:pict>
          <v:shape style="position:absolute;margin-left:134.397003pt;margin-top:-1.014083pt;width:188.8pt;height:84.5pt;mso-position-horizontal-relative:page;mso-position-vertical-relative:paragraph;z-index:252120064" type="#_x0000_t202" filled="false" stroked="false">
            <v:textbox inset="0,0,0,0">
              <w:txbxContent>
                <w:tbl>
                  <w:tblPr>
                    <w:tblW w:w="0" w:type="auto"/>
                    <w:jc w:val="left"/>
                    <w:tblInd w:w="10" w:type="dxa"/>
                    <w:tblBorders>
                      <w:top w:val="single" w:sz="8" w:space="0" w:color="6E7C4E"/>
                      <w:left w:val="single" w:sz="8" w:space="0" w:color="6E7C4E"/>
                      <w:bottom w:val="single" w:sz="8" w:space="0" w:color="6E7C4E"/>
                      <w:right w:val="single" w:sz="8" w:space="0" w:color="6E7C4E"/>
                      <w:insideH w:val="single" w:sz="8" w:space="0" w:color="6E7C4E"/>
                      <w:insideV w:val="single" w:sz="8" w:space="0" w:color="6E7C4E"/>
                    </w:tblBorders>
                    <w:tblLayout w:type="fixed"/>
                    <w:tblCellMar>
                      <w:top w:w="0" w:type="dxa"/>
                      <w:left w:w="0" w:type="dxa"/>
                      <w:bottom w:w="0" w:type="dxa"/>
                      <w:right w:w="0" w:type="dxa"/>
                    </w:tblCellMar>
                    <w:tblLook w:val="01E0"/>
                  </w:tblPr>
                  <w:tblGrid>
                    <w:gridCol w:w="814"/>
                    <w:gridCol w:w="2205"/>
                    <w:gridCol w:w="728"/>
                  </w:tblGrid>
                  <w:tr>
                    <w:trPr>
                      <w:trHeight w:val="724" w:hRule="atLeast"/>
                    </w:trPr>
                    <w:tc>
                      <w:tcPr>
                        <w:tcW w:w="3747" w:type="dxa"/>
                        <w:gridSpan w:val="3"/>
                      </w:tcPr>
                      <w:p>
                        <w:pPr>
                          <w:pStyle w:val="TableParagraph"/>
                          <w:spacing w:before="205"/>
                          <w:ind w:left="433"/>
                          <w:rPr>
                            <w:sz w:val="19"/>
                          </w:rPr>
                        </w:pPr>
                        <w:r>
                          <w:rPr>
                            <w:color w:val="231F20"/>
                            <w:sz w:val="19"/>
                          </w:rPr>
                          <w:t>本署檢疫組或本署各區管制中心註</w:t>
                        </w:r>
                        <w:r>
                          <w:rPr>
                            <w:color w:val="231F20"/>
                            <w:sz w:val="19"/>
                            <w:vertAlign w:val="superscript"/>
                          </w:rPr>
                          <w:t>1</w:t>
                        </w:r>
                      </w:p>
                    </w:tc>
                  </w:tr>
                  <w:tr>
                    <w:trPr>
                      <w:trHeight w:val="368" w:hRule="atLeast"/>
                    </w:trPr>
                    <w:tc>
                      <w:tcPr>
                        <w:tcW w:w="814" w:type="dxa"/>
                        <w:tcBorders>
                          <w:left w:val="nil"/>
                          <w:bottom w:val="nil"/>
                        </w:tcBorders>
                      </w:tcPr>
                      <w:p>
                        <w:pPr>
                          <w:pStyle w:val="TableParagraph"/>
                          <w:rPr>
                            <w:rFonts w:ascii="Times New Roman"/>
                            <w:sz w:val="18"/>
                          </w:rPr>
                        </w:pPr>
                      </w:p>
                    </w:tc>
                    <w:tc>
                      <w:tcPr>
                        <w:tcW w:w="2205" w:type="dxa"/>
                        <w:tcBorders>
                          <w:bottom w:val="nil"/>
                        </w:tcBorders>
                      </w:tcPr>
                      <w:p>
                        <w:pPr>
                          <w:pStyle w:val="TableParagraph"/>
                          <w:rPr>
                            <w:rFonts w:ascii="Times New Roman"/>
                            <w:sz w:val="18"/>
                          </w:rPr>
                        </w:pPr>
                      </w:p>
                    </w:tc>
                    <w:tc>
                      <w:tcPr>
                        <w:tcW w:w="728" w:type="dxa"/>
                        <w:vMerge w:val="restart"/>
                        <w:tcBorders>
                          <w:bottom w:val="nil"/>
                          <w:right w:val="nil"/>
                        </w:tcBorders>
                      </w:tcPr>
                      <w:p>
                        <w:pPr>
                          <w:pStyle w:val="TableParagraph"/>
                          <w:rPr>
                            <w:rFonts w:ascii="Times New Roman"/>
                            <w:sz w:val="18"/>
                          </w:rPr>
                        </w:pPr>
                      </w:p>
                    </w:tc>
                  </w:tr>
                  <w:tr>
                    <w:trPr>
                      <w:trHeight w:val="546" w:hRule="atLeast"/>
                    </w:trPr>
                    <w:tc>
                      <w:tcPr>
                        <w:tcW w:w="3019" w:type="dxa"/>
                        <w:gridSpan w:val="2"/>
                        <w:tcBorders>
                          <w:top w:val="nil"/>
                          <w:left w:val="nil"/>
                          <w:bottom w:val="nil"/>
                        </w:tcBorders>
                      </w:tcPr>
                      <w:p>
                        <w:pPr>
                          <w:pStyle w:val="TableParagraph"/>
                          <w:spacing w:line="293" w:lineRule="exact"/>
                          <w:ind w:left="11"/>
                          <w:rPr>
                            <w:sz w:val="18"/>
                          </w:rPr>
                        </w:pPr>
                        <w:r>
                          <w:rPr>
                            <w:color w:val="231F20"/>
                            <w:w w:val="110"/>
                            <w:sz w:val="18"/>
                          </w:rPr>
                          <w:t>ational IHR Focal point</w:t>
                        </w:r>
                      </w:p>
                    </w:tc>
                    <w:tc>
                      <w:tcPr>
                        <w:tcW w:w="728" w:type="dxa"/>
                        <w:vMerge/>
                        <w:tcBorders>
                          <w:top w:val="nil"/>
                          <w:bottom w:val="nil"/>
                          <w:right w:val="nil"/>
                        </w:tcBorders>
                      </w:tcPr>
                      <w:p>
                        <w:pPr>
                          <w:rPr>
                            <w:sz w:val="2"/>
                            <w:szCs w:val="2"/>
                          </w:rPr>
                        </w:pPr>
                      </w:p>
                    </w:tc>
                  </w:tr>
                </w:tbl>
                <w:p>
                  <w:pPr>
                    <w:pStyle w:val="BodyText"/>
                  </w:pPr>
                </w:p>
              </w:txbxContent>
            </v:textbox>
            <w10:wrap type="none"/>
          </v:shape>
        </w:pict>
      </w:r>
      <w:r>
        <w:rPr>
          <w:rFonts w:ascii="Times New Roman" w:eastAsia="Times New Roman"/>
          <w:color w:val="231F20"/>
          <w:w w:val="99"/>
          <w:sz w:val="19"/>
          <w:u w:val="single" w:color="6E7C4E"/>
        </w:rPr>
        <w:t> </w:t>
      </w:r>
      <w:r>
        <w:rPr>
          <w:rFonts w:ascii="Times New Roman" w:eastAsia="Times New Roman"/>
          <w:color w:val="231F20"/>
          <w:sz w:val="19"/>
          <w:u w:val="single" w:color="6E7C4E"/>
        </w:rPr>
        <w:tab/>
      </w:r>
      <w:r>
        <w:rPr>
          <w:color w:val="231F20"/>
          <w:sz w:val="19"/>
          <w:u w:val="single" w:color="6E7C4E"/>
        </w:rPr>
        <w:t>索取／提供</w:t>
      </w:r>
    </w:p>
    <w:p>
      <w:pPr>
        <w:spacing w:line="324" w:lineRule="exact" w:before="0"/>
        <w:ind w:left="3147" w:right="1638" w:firstLine="0"/>
        <w:jc w:val="center"/>
        <w:rPr>
          <w:sz w:val="19"/>
        </w:rPr>
      </w:pPr>
      <w:r>
        <w:rPr>
          <w:color w:val="231F20"/>
          <w:sz w:val="19"/>
        </w:rPr>
        <w:t>資料</w:t>
      </w:r>
    </w:p>
    <w:p>
      <w:pPr>
        <w:pStyle w:val="BodyText"/>
        <w:spacing w:before="4"/>
        <w:rPr>
          <w:sz w:val="21"/>
        </w:rPr>
      </w:pPr>
    </w:p>
    <w:p>
      <w:pPr>
        <w:spacing w:before="0"/>
        <w:ind w:left="1577" w:right="0" w:firstLine="0"/>
        <w:jc w:val="left"/>
        <w:rPr>
          <w:sz w:val="18"/>
        </w:rPr>
      </w:pPr>
      <w:r>
        <w:rPr/>
        <w:pict>
          <v:line style="position:absolute;mso-position-horizontal-relative:page;mso-position-vertical-relative:paragraph;z-index:-265952256" from="175.574997pt,14.693562pt" to="175.574997pt,28.355562pt" stroked="true" strokeweight="1pt" strokecolor="#6e7c4e">
            <v:stroke dashstyle="solid"/>
            <w10:wrap type="none"/>
          </v:line>
        </w:pict>
      </w:r>
      <w:r>
        <w:rPr/>
        <w:pict>
          <v:shape style="position:absolute;margin-left:283.279999pt;margin-top:26.342562pt;width:5.1pt;height:5.6pt;mso-position-horizontal-relative:page;mso-position-vertical-relative:paragraph;z-index:252115968" coordorigin="5666,527" coordsize="102,112" path="m5767,527l5666,527,5716,638,5767,527xe" filled="true" fillcolor="#6e7c4e" stroked="false">
            <v:path arrowok="t"/>
            <v:fill type="solid"/>
            <w10:wrap type="none"/>
          </v:shape>
        </w:pict>
      </w:r>
      <w:r>
        <w:rPr>
          <w:color w:val="231F20"/>
          <w:spacing w:val="-10"/>
          <w:w w:val="116"/>
          <w:sz w:val="18"/>
        </w:rPr>
        <w:t>N</w:t>
      </w:r>
    </w:p>
    <w:p>
      <w:pPr>
        <w:pStyle w:val="BodyText"/>
        <w:spacing w:before="1"/>
        <w:rPr>
          <w:sz w:val="10"/>
        </w:rPr>
      </w:pPr>
      <w:r>
        <w:rPr/>
        <w:pict>
          <v:group style="position:absolute;margin-left:127.386002pt;margin-top:10.711921pt;width:98.75pt;height:39.8pt;mso-position-horizontal-relative:page;mso-position-vertical-relative:paragraph;z-index:-251228160;mso-wrap-distance-left:0;mso-wrap-distance-right:0" coordorigin="2548,214" coordsize="1975,796">
            <v:shape style="position:absolute;left:3460;top:214;width:102;height:112" coordorigin="3461,214" coordsize="102,112" path="m3562,214l3461,214,3512,326,3562,214xe" filled="true" fillcolor="#6e7c4e" stroked="false">
              <v:path arrowok="t"/>
              <v:fill type="solid"/>
            </v:shape>
            <v:shape style="position:absolute;left:2557;top:384;width:1955;height:616" coordorigin="2558,384" coordsize="1955,616" path="m4204,1000l2865,1000,2795,992,2730,968,2673,932,2626,884,2589,827,2566,762,2558,692,2566,622,2589,557,2626,500,2673,452,2730,416,2795,393,2865,384,4204,384,4274,393,4339,416,4396,452,4444,500,4480,557,4504,622,4512,692,4504,762,4480,827,4444,884,4396,932,4339,968,4274,992,4204,1000xe" filled="false" stroked="true" strokeweight="1pt" strokecolor="#6e7c4e">
              <v:path arrowok="t"/>
              <v:stroke dashstyle="solid"/>
            </v:shape>
            <v:shape style="position:absolute;left:2547;top:214;width:1975;height:796" type="#_x0000_t202" filled="false" stroked="false">
              <v:textbox inset="0,0,0,0">
                <w:txbxContent>
                  <w:p>
                    <w:pPr>
                      <w:spacing w:line="240" w:lineRule="auto" w:before="11"/>
                      <w:rPr>
                        <w:sz w:val="17"/>
                      </w:rPr>
                    </w:pPr>
                  </w:p>
                  <w:p>
                    <w:pPr>
                      <w:spacing w:before="0"/>
                      <w:ind w:left="411" w:right="0" w:firstLine="0"/>
                      <w:jc w:val="left"/>
                      <w:rPr>
                        <w:sz w:val="19"/>
                      </w:rPr>
                    </w:pPr>
                    <w:r>
                      <w:rPr>
                        <w:color w:val="231F20"/>
                        <w:sz w:val="19"/>
                      </w:rPr>
                      <w:t>國外衛生單位</w:t>
                    </w:r>
                  </w:p>
                </w:txbxContent>
              </v:textbox>
              <w10:wrap type="none"/>
            </v:shape>
            <w10:wrap type="topAndBottom"/>
          </v:group>
        </w:pict>
      </w:r>
      <w:r>
        <w:rPr/>
        <w:pict>
          <v:group style="position:absolute;margin-left:240.188995pt;margin-top:13.55692pt;width:249.85pt;height:36.950pt;mso-position-horizontal-relative:page;mso-position-vertical-relative:paragraph;z-index:-251225088;mso-wrap-distance-left:0;mso-wrap-distance-right:0" coordorigin="4804,271" coordsize="4997,739">
            <v:shape style="position:absolute;left:7926;top:281;width:1865;height:719" coordorigin="7926,281" coordsize="1865,719" path="m9790,640l9782,560,9758,486,9720,420,9670,364,9610,322,9543,293,9468,281,9468,281,8260,281,8193,288,8130,309,8073,343,8024,386,7983,440,7952,501,7933,568,7926,640,7933,713,7952,780,7983,841,8024,895,8073,938,8130,972,8193,993,8260,1000,9468,1000,9468,1000,9543,988,9610,959,9670,917,9720,861,9758,795,9782,721,9790,640xe" filled="false" stroked="true" strokeweight="1pt" strokecolor="#6e7c4e">
              <v:path arrowok="t"/>
              <v:stroke dashstyle="solid"/>
            </v:shape>
            <v:shape style="position:absolute;left:7814;top:628;width:112;height:102" coordorigin="7815,628" coordsize="112,102" path="m7815,628l7815,729,7926,679,7815,628xe" filled="true" fillcolor="#6e7c4e" stroked="false">
              <v:path arrowok="t"/>
              <v:fill type="solid"/>
            </v:shape>
            <v:line style="position:absolute" from="7075,679" to="7855,679" stroked="true" strokeweight="1pt" strokecolor="#6e7c4e">
              <v:stroke dashstyle="solid"/>
            </v:line>
            <v:shape style="position:absolute;left:7074;top:271;width:2726;height:739" type="#_x0000_t202" filled="false" stroked="false">
              <v:textbox inset="0,0,0,0">
                <w:txbxContent>
                  <w:p>
                    <w:pPr>
                      <w:spacing w:before="194"/>
                      <w:ind w:left="1092" w:right="0" w:firstLine="0"/>
                      <w:jc w:val="left"/>
                      <w:rPr>
                        <w:sz w:val="19"/>
                      </w:rPr>
                    </w:pPr>
                    <w:r>
                      <w:rPr>
                        <w:color w:val="231F20"/>
                        <w:sz w:val="19"/>
                      </w:rPr>
                      <w:t>進行接觸者檢査</w:t>
                    </w:r>
                  </w:p>
                </w:txbxContent>
              </v:textbox>
              <w10:wrap type="none"/>
            </v:shape>
            <v:shape style="position:absolute;left:4813;top:337;width:2262;height:663" type="#_x0000_t202" filled="false" stroked="true" strokeweight="1pt" strokecolor="#6e7c4e">
              <v:textbox inset="0,0,0,0">
                <w:txbxContent>
                  <w:p>
                    <w:pPr>
                      <w:spacing w:before="173"/>
                      <w:ind w:left="669" w:right="0" w:firstLine="0"/>
                      <w:jc w:val="left"/>
                      <w:rPr>
                        <w:sz w:val="19"/>
                      </w:rPr>
                    </w:pPr>
                    <w:r>
                      <w:rPr>
                        <w:color w:val="231F20"/>
                        <w:sz w:val="19"/>
                      </w:rPr>
                      <w:t>地方衛生局</w:t>
                    </w:r>
                  </w:p>
                </w:txbxContent>
              </v:textbox>
              <v:stroke dashstyle="solid"/>
              <w10:wrap type="none"/>
            </v:shape>
            <w10:wrap type="topAndBottom"/>
          </v:group>
        </w:pict>
      </w:r>
    </w:p>
    <w:p>
      <w:pPr>
        <w:pStyle w:val="BodyText"/>
        <w:spacing w:before="10"/>
        <w:rPr>
          <w:sz w:val="6"/>
        </w:rPr>
      </w:pPr>
    </w:p>
    <w:p>
      <w:pPr>
        <w:spacing w:before="75"/>
        <w:ind w:left="153" w:right="0" w:firstLine="0"/>
        <w:jc w:val="left"/>
        <w:rPr>
          <w:sz w:val="20"/>
        </w:rPr>
      </w:pPr>
      <w:r>
        <w:rPr>
          <w:color w:val="231F20"/>
          <w:sz w:val="20"/>
        </w:rPr>
        <w:t>備註：</w:t>
      </w:r>
    </w:p>
    <w:p>
      <w:pPr>
        <w:pStyle w:val="ListParagraph"/>
        <w:numPr>
          <w:ilvl w:val="0"/>
          <w:numId w:val="279"/>
        </w:numPr>
        <w:tabs>
          <w:tab w:pos="382" w:val="left" w:leader="none"/>
        </w:tabs>
        <w:spacing w:line="276" w:lineRule="auto" w:before="52" w:after="0"/>
        <w:ind w:left="380" w:right="1137" w:hanging="227"/>
        <w:jc w:val="both"/>
        <w:rPr>
          <w:sz w:val="20"/>
        </w:rPr>
      </w:pPr>
      <w:r>
        <w:rPr>
          <w:color w:val="231F20"/>
          <w:spacing w:val="-6"/>
          <w:sz w:val="20"/>
        </w:rPr>
        <w:t>公衛管理人員 </w:t>
      </w:r>
      <w:r>
        <w:rPr>
          <w:color w:val="231F20"/>
          <w:spacing w:val="-13"/>
          <w:w w:val="80"/>
          <w:sz w:val="20"/>
        </w:rPr>
        <w:t>／ </w:t>
      </w:r>
      <w:r>
        <w:rPr>
          <w:color w:val="231F20"/>
          <w:spacing w:val="-13"/>
          <w:sz w:val="20"/>
        </w:rPr>
        <w:t>醫師 </w:t>
      </w:r>
      <w:r>
        <w:rPr>
          <w:color w:val="231F20"/>
          <w:spacing w:val="-13"/>
          <w:w w:val="80"/>
          <w:sz w:val="20"/>
        </w:rPr>
        <w:t>／ </w:t>
      </w:r>
      <w:r>
        <w:rPr>
          <w:color w:val="231F20"/>
          <w:sz w:val="20"/>
        </w:rPr>
        <w:t>醫院個管人員向地方衛生局通報結核病個案之案件，由轄內所屬區管中心逕向航空公</w:t>
      </w:r>
      <w:r>
        <w:rPr>
          <w:color w:val="231F20"/>
          <w:spacing w:val="-10"/>
          <w:sz w:val="20"/>
        </w:rPr>
        <w:t>司 </w:t>
      </w:r>
      <w:r>
        <w:rPr>
          <w:color w:val="231F20"/>
          <w:spacing w:val="-3"/>
          <w:w w:val="80"/>
          <w:sz w:val="20"/>
        </w:rPr>
        <w:t>／ </w:t>
      </w:r>
      <w:r>
        <w:rPr>
          <w:color w:val="231F20"/>
          <w:sz w:val="20"/>
        </w:rPr>
        <w:t>移民署提出航艙資料調閱需求；IHR</w:t>
      </w:r>
      <w:r>
        <w:rPr>
          <w:color w:val="231F20"/>
          <w:spacing w:val="-18"/>
          <w:sz w:val="20"/>
        </w:rPr>
        <w:t> </w:t>
      </w:r>
      <w:r>
        <w:rPr>
          <w:color w:val="231F20"/>
          <w:sz w:val="20"/>
        </w:rPr>
        <w:t>NFP</w:t>
      </w:r>
      <w:r>
        <w:rPr>
          <w:color w:val="231F20"/>
          <w:spacing w:val="-5"/>
          <w:sz w:val="20"/>
        </w:rPr>
        <w:t> 通報結核病個案之案件則由本署檢疫組負責航艙資料調閱。</w:t>
      </w:r>
    </w:p>
    <w:p>
      <w:pPr>
        <w:pStyle w:val="ListParagraph"/>
        <w:numPr>
          <w:ilvl w:val="0"/>
          <w:numId w:val="279"/>
        </w:numPr>
        <w:tabs>
          <w:tab w:pos="381" w:val="left" w:leader="none"/>
        </w:tabs>
        <w:spacing w:line="276" w:lineRule="auto" w:before="0" w:after="0"/>
        <w:ind w:left="380" w:right="1136" w:hanging="227"/>
        <w:jc w:val="both"/>
        <w:rPr>
          <w:sz w:val="20"/>
        </w:rPr>
      </w:pPr>
      <w:r>
        <w:rPr>
          <w:color w:val="231F20"/>
          <w:spacing w:val="-1"/>
          <w:sz w:val="20"/>
        </w:rPr>
        <w:t>調閱單位向航空公司取得指標個案同—通氣路徑前後各 </w:t>
      </w:r>
      <w:r>
        <w:rPr>
          <w:color w:val="231F20"/>
          <w:sz w:val="20"/>
        </w:rPr>
        <w:t>2</w:t>
      </w:r>
      <w:r>
        <w:rPr>
          <w:color w:val="231F20"/>
          <w:spacing w:val="-5"/>
          <w:sz w:val="20"/>
        </w:rPr>
        <w:t> 排旅客 </w:t>
      </w:r>
      <w:r>
        <w:rPr>
          <w:color w:val="231F20"/>
          <w:w w:val="70"/>
          <w:sz w:val="20"/>
        </w:rPr>
        <w:t>（</w:t>
      </w:r>
      <w:r>
        <w:rPr>
          <w:color w:val="231F20"/>
          <w:spacing w:val="7"/>
          <w:w w:val="70"/>
          <w:sz w:val="20"/>
        </w:rPr>
        <w:t> </w:t>
      </w:r>
      <w:r>
        <w:rPr>
          <w:color w:val="231F20"/>
          <w:spacing w:val="-5"/>
          <w:sz w:val="20"/>
        </w:rPr>
        <w:t>共 </w:t>
      </w:r>
      <w:r>
        <w:rPr>
          <w:color w:val="231F20"/>
          <w:sz w:val="20"/>
        </w:rPr>
        <w:t>5</w:t>
      </w:r>
      <w:r>
        <w:rPr>
          <w:color w:val="231F20"/>
          <w:spacing w:val="-6"/>
          <w:sz w:val="20"/>
        </w:rPr>
        <w:t> 排 ) 搭乘旅客艙單資料後，至本署智</w:t>
      </w:r>
      <w:r>
        <w:rPr>
          <w:color w:val="231F20"/>
          <w:spacing w:val="5"/>
          <w:sz w:val="20"/>
        </w:rPr>
        <w:t>慧檢疫多功能管理資訊系統 </w:t>
      </w:r>
      <w:r>
        <w:rPr>
          <w:color w:val="231F20"/>
          <w:w w:val="32"/>
          <w:sz w:val="20"/>
        </w:rPr>
        <w:t>（</w:t>
      </w:r>
      <w:r>
        <w:rPr>
          <w:color w:val="231F20"/>
          <w:w w:val="85"/>
          <w:sz w:val="20"/>
        </w:rPr>
        <w:t>S</w:t>
      </w:r>
      <w:r>
        <w:rPr>
          <w:color w:val="231F20"/>
          <w:w w:val="104"/>
          <w:sz w:val="20"/>
        </w:rPr>
        <w:t>Q</w:t>
      </w:r>
      <w:r>
        <w:rPr>
          <w:color w:val="231F20"/>
          <w:spacing w:val="-1"/>
          <w:w w:val="115"/>
          <w:sz w:val="20"/>
        </w:rPr>
        <w:t>M</w:t>
      </w:r>
      <w:r>
        <w:rPr>
          <w:color w:val="231F20"/>
          <w:w w:val="85"/>
          <w:sz w:val="20"/>
        </w:rPr>
        <w:t>S</w:t>
      </w:r>
      <w:r>
        <w:rPr>
          <w:color w:val="231F20"/>
          <w:w w:val="96"/>
          <w:sz w:val="20"/>
        </w:rPr>
        <w:t>)</w:t>
      </w:r>
      <w:r>
        <w:rPr>
          <w:color w:val="231F20"/>
          <w:sz w:val="20"/>
        </w:rPr>
        <w:t> 之「艙單調閱作業」專區，上傳指定調閱清單 </w:t>
      </w:r>
      <w:r>
        <w:rPr>
          <w:color w:val="231F20"/>
          <w:w w:val="32"/>
          <w:sz w:val="20"/>
        </w:rPr>
        <w:t>（</w:t>
      </w:r>
      <w:r>
        <w:rPr>
          <w:color w:val="231F20"/>
          <w:spacing w:val="-1"/>
          <w:sz w:val="20"/>
        </w:rPr>
        <w:t> 附件 </w:t>
      </w:r>
      <w:r>
        <w:rPr>
          <w:color w:val="231F20"/>
          <w:w w:val="106"/>
          <w:sz w:val="20"/>
        </w:rPr>
        <w:t>13-7)</w:t>
      </w:r>
      <w:r>
        <w:rPr>
          <w:color w:val="231F20"/>
          <w:spacing w:val="-1"/>
          <w:sz w:val="20"/>
        </w:rPr>
        <w:t> 後，透過</w:t>
      </w:r>
      <w:r>
        <w:rPr>
          <w:color w:val="231F20"/>
          <w:sz w:val="20"/>
        </w:rPr>
        <w:t> SQMS</w:t>
      </w:r>
      <w:r>
        <w:rPr>
          <w:color w:val="231F20"/>
          <w:spacing w:val="-4"/>
          <w:sz w:val="20"/>
        </w:rPr>
        <w:t> 與內政部移民署系統及本署 </w:t>
      </w:r>
      <w:r>
        <w:rPr>
          <w:color w:val="231F20"/>
          <w:sz w:val="20"/>
        </w:rPr>
        <w:t>NIIS</w:t>
      </w:r>
      <w:r>
        <w:rPr>
          <w:color w:val="231F20"/>
          <w:spacing w:val="-3"/>
          <w:sz w:val="20"/>
        </w:rPr>
        <w:t> 系統批次勾稽比對並提供接觸者聯絡電話及地址等資料。</w:t>
      </w:r>
    </w:p>
    <w:p>
      <w:pPr>
        <w:spacing w:after="0" w:line="276" w:lineRule="auto"/>
        <w:jc w:val="both"/>
        <w:rPr>
          <w:sz w:val="20"/>
        </w:rPr>
        <w:sectPr>
          <w:pgSz w:w="11910" w:h="16840"/>
          <w:pgMar w:top="1060" w:bottom="0" w:left="980" w:right="0"/>
        </w:sectPr>
      </w:pPr>
    </w:p>
    <w:p>
      <w:pPr>
        <w:pStyle w:val="BodyText"/>
        <w:spacing w:line="409" w:lineRule="exact" w:before="59"/>
        <w:ind w:right="7884"/>
        <w:jc w:val="right"/>
      </w:pPr>
      <w:r>
        <w:rPr/>
        <w:pict>
          <v:group style="position:absolute;margin-left:-.000001pt;margin-top:367.170013pt;width:37.35pt;height:474.55pt;mso-position-horizontal-relative:page;mso-position-vertical-relative:page;z-index:252122112" coordorigin="0,7343" coordsize="747,9491">
            <v:shape style="position:absolute;left:178;top:7854;width:439;height:8980" type="#_x0000_t75" stroked="false">
              <v:imagedata r:id="rId444" o:title=""/>
            </v:shape>
            <v:shape style="position:absolute;left:0;top:7343;width:747;height:812" coordorigin="0,7343" coordsize="747,812" path="m365,7343l0,7343,0,8155,365,8155,387,8152,447,8119,713,7836,747,7749,738,7703,447,7380,387,7346,365,7343xe" filled="true" fillcolor="#7c8ac4" stroked="false">
              <v:path arrowok="t"/>
              <v:fill type="solid"/>
            </v:shape>
            <v:shape style="position:absolute;left:216;top:7610;width:377;height:278" type="#_x0000_t75" stroked="false">
              <v:imagedata r:id="rId446" o:title=""/>
            </v:shape>
            <v:shape style="position:absolute;left:273;top:8304;width:251;height:5720" type="#_x0000_t75" stroked="false">
              <v:imagedata r:id="rId447"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150</w:t>
                    </w:r>
                  </w:p>
                </w:txbxContent>
              </v:textbox>
              <w10:wrap type="none"/>
            </v:shape>
            <w10:wrap type="none"/>
          </v:group>
        </w:pict>
      </w:r>
      <w:r>
        <w:rPr>
          <w:color w:val="231F20"/>
        </w:rPr>
        <w:t>二、分工及應注意事項：</w:t>
      </w:r>
    </w:p>
    <w:p>
      <w:pPr>
        <w:pStyle w:val="BodyText"/>
        <w:tabs>
          <w:tab w:pos="719" w:val="left" w:leader="none"/>
        </w:tabs>
        <w:spacing w:line="400" w:lineRule="exact"/>
        <w:ind w:right="7913"/>
        <w:jc w:val="right"/>
      </w:pPr>
      <w:r>
        <w:rPr>
          <w:color w:val="231F20"/>
          <w:w w:val="65"/>
        </w:rPr>
        <w:t>（</w:t>
      </w:r>
      <w:r>
        <w:rPr>
          <w:color w:val="231F20"/>
          <w:spacing w:val="1"/>
          <w:w w:val="65"/>
        </w:rPr>
        <w:t> </w:t>
      </w:r>
      <w:r>
        <w:rPr>
          <w:color w:val="231F20"/>
          <w:spacing w:val="-8"/>
        </w:rPr>
        <w:t>— )</w:t>
      </w:r>
      <w:r>
        <w:rPr>
          <w:color w:val="231F20"/>
        </w:rPr>
        <w:tab/>
      </w:r>
      <w:r>
        <w:rPr>
          <w:color w:val="231F20"/>
          <w:spacing w:val="-6"/>
        </w:rPr>
        <w:t>地方衛生局 </w:t>
      </w:r>
      <w:r>
        <w:rPr>
          <w:color w:val="231F20"/>
          <w:spacing w:val="-6"/>
          <w:w w:val="65"/>
        </w:rPr>
        <w:t>／ </w:t>
      </w:r>
      <w:r>
        <w:rPr>
          <w:color w:val="231F20"/>
        </w:rPr>
        <w:t>所</w:t>
      </w:r>
    </w:p>
    <w:p>
      <w:pPr>
        <w:pStyle w:val="ListParagraph"/>
        <w:numPr>
          <w:ilvl w:val="1"/>
          <w:numId w:val="279"/>
        </w:numPr>
        <w:tabs>
          <w:tab w:pos="1349" w:val="left" w:leader="none"/>
        </w:tabs>
        <w:spacing w:line="400" w:lineRule="exact" w:before="0" w:after="0"/>
        <w:ind w:left="1348" w:right="0" w:hanging="255"/>
        <w:jc w:val="left"/>
        <w:rPr>
          <w:sz w:val="24"/>
        </w:rPr>
      </w:pPr>
      <w:r>
        <w:rPr>
          <w:color w:val="231F20"/>
          <w:spacing w:val="-1"/>
          <w:sz w:val="24"/>
        </w:rPr>
        <w:t>接獲通知曾有結核病個案於 </w:t>
      </w:r>
      <w:r>
        <w:rPr>
          <w:color w:val="231F20"/>
          <w:sz w:val="24"/>
        </w:rPr>
        <w:t>3</w:t>
      </w:r>
      <w:r>
        <w:rPr>
          <w:color w:val="231F20"/>
          <w:spacing w:val="-3"/>
          <w:sz w:val="24"/>
        </w:rPr>
        <w:t> 個月內搭乘大眾航空器後，進行風險評估：</w:t>
      </w:r>
    </w:p>
    <w:p>
      <w:pPr>
        <w:pStyle w:val="BodyText"/>
        <w:spacing w:line="400" w:lineRule="exact"/>
        <w:ind w:left="1236"/>
      </w:pPr>
      <w:r>
        <w:rPr>
          <w:color w:val="231F20"/>
          <w:w w:val="95"/>
        </w:rPr>
        <w:t>（1) </w:t>
      </w:r>
      <w:r>
        <w:rPr>
          <w:color w:val="231F20"/>
          <w:w w:val="105"/>
        </w:rPr>
        <w:t>搭乘大眾航空器時，為傳染性個案(符合以下任—條件)：</w:t>
      </w:r>
    </w:p>
    <w:p>
      <w:pPr>
        <w:pStyle w:val="ListParagraph"/>
        <w:numPr>
          <w:ilvl w:val="2"/>
          <w:numId w:val="279"/>
        </w:numPr>
        <w:tabs>
          <w:tab w:pos="1592" w:val="left" w:leader="none"/>
        </w:tabs>
        <w:spacing w:line="230" w:lineRule="auto" w:before="2" w:after="0"/>
        <w:ind w:left="1591" w:right="1135" w:hanging="284"/>
        <w:jc w:val="left"/>
        <w:rPr>
          <w:sz w:val="24"/>
        </w:rPr>
      </w:pPr>
      <w:r>
        <w:rPr>
          <w:color w:val="231F20"/>
          <w:spacing w:val="-4"/>
          <w:w w:val="105"/>
          <w:sz w:val="24"/>
        </w:rPr>
        <w:t>痰抹片陽性且培養鑑定為 </w:t>
      </w:r>
      <w:r>
        <w:rPr>
          <w:color w:val="231F20"/>
          <w:w w:val="105"/>
          <w:sz w:val="24"/>
        </w:rPr>
        <w:t>MTBC</w:t>
      </w:r>
      <w:r>
        <w:rPr>
          <w:color w:val="231F20"/>
          <w:spacing w:val="-8"/>
          <w:w w:val="105"/>
          <w:sz w:val="24"/>
        </w:rPr>
        <w:t>，且胸部 </w:t>
      </w:r>
      <w:r>
        <w:rPr>
          <w:color w:val="231F20"/>
          <w:w w:val="105"/>
          <w:sz w:val="24"/>
        </w:rPr>
        <w:t>X</w:t>
      </w:r>
      <w:r>
        <w:rPr>
          <w:color w:val="231F20"/>
          <w:spacing w:val="-7"/>
          <w:w w:val="105"/>
          <w:sz w:val="24"/>
        </w:rPr>
        <w:t> 光開洞之肺結核(或喉結核)病病</w:t>
      </w:r>
      <w:r>
        <w:rPr>
          <w:color w:val="231F20"/>
          <w:w w:val="105"/>
          <w:sz w:val="24"/>
        </w:rPr>
        <w:t>人；</w:t>
      </w:r>
    </w:p>
    <w:p>
      <w:pPr>
        <w:pStyle w:val="ListParagraph"/>
        <w:numPr>
          <w:ilvl w:val="2"/>
          <w:numId w:val="279"/>
        </w:numPr>
        <w:tabs>
          <w:tab w:pos="1591" w:val="left" w:leader="none"/>
        </w:tabs>
        <w:spacing w:line="395" w:lineRule="exact" w:before="0" w:after="0"/>
        <w:ind w:left="1590" w:right="0" w:hanging="284"/>
        <w:jc w:val="left"/>
        <w:rPr>
          <w:sz w:val="24"/>
        </w:rPr>
      </w:pPr>
      <w:r>
        <w:rPr>
          <w:color w:val="231F20"/>
          <w:spacing w:val="-1"/>
          <w:w w:val="110"/>
          <w:sz w:val="24"/>
        </w:rPr>
        <w:t>多重抗藥性結核病病人(無冊痰塗片及胸部</w:t>
      </w:r>
      <w:r>
        <w:rPr>
          <w:color w:val="231F20"/>
          <w:w w:val="110"/>
          <w:sz w:val="24"/>
        </w:rPr>
        <w:t>X</w:t>
      </w:r>
      <w:r>
        <w:rPr>
          <w:color w:val="231F20"/>
          <w:spacing w:val="-14"/>
          <w:w w:val="110"/>
          <w:sz w:val="24"/>
        </w:rPr>
        <w:t> 光結果，單純肺外 </w:t>
      </w:r>
      <w:r>
        <w:rPr>
          <w:color w:val="231F20"/>
          <w:w w:val="110"/>
          <w:sz w:val="24"/>
        </w:rPr>
        <w:t>MDR</w:t>
      </w:r>
      <w:r>
        <w:rPr>
          <w:color w:val="231F20"/>
          <w:spacing w:val="-17"/>
          <w:w w:val="110"/>
          <w:sz w:val="24"/>
        </w:rPr>
        <w:t> 除外</w:t>
      </w:r>
      <w:r>
        <w:rPr>
          <w:color w:val="231F20"/>
          <w:spacing w:val="-28"/>
          <w:w w:val="275"/>
          <w:sz w:val="24"/>
        </w:rPr>
        <w:t>)</w:t>
      </w:r>
      <w:r>
        <w:rPr>
          <w:color w:val="231F20"/>
          <w:w w:val="110"/>
          <w:sz w:val="24"/>
        </w:rPr>
        <w:t>。</w:t>
      </w:r>
    </w:p>
    <w:p>
      <w:pPr>
        <w:pStyle w:val="BodyText"/>
        <w:spacing w:line="400" w:lineRule="exact"/>
        <w:ind w:left="1236"/>
      </w:pPr>
      <w:r>
        <w:rPr>
          <w:color w:val="231F20"/>
          <w:w w:val="95"/>
        </w:rPr>
        <w:t>（2) </w:t>
      </w:r>
      <w:r>
        <w:rPr>
          <w:color w:val="231F20"/>
          <w:w w:val="105"/>
        </w:rPr>
        <w:t>搭乘大眾航空器日期距個案被通報(或被發現)旅遊史為 3 個月內。</w:t>
      </w:r>
    </w:p>
    <w:p>
      <w:pPr>
        <w:pStyle w:val="BodyText"/>
        <w:spacing w:line="230" w:lineRule="auto" w:before="3"/>
        <w:ind w:left="1591" w:right="1414" w:hanging="355"/>
      </w:pPr>
      <w:r>
        <w:rPr>
          <w:color w:val="231F20"/>
          <w:w w:val="95"/>
        </w:rPr>
        <w:t>（3)             </w:t>
      </w:r>
      <w:r>
        <w:rPr>
          <w:color w:val="231F20"/>
        </w:rPr>
        <w:t>個案本次旅行中有任—段飛航行程超過              8              小時。 (總飛行時間包括起飛前停機時間、飛行時間及落地後之停留時間總和。)</w:t>
      </w:r>
    </w:p>
    <w:p>
      <w:pPr>
        <w:pStyle w:val="ListParagraph"/>
        <w:numPr>
          <w:ilvl w:val="1"/>
          <w:numId w:val="279"/>
        </w:numPr>
        <w:tabs>
          <w:tab w:pos="1351" w:val="left" w:leader="none"/>
        </w:tabs>
        <w:spacing w:line="230" w:lineRule="auto" w:before="0" w:after="0"/>
        <w:ind w:left="1349" w:right="1138" w:hanging="255"/>
        <w:jc w:val="both"/>
        <w:rPr>
          <w:sz w:val="24"/>
        </w:rPr>
      </w:pPr>
      <w:r>
        <w:rPr>
          <w:color w:val="231F20"/>
          <w:spacing w:val="-1"/>
          <w:sz w:val="24"/>
        </w:rPr>
        <w:t>個案資料通過評估後，提供個案簡要病歷資料及搭乘大眾航空器航班時間、起迄</w:t>
      </w:r>
      <w:r>
        <w:rPr>
          <w:color w:val="231F20"/>
          <w:sz w:val="24"/>
        </w:rPr>
        <w:t>目的地等，統—彙整後函文慧轄之各區管制中心，並副知本署慢性組、檢疫組。</w:t>
      </w:r>
    </w:p>
    <w:p>
      <w:pPr>
        <w:pStyle w:val="ListParagraph"/>
        <w:numPr>
          <w:ilvl w:val="1"/>
          <w:numId w:val="279"/>
        </w:numPr>
        <w:tabs>
          <w:tab w:pos="1351" w:val="left" w:leader="none"/>
        </w:tabs>
        <w:spacing w:line="230" w:lineRule="auto" w:before="0" w:after="0"/>
        <w:ind w:left="1349" w:right="1126" w:hanging="255"/>
        <w:jc w:val="both"/>
        <w:rPr>
          <w:sz w:val="24"/>
        </w:rPr>
      </w:pPr>
      <w:r>
        <w:rPr>
          <w:color w:val="231F20"/>
          <w:sz w:val="24"/>
        </w:rPr>
        <w:t>接獲各區管制中心、本署檢疫組函文通知結核病大眾航空器接觸者名單，辦理接觸者檢査作業，以提供衛教為追蹤重點，並評估該民眾是否有接受接觸者檢査之</w:t>
      </w:r>
      <w:r>
        <w:rPr>
          <w:color w:val="231F20"/>
          <w:spacing w:val="-1"/>
          <w:sz w:val="24"/>
        </w:rPr>
        <w:t>意願。若有意願者得開立接觸者轉介單，執行—次胸部 </w:t>
      </w:r>
      <w:r>
        <w:rPr>
          <w:color w:val="231F20"/>
          <w:sz w:val="24"/>
        </w:rPr>
        <w:t>X</w:t>
      </w:r>
      <w:r>
        <w:rPr>
          <w:color w:val="231F20"/>
          <w:spacing w:val="-3"/>
          <w:sz w:val="24"/>
        </w:rPr>
        <w:t> 光檢査，並將結果輸入</w:t>
      </w:r>
      <w:r>
        <w:rPr>
          <w:color w:val="231F20"/>
          <w:spacing w:val="2"/>
          <w:w w:val="105"/>
          <w:sz w:val="24"/>
        </w:rPr>
        <w:t>結核病追蹤管理系統之航空器接觸者專案(附件 </w:t>
      </w:r>
      <w:r>
        <w:rPr>
          <w:color w:val="231F20"/>
          <w:w w:val="105"/>
          <w:sz w:val="24"/>
        </w:rPr>
        <w:t>13-6)</w:t>
      </w:r>
      <w:r>
        <w:rPr>
          <w:color w:val="231F20"/>
          <w:spacing w:val="4"/>
          <w:w w:val="105"/>
          <w:sz w:val="24"/>
        </w:rPr>
        <w:t>，無須進行潛伏結核感</w:t>
      </w:r>
      <w:r>
        <w:rPr>
          <w:color w:val="231F20"/>
          <w:w w:val="105"/>
          <w:sz w:val="24"/>
        </w:rPr>
        <w:t>染治療評估。</w:t>
      </w:r>
    </w:p>
    <w:p>
      <w:pPr>
        <w:pStyle w:val="ListParagraph"/>
        <w:numPr>
          <w:ilvl w:val="1"/>
          <w:numId w:val="279"/>
        </w:numPr>
        <w:tabs>
          <w:tab w:pos="1351" w:val="left" w:leader="none"/>
        </w:tabs>
        <w:spacing w:line="230" w:lineRule="auto" w:before="0" w:after="0"/>
        <w:ind w:left="1349" w:right="1136" w:hanging="255"/>
        <w:jc w:val="both"/>
        <w:rPr>
          <w:sz w:val="24"/>
        </w:rPr>
      </w:pPr>
      <w:r>
        <w:rPr>
          <w:color w:val="231F20"/>
          <w:spacing w:val="-1"/>
          <w:sz w:val="24"/>
        </w:rPr>
        <w:t>倘衛生局已嘗試各種方法皆無法找到接觸者，則可將査訪經過紀錄在結核病追蹤管理系統中，並於接獲辦理接觸者追蹤之通知文後 </w:t>
      </w:r>
      <w:r>
        <w:rPr>
          <w:color w:val="231F20"/>
          <w:sz w:val="24"/>
        </w:rPr>
        <w:t>3</w:t>
      </w:r>
      <w:r>
        <w:rPr>
          <w:color w:val="231F20"/>
          <w:spacing w:val="-3"/>
          <w:sz w:val="24"/>
        </w:rPr>
        <w:t> 個月辦理結案。</w:t>
      </w:r>
    </w:p>
    <w:p>
      <w:pPr>
        <w:pStyle w:val="ListParagraph"/>
        <w:numPr>
          <w:ilvl w:val="1"/>
          <w:numId w:val="279"/>
        </w:numPr>
        <w:tabs>
          <w:tab w:pos="1351" w:val="left" w:leader="none"/>
        </w:tabs>
        <w:spacing w:line="230" w:lineRule="auto" w:before="0" w:after="0"/>
        <w:ind w:left="1349" w:right="1134" w:hanging="255"/>
        <w:jc w:val="both"/>
        <w:rPr>
          <w:sz w:val="24"/>
        </w:rPr>
      </w:pPr>
      <w:r>
        <w:rPr>
          <w:color w:val="231F20"/>
          <w:spacing w:val="-1"/>
          <w:sz w:val="24"/>
        </w:rPr>
        <w:t>若通報個案為「機組人員」，針對指標個案在可傳染期間於航空器上共同出勤— </w:t>
      </w:r>
      <w:r>
        <w:rPr>
          <w:color w:val="231F20"/>
          <w:spacing w:val="1"/>
          <w:sz w:val="24"/>
        </w:rPr>
        <w:t>次大於等於 </w:t>
      </w:r>
      <w:r>
        <w:rPr>
          <w:color w:val="231F20"/>
          <w:sz w:val="24"/>
        </w:rPr>
        <w:t>8</w:t>
      </w:r>
      <w:r>
        <w:rPr>
          <w:color w:val="231F20"/>
          <w:spacing w:val="-1"/>
          <w:sz w:val="24"/>
        </w:rPr>
        <w:t> 小時或累積接觸大於等於 </w:t>
      </w:r>
      <w:r>
        <w:rPr>
          <w:color w:val="231F20"/>
          <w:sz w:val="24"/>
        </w:rPr>
        <w:t>40 小時之機組人員，依工作手冊「第十章結核病接觸者追蹤管理」進行接觸者檢査。</w:t>
      </w:r>
    </w:p>
    <w:p>
      <w:pPr>
        <w:pStyle w:val="BodyText"/>
        <w:spacing w:line="394" w:lineRule="exact"/>
        <w:ind w:left="629"/>
        <w:jc w:val="both"/>
      </w:pPr>
      <w:r>
        <w:rPr>
          <w:color w:val="231F20"/>
          <w:w w:val="65"/>
        </w:rPr>
        <w:t>（ </w:t>
      </w:r>
      <w:r>
        <w:rPr>
          <w:color w:val="231F20"/>
        </w:rPr>
        <w:t>二 ) 疾管署慢性組</w:t>
      </w:r>
    </w:p>
    <w:p>
      <w:pPr>
        <w:pStyle w:val="BodyText"/>
        <w:spacing w:line="230" w:lineRule="auto"/>
        <w:ind w:left="1349" w:right="1126"/>
        <w:jc w:val="both"/>
      </w:pPr>
      <w:r>
        <w:rPr>
          <w:color w:val="231F20"/>
          <w:w w:val="111"/>
        </w:rPr>
        <w:t>N</w:t>
      </w:r>
      <w:r>
        <w:rPr>
          <w:color w:val="231F20"/>
          <w:w w:val="98"/>
        </w:rPr>
        <w:t>a</w:t>
      </w:r>
      <w:r>
        <w:rPr>
          <w:color w:val="231F20"/>
          <w:w w:val="130"/>
        </w:rPr>
        <w:t>t</w:t>
      </w:r>
      <w:r>
        <w:rPr>
          <w:color w:val="231F20"/>
          <w:w w:val="116"/>
        </w:rPr>
        <w:t>i</w:t>
      </w:r>
      <w:r>
        <w:rPr>
          <w:color w:val="231F20"/>
          <w:w w:val="113"/>
        </w:rPr>
        <w:t>o</w:t>
      </w:r>
      <w:r>
        <w:rPr>
          <w:color w:val="231F20"/>
          <w:w w:val="109"/>
        </w:rPr>
        <w:t>n</w:t>
      </w:r>
      <w:r>
        <w:rPr>
          <w:color w:val="231F20"/>
          <w:w w:val="98"/>
        </w:rPr>
        <w:t>a</w:t>
      </w:r>
      <w:r>
        <w:rPr>
          <w:color w:val="231F20"/>
          <w:w w:val="116"/>
        </w:rPr>
        <w:t>l</w:t>
      </w:r>
      <w:r>
        <w:rPr>
          <w:color w:val="231F20"/>
        </w:rPr>
        <w:t> </w:t>
      </w:r>
      <w:r>
        <w:rPr>
          <w:color w:val="231F20"/>
          <w:w w:val="102"/>
        </w:rPr>
        <w:t>I</w:t>
      </w:r>
      <w:r>
        <w:rPr>
          <w:color w:val="231F20"/>
          <w:w w:val="105"/>
        </w:rPr>
        <w:t>H</w:t>
      </w:r>
      <w:r>
        <w:rPr>
          <w:color w:val="231F20"/>
          <w:w w:val="88"/>
        </w:rPr>
        <w:t>R</w:t>
      </w:r>
      <w:r>
        <w:rPr>
          <w:color w:val="231F20"/>
        </w:rPr>
        <w:t> </w:t>
      </w:r>
      <w:r>
        <w:rPr>
          <w:color w:val="231F20"/>
          <w:w w:val="85"/>
        </w:rPr>
        <w:t>F</w:t>
      </w:r>
      <w:r>
        <w:rPr>
          <w:color w:val="231F20"/>
          <w:w w:val="113"/>
        </w:rPr>
        <w:t>o</w:t>
      </w:r>
      <w:r>
        <w:rPr>
          <w:color w:val="231F20"/>
          <w:w w:val="99"/>
        </w:rPr>
        <w:t>c</w:t>
      </w:r>
      <w:r>
        <w:rPr>
          <w:color w:val="231F20"/>
          <w:w w:val="98"/>
        </w:rPr>
        <w:t>a</w:t>
      </w:r>
      <w:r>
        <w:rPr>
          <w:color w:val="231F20"/>
          <w:w w:val="116"/>
        </w:rPr>
        <w:t>l</w:t>
      </w:r>
      <w:r>
        <w:rPr>
          <w:color w:val="231F20"/>
        </w:rPr>
        <w:t> </w:t>
      </w:r>
      <w:r>
        <w:rPr>
          <w:color w:val="231F20"/>
          <w:w w:val="113"/>
        </w:rPr>
        <w:t>p</w:t>
      </w:r>
      <w:r>
        <w:rPr>
          <w:color w:val="231F20"/>
          <w:w w:val="113"/>
        </w:rPr>
        <w:t>o</w:t>
      </w:r>
      <w:r>
        <w:rPr>
          <w:color w:val="231F20"/>
          <w:w w:val="116"/>
        </w:rPr>
        <w:t>i</w:t>
      </w:r>
      <w:r>
        <w:rPr>
          <w:color w:val="231F20"/>
          <w:w w:val="109"/>
        </w:rPr>
        <w:t>n</w:t>
      </w:r>
      <w:r>
        <w:rPr>
          <w:color w:val="231F20"/>
          <w:w w:val="130"/>
        </w:rPr>
        <w:t>t</w:t>
      </w:r>
      <w:r>
        <w:rPr>
          <w:color w:val="231F20"/>
          <w:w w:val="32"/>
        </w:rPr>
        <w:t>（</w:t>
      </w:r>
      <w:r>
        <w:rPr>
          <w:color w:val="231F20"/>
          <w:w w:val="111"/>
        </w:rPr>
        <w:t>N</w:t>
      </w:r>
      <w:r>
        <w:rPr>
          <w:color w:val="231F20"/>
          <w:w w:val="85"/>
        </w:rPr>
        <w:t>F</w:t>
      </w:r>
      <w:r>
        <w:rPr>
          <w:color w:val="231F20"/>
          <w:w w:val="90"/>
        </w:rPr>
        <w:t>P</w:t>
      </w:r>
      <w:r>
        <w:rPr>
          <w:color w:val="231F20"/>
          <w:w w:val="96"/>
        </w:rPr>
        <w:t>)</w:t>
      </w:r>
      <w:r>
        <w:rPr>
          <w:color w:val="231F20"/>
        </w:rPr>
        <w:t> 轉知國外通知結核病指標個案或大眾航空器接觸者名單，評估符合啟動接觸者追蹤條件後，聯繫本署檢疫組進行後續資料査詢及接觸者分派事宜。</w:t>
      </w:r>
    </w:p>
    <w:p>
      <w:pPr>
        <w:pStyle w:val="BodyText"/>
        <w:spacing w:line="394" w:lineRule="exact"/>
        <w:ind w:left="629"/>
        <w:jc w:val="both"/>
      </w:pPr>
      <w:r>
        <w:rPr>
          <w:color w:val="231F20"/>
          <w:w w:val="65"/>
        </w:rPr>
        <w:t>（ </w:t>
      </w:r>
      <w:r>
        <w:rPr>
          <w:color w:val="231F20"/>
        </w:rPr>
        <w:t>三 ) 疾管署各區管制中心 </w:t>
      </w:r>
      <w:r>
        <w:rPr>
          <w:color w:val="231F20"/>
          <w:w w:val="65"/>
        </w:rPr>
        <w:t>／ </w:t>
      </w:r>
      <w:r>
        <w:rPr>
          <w:color w:val="231F20"/>
        </w:rPr>
        <w:t>檢疫組</w:t>
      </w:r>
    </w:p>
    <w:p>
      <w:pPr>
        <w:pStyle w:val="ListParagraph"/>
        <w:numPr>
          <w:ilvl w:val="0"/>
          <w:numId w:val="280"/>
        </w:numPr>
        <w:tabs>
          <w:tab w:pos="1349" w:val="left" w:leader="none"/>
        </w:tabs>
        <w:spacing w:line="400" w:lineRule="exact" w:before="0" w:after="0"/>
        <w:ind w:left="1348" w:right="0" w:hanging="255"/>
        <w:jc w:val="left"/>
        <w:rPr>
          <w:sz w:val="24"/>
        </w:rPr>
      </w:pPr>
      <w:r>
        <w:rPr>
          <w:color w:val="231F20"/>
          <w:sz w:val="24"/>
        </w:rPr>
        <w:t>各地方衛生局有關結核病大眾航空器接觸者追蹤之聯絡窗口。</w:t>
      </w:r>
    </w:p>
    <w:p>
      <w:pPr>
        <w:pStyle w:val="ListParagraph"/>
        <w:numPr>
          <w:ilvl w:val="0"/>
          <w:numId w:val="280"/>
        </w:numPr>
        <w:tabs>
          <w:tab w:pos="1350" w:val="left" w:leader="none"/>
        </w:tabs>
        <w:spacing w:line="230" w:lineRule="auto" w:before="0" w:after="0"/>
        <w:ind w:left="1349" w:right="1131" w:hanging="255"/>
        <w:jc w:val="left"/>
        <w:rPr>
          <w:sz w:val="24"/>
        </w:rPr>
      </w:pPr>
      <w:r>
        <w:rPr>
          <w:color w:val="231F20"/>
          <w:spacing w:val="1"/>
          <w:sz w:val="24"/>
        </w:rPr>
        <w:t>接獲衛生局函文 </w:t>
      </w:r>
      <w:r>
        <w:rPr>
          <w:color w:val="231F20"/>
          <w:w w:val="41"/>
          <w:sz w:val="24"/>
        </w:rPr>
        <w:t>／</w:t>
      </w:r>
      <w:r>
        <w:rPr>
          <w:color w:val="231F20"/>
          <w:spacing w:val="-1"/>
          <w:w w:val="102"/>
          <w:sz w:val="24"/>
        </w:rPr>
        <w:t>I</w:t>
      </w:r>
      <w:r>
        <w:rPr>
          <w:color w:val="231F20"/>
          <w:w w:val="105"/>
          <w:sz w:val="24"/>
        </w:rPr>
        <w:t>H</w:t>
      </w:r>
      <w:r>
        <w:rPr>
          <w:color w:val="231F20"/>
          <w:w w:val="88"/>
          <w:sz w:val="24"/>
        </w:rPr>
        <w:t>R</w:t>
      </w:r>
      <w:r>
        <w:rPr>
          <w:color w:val="231F20"/>
          <w:spacing w:val="12"/>
          <w:sz w:val="24"/>
        </w:rPr>
        <w:t> </w:t>
      </w:r>
      <w:r>
        <w:rPr>
          <w:color w:val="231F20"/>
          <w:spacing w:val="-1"/>
          <w:w w:val="111"/>
          <w:sz w:val="24"/>
        </w:rPr>
        <w:t>N</w:t>
      </w:r>
      <w:r>
        <w:rPr>
          <w:color w:val="231F20"/>
          <w:w w:val="85"/>
          <w:sz w:val="24"/>
        </w:rPr>
        <w:t>F</w:t>
      </w:r>
      <w:r>
        <w:rPr>
          <w:color w:val="231F20"/>
          <w:w w:val="90"/>
          <w:sz w:val="24"/>
        </w:rPr>
        <w:t>P</w:t>
      </w:r>
      <w:r>
        <w:rPr>
          <w:color w:val="231F20"/>
          <w:spacing w:val="-1"/>
          <w:sz w:val="24"/>
        </w:rPr>
        <w:t> 通知案件後，各區管制中心 </w:t>
      </w:r>
      <w:r>
        <w:rPr>
          <w:color w:val="231F20"/>
          <w:w w:val="41"/>
          <w:sz w:val="24"/>
        </w:rPr>
        <w:t>／</w:t>
      </w:r>
      <w:r>
        <w:rPr>
          <w:color w:val="231F20"/>
          <w:sz w:val="24"/>
        </w:rPr>
        <w:t> 檢疫組應再次確認指標個案是否符合調閱艙單條件，並得洽詢慢性組提供專業意見。</w:t>
      </w:r>
    </w:p>
    <w:p>
      <w:pPr>
        <w:pStyle w:val="ListParagraph"/>
        <w:numPr>
          <w:ilvl w:val="0"/>
          <w:numId w:val="280"/>
        </w:numPr>
        <w:tabs>
          <w:tab w:pos="1349" w:val="left" w:leader="none"/>
        </w:tabs>
        <w:spacing w:line="395" w:lineRule="exact" w:before="0" w:after="0"/>
        <w:ind w:left="1348" w:right="0" w:hanging="255"/>
        <w:jc w:val="left"/>
        <w:rPr>
          <w:sz w:val="24"/>
        </w:rPr>
      </w:pPr>
      <w:r>
        <w:rPr>
          <w:color w:val="231F20"/>
          <w:sz w:val="24"/>
        </w:rPr>
        <w:t>調閱艙單及分派接觸者：</w:t>
      </w:r>
    </w:p>
    <w:p>
      <w:pPr>
        <w:pStyle w:val="BodyText"/>
        <w:spacing w:line="230" w:lineRule="auto"/>
        <w:ind w:left="1591" w:right="1125" w:hanging="355"/>
        <w:jc w:val="both"/>
      </w:pPr>
      <w:r>
        <w:rPr>
          <w:color w:val="231F20"/>
          <w:w w:val="32"/>
        </w:rPr>
        <w:t>（</w:t>
      </w:r>
      <w:r>
        <w:rPr>
          <w:color w:val="231F20"/>
          <w:w w:val="104"/>
        </w:rPr>
        <w:t>1</w:t>
      </w:r>
      <w:r>
        <w:rPr>
          <w:color w:val="231F20"/>
          <w:w w:val="96"/>
        </w:rPr>
        <w:t>)</w:t>
      </w:r>
      <w:r>
        <w:rPr>
          <w:color w:val="231F20"/>
        </w:rPr>
        <w:t> 向航空公司取得指標個案同—通氣路徑前後各 </w:t>
      </w:r>
      <w:r>
        <w:rPr>
          <w:color w:val="231F20"/>
          <w:w w:val="104"/>
        </w:rPr>
        <w:t>2</w:t>
      </w:r>
      <w:r>
        <w:rPr>
          <w:color w:val="231F20"/>
        </w:rPr>
        <w:t> 排旅客 </w:t>
      </w:r>
      <w:r>
        <w:rPr>
          <w:color w:val="231F20"/>
          <w:w w:val="32"/>
        </w:rPr>
        <w:t>（</w:t>
      </w:r>
      <w:r>
        <w:rPr>
          <w:color w:val="231F20"/>
        </w:rPr>
        <w:t> 共 </w:t>
      </w:r>
      <w:r>
        <w:rPr>
          <w:color w:val="231F20"/>
          <w:w w:val="104"/>
        </w:rPr>
        <w:t>5</w:t>
      </w:r>
      <w:r>
        <w:rPr>
          <w:color w:val="231F20"/>
        </w:rPr>
        <w:t> 排 </w:t>
      </w:r>
      <w:r>
        <w:rPr>
          <w:color w:val="231F20"/>
          <w:w w:val="96"/>
        </w:rPr>
        <w:t>)</w:t>
      </w:r>
      <w:r>
        <w:rPr>
          <w:color w:val="231F20"/>
        </w:rPr>
        <w:t> 搭乘旅客艙</w:t>
      </w:r>
      <w:r>
        <w:rPr>
          <w:color w:val="231F20"/>
          <w:w w:val="95"/>
        </w:rPr>
        <w:t>單資料後，至本署智慧檢疫多功能管理資訊系統 （SQMS) 之「艙單調閱作業」</w:t>
      </w:r>
      <w:r>
        <w:rPr>
          <w:color w:val="231F20"/>
        </w:rPr>
        <w:t>專區，上傳指定調閱清單 </w:t>
      </w:r>
      <w:r>
        <w:rPr>
          <w:color w:val="231F20"/>
          <w:w w:val="70"/>
        </w:rPr>
        <w:t>（ </w:t>
      </w:r>
      <w:r>
        <w:rPr>
          <w:color w:val="231F20"/>
        </w:rPr>
        <w:t>附件 13-7) 後，透過 SQMS 與內政部移民署系統及本署 NIIS 系統批次勾稽比對並提供接觸者聯絡電話及地址等資料。</w:t>
      </w:r>
    </w:p>
    <w:p>
      <w:pPr>
        <w:pStyle w:val="BodyText"/>
        <w:spacing w:line="401" w:lineRule="exact"/>
        <w:ind w:left="1236"/>
        <w:jc w:val="both"/>
      </w:pPr>
      <w:r>
        <w:rPr>
          <w:color w:val="231F20"/>
          <w:w w:val="95"/>
        </w:rPr>
        <w:t>（2) </w:t>
      </w:r>
      <w:r>
        <w:rPr>
          <w:color w:val="231F20"/>
        </w:rPr>
        <w:t>依旅客戶籍資料，分送該管地方衛生局進行結核病接觸者檢査追蹤。</w:t>
      </w:r>
    </w:p>
    <w:p>
      <w:pPr>
        <w:spacing w:after="0" w:line="401" w:lineRule="exact"/>
        <w:jc w:val="both"/>
        <w:sectPr>
          <w:pgSz w:w="11910" w:h="16840"/>
          <w:pgMar w:top="1060" w:bottom="0" w:left="980" w:right="0"/>
        </w:sectPr>
      </w:pPr>
    </w:p>
    <w:p>
      <w:pPr>
        <w:pStyle w:val="Heading2"/>
        <w:spacing w:line="240" w:lineRule="auto" w:before="19"/>
      </w:pPr>
      <w:r>
        <w:rPr/>
        <w:pict>
          <v:group style="position:absolute;margin-left:557.684509pt;margin-top:367.170013pt;width:37.35pt;height:474.55pt;mso-position-horizontal-relative:page;mso-position-vertical-relative:page;z-index:252124160" coordorigin="11154,7343" coordsize="747,9491">
            <v:shape style="position:absolute;left:11283;top:7854;width:439;height:8980" type="#_x0000_t75" stroked="false">
              <v:imagedata r:id="rId441" o:title=""/>
            </v:shape>
            <v:shape style="position:absolute;left:11153;top:7343;width:747;height:812" coordorigin="11154,7343" coordsize="747,812" path="m11900,7343l11536,7343,11514,7346,11454,7380,11188,7662,11154,7749,11162,7795,11454,8119,11514,8152,11536,8155,11900,8155,11900,7343xe" filled="true" fillcolor="#7c8ac4" stroked="false">
              <v:path arrowok="t"/>
              <v:fill type="solid"/>
            </v:shape>
            <v:shape style="position:absolute;left:11321;top:7610;width:377;height:278" type="#_x0000_t75" stroked="false">
              <v:imagedata r:id="rId448" o:title=""/>
            </v:shape>
            <v:shape style="position:absolute;left:11378;top:8304;width:251;height:5720" type="#_x0000_t75" stroked="false">
              <v:imagedata r:id="rId443" o:title=""/>
            </v:shape>
            <v:shape style="position:absolute;left:11368;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151</w:t>
                    </w:r>
                  </w:p>
                </w:txbxContent>
              </v:textbox>
              <w10:wrap type="none"/>
            </v:shape>
            <w10:wrap type="none"/>
          </v:group>
        </w:pict>
      </w:r>
      <w:r>
        <w:rPr>
          <w:color w:val="231F20"/>
        </w:rPr>
        <w:t>伍、結核病病人飛航管制及航空器接觸者追蹤工作項目檢核表</w:t>
      </w: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970"/>
        <w:gridCol w:w="968"/>
        <w:gridCol w:w="1006"/>
        <w:gridCol w:w="1318"/>
        <w:gridCol w:w="5358"/>
      </w:tblGrid>
      <w:tr>
        <w:trPr>
          <w:trHeight w:val="451" w:hRule="atLeast"/>
        </w:trPr>
        <w:tc>
          <w:tcPr>
            <w:tcW w:w="4262" w:type="dxa"/>
            <w:gridSpan w:val="4"/>
            <w:shd w:val="clear" w:color="auto" w:fill="E6E7E8"/>
          </w:tcPr>
          <w:p>
            <w:pPr>
              <w:pStyle w:val="TableParagraph"/>
              <w:spacing w:line="402" w:lineRule="exact"/>
              <w:ind w:left="1630" w:right="1616"/>
              <w:jc w:val="center"/>
              <w:rPr>
                <w:rFonts w:ascii="微軟正黑體" w:eastAsia="微軟正黑體" w:hint="eastAsia"/>
                <w:b/>
                <w:sz w:val="24"/>
              </w:rPr>
            </w:pPr>
            <w:r>
              <w:rPr>
                <w:rFonts w:ascii="微軟正黑體" w:eastAsia="微軟正黑體" w:hint="eastAsia"/>
                <w:b/>
                <w:color w:val="231F20"/>
                <w:sz w:val="24"/>
              </w:rPr>
              <w:t>主責單位</w:t>
            </w:r>
          </w:p>
        </w:tc>
        <w:tc>
          <w:tcPr>
            <w:tcW w:w="5358" w:type="dxa"/>
            <w:vMerge w:val="restart"/>
            <w:shd w:val="clear" w:color="auto" w:fill="E6E7E8"/>
          </w:tcPr>
          <w:p>
            <w:pPr>
              <w:pStyle w:val="TableParagraph"/>
              <w:spacing w:before="2"/>
              <w:rPr>
                <w:rFonts w:ascii="微軟正黑體"/>
                <w:b/>
                <w:sz w:val="34"/>
              </w:rPr>
            </w:pPr>
          </w:p>
          <w:p>
            <w:pPr>
              <w:pStyle w:val="TableParagraph"/>
              <w:ind w:left="2178" w:right="2165"/>
              <w:jc w:val="center"/>
              <w:rPr>
                <w:rFonts w:ascii="微軟正黑體" w:eastAsia="微軟正黑體" w:hint="eastAsia"/>
                <w:b/>
                <w:sz w:val="24"/>
              </w:rPr>
            </w:pPr>
            <w:r>
              <w:rPr>
                <w:rFonts w:ascii="微軟正黑體" w:eastAsia="微軟正黑體" w:hint="eastAsia"/>
                <w:b/>
                <w:color w:val="231F20"/>
                <w:sz w:val="24"/>
              </w:rPr>
              <w:t>工作事項</w:t>
            </w:r>
          </w:p>
        </w:tc>
      </w:tr>
      <w:tr>
        <w:trPr>
          <w:trHeight w:val="451" w:hRule="atLeast"/>
        </w:trPr>
        <w:tc>
          <w:tcPr>
            <w:tcW w:w="2944" w:type="dxa"/>
            <w:gridSpan w:val="3"/>
            <w:shd w:val="clear" w:color="auto" w:fill="E6E7E8"/>
          </w:tcPr>
          <w:p>
            <w:pPr>
              <w:pStyle w:val="TableParagraph"/>
              <w:spacing w:line="402" w:lineRule="exact"/>
              <w:ind w:left="1091" w:right="1077"/>
              <w:jc w:val="center"/>
              <w:rPr>
                <w:rFonts w:ascii="微軟正黑體" w:eastAsia="微軟正黑體" w:hint="eastAsia"/>
                <w:b/>
                <w:sz w:val="24"/>
              </w:rPr>
            </w:pPr>
            <w:r>
              <w:rPr>
                <w:rFonts w:ascii="微軟正黑體" w:eastAsia="微軟正黑體" w:hint="eastAsia"/>
                <w:b/>
                <w:color w:val="231F20"/>
                <w:sz w:val="24"/>
              </w:rPr>
              <w:t>疾管署</w:t>
            </w:r>
          </w:p>
        </w:tc>
        <w:tc>
          <w:tcPr>
            <w:tcW w:w="1318" w:type="dxa"/>
            <w:vMerge w:val="restart"/>
            <w:shd w:val="clear" w:color="auto" w:fill="E6E7E8"/>
          </w:tcPr>
          <w:p>
            <w:pPr>
              <w:pStyle w:val="TableParagraph"/>
              <w:spacing w:line="218" w:lineRule="auto" w:before="223"/>
              <w:ind w:left="305" w:right="162" w:hanging="127"/>
              <w:rPr>
                <w:rFonts w:ascii="微軟正黑體" w:eastAsia="微軟正黑體" w:hint="eastAsia"/>
                <w:b/>
                <w:sz w:val="24"/>
              </w:rPr>
            </w:pPr>
            <w:r>
              <w:rPr>
                <w:rFonts w:ascii="微軟正黑體" w:eastAsia="微軟正黑體" w:hint="eastAsia"/>
                <w:b/>
                <w:color w:val="231F20"/>
                <w:sz w:val="24"/>
              </w:rPr>
              <w:t>地方衛生</w:t>
            </w:r>
            <w:r>
              <w:rPr>
                <w:rFonts w:ascii="微軟正黑體" w:eastAsia="微軟正黑體" w:hint="eastAsia"/>
                <w:b/>
                <w:color w:val="231F20"/>
                <w:w w:val="90"/>
                <w:sz w:val="24"/>
              </w:rPr>
              <w:t>局／所</w:t>
            </w:r>
            <w:r>
              <w:rPr>
                <w:rFonts w:ascii="微軟正黑體" w:eastAsia="微軟正黑體" w:hint="eastAsia"/>
                <w:b/>
                <w:color w:val="231F20"/>
                <w:sz w:val="24"/>
              </w:rPr>
              <w:t> </w:t>
            </w:r>
          </w:p>
        </w:tc>
        <w:tc>
          <w:tcPr>
            <w:tcW w:w="5358" w:type="dxa"/>
            <w:vMerge/>
            <w:tcBorders>
              <w:top w:val="nil"/>
            </w:tcBorders>
            <w:shd w:val="clear" w:color="auto" w:fill="E6E7E8"/>
          </w:tcPr>
          <w:p>
            <w:pPr>
              <w:rPr>
                <w:sz w:val="2"/>
                <w:szCs w:val="2"/>
              </w:rPr>
            </w:pPr>
          </w:p>
        </w:tc>
      </w:tr>
      <w:tr>
        <w:trPr>
          <w:trHeight w:val="851" w:hRule="atLeast"/>
        </w:trPr>
        <w:tc>
          <w:tcPr>
            <w:tcW w:w="970" w:type="dxa"/>
            <w:shd w:val="clear" w:color="auto" w:fill="E6E7E8"/>
          </w:tcPr>
          <w:p>
            <w:pPr>
              <w:pStyle w:val="TableParagraph"/>
              <w:spacing w:before="161"/>
              <w:ind w:left="124"/>
              <w:rPr>
                <w:rFonts w:ascii="微軟正黑體" w:eastAsia="微軟正黑體" w:hint="eastAsia"/>
                <w:b/>
                <w:sz w:val="24"/>
              </w:rPr>
            </w:pPr>
            <w:r>
              <w:rPr>
                <w:rFonts w:ascii="微軟正黑體" w:eastAsia="微軟正黑體" w:hint="eastAsia"/>
                <w:b/>
                <w:color w:val="231F20"/>
                <w:sz w:val="24"/>
              </w:rPr>
              <w:t>檢疫組</w:t>
            </w:r>
          </w:p>
        </w:tc>
        <w:tc>
          <w:tcPr>
            <w:tcW w:w="968" w:type="dxa"/>
            <w:shd w:val="clear" w:color="auto" w:fill="E6E7E8"/>
          </w:tcPr>
          <w:p>
            <w:pPr>
              <w:pStyle w:val="TableParagraph"/>
              <w:spacing w:before="161"/>
              <w:ind w:left="104" w:right="89"/>
              <w:jc w:val="center"/>
              <w:rPr>
                <w:rFonts w:ascii="微軟正黑體" w:eastAsia="微軟正黑體" w:hint="eastAsia"/>
                <w:b/>
                <w:sz w:val="24"/>
              </w:rPr>
            </w:pPr>
            <w:r>
              <w:rPr>
                <w:rFonts w:ascii="微軟正黑體" w:eastAsia="微軟正黑體" w:hint="eastAsia"/>
                <w:b/>
                <w:color w:val="231F20"/>
                <w:sz w:val="24"/>
              </w:rPr>
              <w:t>慢性組</w:t>
            </w:r>
          </w:p>
        </w:tc>
        <w:tc>
          <w:tcPr>
            <w:tcW w:w="1006" w:type="dxa"/>
            <w:shd w:val="clear" w:color="auto" w:fill="E6E7E8"/>
          </w:tcPr>
          <w:p>
            <w:pPr>
              <w:pStyle w:val="TableParagraph"/>
              <w:spacing w:line="218" w:lineRule="auto"/>
              <w:ind w:left="143" w:right="126"/>
              <w:rPr>
                <w:rFonts w:ascii="微軟正黑體" w:eastAsia="微軟正黑體" w:hint="eastAsia"/>
                <w:b/>
                <w:sz w:val="24"/>
              </w:rPr>
            </w:pPr>
            <w:r>
              <w:rPr>
                <w:rFonts w:ascii="微軟正黑體" w:eastAsia="微軟正黑體" w:hint="eastAsia"/>
                <w:b/>
                <w:color w:val="231F20"/>
                <w:sz w:val="24"/>
              </w:rPr>
              <w:t>各區管制中心</w:t>
            </w:r>
          </w:p>
        </w:tc>
        <w:tc>
          <w:tcPr>
            <w:tcW w:w="1318" w:type="dxa"/>
            <w:vMerge/>
            <w:tcBorders>
              <w:top w:val="nil"/>
            </w:tcBorders>
            <w:shd w:val="clear" w:color="auto" w:fill="E6E7E8"/>
          </w:tcPr>
          <w:p>
            <w:pPr>
              <w:rPr>
                <w:sz w:val="2"/>
                <w:szCs w:val="2"/>
              </w:rPr>
            </w:pPr>
          </w:p>
        </w:tc>
        <w:tc>
          <w:tcPr>
            <w:tcW w:w="5358" w:type="dxa"/>
            <w:vMerge/>
            <w:tcBorders>
              <w:top w:val="nil"/>
            </w:tcBorders>
            <w:shd w:val="clear" w:color="auto" w:fill="E6E7E8"/>
          </w:tcPr>
          <w:p>
            <w:pPr>
              <w:rPr>
                <w:sz w:val="2"/>
                <w:szCs w:val="2"/>
              </w:rPr>
            </w:pPr>
          </w:p>
        </w:tc>
      </w:tr>
      <w:tr>
        <w:trPr>
          <w:trHeight w:val="3280" w:hRule="atLeast"/>
        </w:trPr>
        <w:tc>
          <w:tcPr>
            <w:tcW w:w="970" w:type="dxa"/>
          </w:tcPr>
          <w:p>
            <w:pPr>
              <w:pStyle w:val="TableParagraph"/>
              <w:rPr>
                <w:rFonts w:ascii="Times New Roman"/>
                <w:sz w:val="22"/>
              </w:rPr>
            </w:pPr>
          </w:p>
        </w:tc>
        <w:tc>
          <w:tcPr>
            <w:tcW w:w="968" w:type="dxa"/>
          </w:tcPr>
          <w:p>
            <w:pPr>
              <w:pStyle w:val="TableParagraph"/>
              <w:rPr>
                <w:rFonts w:ascii="Times New Roman"/>
                <w:sz w:val="22"/>
              </w:rPr>
            </w:pPr>
          </w:p>
        </w:tc>
        <w:tc>
          <w:tcPr>
            <w:tcW w:w="1006" w:type="dxa"/>
          </w:tcPr>
          <w:p>
            <w:pPr>
              <w:pStyle w:val="TableParagraph"/>
              <w:rPr>
                <w:rFonts w:ascii="Times New Roman"/>
                <w:sz w:val="22"/>
              </w:rPr>
            </w:pPr>
          </w:p>
        </w:tc>
        <w:tc>
          <w:tcPr>
            <w:tcW w:w="1318" w:type="dxa"/>
          </w:tcPr>
          <w:p>
            <w:pPr>
              <w:pStyle w:val="TableParagraph"/>
              <w:spacing w:before="5"/>
              <w:rPr>
                <w:rFonts w:ascii="微軟正黑體"/>
                <w:b/>
                <w:sz w:val="23"/>
              </w:rPr>
            </w:pPr>
          </w:p>
          <w:p>
            <w:pPr>
              <w:pStyle w:val="TableParagraph"/>
              <w:spacing w:before="1"/>
              <w:ind w:left="14"/>
              <w:jc w:val="center"/>
              <w:rPr>
                <w:rFonts w:ascii="新細明體" w:eastAsia="新細明體" w:hint="eastAsia"/>
                <w:sz w:val="24"/>
              </w:rPr>
            </w:pPr>
            <w:r>
              <w:rPr>
                <w:rFonts w:ascii="新細明體" w:eastAsia="新細明體" w:hint="eastAsia"/>
                <w:color w:val="231F20"/>
                <w:sz w:val="24"/>
              </w:rPr>
              <w:t>口</w:t>
            </w:r>
          </w:p>
          <w:p>
            <w:pPr>
              <w:pStyle w:val="TableParagraph"/>
              <w:rPr>
                <w:rFonts w:ascii="微軟正黑體"/>
                <w:b/>
                <w:sz w:val="24"/>
              </w:rPr>
            </w:pPr>
          </w:p>
          <w:p>
            <w:pPr>
              <w:pStyle w:val="TableParagraph"/>
              <w:spacing w:before="9"/>
              <w:rPr>
                <w:rFonts w:ascii="微軟正黑體"/>
                <w:b/>
                <w:sz w:val="23"/>
              </w:rPr>
            </w:pPr>
          </w:p>
          <w:p>
            <w:pPr>
              <w:pStyle w:val="TableParagraph"/>
              <w:spacing w:line="578" w:lineRule="auto"/>
              <w:ind w:left="538" w:right="522"/>
              <w:jc w:val="center"/>
              <w:rPr>
                <w:rFonts w:ascii="新細明體" w:eastAsia="新細明體" w:hint="eastAsia"/>
                <w:sz w:val="24"/>
              </w:rPr>
            </w:pPr>
            <w:r>
              <w:rPr>
                <w:rFonts w:ascii="新細明體" w:eastAsia="新細明體" w:hint="eastAsia"/>
                <w:color w:val="231F20"/>
                <w:sz w:val="24"/>
              </w:rPr>
              <w:t>口口</w:t>
            </w:r>
          </w:p>
        </w:tc>
        <w:tc>
          <w:tcPr>
            <w:tcW w:w="5358" w:type="dxa"/>
          </w:tcPr>
          <w:p>
            <w:pPr>
              <w:pStyle w:val="TableParagraph"/>
              <w:spacing w:line="402" w:lineRule="exact"/>
              <w:ind w:left="112"/>
              <w:rPr>
                <w:rFonts w:ascii="微軟正黑體" w:eastAsia="微軟正黑體" w:hint="eastAsia"/>
                <w:b/>
                <w:sz w:val="24"/>
              </w:rPr>
            </w:pPr>
            <w:r>
              <w:rPr>
                <w:rFonts w:ascii="微軟正黑體" w:eastAsia="微軟正黑體" w:hint="eastAsia"/>
                <w:b/>
                <w:color w:val="231F20"/>
                <w:sz w:val="24"/>
              </w:rPr>
              <w:t>傳染性結核病病人限乘大眾航空器</w:t>
            </w:r>
          </w:p>
          <w:p>
            <w:pPr>
              <w:pStyle w:val="TableParagraph"/>
              <w:numPr>
                <w:ilvl w:val="0"/>
                <w:numId w:val="281"/>
              </w:numPr>
              <w:tabs>
                <w:tab w:pos="357" w:val="left" w:leader="none"/>
              </w:tabs>
              <w:spacing w:line="230" w:lineRule="auto" w:before="11" w:after="0"/>
              <w:ind w:left="356" w:right="90" w:hanging="244"/>
              <w:jc w:val="both"/>
              <w:rPr>
                <w:sz w:val="24"/>
              </w:rPr>
            </w:pPr>
            <w:r>
              <w:rPr>
                <w:color w:val="231F20"/>
                <w:spacing w:val="2"/>
                <w:sz w:val="24"/>
              </w:rPr>
              <w:t>確認個案符合限制條件，於訪視時進行衛教， </w:t>
            </w:r>
            <w:r>
              <w:rPr>
                <w:color w:val="231F20"/>
                <w:spacing w:val="3"/>
                <w:sz w:val="24"/>
              </w:rPr>
              <w:t>並同時發給「限制傳染性結核病病人搭乘大眾</w:t>
            </w:r>
            <w:r>
              <w:rPr>
                <w:color w:val="231F20"/>
                <w:spacing w:val="-2"/>
                <w:sz w:val="24"/>
              </w:rPr>
              <w:t>航空器出國 </w:t>
            </w:r>
            <w:r>
              <w:rPr>
                <w:color w:val="231F20"/>
                <w:w w:val="65"/>
                <w:sz w:val="24"/>
              </w:rPr>
              <w:t>（</w:t>
            </w:r>
            <w:r>
              <w:rPr>
                <w:color w:val="231F20"/>
                <w:spacing w:val="14"/>
                <w:w w:val="65"/>
                <w:sz w:val="24"/>
              </w:rPr>
              <w:t> </w:t>
            </w:r>
            <w:r>
              <w:rPr>
                <w:color w:val="231F20"/>
                <w:spacing w:val="-5"/>
                <w:sz w:val="24"/>
              </w:rPr>
              <w:t>境 ) 通知單」。</w:t>
            </w:r>
          </w:p>
          <w:p>
            <w:pPr>
              <w:pStyle w:val="TableParagraph"/>
              <w:numPr>
                <w:ilvl w:val="0"/>
                <w:numId w:val="281"/>
              </w:numPr>
              <w:tabs>
                <w:tab w:pos="357" w:val="left" w:leader="none"/>
              </w:tabs>
              <w:spacing w:line="230" w:lineRule="auto" w:before="7" w:after="0"/>
              <w:ind w:left="356" w:right="76" w:hanging="244"/>
              <w:jc w:val="both"/>
              <w:rPr>
                <w:sz w:val="24"/>
              </w:rPr>
            </w:pPr>
            <w:r>
              <w:rPr>
                <w:color w:val="231F20"/>
                <w:spacing w:val="16"/>
                <w:sz w:val="24"/>
              </w:rPr>
              <w:t>取得機關存査聯，並於追管系統鍵入交付日</w:t>
            </w:r>
            <w:r>
              <w:rPr>
                <w:color w:val="231F20"/>
                <w:sz w:val="24"/>
              </w:rPr>
              <w:t>期。</w:t>
            </w:r>
          </w:p>
          <w:p>
            <w:pPr>
              <w:pStyle w:val="TableParagraph"/>
              <w:numPr>
                <w:ilvl w:val="0"/>
                <w:numId w:val="281"/>
              </w:numPr>
              <w:tabs>
                <w:tab w:pos="357" w:val="left" w:leader="none"/>
              </w:tabs>
              <w:spacing w:line="230" w:lineRule="auto" w:before="7" w:after="0"/>
              <w:ind w:left="356" w:right="90" w:hanging="244"/>
              <w:jc w:val="both"/>
              <w:rPr>
                <w:sz w:val="24"/>
              </w:rPr>
            </w:pPr>
            <w:r>
              <w:rPr>
                <w:color w:val="231F20"/>
                <w:spacing w:val="3"/>
                <w:sz w:val="24"/>
              </w:rPr>
              <w:t>如接獲通知有限乘對象違反規定，於其入境後</w:t>
            </w:r>
            <w:r>
              <w:rPr>
                <w:color w:val="231F20"/>
                <w:sz w:val="24"/>
              </w:rPr>
              <w:t>依傳染病防治法逕行處置。</w:t>
            </w:r>
          </w:p>
        </w:tc>
      </w:tr>
      <w:tr>
        <w:trPr>
          <w:trHeight w:val="5719" w:hRule="atLeast"/>
        </w:trPr>
        <w:tc>
          <w:tcPr>
            <w:tcW w:w="970" w:type="dxa"/>
          </w:tcPr>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7"/>
              <w:rPr>
                <w:rFonts w:ascii="微軟正黑體"/>
                <w:b/>
                <w:sz w:val="35"/>
              </w:rPr>
            </w:pPr>
          </w:p>
          <w:p>
            <w:pPr>
              <w:pStyle w:val="TableParagraph"/>
              <w:spacing w:line="292" w:lineRule="auto"/>
              <w:ind w:left="364" w:right="348"/>
              <w:jc w:val="center"/>
              <w:rPr>
                <w:rFonts w:ascii="新細明體" w:eastAsia="新細明體" w:hint="eastAsia"/>
                <w:sz w:val="24"/>
              </w:rPr>
            </w:pPr>
            <w:r>
              <w:rPr>
                <w:rFonts w:ascii="新細明體" w:eastAsia="新細明體" w:hint="eastAsia"/>
                <w:color w:val="231F20"/>
                <w:sz w:val="24"/>
              </w:rPr>
              <w:t>口口</w:t>
            </w:r>
          </w:p>
          <w:p>
            <w:pPr>
              <w:pStyle w:val="TableParagraph"/>
              <w:spacing w:before="15"/>
              <w:rPr>
                <w:rFonts w:ascii="微軟正黑體"/>
                <w:b/>
                <w:sz w:val="21"/>
              </w:rPr>
            </w:pPr>
          </w:p>
          <w:p>
            <w:pPr>
              <w:pStyle w:val="TableParagraph"/>
              <w:ind w:left="14"/>
              <w:jc w:val="center"/>
              <w:rPr>
                <w:rFonts w:ascii="新細明體" w:eastAsia="新細明體" w:hint="eastAsia"/>
                <w:sz w:val="24"/>
              </w:rPr>
            </w:pPr>
            <w:r>
              <w:rPr>
                <w:rFonts w:ascii="新細明體" w:eastAsia="新細明體" w:hint="eastAsia"/>
                <w:color w:val="231F20"/>
                <w:sz w:val="24"/>
              </w:rPr>
              <w:t>口</w:t>
            </w:r>
          </w:p>
        </w:tc>
        <w:tc>
          <w:tcPr>
            <w:tcW w:w="968" w:type="dxa"/>
          </w:tcPr>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7"/>
              <w:rPr>
                <w:rFonts w:ascii="微軟正黑體"/>
                <w:b/>
                <w:sz w:val="15"/>
              </w:rPr>
            </w:pPr>
          </w:p>
          <w:p>
            <w:pPr>
              <w:pStyle w:val="TableParagraph"/>
              <w:ind w:left="15"/>
              <w:jc w:val="center"/>
              <w:rPr>
                <w:rFonts w:ascii="新細明體" w:eastAsia="新細明體" w:hint="eastAsia"/>
                <w:sz w:val="24"/>
              </w:rPr>
            </w:pPr>
            <w:r>
              <w:rPr>
                <w:rFonts w:ascii="新細明體" w:eastAsia="新細明體" w:hint="eastAsia"/>
                <w:color w:val="231F20"/>
                <w:sz w:val="24"/>
              </w:rPr>
              <w:t>口</w:t>
            </w:r>
          </w:p>
        </w:tc>
        <w:tc>
          <w:tcPr>
            <w:tcW w:w="1006" w:type="dxa"/>
          </w:tcPr>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7"/>
              <w:rPr>
                <w:rFonts w:ascii="微軟正黑體"/>
                <w:b/>
                <w:sz w:val="35"/>
              </w:rPr>
            </w:pPr>
          </w:p>
          <w:p>
            <w:pPr>
              <w:pStyle w:val="TableParagraph"/>
              <w:spacing w:line="292" w:lineRule="auto"/>
              <w:ind w:left="383" w:right="365"/>
              <w:jc w:val="center"/>
              <w:rPr>
                <w:rFonts w:ascii="新細明體" w:eastAsia="新細明體" w:hint="eastAsia"/>
                <w:sz w:val="24"/>
              </w:rPr>
            </w:pPr>
            <w:r>
              <w:rPr>
                <w:rFonts w:ascii="新細明體" w:eastAsia="新細明體" w:hint="eastAsia"/>
                <w:color w:val="231F20"/>
                <w:sz w:val="24"/>
              </w:rPr>
              <w:t>口口</w:t>
            </w:r>
          </w:p>
          <w:p>
            <w:pPr>
              <w:pStyle w:val="TableParagraph"/>
              <w:spacing w:before="15"/>
              <w:rPr>
                <w:rFonts w:ascii="微軟正黑體"/>
                <w:b/>
                <w:sz w:val="21"/>
              </w:rPr>
            </w:pPr>
          </w:p>
          <w:p>
            <w:pPr>
              <w:pStyle w:val="TableParagraph"/>
              <w:ind w:left="15"/>
              <w:jc w:val="center"/>
              <w:rPr>
                <w:rFonts w:ascii="新細明體" w:eastAsia="新細明體" w:hint="eastAsia"/>
                <w:sz w:val="24"/>
              </w:rPr>
            </w:pPr>
            <w:r>
              <w:rPr>
                <w:rFonts w:ascii="新細明體" w:eastAsia="新細明體" w:hint="eastAsia"/>
                <w:color w:val="231F20"/>
                <w:sz w:val="24"/>
              </w:rPr>
              <w:t>口</w:t>
            </w:r>
          </w:p>
        </w:tc>
        <w:tc>
          <w:tcPr>
            <w:tcW w:w="1318" w:type="dxa"/>
          </w:tcPr>
          <w:p>
            <w:pPr>
              <w:pStyle w:val="TableParagraph"/>
              <w:spacing w:before="5"/>
              <w:rPr>
                <w:rFonts w:ascii="微軟正黑體"/>
                <w:b/>
                <w:sz w:val="23"/>
              </w:rPr>
            </w:pPr>
          </w:p>
          <w:p>
            <w:pPr>
              <w:pStyle w:val="TableParagraph"/>
              <w:spacing w:line="578" w:lineRule="auto" w:before="1"/>
              <w:ind w:left="538" w:right="522"/>
              <w:jc w:val="center"/>
              <w:rPr>
                <w:rFonts w:ascii="新細明體" w:eastAsia="新細明體" w:hint="eastAsia"/>
                <w:sz w:val="24"/>
              </w:rPr>
            </w:pPr>
            <w:r>
              <w:rPr>
                <w:rFonts w:ascii="新細明體" w:eastAsia="新細明體" w:hint="eastAsia"/>
                <w:color w:val="231F20"/>
                <w:sz w:val="24"/>
              </w:rPr>
              <w:t>口口</w:t>
            </w: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rPr>
                <w:rFonts w:ascii="微軟正黑體"/>
                <w:b/>
                <w:sz w:val="24"/>
              </w:rPr>
            </w:pPr>
          </w:p>
          <w:p>
            <w:pPr>
              <w:pStyle w:val="TableParagraph"/>
              <w:spacing w:before="8"/>
              <w:rPr>
                <w:rFonts w:ascii="微軟正黑體"/>
                <w:b/>
                <w:sz w:val="34"/>
              </w:rPr>
            </w:pPr>
          </w:p>
          <w:p>
            <w:pPr>
              <w:pStyle w:val="TableParagraph"/>
              <w:spacing w:before="1"/>
              <w:ind w:left="14"/>
              <w:jc w:val="center"/>
              <w:rPr>
                <w:rFonts w:ascii="新細明體" w:eastAsia="新細明體" w:hint="eastAsia"/>
                <w:sz w:val="24"/>
              </w:rPr>
            </w:pPr>
            <w:r>
              <w:rPr>
                <w:rFonts w:ascii="新細明體" w:eastAsia="新細明體" w:hint="eastAsia"/>
                <w:color w:val="231F20"/>
                <w:sz w:val="24"/>
              </w:rPr>
              <w:t>口</w:t>
            </w:r>
          </w:p>
        </w:tc>
        <w:tc>
          <w:tcPr>
            <w:tcW w:w="5358" w:type="dxa"/>
          </w:tcPr>
          <w:p>
            <w:pPr>
              <w:pStyle w:val="TableParagraph"/>
              <w:spacing w:line="402" w:lineRule="exact"/>
              <w:ind w:left="112"/>
              <w:rPr>
                <w:rFonts w:ascii="微軟正黑體" w:eastAsia="微軟正黑體" w:hint="eastAsia"/>
                <w:b/>
                <w:sz w:val="24"/>
              </w:rPr>
            </w:pPr>
            <w:r>
              <w:rPr>
                <w:rFonts w:ascii="微軟正黑體" w:eastAsia="微軟正黑體" w:hint="eastAsia"/>
                <w:b/>
                <w:color w:val="231F20"/>
                <w:sz w:val="24"/>
              </w:rPr>
              <w:t>結核病航空器接觸者追蹤</w:t>
            </w:r>
          </w:p>
          <w:p>
            <w:pPr>
              <w:pStyle w:val="TableParagraph"/>
              <w:numPr>
                <w:ilvl w:val="0"/>
                <w:numId w:val="282"/>
              </w:numPr>
              <w:tabs>
                <w:tab w:pos="357" w:val="left" w:leader="none"/>
              </w:tabs>
              <w:spacing w:line="230" w:lineRule="auto" w:before="11" w:after="0"/>
              <w:ind w:left="356" w:right="79" w:hanging="244"/>
              <w:jc w:val="left"/>
              <w:rPr>
                <w:sz w:val="24"/>
              </w:rPr>
            </w:pPr>
            <w:r>
              <w:rPr>
                <w:color w:val="231F20"/>
                <w:spacing w:val="14"/>
                <w:sz w:val="24"/>
              </w:rPr>
              <w:t>獲知有結核病個案於 </w:t>
            </w:r>
            <w:r>
              <w:rPr>
                <w:color w:val="231F20"/>
                <w:sz w:val="24"/>
              </w:rPr>
              <w:t>3</w:t>
            </w:r>
            <w:r>
              <w:rPr>
                <w:color w:val="231F20"/>
                <w:spacing w:val="14"/>
                <w:sz w:val="24"/>
              </w:rPr>
              <w:t> 個月內搭乘大眾航空</w:t>
            </w:r>
            <w:r>
              <w:rPr>
                <w:color w:val="231F20"/>
                <w:sz w:val="24"/>
              </w:rPr>
              <w:t>器，進行風險評估。</w:t>
            </w:r>
          </w:p>
          <w:p>
            <w:pPr>
              <w:pStyle w:val="TableParagraph"/>
              <w:numPr>
                <w:ilvl w:val="0"/>
                <w:numId w:val="282"/>
              </w:numPr>
              <w:tabs>
                <w:tab w:pos="357" w:val="left" w:leader="none"/>
              </w:tabs>
              <w:spacing w:line="230" w:lineRule="auto" w:before="8" w:after="0"/>
              <w:ind w:left="356" w:right="91" w:hanging="244"/>
              <w:jc w:val="left"/>
              <w:rPr>
                <w:sz w:val="24"/>
              </w:rPr>
            </w:pPr>
            <w:r>
              <w:rPr>
                <w:color w:val="231F20"/>
                <w:spacing w:val="2"/>
                <w:sz w:val="24"/>
              </w:rPr>
              <w:t>檢附個案相關資料，函文各區管制中心，並副</w:t>
            </w:r>
            <w:r>
              <w:rPr>
                <w:color w:val="231F20"/>
                <w:sz w:val="24"/>
              </w:rPr>
              <w:t>知本署慢性組、檢疫組。</w:t>
            </w:r>
          </w:p>
          <w:p>
            <w:pPr>
              <w:pStyle w:val="TableParagraph"/>
              <w:numPr>
                <w:ilvl w:val="0"/>
                <w:numId w:val="282"/>
              </w:numPr>
              <w:tabs>
                <w:tab w:pos="357" w:val="left" w:leader="none"/>
              </w:tabs>
              <w:spacing w:line="230" w:lineRule="auto" w:before="8" w:after="0"/>
              <w:ind w:left="356" w:right="79" w:hanging="244"/>
              <w:jc w:val="left"/>
              <w:rPr>
                <w:sz w:val="24"/>
              </w:rPr>
            </w:pPr>
            <w:r>
              <w:rPr>
                <w:color w:val="231F20"/>
                <w:spacing w:val="17"/>
                <w:sz w:val="24"/>
              </w:rPr>
              <w:t>獲知國外結核病指標個案或航空器接觸者名</w:t>
            </w:r>
            <w:r>
              <w:rPr>
                <w:color w:val="231F20"/>
                <w:sz w:val="24"/>
              </w:rPr>
              <w:t>單，評估是否啟動接觸者追蹤。</w:t>
            </w:r>
          </w:p>
          <w:p>
            <w:pPr>
              <w:pStyle w:val="TableParagraph"/>
              <w:numPr>
                <w:ilvl w:val="0"/>
                <w:numId w:val="282"/>
              </w:numPr>
              <w:tabs>
                <w:tab w:pos="357" w:val="left" w:leader="none"/>
              </w:tabs>
              <w:spacing w:line="410" w:lineRule="exact" w:before="0" w:after="0"/>
              <w:ind w:left="356" w:right="0" w:hanging="245"/>
              <w:jc w:val="left"/>
              <w:rPr>
                <w:sz w:val="24"/>
              </w:rPr>
            </w:pPr>
            <w:r>
              <w:rPr>
                <w:color w:val="231F20"/>
                <w:sz w:val="24"/>
              </w:rPr>
              <w:t>査詢接觸者戶籍資料。</w:t>
            </w:r>
          </w:p>
          <w:p>
            <w:pPr>
              <w:pStyle w:val="TableParagraph"/>
              <w:numPr>
                <w:ilvl w:val="0"/>
                <w:numId w:val="282"/>
              </w:numPr>
              <w:tabs>
                <w:tab w:pos="357" w:val="left" w:leader="none"/>
              </w:tabs>
              <w:spacing w:line="230" w:lineRule="auto" w:before="7" w:after="0"/>
              <w:ind w:left="356" w:right="91" w:hanging="244"/>
              <w:jc w:val="left"/>
              <w:rPr>
                <w:sz w:val="24"/>
              </w:rPr>
            </w:pPr>
            <w:r>
              <w:rPr>
                <w:color w:val="231F20"/>
                <w:spacing w:val="2"/>
                <w:sz w:val="24"/>
              </w:rPr>
              <w:t>確認指標個案條件，聯繫航空公司，確認艙單</w:t>
            </w:r>
            <w:r>
              <w:rPr>
                <w:color w:val="231F20"/>
                <w:sz w:val="24"/>
              </w:rPr>
              <w:t>調閱範圍，逕行於系統調閱。</w:t>
            </w:r>
          </w:p>
          <w:p>
            <w:pPr>
              <w:pStyle w:val="TableParagraph"/>
              <w:numPr>
                <w:ilvl w:val="0"/>
                <w:numId w:val="282"/>
              </w:numPr>
              <w:tabs>
                <w:tab w:pos="357" w:val="left" w:leader="none"/>
              </w:tabs>
              <w:spacing w:line="230" w:lineRule="auto" w:before="8" w:after="0"/>
              <w:ind w:left="356" w:right="90" w:hanging="244"/>
              <w:jc w:val="left"/>
              <w:rPr>
                <w:sz w:val="24"/>
              </w:rPr>
            </w:pPr>
            <w:r>
              <w:rPr>
                <w:color w:val="231F20"/>
                <w:spacing w:val="3"/>
                <w:sz w:val="24"/>
              </w:rPr>
              <w:t>依旅客戶籍資料，將航空器接觸者名單分送該</w:t>
            </w:r>
            <w:r>
              <w:rPr>
                <w:color w:val="231F20"/>
                <w:sz w:val="24"/>
              </w:rPr>
              <w:t>管地方衛生局。</w:t>
            </w:r>
          </w:p>
          <w:p>
            <w:pPr>
              <w:pStyle w:val="TableParagraph"/>
              <w:numPr>
                <w:ilvl w:val="0"/>
                <w:numId w:val="282"/>
              </w:numPr>
              <w:tabs>
                <w:tab w:pos="357" w:val="left" w:leader="none"/>
              </w:tabs>
              <w:spacing w:line="230" w:lineRule="auto" w:before="7" w:after="0"/>
              <w:ind w:left="356" w:right="90" w:hanging="244"/>
              <w:jc w:val="left"/>
              <w:rPr>
                <w:sz w:val="24"/>
              </w:rPr>
            </w:pPr>
            <w:r>
              <w:rPr>
                <w:color w:val="231F20"/>
                <w:spacing w:val="3"/>
                <w:sz w:val="24"/>
              </w:rPr>
              <w:t>完成大眾航空器接觸者資料建檔，進行衛教及</w:t>
            </w:r>
            <w:r>
              <w:rPr>
                <w:color w:val="231F20"/>
                <w:sz w:val="24"/>
              </w:rPr>
              <w:t>追蹤檢査。</w:t>
            </w:r>
          </w:p>
        </w:tc>
      </w:tr>
    </w:tbl>
    <w:p>
      <w:pPr>
        <w:spacing w:after="0" w:line="230" w:lineRule="auto"/>
        <w:jc w:val="left"/>
        <w:rPr>
          <w:sz w:val="24"/>
        </w:rPr>
        <w:sectPr>
          <w:pgSz w:w="11910" w:h="16840"/>
          <w:pgMar w:top="1080" w:bottom="0" w:left="980" w:right="0"/>
        </w:sectPr>
      </w:pPr>
    </w:p>
    <w:p>
      <w:pPr>
        <w:pStyle w:val="BodyText"/>
        <w:spacing w:before="16"/>
        <w:rPr>
          <w:rFonts w:ascii="微軟正黑體"/>
          <w:b/>
          <w:sz w:val="10"/>
        </w:rPr>
      </w:pPr>
      <w:r>
        <w:rPr/>
        <w:pict>
          <v:group style="position:absolute;margin-left:-.000001pt;margin-top:367.170013pt;width:37.35pt;height:474.55pt;mso-position-horizontal-relative:page;mso-position-vertical-relative:page;z-index:252126208" coordorigin="0,7343" coordsize="747,9491">
            <v:shape style="position:absolute;left:178;top:7854;width:439;height:8980" type="#_x0000_t75" stroked="false">
              <v:imagedata r:id="rId444" o:title=""/>
            </v:shape>
            <v:shape style="position:absolute;left:0;top:7343;width:747;height:812" coordorigin="0,7343" coordsize="747,812" path="m365,7343l0,7343,0,8155,365,8155,387,8152,447,8119,713,7836,747,7749,738,7703,447,7380,387,7346,365,7343xe" filled="true" fillcolor="#7c8ac4" stroked="false">
              <v:path arrowok="t"/>
              <v:fill type="solid"/>
            </v:shape>
            <v:shape style="position:absolute;left:216;top:7610;width:377;height:278" type="#_x0000_t75" stroked="false">
              <v:imagedata r:id="rId449" o:title=""/>
            </v:shape>
            <v:shape style="position:absolute;left:273;top:8304;width:251;height:5720" type="#_x0000_t75" stroked="false">
              <v:imagedata r:id="rId447"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152</w:t>
                    </w:r>
                  </w:p>
                </w:txbxContent>
              </v:textbox>
              <w10:wrap type="none"/>
            </v:shape>
            <w10:wrap type="none"/>
          </v:group>
        </w:pict>
      </w:r>
    </w:p>
    <w:p>
      <w:pPr>
        <w:spacing w:after="0"/>
        <w:rPr>
          <w:rFonts w:ascii="微軟正黑體"/>
          <w:sz w:val="10"/>
        </w:rPr>
        <w:sectPr>
          <w:pgSz w:w="11910" w:h="16840"/>
          <w:pgMar w:top="1600" w:bottom="0" w:left="980" w:right="0"/>
        </w:sectPr>
      </w:pPr>
    </w:p>
    <w:p>
      <w:pPr>
        <w:spacing w:line="581" w:lineRule="exact" w:before="0"/>
        <w:ind w:left="2531" w:right="0" w:firstLine="0"/>
        <w:jc w:val="left"/>
        <w:rPr>
          <w:rFonts w:ascii="微軟正黑體" w:eastAsia="微軟正黑體" w:hint="eastAsia"/>
          <w:b/>
          <w:sz w:val="32"/>
        </w:rPr>
      </w:pPr>
      <w:r>
        <w:rPr>
          <w:rFonts w:ascii="微軟正黑體" w:eastAsia="微軟正黑體" w:hint="eastAsia"/>
          <w:b/>
          <w:color w:val="231F20"/>
          <w:sz w:val="32"/>
        </w:rPr>
        <w:t>第十四章 防治資源及診療諮詢小組</w:t>
      </w:r>
    </w:p>
    <w:p>
      <w:pPr>
        <w:pStyle w:val="BodyText"/>
        <w:spacing w:before="6"/>
        <w:rPr>
          <w:rFonts w:ascii="微軟正黑體"/>
          <w:b/>
          <w:sz w:val="13"/>
        </w:rPr>
      </w:pPr>
    </w:p>
    <w:p>
      <w:pPr>
        <w:spacing w:line="436" w:lineRule="exact" w:before="39"/>
        <w:ind w:left="153" w:right="0" w:firstLine="0"/>
        <w:jc w:val="left"/>
        <w:rPr>
          <w:rFonts w:ascii="微軟正黑體" w:eastAsia="微軟正黑體" w:hint="eastAsia"/>
          <w:b/>
          <w:sz w:val="24"/>
        </w:rPr>
      </w:pPr>
      <w:r>
        <w:rPr>
          <w:rFonts w:ascii="微軟正黑體" w:eastAsia="微軟正黑體" w:hint="eastAsia"/>
          <w:b/>
          <w:color w:val="231F20"/>
          <w:sz w:val="24"/>
        </w:rPr>
        <w:t>壹、目的</w:t>
      </w:r>
    </w:p>
    <w:p>
      <w:pPr>
        <w:pStyle w:val="BodyText"/>
        <w:spacing w:line="413" w:lineRule="exact"/>
        <w:ind w:left="1116"/>
      </w:pPr>
      <w:r>
        <w:rPr>
          <w:color w:val="231F20"/>
        </w:rPr>
        <w:t>本章節就結核病個案相關補助包含：醫療費用補助、慢性傳染性結核病病人住院補</w:t>
      </w:r>
    </w:p>
    <w:p>
      <w:pPr>
        <w:pStyle w:val="BodyText"/>
        <w:spacing w:line="230" w:lineRule="auto"/>
        <w:ind w:left="635" w:right="1136"/>
        <w:jc w:val="both"/>
      </w:pPr>
      <w:r>
        <w:rPr>
          <w:color w:val="231F20"/>
        </w:rPr>
        <w:t>助、原住民結核病人完治獎金、結核病經濟困難個案補助、急難紓困等，以及各層級結核病診療諮詢小組運作與抗結核公費藥申請作業等進行說明。主要目的為提供資源以減少就醫經濟障礙，並鼓勵醫療院所收治結核病病人，有效率地完成結核病治療，減少結核病之傳染。</w:t>
      </w:r>
    </w:p>
    <w:p>
      <w:pPr>
        <w:pStyle w:val="BodyText"/>
        <w:spacing w:before="11"/>
        <w:rPr>
          <w:sz w:val="19"/>
        </w:rPr>
      </w:pPr>
    </w:p>
    <w:p>
      <w:pPr>
        <w:pStyle w:val="Heading2"/>
      </w:pPr>
      <w:r>
        <w:rPr>
          <w:color w:val="231F20"/>
        </w:rPr>
        <w:t>貳、補助資源</w:t>
      </w:r>
    </w:p>
    <w:p>
      <w:pPr>
        <w:pStyle w:val="BodyText"/>
        <w:spacing w:line="230" w:lineRule="auto" w:before="7"/>
        <w:ind w:left="635" w:right="1135" w:firstLine="481"/>
        <w:jc w:val="both"/>
      </w:pPr>
      <w:r>
        <w:rPr>
          <w:color w:val="231F20"/>
        </w:rPr>
        <w:t>公衛人員於結核病個案管理期間，評估個案之經濟狀況，如有社會救助需求，提供資訊並協助申請；申請時並請於結核病追蹤管理系統</w:t>
      </w:r>
      <w:r>
        <w:rPr>
          <w:color w:val="231F20"/>
          <w:w w:val="110"/>
        </w:rPr>
        <w:t>(下稱</w:t>
      </w:r>
      <w:r>
        <w:rPr>
          <w:color w:val="231F20"/>
        </w:rPr>
        <w:t>TB 系統)個案管理</w:t>
      </w:r>
      <w:r>
        <w:rPr>
          <w:color w:val="231F20"/>
          <w:w w:val="75"/>
        </w:rPr>
        <w:t>／ </w:t>
      </w:r>
      <w:r>
        <w:rPr>
          <w:color w:val="231F20"/>
        </w:rPr>
        <w:t>社會救助轉介申請項下之「個案輔導轉介社會救助申請作業」進行新增及維護申請狀態，以下就常見資源類別重點介紹：</w:t>
      </w:r>
    </w:p>
    <w:p>
      <w:pPr>
        <w:pStyle w:val="BodyText"/>
        <w:spacing w:line="392" w:lineRule="exact"/>
        <w:ind w:left="391"/>
      </w:pPr>
      <w:r>
        <w:rPr>
          <w:color w:val="231F20"/>
        </w:rPr>
        <w:t>—、醫療費用補助</w:t>
      </w:r>
    </w:p>
    <w:p>
      <w:pPr>
        <w:pStyle w:val="BodyText"/>
        <w:tabs>
          <w:tab w:pos="1349" w:val="left" w:leader="none"/>
        </w:tabs>
        <w:spacing w:line="230" w:lineRule="auto" w:before="2"/>
        <w:ind w:left="1349" w:right="1136" w:hanging="720"/>
      </w:pPr>
      <w:r>
        <w:rPr/>
        <w:pict>
          <v:group style="position:absolute;margin-left:557.686523pt;margin-top:36.151588pt;width:37.35pt;height:447.55pt;mso-position-horizontal-relative:page;mso-position-vertical-relative:paragraph;z-index:252128256" coordorigin="11154,723" coordsize="747,8951">
            <v:shape style="position:absolute;left:11283;top:1234;width:439;height:8439" type="#_x0000_t75" stroked="false">
              <v:imagedata r:id="rId450" o:title=""/>
            </v:shape>
            <v:shape style="position:absolute;left:11153;top:723;width:747;height:812" coordorigin="11154,723" coordsize="747,812" path="m11900,723l11536,723,11514,725,11454,759,11188,1041,11154,1129,11162,1175,11454,1498,11514,1532,11536,1534,11900,1534,11900,723xe" filled="true" fillcolor="#8ebe3f" stroked="false">
              <v:path arrowok="t"/>
              <v:fill type="solid"/>
            </v:shape>
            <v:shape style="position:absolute;left:11321;top:990;width:384;height:273" type="#_x0000_t75" stroked="false">
              <v:imagedata r:id="rId451" o:title=""/>
            </v:shape>
            <v:shape style="position:absolute;left:11379;top:1670;width:251;height:3607" type="#_x0000_t75" stroked="false">
              <v:imagedata r:id="rId452" o:title=""/>
            </v:shape>
            <v:shape style="position:absolute;left:11368;top:911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153</w:t>
                    </w:r>
                  </w:p>
                </w:txbxContent>
              </v:textbox>
              <w10:wrap type="none"/>
            </v:shape>
            <w10:wrap type="none"/>
          </v:group>
        </w:pict>
      </w:r>
      <w:r>
        <w:rPr>
          <w:color w:val="231F20"/>
          <w:w w:val="70"/>
        </w:rPr>
        <w:t>（</w:t>
      </w:r>
      <w:r>
        <w:rPr>
          <w:color w:val="231F20"/>
          <w:spacing w:val="-11"/>
          <w:w w:val="70"/>
        </w:rPr>
        <w:t> </w:t>
      </w:r>
      <w:r>
        <w:rPr>
          <w:color w:val="231F20"/>
          <w:spacing w:val="-13"/>
          <w:w w:val="110"/>
        </w:rPr>
        <w:t>— )</w:t>
      </w:r>
      <w:r>
        <w:rPr>
          <w:color w:val="231F20"/>
          <w:w w:val="110"/>
        </w:rPr>
        <w:tab/>
      </w:r>
      <w:r>
        <w:rPr>
          <w:color w:val="231F20"/>
          <w:spacing w:val="7"/>
        </w:rPr>
        <w:t>依據：傳染病防治法第 </w:t>
      </w:r>
      <w:r>
        <w:rPr>
          <w:color w:val="231F20"/>
        </w:rPr>
        <w:t>44</w:t>
      </w:r>
      <w:r>
        <w:rPr>
          <w:color w:val="231F20"/>
          <w:spacing w:val="6"/>
        </w:rPr>
        <w:t> 條、衛生福利部結核病防治費用補助要點(附件 </w:t>
      </w:r>
      <w:r>
        <w:rPr>
          <w:color w:val="231F20"/>
          <w:spacing w:val="-6"/>
        </w:rPr>
        <w:t>14- </w:t>
      </w:r>
      <w:r>
        <w:rPr>
          <w:color w:val="231F20"/>
          <w:w w:val="160"/>
        </w:rPr>
        <w:t>1)</w:t>
      </w:r>
    </w:p>
    <w:p>
      <w:pPr>
        <w:pStyle w:val="BodyText"/>
        <w:tabs>
          <w:tab w:pos="1349" w:val="left" w:leader="none"/>
        </w:tabs>
        <w:spacing w:line="404" w:lineRule="exact"/>
        <w:ind w:left="629"/>
      </w:pPr>
      <w:r>
        <w:rPr/>
        <w:pict>
          <v:shape style="position:absolute;margin-left:116.452003pt;margin-top:17.842402pt;width:423.15pt;height:290.6pt;mso-position-horizontal-relative:page;mso-position-vertical-relative:paragraph;z-index:25212928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4045"/>
                    <w:gridCol w:w="4396"/>
                  </w:tblGrid>
                  <w:tr>
                    <w:trPr>
                      <w:trHeight w:val="851" w:hRule="atLeast"/>
                    </w:trPr>
                    <w:tc>
                      <w:tcPr>
                        <w:tcW w:w="4045" w:type="dxa"/>
                        <w:shd w:val="clear" w:color="auto" w:fill="E6E7E8"/>
                      </w:tcPr>
                      <w:p>
                        <w:pPr>
                          <w:pStyle w:val="TableParagraph"/>
                          <w:spacing w:line="421" w:lineRule="exact"/>
                          <w:ind w:left="143" w:right="130"/>
                          <w:jc w:val="center"/>
                          <w:rPr>
                            <w:rFonts w:ascii="微軟正黑體" w:eastAsia="微軟正黑體" w:hint="eastAsia"/>
                            <w:b/>
                            <w:sz w:val="24"/>
                          </w:rPr>
                        </w:pPr>
                        <w:r>
                          <w:rPr>
                            <w:rFonts w:ascii="微軟正黑體" w:eastAsia="微軟正黑體" w:hint="eastAsia"/>
                            <w:b/>
                            <w:color w:val="231F20"/>
                            <w:sz w:val="24"/>
                          </w:rPr>
                          <w:t>補助對象及條件 -</w:t>
                        </w:r>
                      </w:p>
                      <w:p>
                        <w:pPr>
                          <w:pStyle w:val="TableParagraph"/>
                          <w:spacing w:line="411" w:lineRule="exact"/>
                          <w:ind w:left="143" w:right="130"/>
                          <w:jc w:val="center"/>
                          <w:rPr>
                            <w:rFonts w:ascii="微軟正黑體" w:eastAsia="微軟正黑體" w:hint="eastAsia"/>
                            <w:b/>
                            <w:sz w:val="24"/>
                          </w:rPr>
                        </w:pPr>
                        <w:r>
                          <w:rPr>
                            <w:rFonts w:ascii="微軟正黑體" w:eastAsia="微軟正黑體" w:hint="eastAsia"/>
                            <w:b/>
                            <w:color w:val="231F20"/>
                            <w:sz w:val="24"/>
                          </w:rPr>
                          <w:t>TB 系統登記列管者．不限本國國民</w:t>
                        </w:r>
                      </w:p>
                    </w:tc>
                    <w:tc>
                      <w:tcPr>
                        <w:tcW w:w="4396" w:type="dxa"/>
                        <w:shd w:val="clear" w:color="auto" w:fill="E6E7E8"/>
                      </w:tcPr>
                      <w:p>
                        <w:pPr>
                          <w:pStyle w:val="TableParagraph"/>
                          <w:spacing w:before="200"/>
                          <w:ind w:left="1697" w:right="1684"/>
                          <w:jc w:val="center"/>
                          <w:rPr>
                            <w:rFonts w:ascii="微軟正黑體" w:eastAsia="微軟正黑體" w:hint="eastAsia"/>
                            <w:b/>
                            <w:sz w:val="24"/>
                          </w:rPr>
                        </w:pPr>
                        <w:r>
                          <w:rPr>
                            <w:rFonts w:ascii="微軟正黑體" w:eastAsia="微軟正黑體" w:hint="eastAsia"/>
                            <w:b/>
                            <w:color w:val="231F20"/>
                            <w:sz w:val="24"/>
                          </w:rPr>
                          <w:t>補助項目</w:t>
                        </w:r>
                      </w:p>
                    </w:tc>
                  </w:tr>
                  <w:tr>
                    <w:trPr>
                      <w:trHeight w:val="1651" w:hRule="atLeast"/>
                    </w:trPr>
                    <w:tc>
                      <w:tcPr>
                        <w:tcW w:w="4045" w:type="dxa"/>
                      </w:tcPr>
                      <w:p>
                        <w:pPr>
                          <w:pStyle w:val="TableParagraph"/>
                          <w:numPr>
                            <w:ilvl w:val="0"/>
                            <w:numId w:val="283"/>
                          </w:numPr>
                          <w:tabs>
                            <w:tab w:pos="341" w:val="left" w:leader="none"/>
                          </w:tabs>
                          <w:spacing w:line="230" w:lineRule="auto" w:before="43" w:after="0"/>
                          <w:ind w:left="339" w:right="67" w:hanging="255"/>
                          <w:jc w:val="left"/>
                          <w:rPr>
                            <w:sz w:val="24"/>
                          </w:rPr>
                        </w:pPr>
                        <w:r>
                          <w:rPr>
                            <w:color w:val="231F20"/>
                            <w:w w:val="110"/>
                            <w:sz w:val="24"/>
                          </w:rPr>
                          <w:t>結核病(含疑似)病人，主診斷碼</w:t>
                        </w:r>
                        <w:r>
                          <w:rPr>
                            <w:color w:val="231F20"/>
                            <w:spacing w:val="-8"/>
                            <w:w w:val="110"/>
                            <w:sz w:val="24"/>
                          </w:rPr>
                          <w:t>為 </w:t>
                        </w:r>
                        <w:r>
                          <w:rPr>
                            <w:color w:val="231F20"/>
                            <w:w w:val="110"/>
                            <w:sz w:val="24"/>
                          </w:rPr>
                          <w:t>A15-A19</w:t>
                        </w:r>
                      </w:p>
                      <w:p>
                        <w:pPr>
                          <w:pStyle w:val="TableParagraph"/>
                          <w:numPr>
                            <w:ilvl w:val="0"/>
                            <w:numId w:val="283"/>
                          </w:numPr>
                          <w:tabs>
                            <w:tab w:pos="340" w:val="left" w:leader="none"/>
                          </w:tabs>
                          <w:spacing w:line="404" w:lineRule="exact" w:before="0" w:after="0"/>
                          <w:ind w:left="339" w:right="0" w:hanging="256"/>
                          <w:jc w:val="left"/>
                          <w:rPr>
                            <w:sz w:val="24"/>
                          </w:rPr>
                        </w:pPr>
                        <w:r>
                          <w:rPr>
                            <w:color w:val="231F20"/>
                            <w:sz w:val="24"/>
                          </w:rPr>
                          <w:t>由健保署特約醫事服務機構申報</w:t>
                        </w:r>
                      </w:p>
                    </w:tc>
                    <w:tc>
                      <w:tcPr>
                        <w:tcW w:w="4396" w:type="dxa"/>
                      </w:tcPr>
                      <w:p>
                        <w:pPr>
                          <w:pStyle w:val="TableParagraph"/>
                          <w:numPr>
                            <w:ilvl w:val="0"/>
                            <w:numId w:val="284"/>
                          </w:numPr>
                          <w:tabs>
                            <w:tab w:pos="340" w:val="left" w:leader="none"/>
                          </w:tabs>
                          <w:spacing w:line="409" w:lineRule="exact" w:before="31" w:after="0"/>
                          <w:ind w:left="339" w:right="0" w:hanging="256"/>
                          <w:jc w:val="left"/>
                          <w:rPr>
                            <w:sz w:val="24"/>
                          </w:rPr>
                        </w:pPr>
                        <w:r>
                          <w:rPr>
                            <w:color w:val="231F20"/>
                            <w:sz w:val="24"/>
                          </w:rPr>
                          <w:t>健保申報費用部分負擔</w:t>
                        </w:r>
                      </w:p>
                      <w:p>
                        <w:pPr>
                          <w:pStyle w:val="TableParagraph"/>
                          <w:numPr>
                            <w:ilvl w:val="0"/>
                            <w:numId w:val="284"/>
                          </w:numPr>
                          <w:tabs>
                            <w:tab w:pos="340" w:val="left" w:leader="none"/>
                          </w:tabs>
                          <w:spacing w:line="230" w:lineRule="auto" w:before="3" w:after="0"/>
                          <w:ind w:left="339" w:right="59" w:hanging="255"/>
                          <w:jc w:val="left"/>
                          <w:rPr>
                            <w:sz w:val="24"/>
                          </w:rPr>
                        </w:pPr>
                        <w:r>
                          <w:rPr>
                            <w:color w:val="231F20"/>
                            <w:spacing w:val="8"/>
                            <w:sz w:val="24"/>
                          </w:rPr>
                          <w:t>因結核病經主管機關施行隔離治療者</w:t>
                        </w:r>
                        <w:r>
                          <w:rPr>
                            <w:color w:val="231F20"/>
                            <w:spacing w:val="7"/>
                            <w:sz w:val="24"/>
                          </w:rPr>
                          <w:t>於隔離治療期間之醫療費用(含膳食</w:t>
                        </w:r>
                      </w:p>
                      <w:p>
                        <w:pPr>
                          <w:pStyle w:val="TableParagraph"/>
                          <w:spacing w:line="386" w:lineRule="exact"/>
                          <w:ind w:left="339"/>
                          <w:rPr>
                            <w:sz w:val="24"/>
                          </w:rPr>
                        </w:pPr>
                        <w:r>
                          <w:rPr>
                            <w:color w:val="231F20"/>
                            <w:w w:val="150"/>
                            <w:sz w:val="24"/>
                          </w:rPr>
                          <w:t>費)</w:t>
                        </w:r>
                      </w:p>
                    </w:tc>
                  </w:tr>
                  <w:tr>
                    <w:trPr>
                      <w:trHeight w:val="3250" w:hRule="atLeast"/>
                    </w:trPr>
                    <w:tc>
                      <w:tcPr>
                        <w:tcW w:w="4045" w:type="dxa"/>
                      </w:tcPr>
                      <w:p>
                        <w:pPr>
                          <w:pStyle w:val="TableParagraph"/>
                          <w:spacing w:line="409" w:lineRule="exact" w:before="31"/>
                          <w:ind w:left="84"/>
                          <w:jc w:val="both"/>
                          <w:rPr>
                            <w:sz w:val="14"/>
                          </w:rPr>
                        </w:pPr>
                        <w:r>
                          <w:rPr>
                            <w:color w:val="231F20"/>
                            <w:sz w:val="24"/>
                          </w:rPr>
                          <w:t>慢性傳染性結核病病人</w:t>
                        </w:r>
                        <w:r>
                          <w:rPr>
                            <w:color w:val="231F20"/>
                            <w:position w:val="12"/>
                            <w:sz w:val="14"/>
                          </w:rPr>
                          <w:t>註 1</w:t>
                        </w:r>
                      </w:p>
                      <w:p>
                        <w:pPr>
                          <w:pStyle w:val="TableParagraph"/>
                          <w:numPr>
                            <w:ilvl w:val="0"/>
                            <w:numId w:val="285"/>
                          </w:numPr>
                          <w:tabs>
                            <w:tab w:pos="340" w:val="left" w:leader="none"/>
                          </w:tabs>
                          <w:spacing w:line="230" w:lineRule="auto" w:before="3" w:after="0"/>
                          <w:ind w:left="339" w:right="22" w:hanging="255"/>
                          <w:jc w:val="both"/>
                          <w:rPr>
                            <w:sz w:val="24"/>
                          </w:rPr>
                        </w:pPr>
                        <w:r>
                          <w:rPr>
                            <w:color w:val="231F20"/>
                            <w:spacing w:val="36"/>
                            <w:w w:val="105"/>
                            <w:sz w:val="24"/>
                          </w:rPr>
                          <w:t>隔離治療住院給付項目(附件</w:t>
                        </w:r>
                        <w:r>
                          <w:rPr>
                            <w:color w:val="231F20"/>
                            <w:spacing w:val="3"/>
                            <w:w w:val="105"/>
                            <w:sz w:val="24"/>
                          </w:rPr>
                          <w:t>14-2</w:t>
                        </w:r>
                        <w:r>
                          <w:rPr>
                            <w:color w:val="231F20"/>
                            <w:spacing w:val="15"/>
                            <w:w w:val="105"/>
                            <w:sz w:val="24"/>
                          </w:rPr>
                          <w:t>)僅限疾管署指定醫院方可</w:t>
                        </w:r>
                        <w:r>
                          <w:rPr>
                            <w:color w:val="231F20"/>
                            <w:spacing w:val="-3"/>
                            <w:w w:val="115"/>
                            <w:sz w:val="24"/>
                          </w:rPr>
                          <w:t>申報(附件 </w:t>
                        </w:r>
                        <w:r>
                          <w:rPr>
                            <w:color w:val="231F20"/>
                            <w:w w:val="115"/>
                            <w:sz w:val="24"/>
                          </w:rPr>
                          <w:t>14-3)</w:t>
                        </w:r>
                      </w:p>
                      <w:p>
                        <w:pPr>
                          <w:pStyle w:val="TableParagraph"/>
                          <w:numPr>
                            <w:ilvl w:val="0"/>
                            <w:numId w:val="285"/>
                          </w:numPr>
                          <w:tabs>
                            <w:tab w:pos="341" w:val="left" w:leader="none"/>
                          </w:tabs>
                          <w:spacing w:line="230" w:lineRule="auto" w:before="0" w:after="0"/>
                          <w:ind w:left="339" w:right="46" w:hanging="255"/>
                          <w:jc w:val="both"/>
                          <w:rPr>
                            <w:sz w:val="24"/>
                          </w:rPr>
                        </w:pPr>
                        <w:r>
                          <w:rPr>
                            <w:color w:val="231F20"/>
                            <w:sz w:val="24"/>
                          </w:rPr>
                          <w:t>病人於指定醫院住院並遵從醫囑接</w:t>
                        </w:r>
                        <w:r>
                          <w:rPr>
                            <w:color w:val="231F20"/>
                            <w:spacing w:val="16"/>
                            <w:sz w:val="24"/>
                          </w:rPr>
                          <w:t>受治療，其住院營養暨生活濟助</w:t>
                        </w:r>
                        <w:r>
                          <w:rPr>
                            <w:color w:val="231F20"/>
                            <w:spacing w:val="9"/>
                            <w:w w:val="105"/>
                            <w:sz w:val="24"/>
                          </w:rPr>
                          <w:t>費</w:t>
                        </w:r>
                        <w:r>
                          <w:rPr>
                            <w:color w:val="231F20"/>
                            <w:spacing w:val="3"/>
                            <w:w w:val="105"/>
                            <w:position w:val="12"/>
                            <w:sz w:val="14"/>
                          </w:rPr>
                          <w:t>註 </w:t>
                        </w:r>
                        <w:r>
                          <w:rPr>
                            <w:color w:val="231F20"/>
                            <w:w w:val="105"/>
                            <w:position w:val="12"/>
                            <w:sz w:val="14"/>
                          </w:rPr>
                          <w:t>2</w:t>
                        </w:r>
                        <w:r>
                          <w:rPr>
                            <w:color w:val="231F20"/>
                            <w:spacing w:val="25"/>
                            <w:w w:val="105"/>
                            <w:position w:val="12"/>
                            <w:sz w:val="14"/>
                          </w:rPr>
                          <w:t> </w:t>
                        </w:r>
                        <w:r>
                          <w:rPr>
                            <w:color w:val="231F20"/>
                            <w:spacing w:val="13"/>
                            <w:w w:val="105"/>
                            <w:sz w:val="24"/>
                          </w:rPr>
                          <w:t>由指定醫院協助申請(附件</w:t>
                        </w:r>
                      </w:p>
                      <w:p>
                        <w:pPr>
                          <w:pStyle w:val="TableParagraph"/>
                          <w:spacing w:line="385" w:lineRule="exact"/>
                          <w:ind w:left="339"/>
                          <w:rPr>
                            <w:sz w:val="24"/>
                          </w:rPr>
                        </w:pPr>
                        <w:r>
                          <w:rPr>
                            <w:color w:val="231F20"/>
                            <w:w w:val="135"/>
                            <w:sz w:val="24"/>
                          </w:rPr>
                          <w:t>14-4)</w:t>
                        </w:r>
                      </w:p>
                    </w:tc>
                    <w:tc>
                      <w:tcPr>
                        <w:tcW w:w="4396" w:type="dxa"/>
                      </w:tcPr>
                      <w:p>
                        <w:pPr>
                          <w:pStyle w:val="TableParagraph"/>
                          <w:numPr>
                            <w:ilvl w:val="0"/>
                            <w:numId w:val="286"/>
                          </w:numPr>
                          <w:tabs>
                            <w:tab w:pos="340" w:val="left" w:leader="none"/>
                          </w:tabs>
                          <w:spacing w:line="230" w:lineRule="auto" w:before="43" w:after="0"/>
                          <w:ind w:left="339" w:right="59" w:hanging="255"/>
                          <w:jc w:val="both"/>
                          <w:rPr>
                            <w:sz w:val="24"/>
                          </w:rPr>
                        </w:pPr>
                        <w:r>
                          <w:rPr>
                            <w:color w:val="231F20"/>
                            <w:spacing w:val="8"/>
                            <w:sz w:val="24"/>
                          </w:rPr>
                          <w:t>具健保者之住院醫療費用部分負擔及</w:t>
                        </w:r>
                        <w:r>
                          <w:rPr>
                            <w:color w:val="231F20"/>
                            <w:spacing w:val="7"/>
                            <w:sz w:val="24"/>
                          </w:rPr>
                          <w:t>無健保者之住院醫療費用(均不含膳</w:t>
                        </w:r>
                        <w:r>
                          <w:rPr>
                            <w:color w:val="231F20"/>
                            <w:w w:val="110"/>
                            <w:sz w:val="24"/>
                          </w:rPr>
                          <w:t>食費)</w:t>
                        </w:r>
                      </w:p>
                      <w:p>
                        <w:pPr>
                          <w:pStyle w:val="TableParagraph"/>
                          <w:numPr>
                            <w:ilvl w:val="0"/>
                            <w:numId w:val="286"/>
                          </w:numPr>
                          <w:tabs>
                            <w:tab w:pos="340" w:val="left" w:leader="none"/>
                          </w:tabs>
                          <w:spacing w:line="230" w:lineRule="auto" w:before="0" w:after="0"/>
                          <w:ind w:left="339" w:right="58" w:hanging="256"/>
                          <w:jc w:val="both"/>
                          <w:rPr>
                            <w:sz w:val="24"/>
                          </w:rPr>
                        </w:pPr>
                        <w:r>
                          <w:rPr>
                            <w:color w:val="231F20"/>
                            <w:spacing w:val="6"/>
                            <w:sz w:val="24"/>
                          </w:rPr>
                          <w:t>住院營養暨生活濟助費</w:t>
                        </w:r>
                        <w:r>
                          <w:rPr>
                            <w:color w:val="231F20"/>
                            <w:spacing w:val="5"/>
                            <w:position w:val="12"/>
                            <w:sz w:val="14"/>
                          </w:rPr>
                          <w:t>註 </w:t>
                        </w:r>
                        <w:r>
                          <w:rPr>
                            <w:color w:val="231F20"/>
                            <w:spacing w:val="3"/>
                            <w:position w:val="12"/>
                            <w:sz w:val="14"/>
                          </w:rPr>
                          <w:t>2</w:t>
                        </w:r>
                        <w:r>
                          <w:rPr>
                            <w:color w:val="231F20"/>
                            <w:spacing w:val="5"/>
                            <w:sz w:val="24"/>
                          </w:rPr>
                          <w:t>：補助住院</w:t>
                        </w:r>
                        <w:r>
                          <w:rPr>
                            <w:color w:val="231F20"/>
                            <w:spacing w:val="4"/>
                            <w:sz w:val="24"/>
                          </w:rPr>
                          <w:t>期間每日新臺幣 </w:t>
                        </w:r>
                        <w:r>
                          <w:rPr>
                            <w:color w:val="231F20"/>
                            <w:sz w:val="24"/>
                          </w:rPr>
                          <w:t>600</w:t>
                        </w:r>
                        <w:r>
                          <w:rPr>
                            <w:color w:val="231F20"/>
                            <w:spacing w:val="3"/>
                            <w:sz w:val="24"/>
                          </w:rPr>
                          <w:t> 元，比照健保計</w:t>
                        </w:r>
                        <w:r>
                          <w:rPr>
                            <w:color w:val="231F20"/>
                            <w:spacing w:val="5"/>
                            <w:sz w:val="24"/>
                          </w:rPr>
                          <w:t>算原則，包含住院當日，但出院當日</w:t>
                        </w:r>
                        <w:r>
                          <w:rPr>
                            <w:color w:val="231F20"/>
                            <w:sz w:val="24"/>
                          </w:rPr>
                          <w:t>不予計算</w:t>
                        </w:r>
                      </w:p>
                    </w:tc>
                  </w:tr>
                </w:tbl>
                <w:p>
                  <w:pPr>
                    <w:pStyle w:val="BodyText"/>
                  </w:pPr>
                </w:p>
              </w:txbxContent>
            </v:textbox>
            <w10:wrap type="none"/>
          </v:shape>
        </w:pict>
      </w:r>
      <w:r>
        <w:rPr>
          <w:color w:val="231F20"/>
          <w:w w:val="65"/>
        </w:rPr>
        <w:t>（</w:t>
      </w:r>
      <w:r>
        <w:rPr>
          <w:color w:val="231F20"/>
          <w:spacing w:val="1"/>
          <w:w w:val="65"/>
        </w:rPr>
        <w:t> </w:t>
      </w:r>
      <w:r>
        <w:rPr>
          <w:color w:val="231F20"/>
        </w:rPr>
        <w:t>二</w:t>
      </w:r>
      <w:r>
        <w:rPr>
          <w:color w:val="231F20"/>
          <w:spacing w:val="-22"/>
        </w:rPr>
        <w:t> </w:t>
      </w:r>
      <w:r>
        <w:rPr>
          <w:color w:val="231F20"/>
        </w:rPr>
        <w:t>)</w:t>
        <w:tab/>
        <w:t>補助對象、條件及項目</w:t>
      </w:r>
    </w:p>
    <w:p>
      <w:pPr>
        <w:spacing w:after="0" w:line="404" w:lineRule="exact"/>
        <w:sectPr>
          <w:pgSz w:w="11910" w:h="16840"/>
          <w:pgMar w:top="1060" w:bottom="0" w:left="980" w:right="0"/>
        </w:sectPr>
      </w:pPr>
    </w:p>
    <w:tbl>
      <w:tblPr>
        <w:tblW w:w="0" w:type="auto"/>
        <w:jc w:val="left"/>
        <w:tblInd w:w="1364"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4045"/>
        <w:gridCol w:w="4396"/>
      </w:tblGrid>
      <w:tr>
        <w:trPr>
          <w:trHeight w:val="851" w:hRule="atLeast"/>
        </w:trPr>
        <w:tc>
          <w:tcPr>
            <w:tcW w:w="4045" w:type="dxa"/>
            <w:shd w:val="clear" w:color="auto" w:fill="E6E7E8"/>
          </w:tcPr>
          <w:p>
            <w:pPr>
              <w:pStyle w:val="TableParagraph"/>
              <w:spacing w:line="421" w:lineRule="exact"/>
              <w:ind w:left="143" w:right="130"/>
              <w:jc w:val="center"/>
              <w:rPr>
                <w:rFonts w:ascii="微軟正黑體" w:eastAsia="微軟正黑體" w:hint="eastAsia"/>
                <w:b/>
                <w:sz w:val="24"/>
              </w:rPr>
            </w:pPr>
            <w:r>
              <w:rPr>
                <w:rFonts w:ascii="微軟正黑體" w:eastAsia="微軟正黑體" w:hint="eastAsia"/>
                <w:b/>
                <w:color w:val="231F20"/>
                <w:sz w:val="24"/>
              </w:rPr>
              <w:t>補助對象及條件 -</w:t>
            </w:r>
          </w:p>
          <w:p>
            <w:pPr>
              <w:pStyle w:val="TableParagraph"/>
              <w:spacing w:line="411" w:lineRule="exact"/>
              <w:ind w:left="143" w:right="130"/>
              <w:jc w:val="center"/>
              <w:rPr>
                <w:rFonts w:ascii="微軟正黑體" w:eastAsia="微軟正黑體" w:hint="eastAsia"/>
                <w:b/>
                <w:sz w:val="24"/>
              </w:rPr>
            </w:pPr>
            <w:r>
              <w:rPr>
                <w:rFonts w:ascii="微軟正黑體" w:eastAsia="微軟正黑體" w:hint="eastAsia"/>
                <w:b/>
                <w:color w:val="231F20"/>
                <w:sz w:val="24"/>
              </w:rPr>
              <w:t>TB 系統登記列管者．不限本國國民</w:t>
            </w:r>
          </w:p>
        </w:tc>
        <w:tc>
          <w:tcPr>
            <w:tcW w:w="4396" w:type="dxa"/>
            <w:shd w:val="clear" w:color="auto" w:fill="E6E7E8"/>
          </w:tcPr>
          <w:p>
            <w:pPr>
              <w:pStyle w:val="TableParagraph"/>
              <w:spacing w:before="200"/>
              <w:ind w:left="1697" w:right="1684"/>
              <w:jc w:val="center"/>
              <w:rPr>
                <w:rFonts w:ascii="微軟正黑體" w:eastAsia="微軟正黑體" w:hint="eastAsia"/>
                <w:b/>
                <w:sz w:val="24"/>
              </w:rPr>
            </w:pPr>
            <w:r>
              <w:rPr>
                <w:rFonts w:ascii="微軟正黑體" w:eastAsia="微軟正黑體" w:hint="eastAsia"/>
                <w:b/>
                <w:color w:val="231F20"/>
                <w:sz w:val="24"/>
              </w:rPr>
              <w:t>補助項目</w:t>
            </w:r>
          </w:p>
        </w:tc>
      </w:tr>
      <w:tr>
        <w:trPr>
          <w:trHeight w:val="2050" w:hRule="atLeast"/>
        </w:trPr>
        <w:tc>
          <w:tcPr>
            <w:tcW w:w="4045" w:type="dxa"/>
          </w:tcPr>
          <w:p>
            <w:pPr>
              <w:pStyle w:val="TableParagraph"/>
              <w:numPr>
                <w:ilvl w:val="0"/>
                <w:numId w:val="287"/>
              </w:numPr>
              <w:tabs>
                <w:tab w:pos="340" w:val="left" w:leader="none"/>
              </w:tabs>
              <w:spacing w:line="409" w:lineRule="exact" w:before="31" w:after="0"/>
              <w:ind w:left="339" w:right="0" w:hanging="256"/>
              <w:jc w:val="both"/>
              <w:rPr>
                <w:sz w:val="24"/>
              </w:rPr>
            </w:pPr>
            <w:r>
              <w:rPr>
                <w:color w:val="231F20"/>
                <w:spacing w:val="-1"/>
                <w:sz w:val="24"/>
              </w:rPr>
              <w:t>結核病接觸者，主診斷碼為 </w:t>
            </w:r>
            <w:r>
              <w:rPr>
                <w:color w:val="231F20"/>
                <w:sz w:val="24"/>
              </w:rPr>
              <w:t>Z20.1</w:t>
            </w:r>
          </w:p>
          <w:p>
            <w:pPr>
              <w:pStyle w:val="TableParagraph"/>
              <w:numPr>
                <w:ilvl w:val="0"/>
                <w:numId w:val="287"/>
              </w:numPr>
              <w:tabs>
                <w:tab w:pos="340" w:val="left" w:leader="none"/>
              </w:tabs>
              <w:spacing w:line="230" w:lineRule="auto" w:before="3" w:after="0"/>
              <w:ind w:left="339" w:right="68" w:hanging="255"/>
              <w:jc w:val="both"/>
              <w:rPr>
                <w:sz w:val="24"/>
              </w:rPr>
            </w:pPr>
            <w:r>
              <w:rPr>
                <w:color w:val="231F20"/>
                <w:spacing w:val="16"/>
                <w:sz w:val="24"/>
              </w:rPr>
              <w:t>丙型干擾素釋放試驗</w:t>
            </w:r>
            <w:r>
              <w:rPr>
                <w:color w:val="231F20"/>
                <w:w w:val="300"/>
                <w:sz w:val="24"/>
              </w:rPr>
              <w:t>(</w:t>
            </w:r>
            <w:r>
              <w:rPr>
                <w:color w:val="231F20"/>
                <w:spacing w:val="-1"/>
                <w:w w:val="102"/>
                <w:sz w:val="24"/>
              </w:rPr>
              <w:t>I</w:t>
            </w:r>
            <w:r>
              <w:rPr>
                <w:color w:val="231F20"/>
                <w:w w:val="94"/>
                <w:sz w:val="24"/>
              </w:rPr>
              <w:t>G</w:t>
            </w:r>
            <w:r>
              <w:rPr>
                <w:color w:val="231F20"/>
                <w:spacing w:val="-1"/>
                <w:w w:val="88"/>
                <w:sz w:val="24"/>
              </w:rPr>
              <w:t>R</w:t>
            </w:r>
            <w:r>
              <w:rPr>
                <w:color w:val="231F20"/>
                <w:w w:val="103"/>
                <w:sz w:val="24"/>
              </w:rPr>
              <w:t>A</w:t>
            </w:r>
            <w:r>
              <w:rPr>
                <w:color w:val="231F20"/>
                <w:spacing w:val="19"/>
                <w:w w:val="300"/>
                <w:sz w:val="24"/>
              </w:rPr>
              <w:t>)</w:t>
            </w:r>
            <w:r>
              <w:rPr>
                <w:color w:val="231F20"/>
                <w:spacing w:val="-11"/>
                <w:sz w:val="24"/>
              </w:rPr>
              <w:t>由</w:t>
            </w:r>
            <w:r>
              <w:rPr>
                <w:color w:val="231F20"/>
                <w:spacing w:val="-1"/>
                <w:sz w:val="24"/>
              </w:rPr>
              <w:t>潛伏結核感染治療指定醫療院所申</w:t>
            </w:r>
            <w:r>
              <w:rPr>
                <w:color w:val="231F20"/>
                <w:spacing w:val="-5"/>
                <w:sz w:val="24"/>
              </w:rPr>
              <w:t>報；若僅 </w:t>
            </w:r>
            <w:r>
              <w:rPr>
                <w:color w:val="231F20"/>
                <w:sz w:val="24"/>
              </w:rPr>
              <w:t>X</w:t>
            </w:r>
            <w:r>
              <w:rPr>
                <w:color w:val="231F20"/>
                <w:spacing w:val="-5"/>
                <w:sz w:val="24"/>
              </w:rPr>
              <w:t> 光檢査可由健保署之特</w:t>
            </w:r>
          </w:p>
          <w:p>
            <w:pPr>
              <w:pStyle w:val="TableParagraph"/>
              <w:spacing w:line="385" w:lineRule="exact"/>
              <w:ind w:left="339"/>
              <w:rPr>
                <w:sz w:val="24"/>
              </w:rPr>
            </w:pPr>
            <w:r>
              <w:rPr>
                <w:color w:val="231F20"/>
                <w:sz w:val="24"/>
              </w:rPr>
              <w:t>約醫事服務機構申報</w:t>
            </w:r>
          </w:p>
        </w:tc>
        <w:tc>
          <w:tcPr>
            <w:tcW w:w="4396" w:type="dxa"/>
          </w:tcPr>
          <w:p>
            <w:pPr>
              <w:pStyle w:val="TableParagraph"/>
              <w:numPr>
                <w:ilvl w:val="0"/>
                <w:numId w:val="288"/>
              </w:numPr>
              <w:tabs>
                <w:tab w:pos="340" w:val="left" w:leader="none"/>
              </w:tabs>
              <w:spacing w:line="409" w:lineRule="exact" w:before="31" w:after="0"/>
              <w:ind w:left="339" w:right="0" w:hanging="256"/>
              <w:jc w:val="left"/>
              <w:rPr>
                <w:sz w:val="24"/>
              </w:rPr>
            </w:pPr>
            <w:r>
              <w:rPr>
                <w:color w:val="231F20"/>
                <w:sz w:val="24"/>
              </w:rPr>
              <w:t>健保申報費用部分負擔</w:t>
            </w:r>
          </w:p>
          <w:p>
            <w:pPr>
              <w:pStyle w:val="TableParagraph"/>
              <w:numPr>
                <w:ilvl w:val="0"/>
                <w:numId w:val="288"/>
              </w:numPr>
              <w:tabs>
                <w:tab w:pos="340" w:val="left" w:leader="none"/>
              </w:tabs>
              <w:spacing w:line="400" w:lineRule="exact" w:before="0" w:after="0"/>
              <w:ind w:left="339" w:right="0" w:hanging="256"/>
              <w:jc w:val="left"/>
              <w:rPr>
                <w:sz w:val="24"/>
              </w:rPr>
            </w:pPr>
            <w:r>
              <w:rPr>
                <w:color w:val="231F20"/>
                <w:sz w:val="24"/>
              </w:rPr>
              <w:t>結核病接觸者檢査衛教諮詢及抽血</w:t>
            </w:r>
          </w:p>
          <w:p>
            <w:pPr>
              <w:pStyle w:val="TableParagraph"/>
              <w:numPr>
                <w:ilvl w:val="0"/>
                <w:numId w:val="288"/>
              </w:numPr>
              <w:tabs>
                <w:tab w:pos="340" w:val="left" w:leader="none"/>
              </w:tabs>
              <w:spacing w:line="230" w:lineRule="auto" w:before="3" w:after="0"/>
              <w:ind w:left="339" w:right="63" w:hanging="255"/>
              <w:jc w:val="left"/>
              <w:rPr>
                <w:sz w:val="24"/>
              </w:rPr>
            </w:pPr>
            <w:r>
              <w:rPr>
                <w:color w:val="231F20"/>
                <w:spacing w:val="3"/>
                <w:sz w:val="24"/>
              </w:rPr>
              <w:t>丙型干擾素釋放試驗</w:t>
            </w:r>
            <w:r>
              <w:rPr>
                <w:color w:val="231F20"/>
                <w:w w:val="300"/>
                <w:sz w:val="24"/>
              </w:rPr>
              <w:t>(</w:t>
            </w:r>
            <w:r>
              <w:rPr>
                <w:color w:val="231F20"/>
                <w:spacing w:val="-1"/>
                <w:w w:val="102"/>
                <w:sz w:val="24"/>
              </w:rPr>
              <w:t>I</w:t>
            </w:r>
            <w:r>
              <w:rPr>
                <w:color w:val="231F20"/>
                <w:w w:val="94"/>
                <w:sz w:val="24"/>
              </w:rPr>
              <w:t>G</w:t>
            </w:r>
            <w:r>
              <w:rPr>
                <w:color w:val="231F20"/>
                <w:spacing w:val="-1"/>
                <w:w w:val="88"/>
                <w:sz w:val="24"/>
              </w:rPr>
              <w:t>R</w:t>
            </w:r>
            <w:r>
              <w:rPr>
                <w:color w:val="231F20"/>
                <w:w w:val="103"/>
                <w:sz w:val="24"/>
              </w:rPr>
              <w:t>A</w:t>
            </w:r>
            <w:r>
              <w:rPr>
                <w:color w:val="231F20"/>
                <w:spacing w:val="1"/>
                <w:sz w:val="24"/>
              </w:rPr>
              <w:t>，不含試</w:t>
            </w:r>
            <w:r>
              <w:rPr>
                <w:color w:val="231F20"/>
                <w:w w:val="115"/>
                <w:sz w:val="24"/>
              </w:rPr>
              <w:t>劑費)</w:t>
            </w:r>
          </w:p>
        </w:tc>
      </w:tr>
      <w:tr>
        <w:trPr>
          <w:trHeight w:val="1651" w:hRule="atLeast"/>
        </w:trPr>
        <w:tc>
          <w:tcPr>
            <w:tcW w:w="4045" w:type="dxa"/>
          </w:tcPr>
          <w:p>
            <w:pPr>
              <w:pStyle w:val="TableParagraph"/>
              <w:numPr>
                <w:ilvl w:val="0"/>
                <w:numId w:val="289"/>
              </w:numPr>
              <w:tabs>
                <w:tab w:pos="340" w:val="left" w:leader="none"/>
              </w:tabs>
              <w:spacing w:line="230" w:lineRule="auto" w:before="43" w:after="0"/>
              <w:ind w:left="339" w:right="569" w:hanging="255"/>
              <w:jc w:val="left"/>
              <w:rPr>
                <w:sz w:val="24"/>
              </w:rPr>
            </w:pPr>
            <w:r>
              <w:rPr>
                <w:color w:val="231F20"/>
                <w:spacing w:val="-2"/>
                <w:sz w:val="24"/>
              </w:rPr>
              <w:t>潛伏結核感染者，主診斷碼為</w:t>
            </w:r>
            <w:r>
              <w:rPr>
                <w:color w:val="231F20"/>
                <w:sz w:val="24"/>
              </w:rPr>
              <w:t>R76.11-R76.12</w:t>
            </w:r>
          </w:p>
          <w:p>
            <w:pPr>
              <w:pStyle w:val="TableParagraph"/>
              <w:numPr>
                <w:ilvl w:val="0"/>
                <w:numId w:val="289"/>
              </w:numPr>
              <w:tabs>
                <w:tab w:pos="341" w:val="left" w:leader="none"/>
              </w:tabs>
              <w:spacing w:line="395" w:lineRule="exact" w:before="0" w:after="0"/>
              <w:ind w:left="340" w:right="0" w:hanging="257"/>
              <w:jc w:val="left"/>
              <w:rPr>
                <w:sz w:val="24"/>
              </w:rPr>
            </w:pPr>
            <w:r>
              <w:rPr>
                <w:color w:val="231F20"/>
                <w:sz w:val="24"/>
              </w:rPr>
              <w:t>由潛伏結核感染治療指定醫療院所</w:t>
            </w:r>
          </w:p>
          <w:p>
            <w:pPr>
              <w:pStyle w:val="TableParagraph"/>
              <w:spacing w:line="391" w:lineRule="exact"/>
              <w:ind w:left="339"/>
              <w:rPr>
                <w:sz w:val="24"/>
              </w:rPr>
            </w:pPr>
            <w:r>
              <w:rPr>
                <w:color w:val="231F20"/>
                <w:sz w:val="24"/>
              </w:rPr>
              <w:t>申報</w:t>
            </w:r>
          </w:p>
        </w:tc>
        <w:tc>
          <w:tcPr>
            <w:tcW w:w="4396" w:type="dxa"/>
          </w:tcPr>
          <w:p>
            <w:pPr>
              <w:pStyle w:val="TableParagraph"/>
              <w:numPr>
                <w:ilvl w:val="0"/>
                <w:numId w:val="290"/>
              </w:numPr>
              <w:tabs>
                <w:tab w:pos="340" w:val="left" w:leader="none"/>
              </w:tabs>
              <w:spacing w:line="409" w:lineRule="exact" w:before="31" w:after="0"/>
              <w:ind w:left="339" w:right="0" w:hanging="256"/>
              <w:jc w:val="left"/>
              <w:rPr>
                <w:sz w:val="24"/>
              </w:rPr>
            </w:pPr>
            <w:r>
              <w:rPr>
                <w:color w:val="231F20"/>
                <w:sz w:val="24"/>
              </w:rPr>
              <w:t>健保申報費用部分負擔</w:t>
            </w:r>
          </w:p>
          <w:p>
            <w:pPr>
              <w:pStyle w:val="TableParagraph"/>
              <w:numPr>
                <w:ilvl w:val="0"/>
                <w:numId w:val="290"/>
              </w:numPr>
              <w:tabs>
                <w:tab w:pos="340" w:val="left" w:leader="none"/>
              </w:tabs>
              <w:spacing w:line="409" w:lineRule="exact" w:before="0" w:after="0"/>
              <w:ind w:left="339" w:right="0" w:hanging="256"/>
              <w:jc w:val="left"/>
              <w:rPr>
                <w:sz w:val="24"/>
              </w:rPr>
            </w:pPr>
            <w:r>
              <w:rPr>
                <w:color w:val="231F20"/>
                <w:sz w:val="24"/>
              </w:rPr>
              <w:t>潛伏結核感染治療衛教諮詢</w:t>
            </w:r>
          </w:p>
        </w:tc>
      </w:tr>
      <w:tr>
        <w:trPr>
          <w:trHeight w:val="2450" w:hRule="atLeast"/>
        </w:trPr>
        <w:tc>
          <w:tcPr>
            <w:tcW w:w="4045" w:type="dxa"/>
          </w:tcPr>
          <w:p>
            <w:pPr>
              <w:pStyle w:val="TableParagraph"/>
              <w:numPr>
                <w:ilvl w:val="0"/>
                <w:numId w:val="291"/>
              </w:numPr>
              <w:tabs>
                <w:tab w:pos="340" w:val="left" w:leader="none"/>
              </w:tabs>
              <w:spacing w:line="409" w:lineRule="exact" w:before="31" w:after="0"/>
              <w:ind w:left="339" w:right="0" w:hanging="256"/>
              <w:jc w:val="left"/>
              <w:rPr>
                <w:sz w:val="24"/>
              </w:rPr>
            </w:pPr>
            <w:r>
              <w:rPr>
                <w:color w:val="231F20"/>
                <w:spacing w:val="-1"/>
                <w:sz w:val="24"/>
              </w:rPr>
              <w:t>執行山地鄉胸部 </w:t>
            </w:r>
            <w:r>
              <w:rPr>
                <w:color w:val="231F20"/>
                <w:sz w:val="24"/>
              </w:rPr>
              <w:t>X</w:t>
            </w:r>
            <w:r>
              <w:rPr>
                <w:color w:val="231F20"/>
                <w:spacing w:val="-3"/>
                <w:sz w:val="24"/>
              </w:rPr>
              <w:t> 光檢査者</w:t>
            </w:r>
          </w:p>
          <w:p>
            <w:pPr>
              <w:pStyle w:val="TableParagraph"/>
              <w:numPr>
                <w:ilvl w:val="0"/>
                <w:numId w:val="291"/>
              </w:numPr>
              <w:tabs>
                <w:tab w:pos="340" w:val="left" w:leader="none"/>
              </w:tabs>
              <w:spacing w:line="400" w:lineRule="exact" w:before="0" w:after="0"/>
              <w:ind w:left="339" w:right="0" w:hanging="256"/>
              <w:jc w:val="left"/>
              <w:rPr>
                <w:sz w:val="24"/>
              </w:rPr>
            </w:pPr>
            <w:r>
              <w:rPr>
                <w:color w:val="231F20"/>
                <w:spacing w:val="-2"/>
                <w:sz w:val="24"/>
              </w:rPr>
              <w:t>主診斷碼為 </w:t>
            </w:r>
            <w:r>
              <w:rPr>
                <w:color w:val="231F20"/>
                <w:sz w:val="24"/>
              </w:rPr>
              <w:t>Z11.1</w:t>
            </w:r>
          </w:p>
          <w:p>
            <w:pPr>
              <w:pStyle w:val="TableParagraph"/>
              <w:numPr>
                <w:ilvl w:val="0"/>
                <w:numId w:val="291"/>
              </w:numPr>
              <w:tabs>
                <w:tab w:pos="341" w:val="left" w:leader="none"/>
              </w:tabs>
              <w:spacing w:line="230" w:lineRule="auto" w:before="3" w:after="0"/>
              <w:ind w:left="339" w:right="66" w:hanging="255"/>
              <w:jc w:val="left"/>
              <w:rPr>
                <w:sz w:val="24"/>
              </w:rPr>
            </w:pPr>
            <w:r>
              <w:rPr>
                <w:color w:val="231F20"/>
                <w:sz w:val="24"/>
              </w:rPr>
              <w:t>承作「全民健唐保險山地離島地區</w:t>
            </w:r>
            <w:r>
              <w:rPr>
                <w:color w:val="231F20"/>
                <w:spacing w:val="1"/>
                <w:w w:val="95"/>
                <w:sz w:val="24"/>
              </w:rPr>
              <w:t>醫療給付效益提昇計畫 </w:t>
            </w:r>
            <w:r>
              <w:rPr>
                <w:color w:val="231F20"/>
                <w:w w:val="95"/>
                <w:sz w:val="24"/>
              </w:rPr>
              <w:t>（IDS</w:t>
            </w:r>
            <w:r>
              <w:rPr>
                <w:color w:val="231F20"/>
                <w:spacing w:val="-6"/>
                <w:w w:val="95"/>
                <w:sz w:val="24"/>
              </w:rPr>
              <w:t> 計畫 )</w:t>
            </w:r>
          </w:p>
          <w:p>
            <w:pPr>
              <w:pStyle w:val="TableParagraph"/>
              <w:spacing w:line="395" w:lineRule="exact"/>
              <w:ind w:left="339"/>
              <w:rPr>
                <w:sz w:val="24"/>
              </w:rPr>
            </w:pPr>
            <w:r>
              <w:rPr>
                <w:color w:val="231F20"/>
                <w:sz w:val="24"/>
              </w:rPr>
              <w:t>」山地鄉部分之健保特約醫事服務</w:t>
            </w:r>
          </w:p>
          <w:p>
            <w:pPr>
              <w:pStyle w:val="TableParagraph"/>
              <w:spacing w:line="391" w:lineRule="exact"/>
              <w:ind w:left="339"/>
              <w:rPr>
                <w:sz w:val="24"/>
              </w:rPr>
            </w:pPr>
            <w:r>
              <w:rPr>
                <w:color w:val="231F20"/>
                <w:sz w:val="24"/>
              </w:rPr>
              <w:t>機構</w:t>
            </w:r>
          </w:p>
        </w:tc>
        <w:tc>
          <w:tcPr>
            <w:tcW w:w="4396" w:type="dxa"/>
          </w:tcPr>
          <w:p>
            <w:pPr>
              <w:pStyle w:val="TableParagraph"/>
              <w:numPr>
                <w:ilvl w:val="0"/>
                <w:numId w:val="292"/>
              </w:numPr>
              <w:tabs>
                <w:tab w:pos="340" w:val="left" w:leader="none"/>
              </w:tabs>
              <w:spacing w:line="409" w:lineRule="exact" w:before="31" w:after="0"/>
              <w:ind w:left="339" w:right="0" w:hanging="256"/>
              <w:jc w:val="left"/>
              <w:rPr>
                <w:sz w:val="24"/>
              </w:rPr>
            </w:pPr>
            <w:r>
              <w:rPr>
                <w:color w:val="231F20"/>
                <w:spacing w:val="-2"/>
                <w:sz w:val="24"/>
              </w:rPr>
              <w:t>山地鄉胸部 </w:t>
            </w:r>
            <w:r>
              <w:rPr>
                <w:color w:val="231F20"/>
                <w:sz w:val="24"/>
              </w:rPr>
              <w:t>X</w:t>
            </w:r>
            <w:r>
              <w:rPr>
                <w:color w:val="231F20"/>
                <w:spacing w:val="-3"/>
                <w:sz w:val="24"/>
              </w:rPr>
              <w:t> 光檢査</w:t>
            </w:r>
          </w:p>
          <w:p>
            <w:pPr>
              <w:pStyle w:val="TableParagraph"/>
              <w:numPr>
                <w:ilvl w:val="0"/>
                <w:numId w:val="292"/>
              </w:numPr>
              <w:tabs>
                <w:tab w:pos="340" w:val="left" w:leader="none"/>
              </w:tabs>
              <w:spacing w:line="400" w:lineRule="exact" w:before="0" w:after="0"/>
              <w:ind w:left="339" w:right="0" w:hanging="256"/>
              <w:jc w:val="left"/>
              <w:rPr>
                <w:sz w:val="24"/>
              </w:rPr>
            </w:pPr>
            <w:r>
              <w:rPr>
                <w:color w:val="231F20"/>
                <w:sz w:val="24"/>
              </w:rPr>
              <w:t>山地鄉結核病症狀評估</w:t>
            </w:r>
          </w:p>
          <w:p>
            <w:pPr>
              <w:pStyle w:val="TableParagraph"/>
              <w:numPr>
                <w:ilvl w:val="0"/>
                <w:numId w:val="292"/>
              </w:numPr>
              <w:tabs>
                <w:tab w:pos="340" w:val="left" w:leader="none"/>
              </w:tabs>
              <w:spacing w:line="230" w:lineRule="auto" w:before="3" w:after="0"/>
              <w:ind w:left="339" w:right="60" w:hanging="255"/>
              <w:jc w:val="left"/>
              <w:rPr>
                <w:sz w:val="24"/>
              </w:rPr>
            </w:pPr>
            <w:r>
              <w:rPr>
                <w:color w:val="231F20"/>
                <w:spacing w:val="7"/>
                <w:sz w:val="24"/>
              </w:rPr>
              <w:t>山地鄉結核蔥快速分子檢測(不含試</w:t>
            </w:r>
            <w:r>
              <w:rPr>
                <w:color w:val="231F20"/>
                <w:w w:val="110"/>
                <w:sz w:val="24"/>
              </w:rPr>
              <w:t>劑費)</w:t>
            </w:r>
          </w:p>
          <w:p>
            <w:pPr>
              <w:pStyle w:val="TableParagraph"/>
              <w:numPr>
                <w:ilvl w:val="0"/>
                <w:numId w:val="292"/>
              </w:numPr>
              <w:tabs>
                <w:tab w:pos="340" w:val="left" w:leader="none"/>
              </w:tabs>
              <w:spacing w:line="395" w:lineRule="exact" w:before="0" w:after="0"/>
              <w:ind w:left="339" w:right="0" w:hanging="256"/>
              <w:jc w:val="left"/>
              <w:rPr>
                <w:sz w:val="24"/>
              </w:rPr>
            </w:pPr>
            <w:r>
              <w:rPr>
                <w:color w:val="231F20"/>
                <w:spacing w:val="9"/>
                <w:w w:val="105"/>
                <w:sz w:val="24"/>
              </w:rPr>
              <w:t>診斷結果編碼資料處理費(附件 </w:t>
            </w:r>
            <w:r>
              <w:rPr>
                <w:color w:val="231F20"/>
                <w:w w:val="105"/>
                <w:sz w:val="24"/>
              </w:rPr>
              <w:t>14-</w:t>
            </w:r>
          </w:p>
          <w:p>
            <w:pPr>
              <w:pStyle w:val="TableParagraph"/>
              <w:spacing w:line="391" w:lineRule="exact"/>
              <w:ind w:left="339"/>
              <w:rPr>
                <w:sz w:val="24"/>
              </w:rPr>
            </w:pPr>
            <w:r>
              <w:rPr>
                <w:color w:val="231F20"/>
                <w:w w:val="180"/>
                <w:sz w:val="24"/>
              </w:rPr>
              <w:t>7)</w:t>
            </w:r>
          </w:p>
        </w:tc>
      </w:tr>
      <w:tr>
        <w:trPr>
          <w:trHeight w:val="2450" w:hRule="atLeast"/>
        </w:trPr>
        <w:tc>
          <w:tcPr>
            <w:tcW w:w="4045" w:type="dxa"/>
          </w:tcPr>
          <w:p>
            <w:pPr>
              <w:pStyle w:val="TableParagraph"/>
              <w:numPr>
                <w:ilvl w:val="0"/>
                <w:numId w:val="293"/>
              </w:numPr>
              <w:tabs>
                <w:tab w:pos="340" w:val="left" w:leader="none"/>
              </w:tabs>
              <w:spacing w:line="409" w:lineRule="exact" w:before="31" w:after="0"/>
              <w:ind w:left="339" w:right="0" w:hanging="256"/>
              <w:jc w:val="left"/>
              <w:rPr>
                <w:sz w:val="24"/>
              </w:rPr>
            </w:pPr>
            <w:r>
              <w:rPr>
                <w:color w:val="231F20"/>
                <w:sz w:val="24"/>
              </w:rPr>
              <w:t>設籍山地鄉民眾，主診斷碼不限</w:t>
            </w:r>
          </w:p>
          <w:p>
            <w:pPr>
              <w:pStyle w:val="TableParagraph"/>
              <w:numPr>
                <w:ilvl w:val="0"/>
                <w:numId w:val="293"/>
              </w:numPr>
              <w:tabs>
                <w:tab w:pos="341" w:val="left" w:leader="none"/>
              </w:tabs>
              <w:spacing w:line="230" w:lineRule="auto" w:before="3" w:after="0"/>
              <w:ind w:left="339" w:right="68" w:hanging="255"/>
              <w:jc w:val="left"/>
              <w:rPr>
                <w:sz w:val="24"/>
              </w:rPr>
            </w:pPr>
            <w:r>
              <w:rPr>
                <w:color w:val="231F20"/>
                <w:spacing w:val="-1"/>
                <w:sz w:val="24"/>
              </w:rPr>
              <w:t>與衛生單位合作之設籍山地鄉民眾</w:t>
            </w:r>
            <w:r>
              <w:rPr>
                <w:color w:val="231F20"/>
                <w:sz w:val="24"/>
              </w:rPr>
              <w:t>主要就醫院所申報</w:t>
            </w:r>
          </w:p>
        </w:tc>
        <w:tc>
          <w:tcPr>
            <w:tcW w:w="4396" w:type="dxa"/>
          </w:tcPr>
          <w:p>
            <w:pPr>
              <w:pStyle w:val="TableParagraph"/>
              <w:numPr>
                <w:ilvl w:val="0"/>
                <w:numId w:val="294"/>
              </w:numPr>
              <w:tabs>
                <w:tab w:pos="340" w:val="left" w:leader="none"/>
              </w:tabs>
              <w:spacing w:line="409" w:lineRule="exact" w:before="31" w:after="0"/>
              <w:ind w:left="339" w:right="0" w:hanging="256"/>
              <w:jc w:val="left"/>
              <w:rPr>
                <w:sz w:val="24"/>
              </w:rPr>
            </w:pPr>
            <w:r>
              <w:rPr>
                <w:color w:val="231F20"/>
                <w:spacing w:val="-1"/>
                <w:sz w:val="24"/>
              </w:rPr>
              <w:t>設籍山地鄉民眾胸部 </w:t>
            </w:r>
            <w:r>
              <w:rPr>
                <w:color w:val="231F20"/>
                <w:sz w:val="24"/>
              </w:rPr>
              <w:t>X</w:t>
            </w:r>
            <w:r>
              <w:rPr>
                <w:color w:val="231F20"/>
                <w:spacing w:val="-3"/>
                <w:sz w:val="24"/>
              </w:rPr>
              <w:t> 光檢査</w:t>
            </w:r>
          </w:p>
          <w:p>
            <w:pPr>
              <w:pStyle w:val="TableParagraph"/>
              <w:numPr>
                <w:ilvl w:val="0"/>
                <w:numId w:val="294"/>
              </w:numPr>
              <w:tabs>
                <w:tab w:pos="340" w:val="left" w:leader="none"/>
              </w:tabs>
              <w:spacing w:line="400" w:lineRule="exact" w:before="0" w:after="0"/>
              <w:ind w:left="339" w:right="0" w:hanging="256"/>
              <w:jc w:val="left"/>
              <w:rPr>
                <w:sz w:val="24"/>
              </w:rPr>
            </w:pPr>
            <w:r>
              <w:rPr>
                <w:color w:val="231F20"/>
                <w:sz w:val="24"/>
              </w:rPr>
              <w:t>設籍山地鄉民眾結核病風險及症狀評</w:t>
            </w:r>
          </w:p>
          <w:p>
            <w:pPr>
              <w:pStyle w:val="TableParagraph"/>
              <w:numPr>
                <w:ilvl w:val="0"/>
                <w:numId w:val="294"/>
              </w:numPr>
              <w:tabs>
                <w:tab w:pos="341" w:val="left" w:leader="none"/>
              </w:tabs>
              <w:spacing w:line="400" w:lineRule="exact" w:before="0" w:after="0"/>
              <w:ind w:left="340" w:right="0" w:hanging="257"/>
              <w:jc w:val="left"/>
              <w:rPr>
                <w:sz w:val="24"/>
              </w:rPr>
            </w:pPr>
            <w:r>
              <w:rPr>
                <w:color w:val="231F20"/>
                <w:sz w:val="24"/>
              </w:rPr>
              <w:t>估</w:t>
            </w:r>
            <w:r>
              <w:rPr>
                <w:sz w:val="24"/>
              </w:rPr>
            </w:r>
          </w:p>
          <w:p>
            <w:pPr>
              <w:pStyle w:val="TableParagraph"/>
              <w:numPr>
                <w:ilvl w:val="0"/>
                <w:numId w:val="294"/>
              </w:numPr>
              <w:tabs>
                <w:tab w:pos="340" w:val="left" w:leader="none"/>
              </w:tabs>
              <w:spacing w:line="230" w:lineRule="auto" w:before="3" w:after="0"/>
              <w:ind w:left="339" w:right="59" w:hanging="255"/>
              <w:jc w:val="left"/>
              <w:rPr>
                <w:sz w:val="24"/>
              </w:rPr>
            </w:pPr>
            <w:r>
              <w:rPr>
                <w:color w:val="231F20"/>
                <w:spacing w:val="8"/>
                <w:sz w:val="24"/>
              </w:rPr>
              <w:t>設籍山地鄉民眾結核蔥快速分子檢測</w:t>
            </w:r>
            <w:r>
              <w:rPr>
                <w:color w:val="231F20"/>
                <w:w w:val="105"/>
                <w:sz w:val="24"/>
              </w:rPr>
              <w:t>(不含試劑費)</w:t>
            </w:r>
          </w:p>
          <w:p>
            <w:pPr>
              <w:pStyle w:val="TableParagraph"/>
              <w:numPr>
                <w:ilvl w:val="0"/>
                <w:numId w:val="294"/>
              </w:numPr>
              <w:tabs>
                <w:tab w:pos="340" w:val="left" w:leader="none"/>
              </w:tabs>
              <w:spacing w:line="386" w:lineRule="exact" w:before="0" w:after="0"/>
              <w:ind w:left="339" w:right="0" w:hanging="256"/>
              <w:jc w:val="left"/>
              <w:rPr>
                <w:sz w:val="24"/>
              </w:rPr>
            </w:pPr>
            <w:r>
              <w:rPr>
                <w:color w:val="231F20"/>
                <w:sz w:val="24"/>
              </w:rPr>
              <w:t>診斷結果編碼資料處理費</w:t>
            </w:r>
          </w:p>
        </w:tc>
      </w:tr>
      <w:tr>
        <w:trPr>
          <w:trHeight w:val="3650" w:hRule="atLeast"/>
        </w:trPr>
        <w:tc>
          <w:tcPr>
            <w:tcW w:w="4045" w:type="dxa"/>
          </w:tcPr>
          <w:p>
            <w:pPr>
              <w:pStyle w:val="TableParagraph"/>
              <w:spacing w:line="230" w:lineRule="auto" w:before="43"/>
              <w:ind w:left="84" w:right="64"/>
              <w:rPr>
                <w:sz w:val="24"/>
              </w:rPr>
            </w:pPr>
            <w:r>
              <w:rPr>
                <w:color w:val="231F20"/>
                <w:w w:val="105"/>
                <w:sz w:val="24"/>
              </w:rPr>
              <w:t>無健保之結核病(含疑似)病人、結核病接觸者及潛伏結核感染者</w:t>
            </w:r>
          </w:p>
        </w:tc>
        <w:tc>
          <w:tcPr>
            <w:tcW w:w="4396" w:type="dxa"/>
          </w:tcPr>
          <w:p>
            <w:pPr>
              <w:pStyle w:val="TableParagraph"/>
              <w:numPr>
                <w:ilvl w:val="0"/>
                <w:numId w:val="295"/>
              </w:numPr>
              <w:tabs>
                <w:tab w:pos="340" w:val="left" w:leader="none"/>
              </w:tabs>
              <w:spacing w:line="230" w:lineRule="auto" w:before="43" w:after="0"/>
              <w:ind w:left="339" w:right="68" w:hanging="255"/>
              <w:jc w:val="both"/>
              <w:rPr>
                <w:sz w:val="24"/>
              </w:rPr>
            </w:pPr>
            <w:r>
              <w:rPr>
                <w:color w:val="231F20"/>
                <w:spacing w:val="6"/>
                <w:w w:val="110"/>
                <w:sz w:val="24"/>
              </w:rPr>
              <w:t>結核病(含疑似)病人醫療費用</w:t>
            </w:r>
            <w:r>
              <w:rPr>
                <w:color w:val="231F20"/>
                <w:spacing w:val="10"/>
                <w:w w:val="280"/>
                <w:sz w:val="24"/>
              </w:rPr>
              <w:t>(</w:t>
            </w:r>
            <w:r>
              <w:rPr>
                <w:color w:val="231F20"/>
                <w:spacing w:val="-16"/>
                <w:w w:val="110"/>
                <w:sz w:val="24"/>
              </w:rPr>
              <w:t>含</w:t>
            </w:r>
            <w:r>
              <w:rPr>
                <w:color w:val="231F20"/>
                <w:w w:val="110"/>
                <w:sz w:val="24"/>
              </w:rPr>
              <w:t>門、住診及住院膳食費)</w:t>
            </w:r>
          </w:p>
          <w:p>
            <w:pPr>
              <w:pStyle w:val="TableParagraph"/>
              <w:numPr>
                <w:ilvl w:val="0"/>
                <w:numId w:val="295"/>
              </w:numPr>
              <w:tabs>
                <w:tab w:pos="340" w:val="left" w:leader="none"/>
              </w:tabs>
              <w:spacing w:line="230" w:lineRule="auto" w:before="0" w:after="0"/>
              <w:ind w:left="339" w:right="60" w:hanging="255"/>
              <w:jc w:val="both"/>
              <w:rPr>
                <w:sz w:val="24"/>
              </w:rPr>
            </w:pPr>
            <w:r>
              <w:rPr>
                <w:color w:val="231F20"/>
                <w:spacing w:val="7"/>
                <w:sz w:val="24"/>
              </w:rPr>
              <w:t>結核病接觸者門診檢査費用、接觸者</w:t>
            </w:r>
            <w:r>
              <w:rPr>
                <w:color w:val="231F20"/>
                <w:spacing w:val="-1"/>
                <w:sz w:val="24"/>
              </w:rPr>
              <w:t>檢査衛教諮詢及抽血、</w:t>
            </w:r>
            <w:r>
              <w:rPr>
                <w:color w:val="231F20"/>
                <w:sz w:val="24"/>
              </w:rPr>
              <w:t>IGRA</w:t>
            </w:r>
            <w:r>
              <w:rPr>
                <w:color w:val="231F20"/>
                <w:spacing w:val="4"/>
                <w:sz w:val="24"/>
              </w:rPr>
              <w:t> 檢驗(附</w:t>
            </w:r>
            <w:r>
              <w:rPr>
                <w:color w:val="231F20"/>
                <w:spacing w:val="-3"/>
                <w:w w:val="105"/>
                <w:sz w:val="24"/>
              </w:rPr>
              <w:t>件 </w:t>
            </w:r>
            <w:r>
              <w:rPr>
                <w:color w:val="231F20"/>
                <w:w w:val="125"/>
                <w:sz w:val="24"/>
              </w:rPr>
              <w:t>14-5)</w:t>
            </w:r>
          </w:p>
          <w:p>
            <w:pPr>
              <w:pStyle w:val="TableParagraph"/>
              <w:numPr>
                <w:ilvl w:val="0"/>
                <w:numId w:val="295"/>
              </w:numPr>
              <w:tabs>
                <w:tab w:pos="340" w:val="left" w:leader="none"/>
              </w:tabs>
              <w:spacing w:line="230" w:lineRule="auto" w:before="0" w:after="0"/>
              <w:ind w:left="339" w:right="60" w:hanging="255"/>
              <w:jc w:val="both"/>
              <w:rPr>
                <w:sz w:val="24"/>
              </w:rPr>
            </w:pPr>
            <w:r>
              <w:rPr>
                <w:color w:val="231F20"/>
                <w:spacing w:val="7"/>
                <w:sz w:val="24"/>
              </w:rPr>
              <w:t>潛伏結核感染治療之醫療費用、潛伏</w:t>
            </w:r>
            <w:r>
              <w:rPr>
                <w:color w:val="231F20"/>
                <w:spacing w:val="-1"/>
                <w:w w:val="110"/>
                <w:sz w:val="24"/>
              </w:rPr>
              <w:t>結核感染治療衛教諮詢(附件 </w:t>
            </w:r>
            <w:r>
              <w:rPr>
                <w:color w:val="231F20"/>
                <w:w w:val="110"/>
                <w:sz w:val="24"/>
              </w:rPr>
              <w:t>14-6)</w:t>
            </w:r>
          </w:p>
          <w:p>
            <w:pPr>
              <w:pStyle w:val="TableParagraph"/>
              <w:numPr>
                <w:ilvl w:val="0"/>
                <w:numId w:val="295"/>
              </w:numPr>
              <w:tabs>
                <w:tab w:pos="340" w:val="left" w:leader="none"/>
              </w:tabs>
              <w:spacing w:line="395" w:lineRule="exact" w:before="0" w:after="0"/>
              <w:ind w:left="339" w:right="0" w:hanging="256"/>
              <w:jc w:val="both"/>
              <w:rPr>
                <w:sz w:val="24"/>
              </w:rPr>
            </w:pPr>
            <w:r>
              <w:rPr>
                <w:color w:val="231F20"/>
                <w:spacing w:val="25"/>
                <w:w w:val="105"/>
                <w:sz w:val="24"/>
              </w:rPr>
              <w:t>山地鄉結核病主動篩檢費用(附件</w:t>
            </w:r>
          </w:p>
          <w:p>
            <w:pPr>
              <w:pStyle w:val="TableParagraph"/>
              <w:spacing w:line="391" w:lineRule="exact"/>
              <w:ind w:left="339"/>
              <w:rPr>
                <w:sz w:val="24"/>
              </w:rPr>
            </w:pPr>
            <w:r>
              <w:rPr>
                <w:color w:val="231F20"/>
                <w:w w:val="135"/>
                <w:sz w:val="24"/>
              </w:rPr>
              <w:t>14-7)</w:t>
            </w:r>
          </w:p>
        </w:tc>
      </w:tr>
    </w:tbl>
    <w:p>
      <w:pPr>
        <w:pStyle w:val="BodyText"/>
        <w:spacing w:line="399" w:lineRule="exact"/>
        <w:ind w:left="1349"/>
      </w:pPr>
      <w:r>
        <w:rPr/>
        <w:pict>
          <v:group style="position:absolute;margin-left:.0pt;margin-top:394.171997pt;width:37.35pt;height:447.55pt;mso-position-horizontal-relative:page;mso-position-vertical-relative:page;z-index:252131328" coordorigin="0,7883" coordsize="747,8951">
            <v:shape style="position:absolute;left:178;top:8394;width:439;height:8440" type="#_x0000_t75" stroked="false">
              <v:imagedata r:id="rId453" o:title=""/>
            </v:shape>
            <v:shape style="position:absolute;left:0;top:7883;width:747;height:812" coordorigin="0,7883" coordsize="747,812" path="m365,7883l0,7883,0,8695,365,8695,387,8692,447,8659,713,8376,747,8289,738,8243,447,7920,387,7886,365,7883xe" filled="true" fillcolor="#8ebe3f" stroked="false">
              <v:path arrowok="t"/>
              <v:fill type="solid"/>
            </v:shape>
            <v:shape style="position:absolute;left:216;top:8150;width:384;height:273" type="#_x0000_t75" stroked="false">
              <v:imagedata r:id="rId454" o:title=""/>
            </v:shape>
            <v:shape style="position:absolute;left:274;top:8831;width:251;height:3607" type="#_x0000_t75" stroked="false">
              <v:imagedata r:id="rId45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154</w:t>
                    </w:r>
                  </w:p>
                </w:txbxContent>
              </v:textbox>
              <w10:wrap type="none"/>
            </v:shape>
            <w10:wrap type="none"/>
          </v:group>
        </w:pict>
      </w:r>
      <w:r>
        <w:rPr>
          <w:color w:val="231F20"/>
        </w:rPr>
        <w:t>備註：</w:t>
      </w:r>
    </w:p>
    <w:p>
      <w:pPr>
        <w:pStyle w:val="ListParagraph"/>
        <w:numPr>
          <w:ilvl w:val="1"/>
          <w:numId w:val="280"/>
        </w:numPr>
        <w:tabs>
          <w:tab w:pos="1594" w:val="left" w:leader="none"/>
        </w:tabs>
        <w:spacing w:line="400" w:lineRule="exact" w:before="0" w:after="0"/>
        <w:ind w:left="1593" w:right="0" w:hanging="245"/>
        <w:jc w:val="left"/>
        <w:rPr>
          <w:sz w:val="24"/>
        </w:rPr>
      </w:pPr>
      <w:r>
        <w:rPr>
          <w:color w:val="231F20"/>
          <w:sz w:val="24"/>
        </w:rPr>
        <w:t>慢性傳染性結核病定義請參見工作手冊第十章「抗藥性結核病照護與管理」。</w:t>
      </w:r>
    </w:p>
    <w:p>
      <w:pPr>
        <w:pStyle w:val="ListParagraph"/>
        <w:numPr>
          <w:ilvl w:val="1"/>
          <w:numId w:val="280"/>
        </w:numPr>
        <w:tabs>
          <w:tab w:pos="1594" w:val="left" w:leader="none"/>
        </w:tabs>
        <w:spacing w:line="409" w:lineRule="exact" w:before="0" w:after="0"/>
        <w:ind w:left="1593" w:right="0" w:hanging="245"/>
        <w:jc w:val="left"/>
        <w:rPr>
          <w:sz w:val="24"/>
        </w:rPr>
      </w:pPr>
      <w:r>
        <w:rPr>
          <w:color w:val="231F20"/>
          <w:sz w:val="24"/>
        </w:rPr>
        <w:t>住院營養暨生活濟助費僅補助本國籍病人。</w:t>
      </w:r>
    </w:p>
    <w:p>
      <w:pPr>
        <w:spacing w:after="0" w:line="409" w:lineRule="exact"/>
        <w:jc w:val="left"/>
        <w:rPr>
          <w:sz w:val="24"/>
        </w:rPr>
        <w:sectPr>
          <w:pgSz w:w="11910" w:h="16840"/>
          <w:pgMar w:top="1200" w:bottom="0" w:left="980" w:right="0"/>
        </w:sectPr>
      </w:pPr>
    </w:p>
    <w:p>
      <w:pPr>
        <w:pStyle w:val="BodyText"/>
        <w:spacing w:line="409" w:lineRule="exact" w:before="59"/>
        <w:ind w:left="629"/>
        <w:jc w:val="both"/>
      </w:pPr>
      <w:r>
        <w:rPr>
          <w:color w:val="231F20"/>
          <w:w w:val="65"/>
        </w:rPr>
        <w:t>（ </w:t>
      </w:r>
      <w:r>
        <w:rPr>
          <w:color w:val="231F20"/>
        </w:rPr>
        <w:t>三 ) 申辦方式</w:t>
      </w:r>
    </w:p>
    <w:p>
      <w:pPr>
        <w:pStyle w:val="ListParagraph"/>
        <w:numPr>
          <w:ilvl w:val="0"/>
          <w:numId w:val="296"/>
        </w:numPr>
        <w:tabs>
          <w:tab w:pos="1350" w:val="left" w:leader="none"/>
        </w:tabs>
        <w:spacing w:line="230" w:lineRule="auto" w:before="2" w:after="0"/>
        <w:ind w:left="1349" w:right="1132" w:hanging="255"/>
        <w:jc w:val="both"/>
        <w:rPr>
          <w:sz w:val="24"/>
        </w:rPr>
      </w:pPr>
      <w:r>
        <w:rPr>
          <w:color w:val="231F20"/>
          <w:spacing w:val="2"/>
          <w:sz w:val="24"/>
        </w:rPr>
        <w:t>請參照「衛生福利部法定傳染病醫療服務費用支付作業規範」辦理。(網址： </w:t>
      </w:r>
      <w:r>
        <w:rPr>
          <w:color w:val="231F20"/>
          <w:spacing w:val="2"/>
          <w:w w:val="109"/>
          <w:sz w:val="24"/>
        </w:rPr>
        <w:t>h</w:t>
      </w:r>
      <w:r>
        <w:rPr>
          <w:color w:val="231F20"/>
          <w:spacing w:val="2"/>
          <w:w w:val="130"/>
          <w:sz w:val="24"/>
        </w:rPr>
        <w:t>tt</w:t>
      </w:r>
      <w:r>
        <w:rPr>
          <w:color w:val="231F20"/>
          <w:spacing w:val="-1"/>
          <w:w w:val="113"/>
          <w:sz w:val="24"/>
        </w:rPr>
        <w:t>p</w:t>
      </w:r>
      <w:r>
        <w:rPr>
          <w:color w:val="231F20"/>
          <w:spacing w:val="-1"/>
          <w:w w:val="91"/>
          <w:sz w:val="24"/>
        </w:rPr>
        <w:t>s</w:t>
      </w:r>
      <w:r>
        <w:rPr>
          <w:color w:val="231F20"/>
          <w:spacing w:val="-1"/>
          <w:w w:val="82"/>
          <w:sz w:val="24"/>
        </w:rPr>
        <w:t>:</w:t>
      </w:r>
      <w:r>
        <w:rPr>
          <w:color w:val="231F20"/>
          <w:w w:val="41"/>
          <w:sz w:val="24"/>
        </w:rPr>
        <w:t>／／</w:t>
      </w:r>
      <w:hyperlink r:id="rId456">
        <w:r>
          <w:rPr>
            <w:color w:val="231F20"/>
            <w:w w:val="107"/>
            <w:sz w:val="24"/>
          </w:rPr>
          <w:t>ww</w:t>
        </w:r>
        <w:r>
          <w:rPr>
            <w:color w:val="231F20"/>
            <w:spacing w:val="-13"/>
            <w:w w:val="107"/>
            <w:sz w:val="24"/>
          </w:rPr>
          <w:t>w</w:t>
        </w:r>
        <w:r>
          <w:rPr>
            <w:color w:val="231F20"/>
            <w:spacing w:val="-1"/>
            <w:w w:val="82"/>
            <w:sz w:val="24"/>
          </w:rPr>
          <w:t>.</w:t>
        </w:r>
        <w:r>
          <w:rPr>
            <w:color w:val="231F20"/>
            <w:w w:val="99"/>
            <w:sz w:val="24"/>
          </w:rPr>
          <w:t>c</w:t>
        </w:r>
        <w:r>
          <w:rPr>
            <w:color w:val="231F20"/>
            <w:w w:val="113"/>
            <w:sz w:val="24"/>
          </w:rPr>
          <w:t>d</w:t>
        </w:r>
        <w:r>
          <w:rPr>
            <w:color w:val="231F20"/>
            <w:w w:val="99"/>
            <w:sz w:val="24"/>
          </w:rPr>
          <w:t>c</w:t>
        </w:r>
        <w:r>
          <w:rPr>
            <w:color w:val="231F20"/>
            <w:spacing w:val="-1"/>
            <w:w w:val="82"/>
            <w:sz w:val="24"/>
          </w:rPr>
          <w:t>.</w:t>
        </w:r>
        <w:r>
          <w:rPr>
            <w:color w:val="231F20"/>
            <w:w w:val="113"/>
            <w:sz w:val="24"/>
          </w:rPr>
          <w:t>g</w:t>
        </w:r>
        <w:r>
          <w:rPr>
            <w:color w:val="231F20"/>
            <w:w w:val="113"/>
            <w:sz w:val="24"/>
          </w:rPr>
          <w:t>o</w:t>
        </w:r>
        <w:r>
          <w:rPr>
            <w:color w:val="231F20"/>
            <w:spacing w:val="-17"/>
            <w:w w:val="102"/>
            <w:sz w:val="24"/>
          </w:rPr>
          <w:t>v</w:t>
        </w:r>
        <w:r>
          <w:rPr>
            <w:color w:val="231F20"/>
            <w:spacing w:val="-1"/>
            <w:w w:val="82"/>
            <w:sz w:val="24"/>
          </w:rPr>
          <w:t>.</w:t>
        </w:r>
        <w:r>
          <w:rPr>
            <w:color w:val="231F20"/>
            <w:w w:val="130"/>
            <w:sz w:val="24"/>
          </w:rPr>
          <w:t>t</w:t>
        </w:r>
        <w:r>
          <w:rPr>
            <w:color w:val="231F20"/>
            <w:w w:val="107"/>
            <w:sz w:val="24"/>
          </w:rPr>
          <w:t>w</w:t>
        </w:r>
      </w:hyperlink>
      <w:r>
        <w:rPr>
          <w:color w:val="231F20"/>
          <w:w w:val="41"/>
          <w:sz w:val="24"/>
        </w:rPr>
        <w:t>／</w:t>
      </w:r>
      <w:r>
        <w:rPr>
          <w:color w:val="231F20"/>
          <w:spacing w:val="13"/>
          <w:sz w:val="24"/>
        </w:rPr>
        <w:t> </w:t>
      </w:r>
      <w:r>
        <w:rPr>
          <w:color w:val="231F20"/>
          <w:w w:val="73"/>
          <w:sz w:val="24"/>
        </w:rPr>
        <w:t>＞</w:t>
      </w:r>
      <w:r>
        <w:rPr>
          <w:color w:val="231F20"/>
          <w:spacing w:val="7"/>
          <w:sz w:val="24"/>
        </w:rPr>
        <w:t> 首頁 </w:t>
      </w:r>
      <w:r>
        <w:rPr>
          <w:color w:val="231F20"/>
          <w:w w:val="73"/>
          <w:sz w:val="24"/>
        </w:rPr>
        <w:t>＞</w:t>
      </w:r>
      <w:r>
        <w:rPr>
          <w:color w:val="231F20"/>
          <w:spacing w:val="2"/>
          <w:sz w:val="24"/>
        </w:rPr>
        <w:t> 傳染病與防疫專題 </w:t>
      </w:r>
      <w:r>
        <w:rPr>
          <w:color w:val="231F20"/>
          <w:w w:val="73"/>
          <w:sz w:val="24"/>
        </w:rPr>
        <w:t>＞</w:t>
      </w:r>
      <w:r>
        <w:rPr>
          <w:color w:val="231F20"/>
          <w:spacing w:val="4"/>
          <w:sz w:val="24"/>
        </w:rPr>
        <w:t> 傳染病介紹 </w:t>
      </w:r>
      <w:r>
        <w:rPr>
          <w:color w:val="231F20"/>
          <w:w w:val="73"/>
          <w:sz w:val="24"/>
        </w:rPr>
        <w:t>＞</w:t>
      </w:r>
      <w:r>
        <w:rPr>
          <w:color w:val="231F20"/>
          <w:spacing w:val="5"/>
          <w:sz w:val="24"/>
        </w:rPr>
        <w:t> 第三類</w:t>
      </w:r>
      <w:r>
        <w:rPr>
          <w:color w:val="231F20"/>
          <w:spacing w:val="-7"/>
          <w:sz w:val="24"/>
        </w:rPr>
        <w:t>法定傳染病 ＞ 結核病 ＞ 治療照護 ＞ 醫療費用補助)。</w:t>
      </w:r>
    </w:p>
    <w:p>
      <w:pPr>
        <w:pStyle w:val="ListParagraph"/>
        <w:numPr>
          <w:ilvl w:val="0"/>
          <w:numId w:val="296"/>
        </w:numPr>
        <w:tabs>
          <w:tab w:pos="1350" w:val="left" w:leader="none"/>
        </w:tabs>
        <w:spacing w:line="230" w:lineRule="auto" w:before="0" w:after="0"/>
        <w:ind w:left="1349" w:right="1134" w:hanging="255"/>
        <w:jc w:val="both"/>
        <w:rPr>
          <w:sz w:val="24"/>
        </w:rPr>
      </w:pPr>
      <w:r>
        <w:rPr>
          <w:color w:val="231F20"/>
          <w:spacing w:val="7"/>
          <w:sz w:val="24"/>
        </w:rPr>
        <w:t>指定醫院(附件 </w:t>
      </w:r>
      <w:r>
        <w:rPr>
          <w:color w:val="231F20"/>
          <w:sz w:val="24"/>
        </w:rPr>
        <w:t>14-3</w:t>
      </w:r>
      <w:r>
        <w:rPr>
          <w:color w:val="231F20"/>
          <w:spacing w:val="3"/>
          <w:sz w:val="24"/>
        </w:rPr>
        <w:t>)確定慢性傳染性結核病病人符合補助條件後，每月 </w:t>
      </w:r>
      <w:r>
        <w:rPr>
          <w:color w:val="231F20"/>
          <w:sz w:val="24"/>
        </w:rPr>
        <w:t>5</w:t>
      </w:r>
      <w:r>
        <w:rPr>
          <w:color w:val="231F20"/>
          <w:spacing w:val="7"/>
          <w:sz w:val="24"/>
        </w:rPr>
        <w:t>  日</w:t>
      </w:r>
      <w:r>
        <w:rPr>
          <w:color w:val="231F20"/>
          <w:spacing w:val="-1"/>
          <w:sz w:val="24"/>
        </w:rPr>
        <w:t>前，檢具前—個月之慢性傳染性結核病病人住院營養暨生活濟助費印領清冊(附</w:t>
      </w:r>
      <w:r>
        <w:rPr>
          <w:color w:val="231F20"/>
          <w:spacing w:val="15"/>
          <w:sz w:val="24"/>
        </w:rPr>
        <w:t>件 </w:t>
      </w:r>
      <w:r>
        <w:rPr>
          <w:color w:val="231F20"/>
          <w:sz w:val="24"/>
        </w:rPr>
        <w:t>14-4)及病歷摘要等向疾管署申請核撥，疾管署審核個案資料正確無誤後， 將住院營養暨生活濟助費撥付指定醫院，由指定醫院轉發個案。</w:t>
      </w:r>
    </w:p>
    <w:p>
      <w:pPr>
        <w:pStyle w:val="BodyText"/>
        <w:spacing w:line="392" w:lineRule="exact"/>
        <w:ind w:left="391"/>
      </w:pPr>
      <w:r>
        <w:rPr>
          <w:color w:val="231F20"/>
        </w:rPr>
        <w:t>二、原住民結核病人完治獎金</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依據：行政院原住民族委員會原住民結核病患補助要點</w:t>
      </w:r>
    </w:p>
    <w:p>
      <w:pPr>
        <w:pStyle w:val="BodyText"/>
        <w:tabs>
          <w:tab w:pos="1349" w:val="left" w:leader="none"/>
        </w:tabs>
        <w:spacing w:line="409" w:lineRule="exact"/>
        <w:ind w:left="629"/>
      </w:pPr>
      <w:r>
        <w:rPr/>
        <w:pict>
          <v:shape style="position:absolute;margin-left:116.453499pt;margin-top:18.090803pt;width:422.3pt;height:67.4pt;mso-position-horizontal-relative:page;mso-position-vertical-relative:paragraph;z-index:25213440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6065"/>
                    <w:gridCol w:w="2359"/>
                  </w:tblGrid>
                  <w:tr>
                    <w:trPr>
                      <w:trHeight w:val="451" w:hRule="atLeast"/>
                    </w:trPr>
                    <w:tc>
                      <w:tcPr>
                        <w:tcW w:w="6065" w:type="dxa"/>
                        <w:shd w:val="clear" w:color="auto" w:fill="E6E7E8"/>
                      </w:tcPr>
                      <w:p>
                        <w:pPr>
                          <w:pStyle w:val="TableParagraph"/>
                          <w:spacing w:line="431" w:lineRule="exact"/>
                          <w:ind w:left="2172" w:right="2158"/>
                          <w:jc w:val="center"/>
                          <w:rPr>
                            <w:rFonts w:ascii="微軟正黑體" w:eastAsia="微軟正黑體" w:hint="eastAsia"/>
                            <w:b/>
                            <w:sz w:val="24"/>
                          </w:rPr>
                        </w:pPr>
                        <w:r>
                          <w:rPr>
                            <w:rFonts w:ascii="微軟正黑體" w:eastAsia="微軟正黑體" w:hint="eastAsia"/>
                            <w:b/>
                            <w:color w:val="231F20"/>
                            <w:sz w:val="24"/>
                          </w:rPr>
                          <w:t>補助對象及條件</w:t>
                        </w:r>
                      </w:p>
                    </w:tc>
                    <w:tc>
                      <w:tcPr>
                        <w:tcW w:w="2359" w:type="dxa"/>
                        <w:shd w:val="clear" w:color="auto" w:fill="E6E7E8"/>
                      </w:tcPr>
                      <w:p>
                        <w:pPr>
                          <w:pStyle w:val="TableParagraph"/>
                          <w:spacing w:line="431" w:lineRule="exact"/>
                          <w:ind w:left="699"/>
                          <w:rPr>
                            <w:rFonts w:ascii="微軟正黑體" w:eastAsia="微軟正黑體" w:hint="eastAsia"/>
                            <w:b/>
                            <w:sz w:val="24"/>
                          </w:rPr>
                        </w:pPr>
                        <w:r>
                          <w:rPr>
                            <w:rFonts w:ascii="微軟正黑體" w:eastAsia="微軟正黑體" w:hint="eastAsia"/>
                            <w:b/>
                            <w:color w:val="231F20"/>
                            <w:sz w:val="24"/>
                          </w:rPr>
                          <w:t>補助項目</w:t>
                        </w:r>
                      </w:p>
                    </w:tc>
                  </w:tr>
                  <w:tr>
                    <w:trPr>
                      <w:trHeight w:val="851" w:hRule="atLeast"/>
                    </w:trPr>
                    <w:tc>
                      <w:tcPr>
                        <w:tcW w:w="6065" w:type="dxa"/>
                      </w:tcPr>
                      <w:p>
                        <w:pPr>
                          <w:pStyle w:val="TableParagraph"/>
                          <w:numPr>
                            <w:ilvl w:val="0"/>
                            <w:numId w:val="297"/>
                          </w:numPr>
                          <w:tabs>
                            <w:tab w:pos="340" w:val="left" w:leader="none"/>
                          </w:tabs>
                          <w:spacing w:line="409" w:lineRule="exact" w:before="31" w:after="0"/>
                          <w:ind w:left="339" w:right="0" w:hanging="256"/>
                          <w:jc w:val="left"/>
                          <w:rPr>
                            <w:sz w:val="24"/>
                          </w:rPr>
                        </w:pPr>
                        <w:r>
                          <w:rPr>
                            <w:color w:val="231F20"/>
                            <w:sz w:val="24"/>
                          </w:rPr>
                          <w:t>具原住民身分</w:t>
                        </w:r>
                      </w:p>
                      <w:p>
                        <w:pPr>
                          <w:pStyle w:val="TableParagraph"/>
                          <w:numPr>
                            <w:ilvl w:val="0"/>
                            <w:numId w:val="297"/>
                          </w:numPr>
                          <w:tabs>
                            <w:tab w:pos="340" w:val="left" w:leader="none"/>
                          </w:tabs>
                          <w:spacing w:line="391" w:lineRule="exact" w:before="0" w:after="0"/>
                          <w:ind w:left="339" w:right="0" w:hanging="256"/>
                          <w:jc w:val="left"/>
                          <w:rPr>
                            <w:sz w:val="24"/>
                          </w:rPr>
                        </w:pPr>
                        <w:r>
                          <w:rPr>
                            <w:color w:val="231F20"/>
                            <w:spacing w:val="-3"/>
                            <w:sz w:val="24"/>
                          </w:rPr>
                          <w:t>需為 </w:t>
                        </w:r>
                        <w:r>
                          <w:rPr>
                            <w:color w:val="231F20"/>
                            <w:sz w:val="24"/>
                          </w:rPr>
                          <w:t>TB</w:t>
                        </w:r>
                        <w:r>
                          <w:rPr>
                            <w:color w:val="231F20"/>
                            <w:spacing w:val="-3"/>
                            <w:sz w:val="24"/>
                          </w:rPr>
                          <w:t> 系統列管且完治個案</w:t>
                        </w:r>
                      </w:p>
                    </w:tc>
                    <w:tc>
                      <w:tcPr>
                        <w:tcW w:w="2359" w:type="dxa"/>
                      </w:tcPr>
                      <w:p>
                        <w:pPr>
                          <w:pStyle w:val="TableParagraph"/>
                          <w:spacing w:line="409" w:lineRule="exact" w:before="31"/>
                          <w:ind w:left="84"/>
                          <w:rPr>
                            <w:sz w:val="24"/>
                          </w:rPr>
                        </w:pPr>
                        <w:r>
                          <w:rPr>
                            <w:color w:val="231F20"/>
                            <w:sz w:val="24"/>
                          </w:rPr>
                          <w:t>完治獎金：</w:t>
                        </w:r>
                      </w:p>
                      <w:p>
                        <w:pPr>
                          <w:pStyle w:val="TableParagraph"/>
                          <w:spacing w:line="391" w:lineRule="exact"/>
                          <w:ind w:left="84"/>
                          <w:rPr>
                            <w:sz w:val="24"/>
                          </w:rPr>
                        </w:pPr>
                        <w:r>
                          <w:rPr>
                            <w:color w:val="231F20"/>
                            <w:sz w:val="24"/>
                          </w:rPr>
                          <w:t>每例新臺幣 5,000 元</w:t>
                        </w:r>
                      </w:p>
                    </w:tc>
                  </w:tr>
                </w:tbl>
                <w:p>
                  <w:pPr>
                    <w:pStyle w:val="BodyText"/>
                  </w:pPr>
                </w:p>
              </w:txbxContent>
            </v:textbox>
            <w10:wrap type="none"/>
          </v:shape>
        </w:pict>
      </w:r>
      <w:r>
        <w:rPr>
          <w:color w:val="231F20"/>
          <w:w w:val="65"/>
        </w:rPr>
        <w:t>（</w:t>
      </w:r>
      <w:r>
        <w:rPr>
          <w:color w:val="231F20"/>
          <w:spacing w:val="1"/>
          <w:w w:val="65"/>
        </w:rPr>
        <w:t> </w:t>
      </w:r>
      <w:r>
        <w:rPr>
          <w:color w:val="231F20"/>
        </w:rPr>
        <w:t>二</w:t>
      </w:r>
      <w:r>
        <w:rPr>
          <w:color w:val="231F20"/>
          <w:spacing w:val="-22"/>
        </w:rPr>
        <w:t> </w:t>
      </w:r>
      <w:r>
        <w:rPr>
          <w:color w:val="231F20"/>
        </w:rPr>
        <w:t>)</w:t>
        <w:tab/>
        <w:t>補助對象、條件及項目</w:t>
      </w:r>
    </w:p>
    <w:p>
      <w:pPr>
        <w:pStyle w:val="BodyText"/>
        <w:rPr>
          <w:sz w:val="32"/>
        </w:rPr>
      </w:pPr>
    </w:p>
    <w:p>
      <w:pPr>
        <w:pStyle w:val="BodyText"/>
        <w:rPr>
          <w:sz w:val="32"/>
        </w:rPr>
      </w:pPr>
    </w:p>
    <w:p>
      <w:pPr>
        <w:pStyle w:val="BodyText"/>
        <w:spacing w:before="14"/>
        <w:rPr>
          <w:sz w:val="38"/>
        </w:rPr>
      </w:pPr>
    </w:p>
    <w:p>
      <w:pPr>
        <w:pStyle w:val="BodyText"/>
        <w:spacing w:line="409" w:lineRule="exact"/>
        <w:ind w:left="629"/>
        <w:jc w:val="both"/>
      </w:pPr>
      <w:r>
        <w:rPr>
          <w:color w:val="231F20"/>
          <w:w w:val="65"/>
        </w:rPr>
        <w:t>（ </w:t>
      </w:r>
      <w:r>
        <w:rPr>
          <w:color w:val="231F20"/>
        </w:rPr>
        <w:t>三 ) 申辦方式</w:t>
      </w:r>
    </w:p>
    <w:p>
      <w:pPr>
        <w:pStyle w:val="ListParagraph"/>
        <w:numPr>
          <w:ilvl w:val="0"/>
          <w:numId w:val="298"/>
        </w:numPr>
        <w:tabs>
          <w:tab w:pos="1351" w:val="left" w:leader="none"/>
        </w:tabs>
        <w:spacing w:line="230" w:lineRule="auto" w:before="2" w:after="0"/>
        <w:ind w:left="1349" w:right="1134" w:hanging="255"/>
        <w:jc w:val="both"/>
        <w:rPr>
          <w:sz w:val="24"/>
        </w:rPr>
      </w:pPr>
      <w:r>
        <w:rPr/>
        <w:pict>
          <v:group style="position:absolute;margin-left:557.686523pt;margin-top:7.311746pt;width:37.35pt;height:447.55pt;mso-position-horizontal-relative:page;mso-position-vertical-relative:paragraph;z-index:252133376" coordorigin="11154,146" coordsize="747,8951">
            <v:shape style="position:absolute;left:11283;top:657;width:439;height:8439" type="#_x0000_t75" stroked="false">
              <v:imagedata r:id="rId450" o:title=""/>
            </v:shape>
            <v:shape style="position:absolute;left:11153;top:146;width:747;height:812" coordorigin="11154,146" coordsize="747,812" path="m11900,146l11536,146,11514,148,11454,182,11188,465,11154,552,11162,598,11454,921,11514,955,11536,958,11900,958,11900,146xe" filled="true" fillcolor="#8ebe3f" stroked="false">
              <v:path arrowok="t"/>
              <v:fill type="solid"/>
            </v:shape>
            <v:shape style="position:absolute;left:11321;top:413;width:384;height:273" type="#_x0000_t75" stroked="false">
              <v:imagedata r:id="rId457" o:title=""/>
            </v:shape>
            <v:shape style="position:absolute;left:11379;top:1094;width:251;height:3607" type="#_x0000_t75" stroked="false">
              <v:imagedata r:id="rId452" o:title=""/>
            </v:shape>
            <v:shape style="position:absolute;left:11368;top:8534;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155</w:t>
                    </w:r>
                  </w:p>
                </w:txbxContent>
              </v:textbox>
              <w10:wrap type="none"/>
            </v:shape>
            <w10:wrap type="none"/>
          </v:group>
        </w:pict>
      </w:r>
      <w:r>
        <w:rPr>
          <w:color w:val="231F20"/>
          <w:spacing w:val="-1"/>
          <w:sz w:val="24"/>
        </w:rPr>
        <w:t>衛生所管理人員應協助具原住民身分之結核病個案，於完治後 </w:t>
      </w:r>
      <w:r>
        <w:rPr>
          <w:color w:val="231F20"/>
          <w:sz w:val="24"/>
        </w:rPr>
        <w:t>6</w:t>
      </w:r>
      <w:r>
        <w:rPr>
          <w:color w:val="231F20"/>
          <w:spacing w:val="-2"/>
          <w:sz w:val="24"/>
        </w:rPr>
        <w:t> 個月內，請個案檢附戶口名簿，向衛生所提出申請，逾期者不予受理。</w:t>
      </w:r>
    </w:p>
    <w:p>
      <w:pPr>
        <w:pStyle w:val="ListParagraph"/>
        <w:numPr>
          <w:ilvl w:val="0"/>
          <w:numId w:val="298"/>
        </w:numPr>
        <w:tabs>
          <w:tab w:pos="1351" w:val="left" w:leader="none"/>
        </w:tabs>
        <w:spacing w:line="230" w:lineRule="auto" w:before="0" w:after="0"/>
        <w:ind w:left="1349" w:right="1075" w:hanging="255"/>
        <w:jc w:val="both"/>
        <w:rPr>
          <w:sz w:val="24"/>
        </w:rPr>
      </w:pPr>
      <w:r>
        <w:rPr>
          <w:color w:val="231F20"/>
          <w:sz w:val="24"/>
        </w:rPr>
        <w:t>衛生所每月彙整請領清單，並檢附個案之戶口名簿影本及完治證明，送行政院原</w:t>
      </w:r>
      <w:r>
        <w:rPr>
          <w:color w:val="231F20"/>
          <w:spacing w:val="-5"/>
          <w:sz w:val="24"/>
        </w:rPr>
        <w:t>住民族委員會審核，經與 </w:t>
      </w:r>
      <w:r>
        <w:rPr>
          <w:color w:val="231F20"/>
          <w:sz w:val="24"/>
        </w:rPr>
        <w:t>TB</w:t>
      </w:r>
      <w:r>
        <w:rPr>
          <w:color w:val="231F20"/>
          <w:spacing w:val="-8"/>
          <w:sz w:val="24"/>
        </w:rPr>
        <w:t> 系統勾稽符合完治條件者，核撥完治獎金至衛生所， </w:t>
      </w:r>
      <w:r>
        <w:rPr>
          <w:color w:val="231F20"/>
          <w:sz w:val="24"/>
        </w:rPr>
        <w:t>由衛生所轉發給個案。</w:t>
      </w:r>
    </w:p>
    <w:p>
      <w:pPr>
        <w:pStyle w:val="ListParagraph"/>
        <w:numPr>
          <w:ilvl w:val="0"/>
          <w:numId w:val="298"/>
        </w:numPr>
        <w:tabs>
          <w:tab w:pos="1349" w:val="left" w:leader="none"/>
        </w:tabs>
        <w:spacing w:line="230" w:lineRule="auto" w:before="0" w:after="0"/>
        <w:ind w:left="391" w:right="2615" w:firstLine="702"/>
        <w:jc w:val="both"/>
        <w:rPr>
          <w:sz w:val="24"/>
        </w:rPr>
      </w:pPr>
      <w:r>
        <w:rPr>
          <w:color w:val="231F20"/>
          <w:spacing w:val="-1"/>
          <w:sz w:val="24"/>
        </w:rPr>
        <w:t>如行政院原住民族委員會終止該補助要點，本項補助即停止辦理。</w:t>
      </w:r>
      <w:r>
        <w:rPr>
          <w:color w:val="231F20"/>
          <w:sz w:val="24"/>
        </w:rPr>
        <w:t>三、結核病經濟困難個案補助</w:t>
      </w:r>
    </w:p>
    <w:p>
      <w:pPr>
        <w:pStyle w:val="BodyText"/>
        <w:spacing w:line="230" w:lineRule="auto"/>
        <w:ind w:left="1349" w:right="1138" w:hanging="720"/>
        <w:jc w:val="both"/>
      </w:pPr>
      <w:r>
        <w:rPr>
          <w:color w:val="231F20"/>
          <w:w w:val="70"/>
        </w:rPr>
        <w:t>（ </w:t>
      </w:r>
      <w:r>
        <w:rPr>
          <w:color w:val="231F20"/>
        </w:rPr>
        <w:t>— ) 依據：疾病管制署運用中華民國防癆協會補助款，協助結核病經濟困難個案作業</w:t>
      </w:r>
      <w:r>
        <w:rPr>
          <w:color w:val="231F20"/>
          <w:w w:val="125"/>
        </w:rPr>
        <w:t>流程(附件 14-8)</w:t>
      </w:r>
    </w:p>
    <w:p>
      <w:pPr>
        <w:pStyle w:val="BodyText"/>
        <w:spacing w:line="404" w:lineRule="exact"/>
        <w:ind w:left="629"/>
        <w:jc w:val="both"/>
      </w:pPr>
      <w:r>
        <w:rPr/>
        <w:pict>
          <v:shape style="position:absolute;margin-left:116.453499pt;margin-top:17.842402pt;width:422.3pt;height:187.35pt;mso-position-horizontal-relative:page;mso-position-vertical-relative:paragraph;z-index:252135424"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6065"/>
                    <w:gridCol w:w="2359"/>
                  </w:tblGrid>
                  <w:tr>
                    <w:trPr>
                      <w:trHeight w:val="451" w:hRule="atLeast"/>
                    </w:trPr>
                    <w:tc>
                      <w:tcPr>
                        <w:tcW w:w="6065" w:type="dxa"/>
                        <w:shd w:val="clear" w:color="auto" w:fill="E6E7E8"/>
                      </w:tcPr>
                      <w:p>
                        <w:pPr>
                          <w:pStyle w:val="TableParagraph"/>
                          <w:spacing w:line="431" w:lineRule="exact"/>
                          <w:ind w:left="2172" w:right="2158"/>
                          <w:jc w:val="center"/>
                          <w:rPr>
                            <w:rFonts w:ascii="微軟正黑體" w:eastAsia="微軟正黑體" w:hint="eastAsia"/>
                            <w:b/>
                            <w:sz w:val="24"/>
                          </w:rPr>
                        </w:pPr>
                        <w:r>
                          <w:rPr>
                            <w:rFonts w:ascii="微軟正黑體" w:eastAsia="微軟正黑體" w:hint="eastAsia"/>
                            <w:b/>
                            <w:color w:val="231F20"/>
                            <w:sz w:val="24"/>
                          </w:rPr>
                          <w:t>補助對象及條件</w:t>
                        </w:r>
                      </w:p>
                    </w:tc>
                    <w:tc>
                      <w:tcPr>
                        <w:tcW w:w="2359" w:type="dxa"/>
                        <w:shd w:val="clear" w:color="auto" w:fill="E6E7E8"/>
                      </w:tcPr>
                      <w:p>
                        <w:pPr>
                          <w:pStyle w:val="TableParagraph"/>
                          <w:spacing w:line="431" w:lineRule="exact"/>
                          <w:ind w:left="699"/>
                          <w:rPr>
                            <w:rFonts w:ascii="微軟正黑體" w:eastAsia="微軟正黑體" w:hint="eastAsia"/>
                            <w:b/>
                            <w:sz w:val="24"/>
                          </w:rPr>
                        </w:pPr>
                        <w:r>
                          <w:rPr>
                            <w:rFonts w:ascii="微軟正黑體" w:eastAsia="微軟正黑體" w:hint="eastAsia"/>
                            <w:b/>
                            <w:color w:val="231F20"/>
                            <w:sz w:val="24"/>
                          </w:rPr>
                          <w:t>補助項目</w:t>
                        </w:r>
                      </w:p>
                    </w:tc>
                  </w:tr>
                  <w:tr>
                    <w:trPr>
                      <w:trHeight w:val="420" w:hRule="atLeast"/>
                    </w:trPr>
                    <w:tc>
                      <w:tcPr>
                        <w:tcW w:w="6065" w:type="dxa"/>
                        <w:tcBorders>
                          <w:bottom w:val="nil"/>
                        </w:tcBorders>
                      </w:tcPr>
                      <w:p>
                        <w:pPr>
                          <w:pStyle w:val="TableParagraph"/>
                          <w:spacing w:line="369" w:lineRule="exact" w:before="31"/>
                          <w:ind w:left="84"/>
                          <w:rPr>
                            <w:sz w:val="24"/>
                          </w:rPr>
                        </w:pPr>
                        <w:r>
                          <w:rPr>
                            <w:color w:val="231F20"/>
                            <w:sz w:val="24"/>
                          </w:rPr>
                          <w:t>1. 參加結核病都治計畫之結核病個案</w:t>
                        </w:r>
                      </w:p>
                    </w:tc>
                    <w:tc>
                      <w:tcPr>
                        <w:tcW w:w="2359" w:type="dxa"/>
                        <w:tcBorders>
                          <w:bottom w:val="nil"/>
                        </w:tcBorders>
                      </w:tcPr>
                      <w:p>
                        <w:pPr>
                          <w:pStyle w:val="TableParagraph"/>
                          <w:spacing w:line="369" w:lineRule="exact" w:before="31"/>
                          <w:ind w:left="84"/>
                          <w:rPr>
                            <w:sz w:val="24"/>
                          </w:rPr>
                        </w:pPr>
                        <w:r>
                          <w:rPr>
                            <w:color w:val="231F20"/>
                            <w:sz w:val="24"/>
                          </w:rPr>
                          <w:t>每例個案補助上限為</w:t>
                        </w:r>
                      </w:p>
                    </w:tc>
                  </w:tr>
                  <w:tr>
                    <w:trPr>
                      <w:trHeight w:val="399" w:hRule="atLeast"/>
                    </w:trPr>
                    <w:tc>
                      <w:tcPr>
                        <w:tcW w:w="6065" w:type="dxa"/>
                        <w:tcBorders>
                          <w:top w:val="nil"/>
                          <w:bottom w:val="nil"/>
                        </w:tcBorders>
                      </w:tcPr>
                      <w:p>
                        <w:pPr>
                          <w:pStyle w:val="TableParagraph"/>
                          <w:spacing w:line="369" w:lineRule="exact" w:before="10"/>
                          <w:ind w:left="84"/>
                          <w:rPr>
                            <w:sz w:val="24"/>
                          </w:rPr>
                        </w:pPr>
                        <w:r>
                          <w:rPr>
                            <w:color w:val="231F20"/>
                            <w:sz w:val="24"/>
                          </w:rPr>
                          <w:t>2. 經評估經濟上確實有需要幫助且曾經轉介社福救濟</w:t>
                        </w:r>
                      </w:p>
                    </w:tc>
                    <w:tc>
                      <w:tcPr>
                        <w:tcW w:w="2359" w:type="dxa"/>
                        <w:tcBorders>
                          <w:top w:val="nil"/>
                          <w:bottom w:val="nil"/>
                        </w:tcBorders>
                      </w:tcPr>
                      <w:p>
                        <w:pPr>
                          <w:pStyle w:val="TableParagraph"/>
                          <w:spacing w:line="369" w:lineRule="exact" w:before="10"/>
                          <w:ind w:left="84"/>
                          <w:rPr>
                            <w:sz w:val="24"/>
                          </w:rPr>
                        </w:pPr>
                        <w:r>
                          <w:rPr>
                            <w:color w:val="231F20"/>
                            <w:sz w:val="24"/>
                          </w:rPr>
                          <w:t>新臺幣 18,000 元</w:t>
                        </w:r>
                      </w:p>
                    </w:tc>
                  </w:tr>
                  <w:tr>
                    <w:trPr>
                      <w:trHeight w:val="399" w:hRule="atLeast"/>
                    </w:trPr>
                    <w:tc>
                      <w:tcPr>
                        <w:tcW w:w="6065" w:type="dxa"/>
                        <w:tcBorders>
                          <w:top w:val="nil"/>
                          <w:bottom w:val="nil"/>
                        </w:tcBorders>
                      </w:tcPr>
                      <w:p>
                        <w:pPr>
                          <w:pStyle w:val="TableParagraph"/>
                          <w:spacing w:line="369" w:lineRule="exact" w:before="10"/>
                          <w:ind w:right="8"/>
                          <w:jc w:val="right"/>
                          <w:rPr>
                            <w:sz w:val="24"/>
                          </w:rPr>
                        </w:pPr>
                        <w:r>
                          <w:rPr>
                            <w:color w:val="231F20"/>
                            <w:sz w:val="24"/>
                          </w:rPr>
                          <w:t>者，依「結核病個案經濟困難程度評分表」進行計分，</w:t>
                        </w:r>
                      </w:p>
                    </w:tc>
                    <w:tc>
                      <w:tcPr>
                        <w:tcW w:w="2359" w:type="dxa"/>
                        <w:tcBorders>
                          <w:top w:val="nil"/>
                          <w:bottom w:val="nil"/>
                        </w:tcBorders>
                      </w:tcPr>
                      <w:p>
                        <w:pPr>
                          <w:pStyle w:val="TableParagraph"/>
                          <w:rPr>
                            <w:rFonts w:ascii="Times New Roman"/>
                            <w:sz w:val="22"/>
                          </w:rPr>
                        </w:pPr>
                      </w:p>
                    </w:tc>
                  </w:tr>
                  <w:tr>
                    <w:trPr>
                      <w:trHeight w:val="399" w:hRule="atLeast"/>
                    </w:trPr>
                    <w:tc>
                      <w:tcPr>
                        <w:tcW w:w="6065" w:type="dxa"/>
                        <w:tcBorders>
                          <w:top w:val="nil"/>
                          <w:bottom w:val="nil"/>
                        </w:tcBorders>
                      </w:tcPr>
                      <w:p>
                        <w:pPr>
                          <w:pStyle w:val="TableParagraph"/>
                          <w:spacing w:line="369" w:lineRule="exact" w:before="10"/>
                          <w:ind w:right="68"/>
                          <w:jc w:val="right"/>
                          <w:rPr>
                            <w:sz w:val="24"/>
                          </w:rPr>
                        </w:pPr>
                        <w:r>
                          <w:rPr>
                            <w:color w:val="231F20"/>
                            <w:w w:val="105"/>
                            <w:sz w:val="24"/>
                          </w:rPr>
                          <w:t>總分達 20 分(含)以上者，可送各區管制中心申請，</w:t>
                        </w:r>
                      </w:p>
                    </w:tc>
                    <w:tc>
                      <w:tcPr>
                        <w:tcW w:w="2359" w:type="dxa"/>
                        <w:tcBorders>
                          <w:top w:val="nil"/>
                          <w:bottom w:val="nil"/>
                        </w:tcBorders>
                      </w:tcPr>
                      <w:p>
                        <w:pPr>
                          <w:pStyle w:val="TableParagraph"/>
                          <w:rPr>
                            <w:rFonts w:ascii="Times New Roman"/>
                            <w:sz w:val="22"/>
                          </w:rPr>
                        </w:pPr>
                      </w:p>
                    </w:tc>
                  </w:tr>
                  <w:tr>
                    <w:trPr>
                      <w:trHeight w:val="399" w:hRule="atLeast"/>
                    </w:trPr>
                    <w:tc>
                      <w:tcPr>
                        <w:tcW w:w="6065" w:type="dxa"/>
                        <w:tcBorders>
                          <w:top w:val="nil"/>
                          <w:bottom w:val="nil"/>
                        </w:tcBorders>
                      </w:tcPr>
                      <w:p>
                        <w:pPr>
                          <w:pStyle w:val="TableParagraph"/>
                          <w:spacing w:line="369" w:lineRule="exact" w:before="10"/>
                          <w:ind w:left="339"/>
                          <w:rPr>
                            <w:sz w:val="24"/>
                          </w:rPr>
                        </w:pPr>
                        <w:r>
                          <w:rPr>
                            <w:color w:val="231F20"/>
                            <w:sz w:val="24"/>
                          </w:rPr>
                          <w:t>依分數高低作為優先補助對象之排序</w:t>
                        </w:r>
                      </w:p>
                    </w:tc>
                    <w:tc>
                      <w:tcPr>
                        <w:tcW w:w="2359" w:type="dxa"/>
                        <w:tcBorders>
                          <w:top w:val="nil"/>
                          <w:bottom w:val="nil"/>
                        </w:tcBorders>
                      </w:tcPr>
                      <w:p>
                        <w:pPr>
                          <w:pStyle w:val="TableParagraph"/>
                          <w:rPr>
                            <w:rFonts w:ascii="Times New Roman"/>
                            <w:sz w:val="22"/>
                          </w:rPr>
                        </w:pPr>
                      </w:p>
                    </w:tc>
                  </w:tr>
                  <w:tr>
                    <w:trPr>
                      <w:trHeight w:val="399" w:hRule="atLeast"/>
                    </w:trPr>
                    <w:tc>
                      <w:tcPr>
                        <w:tcW w:w="6065" w:type="dxa"/>
                        <w:tcBorders>
                          <w:top w:val="nil"/>
                          <w:bottom w:val="nil"/>
                        </w:tcBorders>
                      </w:tcPr>
                      <w:p>
                        <w:pPr>
                          <w:pStyle w:val="TableParagraph"/>
                          <w:spacing w:line="369" w:lineRule="exact" w:before="10"/>
                          <w:ind w:left="84"/>
                          <w:rPr>
                            <w:sz w:val="24"/>
                          </w:rPr>
                        </w:pPr>
                        <w:r>
                          <w:rPr>
                            <w:color w:val="231F20"/>
                            <w:sz w:val="24"/>
                          </w:rPr>
                          <w:t>3. 考量資源不重複補助為原則，排除已加入抗藥性結核</w:t>
                        </w:r>
                      </w:p>
                    </w:tc>
                    <w:tc>
                      <w:tcPr>
                        <w:tcW w:w="2359" w:type="dxa"/>
                        <w:tcBorders>
                          <w:top w:val="nil"/>
                          <w:bottom w:val="nil"/>
                        </w:tcBorders>
                      </w:tcPr>
                      <w:p>
                        <w:pPr>
                          <w:pStyle w:val="TableParagraph"/>
                          <w:rPr>
                            <w:rFonts w:ascii="Times New Roman"/>
                            <w:sz w:val="22"/>
                          </w:rPr>
                        </w:pPr>
                      </w:p>
                    </w:tc>
                  </w:tr>
                  <w:tr>
                    <w:trPr>
                      <w:trHeight w:val="399" w:hRule="atLeast"/>
                    </w:trPr>
                    <w:tc>
                      <w:tcPr>
                        <w:tcW w:w="6065" w:type="dxa"/>
                        <w:tcBorders>
                          <w:top w:val="nil"/>
                          <w:bottom w:val="nil"/>
                        </w:tcBorders>
                      </w:tcPr>
                      <w:p>
                        <w:pPr>
                          <w:pStyle w:val="TableParagraph"/>
                          <w:spacing w:line="369" w:lineRule="exact" w:before="10"/>
                          <w:ind w:right="67"/>
                          <w:jc w:val="right"/>
                          <w:rPr>
                            <w:sz w:val="24"/>
                          </w:rPr>
                        </w:pPr>
                        <w:r>
                          <w:rPr>
                            <w:color w:val="231F20"/>
                            <w:sz w:val="24"/>
                          </w:rPr>
                          <w:t>病醫療照護體系 </w:t>
                        </w:r>
                        <w:r>
                          <w:rPr>
                            <w:color w:val="231F20"/>
                            <w:w w:val="70"/>
                            <w:sz w:val="24"/>
                          </w:rPr>
                          <w:t>（ </w:t>
                        </w:r>
                        <w:r>
                          <w:rPr>
                            <w:color w:val="231F20"/>
                            <w:sz w:val="24"/>
                          </w:rPr>
                          <w:t>下稱 TMTC 團隊 ) 個案，由 TMTC</w:t>
                        </w:r>
                      </w:p>
                    </w:tc>
                    <w:tc>
                      <w:tcPr>
                        <w:tcW w:w="2359" w:type="dxa"/>
                        <w:tcBorders>
                          <w:top w:val="nil"/>
                          <w:bottom w:val="nil"/>
                        </w:tcBorders>
                      </w:tcPr>
                      <w:p>
                        <w:pPr>
                          <w:pStyle w:val="TableParagraph"/>
                          <w:rPr>
                            <w:rFonts w:ascii="Times New Roman"/>
                            <w:sz w:val="22"/>
                          </w:rPr>
                        </w:pPr>
                      </w:p>
                    </w:tc>
                  </w:tr>
                  <w:tr>
                    <w:trPr>
                      <w:trHeight w:val="430" w:hRule="atLeast"/>
                    </w:trPr>
                    <w:tc>
                      <w:tcPr>
                        <w:tcW w:w="6065" w:type="dxa"/>
                        <w:tcBorders>
                          <w:top w:val="nil"/>
                        </w:tcBorders>
                      </w:tcPr>
                      <w:p>
                        <w:pPr>
                          <w:pStyle w:val="TableParagraph"/>
                          <w:spacing w:line="400" w:lineRule="exact" w:before="10"/>
                          <w:ind w:left="339"/>
                          <w:rPr>
                            <w:sz w:val="24"/>
                          </w:rPr>
                        </w:pPr>
                        <w:r>
                          <w:rPr>
                            <w:color w:val="231F20"/>
                            <w:sz w:val="24"/>
                          </w:rPr>
                          <w:t>團隊提供以「病人為中心」之相關協助</w:t>
                        </w:r>
                      </w:p>
                    </w:tc>
                    <w:tc>
                      <w:tcPr>
                        <w:tcW w:w="2359" w:type="dxa"/>
                        <w:tcBorders>
                          <w:top w:val="nil"/>
                        </w:tcBorders>
                      </w:tcPr>
                      <w:p>
                        <w:pPr>
                          <w:pStyle w:val="TableParagraph"/>
                          <w:rPr>
                            <w:rFonts w:ascii="Times New Roman"/>
                            <w:sz w:val="22"/>
                          </w:rPr>
                        </w:pPr>
                      </w:p>
                    </w:tc>
                  </w:tr>
                </w:tbl>
                <w:p>
                  <w:pPr>
                    <w:pStyle w:val="BodyText"/>
                  </w:pPr>
                </w:p>
              </w:txbxContent>
            </v:textbox>
            <w10:wrap type="none"/>
          </v:shape>
        </w:pict>
      </w:r>
      <w:r>
        <w:rPr>
          <w:color w:val="231F20"/>
          <w:w w:val="65"/>
        </w:rPr>
        <w:t>（ </w:t>
      </w:r>
      <w:r>
        <w:rPr>
          <w:color w:val="231F20"/>
        </w:rPr>
        <w:t>二 ) 補助對象、條件及項目</w:t>
      </w:r>
    </w:p>
    <w:p>
      <w:pPr>
        <w:spacing w:after="0" w:line="404" w:lineRule="exact"/>
        <w:jc w:val="both"/>
        <w:sectPr>
          <w:pgSz w:w="11910" w:h="16840"/>
          <w:pgMar w:top="1060" w:bottom="0" w:left="980" w:right="0"/>
        </w:sectPr>
      </w:pPr>
    </w:p>
    <w:p>
      <w:pPr>
        <w:pStyle w:val="BodyText"/>
        <w:spacing w:line="409" w:lineRule="exact" w:before="55"/>
        <w:ind w:left="633"/>
        <w:jc w:val="both"/>
      </w:pPr>
      <w:r>
        <w:rPr/>
        <w:pict>
          <v:group style="position:absolute;margin-left:.0pt;margin-top:394.171997pt;width:37.35pt;height:447.55pt;mso-position-horizontal-relative:page;mso-position-vertical-relative:page;z-index:252137472" coordorigin="0,7883" coordsize="747,8951">
            <v:shape style="position:absolute;left:178;top:8394;width:439;height:8440" type="#_x0000_t75" stroked="false">
              <v:imagedata r:id="rId453" o:title=""/>
            </v:shape>
            <v:shape style="position:absolute;left:0;top:7883;width:747;height:812" coordorigin="0,7883" coordsize="747,812" path="m365,7883l0,7883,0,8695,365,8695,387,8692,447,8659,713,8376,747,8289,738,8243,447,7920,387,7886,365,7883xe" filled="true" fillcolor="#8ebe3f" stroked="false">
              <v:path arrowok="t"/>
              <v:fill type="solid"/>
            </v:shape>
            <v:shape style="position:absolute;left:216;top:8150;width:384;height:273" type="#_x0000_t75" stroked="false">
              <v:imagedata r:id="rId458" o:title=""/>
            </v:shape>
            <v:shape style="position:absolute;left:274;top:8831;width:251;height:3607" type="#_x0000_t75" stroked="false">
              <v:imagedata r:id="rId45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156</w:t>
                    </w:r>
                  </w:p>
                </w:txbxContent>
              </v:textbox>
              <w10:wrap type="none"/>
            </v:shape>
            <w10:wrap type="none"/>
          </v:group>
        </w:pict>
      </w:r>
      <w:r>
        <w:rPr>
          <w:color w:val="231F20"/>
          <w:w w:val="65"/>
        </w:rPr>
        <w:t>（ </w:t>
      </w:r>
      <w:r>
        <w:rPr>
          <w:color w:val="231F20"/>
        </w:rPr>
        <w:t>三 ) 申辦方式</w:t>
      </w:r>
    </w:p>
    <w:p>
      <w:pPr>
        <w:pStyle w:val="ListParagraph"/>
        <w:numPr>
          <w:ilvl w:val="0"/>
          <w:numId w:val="299"/>
        </w:numPr>
        <w:tabs>
          <w:tab w:pos="1355" w:val="left" w:leader="none"/>
        </w:tabs>
        <w:spacing w:line="230" w:lineRule="auto" w:before="3" w:after="0"/>
        <w:ind w:left="1352" w:right="1128" w:hanging="255"/>
        <w:jc w:val="both"/>
        <w:rPr>
          <w:sz w:val="24"/>
        </w:rPr>
      </w:pPr>
      <w:r>
        <w:rPr>
          <w:color w:val="231F20"/>
          <w:sz w:val="24"/>
        </w:rPr>
        <w:t>衛生局依個案經濟需要之順序，不限名額，就轄內參加都治計畫之結核病個案管理期間，且曾經轉介社福救助，請填報清冊、述明其事實、需要幫助之理由及必要性，依計分高低排序及分配金額後，並提供相關佐證資料—併函報各區管制中心辦理審核。</w:t>
      </w:r>
    </w:p>
    <w:p>
      <w:pPr>
        <w:pStyle w:val="ListParagraph"/>
        <w:numPr>
          <w:ilvl w:val="0"/>
          <w:numId w:val="299"/>
        </w:numPr>
        <w:tabs>
          <w:tab w:pos="1355" w:val="left" w:leader="none"/>
        </w:tabs>
        <w:spacing w:line="230" w:lineRule="auto" w:before="0" w:after="0"/>
        <w:ind w:left="1352" w:right="1134" w:hanging="255"/>
        <w:jc w:val="both"/>
        <w:rPr>
          <w:sz w:val="24"/>
        </w:rPr>
      </w:pPr>
      <w:r>
        <w:rPr>
          <w:color w:val="231F20"/>
          <w:spacing w:val="-1"/>
          <w:sz w:val="24"/>
        </w:rPr>
        <w:t>審核結果將由各區管制中心函知衛生局，請衛生局協助檢送領據(或收款收據)   </w:t>
      </w:r>
      <w:r>
        <w:rPr>
          <w:color w:val="231F20"/>
          <w:w w:val="105"/>
          <w:sz w:val="24"/>
        </w:rPr>
        <w:t>至各區管制中心辦理撥款事宜。</w:t>
      </w:r>
    </w:p>
    <w:p>
      <w:pPr>
        <w:pStyle w:val="ListParagraph"/>
        <w:numPr>
          <w:ilvl w:val="0"/>
          <w:numId w:val="299"/>
        </w:numPr>
        <w:tabs>
          <w:tab w:pos="1354" w:val="left" w:leader="none"/>
        </w:tabs>
        <w:spacing w:line="230" w:lineRule="auto" w:before="0" w:after="0"/>
        <w:ind w:left="1352" w:right="1128" w:hanging="255"/>
        <w:jc w:val="both"/>
        <w:rPr>
          <w:sz w:val="24"/>
        </w:rPr>
      </w:pPr>
      <w:r>
        <w:rPr>
          <w:color w:val="231F20"/>
          <w:sz w:val="24"/>
        </w:rPr>
        <w:t>衛生局依補助名單內容，將核撥款項送交受款人，由受款人簽收領據後，依會計流程辦理核銷。</w:t>
      </w:r>
    </w:p>
    <w:p>
      <w:pPr>
        <w:pStyle w:val="ListParagraph"/>
        <w:numPr>
          <w:ilvl w:val="0"/>
          <w:numId w:val="299"/>
        </w:numPr>
        <w:tabs>
          <w:tab w:pos="1353" w:val="left" w:leader="none"/>
        </w:tabs>
        <w:spacing w:line="230" w:lineRule="auto" w:before="0" w:after="0"/>
        <w:ind w:left="395" w:right="1652" w:firstLine="702"/>
        <w:jc w:val="both"/>
        <w:rPr>
          <w:sz w:val="24"/>
        </w:rPr>
      </w:pPr>
      <w:r>
        <w:rPr>
          <w:color w:val="231F20"/>
          <w:spacing w:val="-1"/>
          <w:sz w:val="24"/>
        </w:rPr>
        <w:t>倘個案因特殊狀況，無法親自受領，可填寫委託書敘明原因，由親屬代領。</w:t>
      </w:r>
      <w:r>
        <w:rPr>
          <w:color w:val="231F20"/>
          <w:sz w:val="24"/>
        </w:rPr>
        <w:t>匹、急難紓困</w:t>
      </w:r>
    </w:p>
    <w:p>
      <w:pPr>
        <w:pStyle w:val="BodyText"/>
        <w:spacing w:line="230" w:lineRule="auto"/>
        <w:ind w:left="1352" w:right="1133" w:hanging="720"/>
        <w:jc w:val="both"/>
      </w:pPr>
      <w:r>
        <w:rPr>
          <w:color w:val="231F20"/>
          <w:w w:val="70"/>
        </w:rPr>
        <w:t>（ </w:t>
      </w:r>
      <w:r>
        <w:rPr>
          <w:color w:val="231F20"/>
        </w:rPr>
        <w:t>— ) 依據：強化社會安全網－急難紓困實施方案(衛生福利部社會救助及社工司首頁</w:t>
      </w:r>
      <w:hyperlink r:id="rId459">
        <w:r>
          <w:rPr>
            <w:color w:val="231F20"/>
            <w:w w:val="105"/>
          </w:rPr>
          <w:t>https:／／www</w:t>
        </w:r>
      </w:hyperlink>
      <w:r>
        <w:rPr>
          <w:color w:val="231F20"/>
          <w:w w:val="105"/>
        </w:rPr>
        <w:t>.mohw</w:t>
      </w:r>
      <w:hyperlink r:id="rId459">
        <w:r>
          <w:rPr>
            <w:color w:val="231F20"/>
            <w:w w:val="105"/>
          </w:rPr>
          <w:t>.gov</w:t>
        </w:r>
      </w:hyperlink>
      <w:r>
        <w:rPr>
          <w:color w:val="231F20"/>
          <w:w w:val="105"/>
        </w:rPr>
        <w:t>.tw／ &gt;急難紓困(原馬上關懷專案)專區資訊)</w:t>
      </w:r>
    </w:p>
    <w:p>
      <w:pPr>
        <w:pStyle w:val="BodyText"/>
        <w:spacing w:line="404" w:lineRule="exact"/>
        <w:ind w:left="633"/>
        <w:jc w:val="both"/>
      </w:pPr>
      <w:r>
        <w:rPr/>
        <w:pict>
          <v:shape style="position:absolute;margin-left:116.634499pt;margin-top:17.838335pt;width:422.3pt;height:107.35pt;mso-position-horizontal-relative:page;mso-position-vertical-relative:paragraph;z-index:252138496"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4574"/>
                    <w:gridCol w:w="3850"/>
                  </w:tblGrid>
                  <w:tr>
                    <w:trPr>
                      <w:trHeight w:val="451" w:hRule="atLeast"/>
                    </w:trPr>
                    <w:tc>
                      <w:tcPr>
                        <w:tcW w:w="4574" w:type="dxa"/>
                        <w:shd w:val="clear" w:color="auto" w:fill="E6E7E8"/>
                      </w:tcPr>
                      <w:p>
                        <w:pPr>
                          <w:pStyle w:val="TableParagraph"/>
                          <w:spacing w:line="431" w:lineRule="exact"/>
                          <w:ind w:left="1446"/>
                          <w:rPr>
                            <w:rFonts w:ascii="微軟正黑體" w:eastAsia="微軟正黑體" w:hint="eastAsia"/>
                            <w:b/>
                            <w:sz w:val="24"/>
                          </w:rPr>
                        </w:pPr>
                        <w:r>
                          <w:rPr>
                            <w:rFonts w:ascii="微軟正黑體" w:eastAsia="微軟正黑體" w:hint="eastAsia"/>
                            <w:b/>
                            <w:color w:val="231F20"/>
                            <w:sz w:val="24"/>
                          </w:rPr>
                          <w:t>補助對象及條件</w:t>
                        </w:r>
                      </w:p>
                    </w:tc>
                    <w:tc>
                      <w:tcPr>
                        <w:tcW w:w="3850" w:type="dxa"/>
                        <w:shd w:val="clear" w:color="auto" w:fill="E6E7E8"/>
                      </w:tcPr>
                      <w:p>
                        <w:pPr>
                          <w:pStyle w:val="TableParagraph"/>
                          <w:spacing w:line="431" w:lineRule="exact"/>
                          <w:ind w:left="1424" w:right="1411"/>
                          <w:jc w:val="center"/>
                          <w:rPr>
                            <w:rFonts w:ascii="微軟正黑體" w:eastAsia="微軟正黑體" w:hint="eastAsia"/>
                            <w:b/>
                            <w:sz w:val="24"/>
                          </w:rPr>
                        </w:pPr>
                        <w:r>
                          <w:rPr>
                            <w:rFonts w:ascii="微軟正黑體" w:eastAsia="微軟正黑體" w:hint="eastAsia"/>
                            <w:b/>
                            <w:color w:val="231F20"/>
                            <w:sz w:val="24"/>
                          </w:rPr>
                          <w:t>補助項目</w:t>
                        </w:r>
                      </w:p>
                    </w:tc>
                  </w:tr>
                  <w:tr>
                    <w:trPr>
                      <w:trHeight w:val="1651" w:hRule="atLeast"/>
                    </w:trPr>
                    <w:tc>
                      <w:tcPr>
                        <w:tcW w:w="4574" w:type="dxa"/>
                      </w:tcPr>
                      <w:p>
                        <w:pPr>
                          <w:pStyle w:val="TableParagraph"/>
                          <w:numPr>
                            <w:ilvl w:val="0"/>
                            <w:numId w:val="300"/>
                          </w:numPr>
                          <w:tabs>
                            <w:tab w:pos="340" w:val="left" w:leader="none"/>
                          </w:tabs>
                          <w:spacing w:line="230" w:lineRule="auto" w:before="43" w:after="0"/>
                          <w:ind w:left="339" w:right="62" w:hanging="255"/>
                          <w:jc w:val="both"/>
                          <w:rPr>
                            <w:sz w:val="24"/>
                          </w:rPr>
                        </w:pPr>
                        <w:r>
                          <w:rPr>
                            <w:color w:val="231F20"/>
                            <w:spacing w:val="3"/>
                            <w:sz w:val="24"/>
                          </w:rPr>
                          <w:t>負擔家庭主要生計責任者死亡、失蹤或</w:t>
                        </w:r>
                        <w:r>
                          <w:rPr>
                            <w:color w:val="231F20"/>
                            <w:spacing w:val="2"/>
                            <w:sz w:val="24"/>
                          </w:rPr>
                          <w:t>罹患重傷病、失業或因其他原因無法工</w:t>
                        </w:r>
                        <w:r>
                          <w:rPr>
                            <w:color w:val="231F20"/>
                            <w:sz w:val="24"/>
                          </w:rPr>
                          <w:t>作，致家庭生活陷於困境</w:t>
                        </w:r>
                      </w:p>
                      <w:p>
                        <w:pPr>
                          <w:pStyle w:val="TableParagraph"/>
                          <w:numPr>
                            <w:ilvl w:val="0"/>
                            <w:numId w:val="300"/>
                          </w:numPr>
                          <w:tabs>
                            <w:tab w:pos="340" w:val="left" w:leader="none"/>
                          </w:tabs>
                          <w:spacing w:line="385" w:lineRule="exact" w:before="0" w:after="0"/>
                          <w:ind w:left="339" w:right="0" w:hanging="256"/>
                          <w:jc w:val="both"/>
                          <w:rPr>
                            <w:sz w:val="24"/>
                          </w:rPr>
                        </w:pPr>
                        <w:r>
                          <w:rPr>
                            <w:color w:val="231F20"/>
                            <w:sz w:val="24"/>
                          </w:rPr>
                          <w:t>其他因道逢變故，致家庭生活陷於困境</w:t>
                        </w:r>
                      </w:p>
                    </w:tc>
                    <w:tc>
                      <w:tcPr>
                        <w:tcW w:w="3850" w:type="dxa"/>
                      </w:tcPr>
                      <w:p>
                        <w:pPr>
                          <w:pStyle w:val="TableParagraph"/>
                          <w:numPr>
                            <w:ilvl w:val="0"/>
                            <w:numId w:val="301"/>
                          </w:numPr>
                          <w:tabs>
                            <w:tab w:pos="347" w:val="left" w:leader="none"/>
                          </w:tabs>
                          <w:spacing w:line="230" w:lineRule="auto" w:before="43" w:after="0"/>
                          <w:ind w:left="339" w:right="68" w:hanging="255"/>
                          <w:jc w:val="left"/>
                          <w:rPr>
                            <w:sz w:val="24"/>
                          </w:rPr>
                        </w:pPr>
                        <w:r>
                          <w:rPr>
                            <w:color w:val="231F20"/>
                            <w:sz w:val="24"/>
                          </w:rPr>
                          <w:t>救助金每戶發放新臺幣 1</w:t>
                        </w:r>
                        <w:r>
                          <w:rPr>
                            <w:color w:val="231F20"/>
                            <w:spacing w:val="1"/>
                            <w:sz w:val="24"/>
                          </w:rPr>
                          <w:t> 至 </w:t>
                        </w:r>
                        <w:r>
                          <w:rPr>
                            <w:color w:val="231F20"/>
                            <w:sz w:val="24"/>
                          </w:rPr>
                          <w:t>3</w:t>
                        </w:r>
                        <w:r>
                          <w:rPr>
                            <w:color w:val="231F20"/>
                            <w:spacing w:val="-11"/>
                            <w:sz w:val="24"/>
                          </w:rPr>
                          <w:t> 萬</w:t>
                        </w:r>
                        <w:r>
                          <w:rPr>
                            <w:color w:val="231F20"/>
                            <w:sz w:val="24"/>
                          </w:rPr>
                          <w:t>元</w:t>
                        </w:r>
                      </w:p>
                      <w:p>
                        <w:pPr>
                          <w:pStyle w:val="TableParagraph"/>
                          <w:numPr>
                            <w:ilvl w:val="0"/>
                            <w:numId w:val="301"/>
                          </w:numPr>
                          <w:tabs>
                            <w:tab w:pos="363" w:val="left" w:leader="none"/>
                          </w:tabs>
                          <w:spacing w:line="395" w:lineRule="exact" w:before="0" w:after="0"/>
                          <w:ind w:left="362" w:right="0" w:hanging="279"/>
                          <w:jc w:val="left"/>
                          <w:rPr>
                            <w:sz w:val="24"/>
                          </w:rPr>
                        </w:pPr>
                        <w:r>
                          <w:rPr>
                            <w:color w:val="231F20"/>
                            <w:spacing w:val="2"/>
                            <w:sz w:val="24"/>
                          </w:rPr>
                          <w:t>急迫性個案訪視認定時，符合規</w:t>
                        </w:r>
                      </w:p>
                      <w:p>
                        <w:pPr>
                          <w:pStyle w:val="TableParagraph"/>
                          <w:spacing w:line="391" w:lineRule="exact"/>
                          <w:ind w:left="339"/>
                          <w:rPr>
                            <w:sz w:val="24"/>
                          </w:rPr>
                        </w:pPr>
                        <w:r>
                          <w:rPr>
                            <w:color w:val="231F20"/>
                            <w:sz w:val="24"/>
                          </w:rPr>
                          <w:t>定者得先發新臺幣 5,000 元</w:t>
                        </w:r>
                      </w:p>
                    </w:tc>
                  </w:tr>
                </w:tbl>
                <w:p>
                  <w:pPr>
                    <w:pStyle w:val="BodyText"/>
                  </w:pPr>
                </w:p>
              </w:txbxContent>
            </v:textbox>
            <w10:wrap type="none"/>
          </v:shape>
        </w:pict>
      </w:r>
      <w:r>
        <w:rPr>
          <w:color w:val="231F20"/>
          <w:w w:val="65"/>
        </w:rPr>
        <w:t>（ </w:t>
      </w:r>
      <w:r>
        <w:rPr>
          <w:color w:val="231F20"/>
        </w:rPr>
        <w:t>二 ) 補助對象、條件及項目</w:t>
      </w:r>
    </w:p>
    <w:p>
      <w:pPr>
        <w:spacing w:after="0" w:line="404" w:lineRule="exact"/>
        <w:jc w:val="both"/>
        <w:sectPr>
          <w:pgSz w:w="11910" w:h="16840"/>
          <w:pgMar w:top="1060" w:bottom="0" w:left="980" w:right="0"/>
        </w:sectPr>
      </w:pPr>
    </w:p>
    <w:p>
      <w:pPr>
        <w:pStyle w:val="BodyText"/>
        <w:tabs>
          <w:tab w:pos="1349" w:val="left" w:leader="none"/>
        </w:tabs>
        <w:spacing w:before="59"/>
        <w:ind w:left="629"/>
      </w:pPr>
      <w:r>
        <w:rPr>
          <w:color w:val="231F20"/>
          <w:w w:val="65"/>
        </w:rPr>
        <w:t>（</w:t>
      </w:r>
      <w:r>
        <w:rPr>
          <w:color w:val="231F20"/>
          <w:spacing w:val="1"/>
          <w:w w:val="65"/>
        </w:rPr>
        <w:t> </w:t>
      </w:r>
      <w:r>
        <w:rPr>
          <w:color w:val="231F20"/>
        </w:rPr>
        <w:t>三</w:t>
      </w:r>
      <w:r>
        <w:rPr>
          <w:color w:val="231F20"/>
          <w:spacing w:val="-22"/>
        </w:rPr>
        <w:t> </w:t>
      </w:r>
      <w:r>
        <w:rPr>
          <w:color w:val="231F20"/>
        </w:rPr>
        <w:t>)</w:t>
        <w:tab/>
        <w:t>申辦方式</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1"/>
        </w:rPr>
      </w:pPr>
    </w:p>
    <w:p>
      <w:pPr>
        <w:pStyle w:val="BodyText"/>
        <w:spacing w:line="409" w:lineRule="exact" w:before="70"/>
        <w:ind w:left="153"/>
      </w:pPr>
      <w:r>
        <w:rPr/>
        <w:pict>
          <v:group style="position:absolute;margin-left:557.686523pt;margin-top:-206.085434pt;width:37.35pt;height:447.55pt;mso-position-horizontal-relative:page;mso-position-vertical-relative:paragraph;z-index:252140544" coordorigin="11154,-4122" coordsize="747,8951">
            <v:shape style="position:absolute;left:11283;top:-3611;width:439;height:8439" type="#_x0000_t75" stroked="false">
              <v:imagedata r:id="rId450" o:title=""/>
            </v:shape>
            <v:shape style="position:absolute;left:11153;top:-4122;width:747;height:812" coordorigin="11154,-4122" coordsize="747,812" path="m11900,-4122l11536,-4122,11514,-4119,11454,-4086,11188,-3803,11154,-3716,11162,-3670,11454,-3347,11514,-3313,11536,-3310,11900,-3310,11900,-4122xe" filled="true" fillcolor="#8ebe3f" stroked="false">
              <v:path arrowok="t"/>
              <v:fill type="solid"/>
            </v:shape>
            <v:shape style="position:absolute;left:11321;top:-3855;width:384;height:273" type="#_x0000_t75" stroked="false">
              <v:imagedata r:id="rId460" o:title=""/>
            </v:shape>
            <v:shape style="position:absolute;left:11379;top:-3174;width:251;height:3607" type="#_x0000_t75" stroked="false">
              <v:imagedata r:id="rId461" o:title=""/>
            </v:shape>
            <v:shape style="position:absolute;left:11368;top:4266;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157</w:t>
                    </w:r>
                  </w:p>
                </w:txbxContent>
              </v:textbox>
              <w10:wrap type="none"/>
            </v:shape>
            <w10:wrap type="none"/>
          </v:group>
        </w:pict>
      </w:r>
      <w:r>
        <w:rPr/>
        <w:pict>
          <v:group style="position:absolute;margin-left:116.167999pt;margin-top:-525.003418pt;width:378.3pt;height:534.1pt;mso-position-horizontal-relative:page;mso-position-vertical-relative:paragraph;z-index:252141568" coordorigin="2323,-10500" coordsize="7566,10682">
            <v:shape style="position:absolute;left:2323;top:-10439;width:4134;height:4215" type="#_x0000_t75" stroked="false">
              <v:imagedata r:id="rId462" o:title=""/>
            </v:shape>
            <v:shape style="position:absolute;left:6448;top:-10501;width:3441;height:4988" type="#_x0000_t75" stroked="false">
              <v:imagedata r:id="rId463" o:title=""/>
            </v:shape>
            <v:shape style="position:absolute;left:2323;top:-6233;width:4134;height:4285" type="#_x0000_t75" stroked="false">
              <v:imagedata r:id="rId464" o:title=""/>
            </v:shape>
            <v:shape style="position:absolute;left:6448;top:-5521;width:3441;height:5000" type="#_x0000_t75" stroked="false">
              <v:imagedata r:id="rId465" o:title=""/>
            </v:shape>
            <v:shape style="position:absolute;left:2323;top:-1957;width:4134;height:2139" type="#_x0000_t75" stroked="false">
              <v:imagedata r:id="rId466" o:title=""/>
            </v:shape>
            <v:shape style="position:absolute;left:6448;top:-530;width:3441;height:712" type="#_x0000_t75" stroked="false">
              <v:imagedata r:id="rId467" o:title=""/>
            </v:shape>
            <w10:wrap type="none"/>
          </v:group>
        </w:pict>
      </w:r>
      <w:r>
        <w:rPr>
          <w:color w:val="231F20"/>
        </w:rPr>
        <w:t>備註：</w:t>
      </w:r>
    </w:p>
    <w:p>
      <w:pPr>
        <w:pStyle w:val="ListParagraph"/>
        <w:numPr>
          <w:ilvl w:val="0"/>
          <w:numId w:val="302"/>
        </w:numPr>
        <w:tabs>
          <w:tab w:pos="834" w:val="left" w:leader="none"/>
        </w:tabs>
        <w:spacing w:line="230" w:lineRule="auto" w:before="3" w:after="0"/>
        <w:ind w:left="833" w:right="1137" w:hanging="227"/>
        <w:jc w:val="left"/>
        <w:rPr>
          <w:sz w:val="24"/>
        </w:rPr>
      </w:pPr>
      <w:r>
        <w:rPr>
          <w:color w:val="231F20"/>
          <w:spacing w:val="-1"/>
          <w:sz w:val="24"/>
        </w:rPr>
        <w:t>急難紓困以急迫性個案、家庭主要生計責任者遇到急難為主要對象；若經救助無法紓</w:t>
      </w:r>
      <w:r>
        <w:rPr>
          <w:color w:val="231F20"/>
          <w:sz w:val="24"/>
        </w:rPr>
        <w:t>困或不符前揭規定而適用—般性急難救助者，則依社會救助法向公所提出申請。</w:t>
      </w:r>
    </w:p>
    <w:p>
      <w:pPr>
        <w:pStyle w:val="ListParagraph"/>
        <w:numPr>
          <w:ilvl w:val="0"/>
          <w:numId w:val="302"/>
        </w:numPr>
        <w:tabs>
          <w:tab w:pos="834" w:val="left" w:leader="none"/>
        </w:tabs>
        <w:spacing w:line="230" w:lineRule="auto" w:before="0" w:after="0"/>
        <w:ind w:left="833" w:right="1137" w:hanging="227"/>
        <w:jc w:val="left"/>
        <w:rPr>
          <w:sz w:val="24"/>
        </w:rPr>
      </w:pPr>
      <w:r>
        <w:rPr>
          <w:color w:val="231F20"/>
          <w:spacing w:val="-1"/>
          <w:sz w:val="24"/>
        </w:rPr>
        <w:t>直轄市政府社會局或地方政府對於急難救助對象經核予救助後，仍陷於困境者，得轉</w:t>
      </w:r>
      <w:r>
        <w:rPr>
          <w:color w:val="231F20"/>
          <w:sz w:val="24"/>
        </w:rPr>
        <w:t>報衛生福利部核定再予救助。</w:t>
      </w:r>
    </w:p>
    <w:p>
      <w:pPr>
        <w:pStyle w:val="ListParagraph"/>
        <w:numPr>
          <w:ilvl w:val="0"/>
          <w:numId w:val="302"/>
        </w:numPr>
        <w:tabs>
          <w:tab w:pos="834" w:val="left" w:leader="none"/>
        </w:tabs>
        <w:spacing w:line="230" w:lineRule="auto" w:before="0" w:after="0"/>
        <w:ind w:left="833" w:right="1136" w:hanging="227"/>
        <w:jc w:val="left"/>
        <w:rPr>
          <w:sz w:val="24"/>
        </w:rPr>
      </w:pPr>
      <w:r>
        <w:rPr>
          <w:color w:val="231F20"/>
          <w:spacing w:val="-1"/>
          <w:sz w:val="24"/>
        </w:rPr>
        <w:t>衛生福利部急難救助須有公所或縣府訪視人員填寫「衛生福利部急難救助申請書 </w:t>
      </w:r>
      <w:r>
        <w:rPr>
          <w:color w:val="231F20"/>
          <w:spacing w:val="6"/>
          <w:w w:val="70"/>
          <w:sz w:val="24"/>
        </w:rPr>
        <w:t>／ </w:t>
      </w:r>
      <w:r>
        <w:rPr>
          <w:color w:val="231F20"/>
          <w:sz w:val="24"/>
        </w:rPr>
        <w:t>訪査表」，供衛福部據以審核。</w:t>
      </w:r>
    </w:p>
    <w:p>
      <w:pPr>
        <w:pStyle w:val="ListParagraph"/>
        <w:numPr>
          <w:ilvl w:val="0"/>
          <w:numId w:val="302"/>
        </w:numPr>
        <w:tabs>
          <w:tab w:pos="834" w:val="left" w:leader="none"/>
        </w:tabs>
        <w:spacing w:line="395" w:lineRule="exact" w:before="0" w:after="0"/>
        <w:ind w:left="833" w:right="0" w:hanging="228"/>
        <w:jc w:val="left"/>
        <w:rPr>
          <w:sz w:val="24"/>
        </w:rPr>
      </w:pPr>
      <w:r>
        <w:rPr>
          <w:color w:val="231F20"/>
          <w:w w:val="105"/>
          <w:sz w:val="24"/>
        </w:rPr>
        <w:t>為爭取急難救助時效，建議案主逕向戶籍所在地鄉(鎮、市、區)公所提出。</w:t>
      </w:r>
    </w:p>
    <w:p>
      <w:pPr>
        <w:pStyle w:val="ListParagraph"/>
        <w:numPr>
          <w:ilvl w:val="0"/>
          <w:numId w:val="302"/>
        </w:numPr>
        <w:tabs>
          <w:tab w:pos="834" w:val="left" w:leader="none"/>
        </w:tabs>
        <w:spacing w:line="409" w:lineRule="exact" w:before="0" w:after="0"/>
        <w:ind w:left="833" w:right="0" w:hanging="228"/>
        <w:jc w:val="left"/>
        <w:rPr>
          <w:sz w:val="24"/>
        </w:rPr>
      </w:pPr>
      <w:r>
        <w:rPr>
          <w:color w:val="231F20"/>
          <w:sz w:val="24"/>
        </w:rPr>
        <w:t>福利諮詢專線：1957 (手機或市話撥打，每日上午 8 點至晚上 10 點)。</w:t>
      </w:r>
    </w:p>
    <w:p>
      <w:pPr>
        <w:spacing w:after="0" w:line="409" w:lineRule="exact"/>
        <w:jc w:val="left"/>
        <w:rPr>
          <w:sz w:val="24"/>
        </w:rPr>
        <w:sectPr>
          <w:pgSz w:w="11910" w:h="16840"/>
          <w:pgMar w:top="1060" w:bottom="0" w:left="980" w:right="0"/>
        </w:sectPr>
      </w:pPr>
    </w:p>
    <w:p>
      <w:pPr>
        <w:pStyle w:val="Heading2"/>
        <w:spacing w:before="27"/>
      </w:pPr>
      <w:r>
        <w:rPr/>
        <w:pict>
          <v:group style="position:absolute;margin-left:.0pt;margin-top:394.171997pt;width:37.35pt;height:447.55pt;mso-position-horizontal-relative:page;mso-position-vertical-relative:page;z-index:252143616" coordorigin="0,7883" coordsize="747,8951">
            <v:shape style="position:absolute;left:178;top:8394;width:439;height:8440" type="#_x0000_t75" stroked="false">
              <v:imagedata r:id="rId453" o:title=""/>
            </v:shape>
            <v:shape style="position:absolute;left:0;top:7883;width:747;height:812" coordorigin="0,7883" coordsize="747,812" path="m365,7883l0,7883,0,8695,365,8695,387,8692,447,8659,713,8376,747,8289,738,8243,447,7920,387,7886,365,7883xe" filled="true" fillcolor="#8ebe3f" stroked="false">
              <v:path arrowok="t"/>
              <v:fill type="solid"/>
            </v:shape>
            <v:shape style="position:absolute;left:216;top:8150;width:384;height:273" type="#_x0000_t75" stroked="false">
              <v:imagedata r:id="rId468" o:title=""/>
            </v:shape>
            <v:shape style="position:absolute;left:274;top:8831;width:251;height:3607" type="#_x0000_t75" stroked="false">
              <v:imagedata r:id="rId45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158</w:t>
                    </w:r>
                  </w:p>
                </w:txbxContent>
              </v:textbox>
              <w10:wrap type="none"/>
            </v:shape>
            <w10:wrap type="none"/>
          </v:group>
        </w:pict>
      </w:r>
      <w:r>
        <w:rPr>
          <w:color w:val="231F20"/>
        </w:rPr>
        <w:t>參、結核病診療諮詢小組運作</w:t>
      </w:r>
    </w:p>
    <w:p>
      <w:pPr>
        <w:pStyle w:val="BodyText"/>
        <w:spacing w:line="404" w:lineRule="exact"/>
        <w:ind w:left="391"/>
      </w:pPr>
      <w:r>
        <w:rPr>
          <w:color w:val="231F20"/>
        </w:rPr>
        <w:t>—、設置目的：</w:t>
      </w:r>
    </w:p>
    <w:p>
      <w:pPr>
        <w:pStyle w:val="BodyText"/>
        <w:tabs>
          <w:tab w:pos="1349" w:val="left" w:leader="none"/>
        </w:tabs>
        <w:spacing w:line="400" w:lineRule="exact"/>
        <w:ind w:left="629"/>
      </w:pPr>
      <w:r>
        <w:rPr>
          <w:color w:val="231F20"/>
          <w:w w:val="65"/>
        </w:rPr>
        <w:t>（</w:t>
      </w:r>
      <w:r>
        <w:rPr>
          <w:color w:val="231F20"/>
          <w:spacing w:val="1"/>
          <w:w w:val="65"/>
        </w:rPr>
        <w:t> </w:t>
      </w:r>
      <w:r>
        <w:rPr>
          <w:color w:val="231F20"/>
          <w:spacing w:val="-8"/>
        </w:rPr>
        <w:t>— )</w:t>
      </w:r>
      <w:r>
        <w:rPr>
          <w:color w:val="231F20"/>
        </w:rPr>
        <w:tab/>
        <w:t>對診斷或治療疑義個案提供處理建議</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審査抗結核公費藥物及對公費藥物申請結果有疑義者進行口冊</w:t>
      </w:r>
    </w:p>
    <w:p>
      <w:pPr>
        <w:pStyle w:val="BodyText"/>
        <w:tabs>
          <w:tab w:pos="1349" w:val="left" w:leader="none"/>
        </w:tabs>
        <w:spacing w:line="230" w:lineRule="auto" w:before="3"/>
        <w:ind w:left="391" w:right="6454" w:firstLine="238"/>
      </w:pPr>
      <w:r>
        <w:rPr>
          <w:color w:val="231F20"/>
          <w:w w:val="65"/>
        </w:rPr>
        <w:t>（</w:t>
      </w:r>
      <w:r>
        <w:rPr>
          <w:color w:val="231F20"/>
          <w:spacing w:val="1"/>
          <w:w w:val="65"/>
        </w:rPr>
        <w:t> </w:t>
      </w:r>
      <w:r>
        <w:rPr>
          <w:color w:val="231F20"/>
        </w:rPr>
        <w:t>三</w:t>
      </w:r>
      <w:r>
        <w:rPr>
          <w:color w:val="231F20"/>
          <w:spacing w:val="-22"/>
        </w:rPr>
        <w:t> </w:t>
      </w:r>
      <w:r>
        <w:rPr>
          <w:color w:val="231F20"/>
        </w:rPr>
        <w:t>)</w:t>
        <w:tab/>
        <w:t>慢性傳染性結核病病人之判</w:t>
      </w:r>
      <w:r>
        <w:rPr>
          <w:color w:val="231F20"/>
          <w:spacing w:val="-19"/>
        </w:rPr>
        <w:t>定</w:t>
      </w:r>
      <w:r>
        <w:rPr>
          <w:color w:val="231F20"/>
        </w:rPr>
        <w:t>二</w:t>
      </w:r>
      <w:r>
        <w:rPr>
          <w:color w:val="231F20"/>
          <w:spacing w:val="7"/>
        </w:rPr>
        <w:t>、</w:t>
      </w:r>
      <w:r>
        <w:rPr>
          <w:color w:val="231F20"/>
        </w:rPr>
        <w:t>諮詢小組層級與分工：</w:t>
      </w:r>
    </w:p>
    <w:p>
      <w:pPr>
        <w:pStyle w:val="BodyText"/>
        <w:spacing w:line="230" w:lineRule="auto"/>
        <w:ind w:left="1349" w:right="1075" w:hanging="720"/>
        <w:jc w:val="both"/>
      </w:pPr>
      <w:r>
        <w:rPr>
          <w:color w:val="231F20"/>
          <w:w w:val="65"/>
        </w:rPr>
        <w:t>（ </w:t>
      </w:r>
      <w:r>
        <w:rPr>
          <w:color w:val="231F20"/>
          <w:spacing w:val="-2"/>
        </w:rPr>
        <w:t>— ) 縣市級診療諮詢小組 </w:t>
      </w:r>
      <w:r>
        <w:rPr>
          <w:color w:val="231F20"/>
          <w:spacing w:val="2"/>
          <w:w w:val="65"/>
        </w:rPr>
        <w:t>／ </w:t>
      </w:r>
      <w:r>
        <w:rPr>
          <w:color w:val="231F20"/>
        </w:rPr>
        <w:t>縣市衛生局結核病診療諮詢委員：縣市衛生局針對結核病</w:t>
      </w:r>
      <w:r>
        <w:rPr>
          <w:color w:val="231F20"/>
          <w:spacing w:val="-1"/>
        </w:rPr>
        <w:t>個案診療疑義，結核病相關諮詢、口冊或調査等事項，至少邀請 </w:t>
      </w:r>
      <w:r>
        <w:rPr>
          <w:color w:val="231F20"/>
        </w:rPr>
        <w:t>3</w:t>
      </w:r>
      <w:r>
        <w:rPr>
          <w:color w:val="231F20"/>
          <w:spacing w:val="-2"/>
        </w:rPr>
        <w:t> 位專家，召開結核病診療諮詢小組病例口冊會。為維護口冊會品質，每月至少召開—次，每次</w:t>
      </w:r>
      <w:r>
        <w:rPr>
          <w:color w:val="231F20"/>
          <w:spacing w:val="-4"/>
        </w:rPr>
        <w:t>口冊病例不超過 </w:t>
      </w:r>
      <w:r>
        <w:rPr>
          <w:color w:val="231F20"/>
        </w:rPr>
        <w:t>20</w:t>
      </w:r>
      <w:r>
        <w:rPr>
          <w:color w:val="231F20"/>
          <w:spacing w:val="-8"/>
        </w:rPr>
        <w:t> 例為原則，會議以實體方式進行，可視情形採線上視訊辦理。</w:t>
      </w:r>
      <w:r>
        <w:rPr>
          <w:color w:val="231F20"/>
        </w:rPr>
        <w:t>並依個案狀況，邀集結核病診療或共病診療醫師參與病例口冊會，兒童病例應找2</w:t>
      </w:r>
      <w:r>
        <w:rPr>
          <w:color w:val="231F20"/>
          <w:spacing w:val="-3"/>
        </w:rPr>
        <w:t> 位兒科或相關影像醫學科、骨科或外科等醫師參與提供診療意見。</w:t>
      </w:r>
    </w:p>
    <w:p>
      <w:pPr>
        <w:pStyle w:val="BodyText"/>
        <w:spacing w:line="230" w:lineRule="auto"/>
        <w:ind w:left="1349" w:right="1075" w:hanging="720"/>
        <w:jc w:val="both"/>
      </w:pPr>
      <w:r>
        <w:rPr>
          <w:color w:val="231F20"/>
          <w:w w:val="65"/>
        </w:rPr>
        <w:t>（ </w:t>
      </w:r>
      <w:r>
        <w:rPr>
          <w:color w:val="231F20"/>
          <w:spacing w:val="-2"/>
        </w:rPr>
        <w:t>二 ) 區域級診療諮詢小組 </w:t>
      </w:r>
      <w:r>
        <w:rPr>
          <w:color w:val="231F20"/>
          <w:spacing w:val="2"/>
          <w:w w:val="65"/>
        </w:rPr>
        <w:t>／ </w:t>
      </w:r>
      <w:r>
        <w:rPr>
          <w:color w:val="231F20"/>
        </w:rPr>
        <w:t>疾病管制署諮詢委員：疾管署各區管制中心針對所轄結核</w:t>
      </w:r>
      <w:r>
        <w:rPr>
          <w:color w:val="231F20"/>
          <w:spacing w:val="1"/>
        </w:rPr>
        <w:t>病困難治療個案，經縣市診療諮詢小組會議建議轉介</w:t>
      </w:r>
      <w:r>
        <w:rPr>
          <w:color w:val="231F20"/>
          <w:spacing w:val="-3"/>
        </w:rPr>
        <w:t>TMTC 團隊治療評估後未收</w:t>
      </w:r>
      <w:r>
        <w:rPr>
          <w:color w:val="231F20"/>
          <w:spacing w:val="-1"/>
        </w:rPr>
        <w:t>案治療者，邀請至少 </w:t>
      </w:r>
      <w:r>
        <w:rPr>
          <w:color w:val="231F20"/>
        </w:rPr>
        <w:t>3</w:t>
      </w:r>
      <w:r>
        <w:rPr>
          <w:color w:val="231F20"/>
          <w:spacing w:val="5"/>
        </w:rPr>
        <w:t> 位專家(至少 </w:t>
      </w:r>
      <w:r>
        <w:rPr>
          <w:color w:val="231F20"/>
        </w:rPr>
        <w:t>2 位為疾病管制署諮詢委員或衛生福利部諮</w:t>
      </w:r>
      <w:r>
        <w:rPr>
          <w:color w:val="231F20"/>
          <w:spacing w:val="-4"/>
        </w:rPr>
        <w:t>詢委員或具抗藥性治療經驗醫師，優先以跨區邀請為原則</w:t>
      </w:r>
      <w:r>
        <w:rPr>
          <w:color w:val="231F20"/>
          <w:spacing w:val="-47"/>
          <w:w w:val="300"/>
        </w:rPr>
        <w:t>)</w:t>
      </w:r>
      <w:r>
        <w:rPr>
          <w:color w:val="231F20"/>
          <w:spacing w:val="-9"/>
        </w:rPr>
        <w:t>，召開診療諮詢會議，</w:t>
      </w:r>
      <w:r>
        <w:rPr>
          <w:color w:val="231F20"/>
          <w:spacing w:val="1"/>
        </w:rPr>
        <w:t>提供追蹤處置原則。有關針對結核病困難個案轉介</w:t>
      </w:r>
      <w:r>
        <w:rPr>
          <w:color w:val="231F20"/>
          <w:spacing w:val="-3"/>
        </w:rPr>
        <w:t>TMTC 團隊評估未收案治療者</w:t>
      </w:r>
      <w:r>
        <w:rPr>
          <w:color w:val="231F20"/>
          <w:spacing w:val="-4"/>
        </w:rPr>
        <w:t>之後續處理原則參見附件 </w:t>
      </w:r>
      <w:r>
        <w:rPr>
          <w:color w:val="231F20"/>
        </w:rPr>
        <w:t>14-9。</w:t>
      </w:r>
    </w:p>
    <w:p>
      <w:pPr>
        <w:pStyle w:val="BodyText"/>
        <w:spacing w:line="390" w:lineRule="exact"/>
        <w:ind w:left="629"/>
        <w:jc w:val="both"/>
      </w:pPr>
      <w:r>
        <w:rPr>
          <w:color w:val="231F20"/>
          <w:w w:val="65"/>
        </w:rPr>
        <w:t>（ </w:t>
      </w:r>
      <w:r>
        <w:rPr>
          <w:color w:val="231F20"/>
        </w:rPr>
        <w:t>三 ) 抗藥性結核病醫療照護體系檢口暨困難治療個案口冊會諮詢委員：疾管署召開</w:t>
      </w:r>
    </w:p>
    <w:p>
      <w:pPr>
        <w:pStyle w:val="BodyText"/>
        <w:spacing w:line="400" w:lineRule="exact"/>
        <w:ind w:right="307"/>
        <w:jc w:val="center"/>
      </w:pPr>
      <w:r>
        <w:rPr>
          <w:color w:val="231F20"/>
        </w:rPr>
        <w:t>「抗藥性結核病醫療照護體系檢口暨困難治療個案口冊會」口冊對象包括：</w:t>
      </w:r>
    </w:p>
    <w:p>
      <w:pPr>
        <w:pStyle w:val="ListParagraph"/>
        <w:numPr>
          <w:ilvl w:val="1"/>
          <w:numId w:val="302"/>
        </w:numPr>
        <w:tabs>
          <w:tab w:pos="1349" w:val="left" w:leader="none"/>
        </w:tabs>
        <w:spacing w:line="400" w:lineRule="exact" w:before="0" w:after="0"/>
        <w:ind w:left="1348" w:right="0" w:hanging="255"/>
        <w:jc w:val="both"/>
        <w:rPr>
          <w:sz w:val="24"/>
        </w:rPr>
      </w:pPr>
      <w:r>
        <w:rPr>
          <w:color w:val="231F20"/>
          <w:spacing w:val="-3"/>
          <w:sz w:val="24"/>
        </w:rPr>
        <w:t>TMTC 團隊收案對象，收案治療後確認仍無法完治者。</w:t>
      </w:r>
    </w:p>
    <w:p>
      <w:pPr>
        <w:pStyle w:val="ListParagraph"/>
        <w:numPr>
          <w:ilvl w:val="1"/>
          <w:numId w:val="302"/>
        </w:numPr>
        <w:tabs>
          <w:tab w:pos="1349" w:val="left" w:leader="none"/>
        </w:tabs>
        <w:spacing w:line="230" w:lineRule="auto" w:before="0" w:after="0"/>
        <w:ind w:left="1349" w:right="1134" w:hanging="255"/>
        <w:jc w:val="both"/>
        <w:rPr>
          <w:sz w:val="24"/>
        </w:rPr>
      </w:pPr>
      <w:r>
        <w:rPr>
          <w:color w:val="231F20"/>
          <w:spacing w:val="19"/>
          <w:sz w:val="24"/>
        </w:rPr>
        <w:t>未納入</w:t>
      </w:r>
      <w:r>
        <w:rPr>
          <w:color w:val="231F20"/>
          <w:spacing w:val="-3"/>
          <w:sz w:val="24"/>
        </w:rPr>
        <w:t>TMTC</w:t>
      </w:r>
      <w:r>
        <w:rPr>
          <w:color w:val="231F20"/>
          <w:spacing w:val="-6"/>
          <w:sz w:val="24"/>
        </w:rPr>
        <w:t> 團隊治療之抗藥性結核病病人，經衛生局召開之結核病診療諮詢小</w:t>
      </w:r>
      <w:r>
        <w:rPr>
          <w:color w:val="231F20"/>
          <w:spacing w:val="-1"/>
          <w:sz w:val="24"/>
        </w:rPr>
        <w:t>組病例口冊會議確認處方無虞，但治療滿 </w:t>
      </w:r>
      <w:r>
        <w:rPr>
          <w:color w:val="231F20"/>
          <w:sz w:val="24"/>
        </w:rPr>
        <w:t>4</w:t>
      </w:r>
      <w:r>
        <w:rPr>
          <w:color w:val="231F20"/>
          <w:spacing w:val="-3"/>
          <w:sz w:val="24"/>
        </w:rPr>
        <w:t> 個月仍未陰轉者。</w:t>
      </w:r>
    </w:p>
    <w:p>
      <w:pPr>
        <w:pStyle w:val="ListParagraph"/>
        <w:numPr>
          <w:ilvl w:val="1"/>
          <w:numId w:val="302"/>
        </w:numPr>
        <w:tabs>
          <w:tab w:pos="1349" w:val="left" w:leader="none"/>
        </w:tabs>
        <w:spacing w:line="230" w:lineRule="auto" w:before="0" w:after="0"/>
        <w:ind w:left="1349" w:right="1134" w:hanging="255"/>
        <w:jc w:val="both"/>
        <w:rPr>
          <w:sz w:val="24"/>
        </w:rPr>
      </w:pPr>
      <w:r>
        <w:rPr>
          <w:color w:val="231F20"/>
          <w:spacing w:val="1"/>
          <w:sz w:val="24"/>
        </w:rPr>
        <w:t>慢性傳染性結核病病人之身分判定：個案經</w:t>
      </w:r>
      <w:r>
        <w:rPr>
          <w:color w:val="231F20"/>
          <w:spacing w:val="-3"/>
          <w:sz w:val="24"/>
        </w:rPr>
        <w:t>TMTC</w:t>
      </w:r>
      <w:r>
        <w:rPr>
          <w:color w:val="231F20"/>
          <w:spacing w:val="-5"/>
          <w:sz w:val="24"/>
        </w:rPr>
        <w:t> 團隊提供專業醫療照護及進陪</w:t>
      </w:r>
      <w:r>
        <w:rPr>
          <w:color w:val="231F20"/>
          <w:sz w:val="24"/>
        </w:rPr>
        <w:t>都治</w:t>
      </w:r>
      <w:r>
        <w:rPr>
          <w:color w:val="231F20"/>
          <w:spacing w:val="-3"/>
          <w:sz w:val="24"/>
        </w:rPr>
        <w:t>(DOTS</w:t>
      </w:r>
      <w:r>
        <w:rPr>
          <w:color w:val="231F20"/>
          <w:spacing w:val="34"/>
          <w:sz w:val="24"/>
        </w:rPr>
        <w:t> </w:t>
      </w:r>
      <w:r>
        <w:rPr>
          <w:color w:val="231F20"/>
          <w:sz w:val="24"/>
        </w:rPr>
        <w:t>Plus)</w:t>
      </w:r>
      <w:r>
        <w:rPr>
          <w:color w:val="231F20"/>
          <w:spacing w:val="3"/>
          <w:sz w:val="24"/>
        </w:rPr>
        <w:t>後，仍治療失敗，或縣市衛生局將個案提交</w:t>
      </w:r>
      <w:r>
        <w:rPr>
          <w:color w:val="231F20"/>
          <w:spacing w:val="-3"/>
          <w:sz w:val="24"/>
        </w:rPr>
        <w:t>TMTC</w:t>
      </w:r>
      <w:r>
        <w:rPr>
          <w:color w:val="231F20"/>
          <w:spacing w:val="5"/>
          <w:sz w:val="24"/>
        </w:rPr>
        <w:t>  團隊評估之困難個案，收案照護後仍無法繼續抗結核藥物治療。</w:t>
      </w:r>
    </w:p>
    <w:p>
      <w:pPr>
        <w:pStyle w:val="BodyText"/>
        <w:spacing w:line="394" w:lineRule="exact"/>
        <w:ind w:right="8604"/>
        <w:jc w:val="right"/>
      </w:pPr>
      <w:r>
        <w:rPr>
          <w:color w:val="231F20"/>
        </w:rPr>
        <w:t>三、病例口冊程序</w:t>
      </w:r>
    </w:p>
    <w:p>
      <w:pPr>
        <w:pStyle w:val="BodyText"/>
        <w:tabs>
          <w:tab w:pos="719" w:val="left" w:leader="none"/>
        </w:tabs>
        <w:spacing w:line="409" w:lineRule="exact"/>
        <w:ind w:right="8613"/>
        <w:jc w:val="right"/>
      </w:pPr>
      <w:r>
        <w:rPr/>
        <w:pict>
          <v:group style="position:absolute;margin-left:116.453499pt;margin-top:18.093744pt;width:421.9pt;height:107.35pt;mso-position-horizontal-relative:page;mso-position-vertical-relative:paragraph;z-index:-265911296" coordorigin="2329,362" coordsize="8438,2147">
            <v:shape style="position:absolute;left:2336;top:835;width:8424;height:1667" type="#_x0000_t202" filled="false" stroked="true" strokeweight=".709pt" strokecolor="#939598">
              <v:textbox inset="0,0,0,0">
                <w:txbxContent>
                  <w:p>
                    <w:pPr>
                      <w:spacing w:line="230" w:lineRule="auto" w:before="43"/>
                      <w:ind w:left="106" w:right="96" w:firstLine="0"/>
                      <w:jc w:val="both"/>
                      <w:rPr>
                        <w:sz w:val="24"/>
                      </w:rPr>
                    </w:pPr>
                    <w:r>
                      <w:rPr>
                        <w:color w:val="231F20"/>
                        <w:sz w:val="24"/>
                      </w:rPr>
                      <w:t>出生年月日、性別、體重、診治醫師、通報依據、通報日期、診斷日期、開始</w:t>
                    </w:r>
                    <w:r>
                      <w:rPr>
                        <w:color w:val="231F20"/>
                        <w:w w:val="105"/>
                        <w:sz w:val="24"/>
                      </w:rPr>
                      <w:t>服藥日(無則免填)、詳述送口冊原因、相關病史，包括過去結核病史 (含</w:t>
                    </w:r>
                    <w:r>
                      <w:rPr>
                        <w:color w:val="231F20"/>
                        <w:sz w:val="24"/>
                      </w:rPr>
                      <w:t>前次銷案日期及原因)，家族結核病接觸史，以及其他高風險疾病史及本次臨</w:t>
                    </w:r>
                    <w:r>
                      <w:rPr>
                        <w:color w:val="231F20"/>
                        <w:w w:val="110"/>
                        <w:sz w:val="24"/>
                      </w:rPr>
                      <w:t>床症狀。</w:t>
                    </w:r>
                  </w:p>
                </w:txbxContent>
              </v:textbox>
              <v:stroke dashstyle="solid"/>
              <w10:wrap type="none"/>
            </v:shape>
            <v:shape style="position:absolute;left:2336;top:368;width:8424;height:467" type="#_x0000_t202" filled="true" fillcolor="#e6e7e8" stroked="true" strokeweight=".709pt" strokecolor="#939598">
              <v:textbox inset="0,0,0,0">
                <w:txbxContent>
                  <w:p>
                    <w:pPr>
                      <w:spacing w:before="0"/>
                      <w:ind w:left="106" w:right="0" w:firstLine="0"/>
                      <w:jc w:val="left"/>
                      <w:rPr>
                        <w:rFonts w:ascii="微軟正黑體" w:eastAsia="微軟正黑體" w:hint="eastAsia"/>
                        <w:b/>
                        <w:sz w:val="24"/>
                      </w:rPr>
                    </w:pPr>
                    <w:r>
                      <w:rPr>
                        <w:rFonts w:ascii="微軟正黑體" w:eastAsia="微軟正黑體" w:hint="eastAsia"/>
                        <w:b/>
                        <w:color w:val="231F20"/>
                        <w:sz w:val="24"/>
                      </w:rPr>
                      <w:t>A. 基本資料</w:t>
                    </w:r>
                  </w:p>
                </w:txbxContent>
              </v:textbox>
              <v:fill type="solid"/>
              <v:stroke dashstyle="solid"/>
              <w10:wrap type="none"/>
            </v:shape>
            <w10:wrap type="none"/>
          </v:group>
        </w:pict>
      </w:r>
      <w:r>
        <w:rPr>
          <w:color w:val="231F20"/>
          <w:w w:val="65"/>
        </w:rPr>
        <w:t>（</w:t>
      </w:r>
      <w:r>
        <w:rPr>
          <w:color w:val="231F20"/>
          <w:spacing w:val="1"/>
          <w:w w:val="65"/>
        </w:rPr>
        <w:t> </w:t>
      </w:r>
      <w:r>
        <w:rPr>
          <w:color w:val="231F20"/>
          <w:spacing w:val="-8"/>
        </w:rPr>
        <w:t>— )</w:t>
      </w:r>
      <w:r>
        <w:rPr>
          <w:color w:val="231F20"/>
        </w:rPr>
        <w:tab/>
        <w:t>資料準備</w:t>
      </w:r>
    </w:p>
    <w:p>
      <w:pPr>
        <w:spacing w:after="0" w:line="409" w:lineRule="exact"/>
        <w:jc w:val="right"/>
        <w:sectPr>
          <w:pgSz w:w="11910" w:h="16840"/>
          <w:pgMar w:top="1060" w:bottom="0" w:left="980" w:right="0"/>
        </w:sectPr>
      </w:pPr>
    </w:p>
    <w:tbl>
      <w:tblPr>
        <w:tblW w:w="0" w:type="auto"/>
        <w:jc w:val="left"/>
        <w:tblInd w:w="1364"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8424"/>
      </w:tblGrid>
      <w:tr>
        <w:trPr>
          <w:trHeight w:val="451" w:hRule="atLeast"/>
        </w:trPr>
        <w:tc>
          <w:tcPr>
            <w:tcW w:w="8424" w:type="dxa"/>
            <w:shd w:val="clear" w:color="auto" w:fill="E6E7E8"/>
          </w:tcPr>
          <w:p>
            <w:pPr>
              <w:pStyle w:val="TableParagraph"/>
              <w:spacing w:line="432" w:lineRule="exact"/>
              <w:ind w:left="112"/>
              <w:rPr>
                <w:rFonts w:ascii="微軟正黑體" w:eastAsia="微軟正黑體" w:hint="eastAsia"/>
                <w:b/>
                <w:sz w:val="24"/>
              </w:rPr>
            </w:pPr>
            <w:r>
              <w:rPr>
                <w:rFonts w:ascii="微軟正黑體" w:eastAsia="微軟正黑體" w:hint="eastAsia"/>
                <w:b/>
                <w:color w:val="231F20"/>
                <w:sz w:val="24"/>
              </w:rPr>
              <w:t>B. 初查及複查資料</w:t>
            </w:r>
          </w:p>
        </w:tc>
      </w:tr>
      <w:tr>
        <w:trPr>
          <w:trHeight w:val="2050" w:hRule="atLeast"/>
        </w:trPr>
        <w:tc>
          <w:tcPr>
            <w:tcW w:w="8424" w:type="dxa"/>
          </w:tcPr>
          <w:p>
            <w:pPr>
              <w:pStyle w:val="TableParagraph"/>
              <w:numPr>
                <w:ilvl w:val="0"/>
                <w:numId w:val="303"/>
              </w:numPr>
              <w:tabs>
                <w:tab w:pos="368" w:val="left" w:leader="none"/>
              </w:tabs>
              <w:spacing w:line="230" w:lineRule="auto" w:before="36" w:after="0"/>
              <w:ind w:left="367" w:right="93" w:hanging="255"/>
              <w:jc w:val="left"/>
              <w:rPr>
                <w:sz w:val="24"/>
              </w:rPr>
            </w:pPr>
            <w:r>
              <w:rPr>
                <w:color w:val="231F20"/>
                <w:spacing w:val="1"/>
                <w:w w:val="105"/>
                <w:sz w:val="24"/>
              </w:rPr>
              <w:t>本次驗痰(含痰塗片、</w:t>
            </w:r>
            <w:r>
              <w:rPr>
                <w:color w:val="231F20"/>
                <w:w w:val="105"/>
                <w:sz w:val="24"/>
              </w:rPr>
              <w:t>NAA</w:t>
            </w:r>
            <w:r>
              <w:rPr>
                <w:color w:val="231F20"/>
                <w:spacing w:val="2"/>
                <w:w w:val="105"/>
                <w:sz w:val="24"/>
              </w:rPr>
              <w:t> 檢驗、培養及蔥種鑑定及藥敏報告)日期及結</w:t>
            </w:r>
            <w:r>
              <w:rPr>
                <w:color w:val="231F20"/>
                <w:w w:val="105"/>
                <w:sz w:val="24"/>
              </w:rPr>
              <w:t>果。</w:t>
            </w:r>
          </w:p>
          <w:p>
            <w:pPr>
              <w:pStyle w:val="TableParagraph"/>
              <w:numPr>
                <w:ilvl w:val="0"/>
                <w:numId w:val="303"/>
              </w:numPr>
              <w:tabs>
                <w:tab w:pos="428" w:val="left" w:leader="none"/>
              </w:tabs>
              <w:spacing w:line="395" w:lineRule="exact" w:before="0" w:after="0"/>
              <w:ind w:left="427" w:right="0" w:hanging="316"/>
              <w:jc w:val="left"/>
              <w:rPr>
                <w:sz w:val="24"/>
              </w:rPr>
            </w:pPr>
            <w:r>
              <w:rPr>
                <w:color w:val="231F20"/>
                <w:w w:val="105"/>
                <w:sz w:val="24"/>
              </w:rPr>
              <w:t>X</w:t>
            </w:r>
            <w:r>
              <w:rPr>
                <w:color w:val="231F20"/>
                <w:spacing w:val="-9"/>
                <w:w w:val="105"/>
                <w:sz w:val="24"/>
              </w:rPr>
              <w:t> 光日期及結果(重開案者，應調閱前次診治期間及前次銷案之 </w:t>
            </w:r>
            <w:r>
              <w:rPr>
                <w:color w:val="231F20"/>
                <w:w w:val="105"/>
                <w:sz w:val="24"/>
              </w:rPr>
              <w:t>X</w:t>
            </w:r>
            <w:r>
              <w:rPr>
                <w:color w:val="231F20"/>
                <w:spacing w:val="-8"/>
                <w:w w:val="105"/>
                <w:sz w:val="24"/>
              </w:rPr>
              <w:t> 光片)。</w:t>
            </w:r>
          </w:p>
          <w:p>
            <w:pPr>
              <w:pStyle w:val="TableParagraph"/>
              <w:numPr>
                <w:ilvl w:val="0"/>
                <w:numId w:val="303"/>
              </w:numPr>
              <w:tabs>
                <w:tab w:pos="368" w:val="left" w:leader="none"/>
              </w:tabs>
              <w:spacing w:line="400" w:lineRule="exact" w:before="0" w:after="0"/>
              <w:ind w:left="367" w:right="0" w:hanging="256"/>
              <w:jc w:val="left"/>
              <w:rPr>
                <w:sz w:val="24"/>
              </w:rPr>
            </w:pPr>
            <w:r>
              <w:rPr>
                <w:color w:val="231F20"/>
                <w:w w:val="115"/>
                <w:sz w:val="24"/>
              </w:rPr>
              <w:t>病理報告(肺外結核者)。</w:t>
            </w:r>
          </w:p>
          <w:p>
            <w:pPr>
              <w:pStyle w:val="TableParagraph"/>
              <w:numPr>
                <w:ilvl w:val="0"/>
                <w:numId w:val="303"/>
              </w:numPr>
              <w:tabs>
                <w:tab w:pos="368" w:val="left" w:leader="none"/>
              </w:tabs>
              <w:spacing w:line="398" w:lineRule="exact" w:before="0" w:after="0"/>
              <w:ind w:left="367" w:right="0" w:hanging="256"/>
              <w:jc w:val="left"/>
              <w:rPr>
                <w:sz w:val="24"/>
              </w:rPr>
            </w:pPr>
            <w:r>
              <w:rPr>
                <w:color w:val="231F20"/>
                <w:spacing w:val="-2"/>
                <w:sz w:val="24"/>
              </w:rPr>
              <w:t>其他如 </w:t>
            </w:r>
            <w:r>
              <w:rPr>
                <w:color w:val="231F20"/>
                <w:sz w:val="24"/>
              </w:rPr>
              <w:t>CT、血液、生化、分子檢驗等檢査資料。</w:t>
            </w:r>
          </w:p>
        </w:tc>
      </w:tr>
      <w:tr>
        <w:trPr>
          <w:trHeight w:val="451" w:hRule="atLeast"/>
        </w:trPr>
        <w:tc>
          <w:tcPr>
            <w:tcW w:w="8424" w:type="dxa"/>
            <w:shd w:val="clear" w:color="auto" w:fill="E6E7E8"/>
          </w:tcPr>
          <w:p>
            <w:pPr>
              <w:pStyle w:val="TableParagraph"/>
              <w:spacing w:line="432" w:lineRule="exact"/>
              <w:ind w:left="112"/>
              <w:rPr>
                <w:rFonts w:ascii="微軟正黑體" w:eastAsia="微軟正黑體" w:hint="eastAsia"/>
                <w:b/>
                <w:sz w:val="24"/>
              </w:rPr>
            </w:pPr>
            <w:r>
              <w:rPr>
                <w:rFonts w:ascii="微軟正黑體" w:eastAsia="微軟正黑體" w:hint="eastAsia"/>
                <w:b/>
                <w:color w:val="231F20"/>
                <w:sz w:val="24"/>
              </w:rPr>
              <w:t>C. 治療及管理資料</w:t>
            </w:r>
          </w:p>
        </w:tc>
      </w:tr>
      <w:tr>
        <w:trPr>
          <w:trHeight w:val="2450" w:hRule="atLeast"/>
        </w:trPr>
        <w:tc>
          <w:tcPr>
            <w:tcW w:w="8424" w:type="dxa"/>
          </w:tcPr>
          <w:p>
            <w:pPr>
              <w:pStyle w:val="TableParagraph"/>
              <w:numPr>
                <w:ilvl w:val="0"/>
                <w:numId w:val="304"/>
              </w:numPr>
              <w:tabs>
                <w:tab w:pos="368" w:val="left" w:leader="none"/>
              </w:tabs>
              <w:spacing w:line="230" w:lineRule="auto" w:before="36" w:after="0"/>
              <w:ind w:left="367" w:right="97" w:hanging="255"/>
              <w:jc w:val="left"/>
              <w:rPr>
                <w:sz w:val="24"/>
              </w:rPr>
            </w:pPr>
            <w:r>
              <w:rPr>
                <w:color w:val="231F20"/>
                <w:spacing w:val="-5"/>
                <w:sz w:val="24"/>
              </w:rPr>
              <w:t>用藥情形 </w:t>
            </w:r>
            <w:r>
              <w:rPr>
                <w:color w:val="231F20"/>
                <w:w w:val="70"/>
                <w:sz w:val="24"/>
              </w:rPr>
              <w:t>［</w:t>
            </w:r>
            <w:r>
              <w:rPr>
                <w:color w:val="231F20"/>
                <w:spacing w:val="-2"/>
                <w:w w:val="70"/>
                <w:sz w:val="24"/>
              </w:rPr>
              <w:t> </w:t>
            </w:r>
            <w:r>
              <w:rPr>
                <w:color w:val="231F20"/>
                <w:sz w:val="24"/>
              </w:rPr>
              <w:t>含藥物種類、劑量及期程，已用藥者，需報告個案服藥副作用之觀察(含相片者佳)］</w:t>
            </w:r>
            <w:r>
              <w:rPr>
                <w:color w:val="231F20"/>
                <w:spacing w:val="-3"/>
                <w:sz w:val="24"/>
              </w:rPr>
              <w:t> 及執行 DOTS</w:t>
            </w:r>
            <w:r>
              <w:rPr>
                <w:color w:val="231F20"/>
                <w:spacing w:val="-2"/>
                <w:sz w:val="24"/>
              </w:rPr>
              <w:t> 的情形。</w:t>
            </w:r>
          </w:p>
          <w:p>
            <w:pPr>
              <w:pStyle w:val="TableParagraph"/>
              <w:numPr>
                <w:ilvl w:val="0"/>
                <w:numId w:val="304"/>
              </w:numPr>
              <w:tabs>
                <w:tab w:pos="368" w:val="left" w:leader="none"/>
              </w:tabs>
              <w:spacing w:line="395" w:lineRule="exact" w:before="0" w:after="0"/>
              <w:ind w:left="367" w:right="0" w:hanging="256"/>
              <w:jc w:val="left"/>
              <w:rPr>
                <w:sz w:val="24"/>
              </w:rPr>
            </w:pPr>
            <w:r>
              <w:rPr>
                <w:color w:val="231F20"/>
                <w:sz w:val="24"/>
              </w:rPr>
              <w:t>結核病治療管理資料。</w:t>
            </w:r>
          </w:p>
          <w:p>
            <w:pPr>
              <w:pStyle w:val="TableParagraph"/>
              <w:numPr>
                <w:ilvl w:val="0"/>
                <w:numId w:val="304"/>
              </w:numPr>
              <w:tabs>
                <w:tab w:pos="370" w:val="left" w:leader="none"/>
              </w:tabs>
              <w:spacing w:line="230" w:lineRule="auto" w:before="3" w:after="0"/>
              <w:ind w:left="367" w:right="94" w:hanging="255"/>
              <w:jc w:val="left"/>
              <w:rPr>
                <w:sz w:val="24"/>
              </w:rPr>
            </w:pPr>
            <w:r>
              <w:rPr>
                <w:color w:val="231F20"/>
                <w:spacing w:val="1"/>
                <w:sz w:val="24"/>
              </w:rPr>
              <w:t>調閱之醫院病歷影本或病摘(含檢驗報告)及 </w:t>
            </w:r>
            <w:r>
              <w:rPr>
                <w:color w:val="231F20"/>
                <w:sz w:val="24"/>
              </w:rPr>
              <w:t>X</w:t>
            </w:r>
            <w:r>
              <w:rPr>
                <w:color w:val="231F20"/>
                <w:spacing w:val="14"/>
                <w:sz w:val="24"/>
              </w:rPr>
              <w:t> 光片 </w:t>
            </w:r>
            <w:r>
              <w:rPr>
                <w:color w:val="231F20"/>
                <w:spacing w:val="17"/>
                <w:w w:val="70"/>
                <w:sz w:val="24"/>
              </w:rPr>
              <w:t>／ </w:t>
            </w:r>
            <w:r>
              <w:rPr>
                <w:color w:val="231F20"/>
                <w:spacing w:val="3"/>
                <w:sz w:val="24"/>
              </w:rPr>
              <w:t>其他影像 </w:t>
            </w:r>
            <w:r>
              <w:rPr>
                <w:color w:val="231F20"/>
                <w:w w:val="70"/>
                <w:sz w:val="24"/>
              </w:rPr>
              <w:t>（</w:t>
            </w:r>
            <w:r>
              <w:rPr>
                <w:color w:val="231F20"/>
                <w:spacing w:val="35"/>
                <w:w w:val="70"/>
                <w:sz w:val="24"/>
              </w:rPr>
              <w:t> </w:t>
            </w:r>
            <w:r>
              <w:rPr>
                <w:color w:val="231F20"/>
                <w:sz w:val="24"/>
              </w:rPr>
              <w:t>肺部電腦</w:t>
            </w:r>
            <w:r>
              <w:rPr>
                <w:color w:val="231F20"/>
                <w:spacing w:val="-2"/>
                <w:sz w:val="24"/>
              </w:rPr>
              <w:t>斷層或骨科 </w:t>
            </w:r>
            <w:r>
              <w:rPr>
                <w:color w:val="231F20"/>
                <w:sz w:val="24"/>
              </w:rPr>
              <w:t>MRI</w:t>
            </w:r>
            <w:r>
              <w:rPr>
                <w:color w:val="231F20"/>
                <w:spacing w:val="-4"/>
                <w:sz w:val="24"/>
              </w:rPr>
              <w:t> 檢査等 )。</w:t>
            </w:r>
          </w:p>
          <w:p>
            <w:pPr>
              <w:pStyle w:val="TableParagraph"/>
              <w:numPr>
                <w:ilvl w:val="0"/>
                <w:numId w:val="304"/>
              </w:numPr>
              <w:tabs>
                <w:tab w:pos="368" w:val="left" w:leader="none"/>
              </w:tabs>
              <w:spacing w:line="393" w:lineRule="exact" w:before="0" w:after="0"/>
              <w:ind w:left="367" w:right="0" w:hanging="256"/>
              <w:jc w:val="left"/>
              <w:rPr>
                <w:sz w:val="24"/>
              </w:rPr>
            </w:pPr>
            <w:r>
              <w:rPr>
                <w:color w:val="231F20"/>
                <w:sz w:val="24"/>
              </w:rPr>
              <w:t>醫院診所回復之診療說明相關資料。</w:t>
            </w:r>
          </w:p>
        </w:tc>
      </w:tr>
    </w:tbl>
    <w:p>
      <w:pPr>
        <w:pStyle w:val="BodyText"/>
        <w:spacing w:before="10"/>
        <w:rPr>
          <w:sz w:val="20"/>
        </w:rPr>
      </w:pPr>
    </w:p>
    <w:p>
      <w:pPr>
        <w:pStyle w:val="BodyText"/>
        <w:spacing w:line="409" w:lineRule="exact" w:before="71"/>
        <w:ind w:left="629"/>
        <w:jc w:val="both"/>
      </w:pPr>
      <w:r>
        <w:rPr>
          <w:color w:val="231F20"/>
          <w:w w:val="65"/>
        </w:rPr>
        <w:t>（ </w:t>
      </w:r>
      <w:r>
        <w:rPr>
          <w:color w:val="231F20"/>
        </w:rPr>
        <w:t>二 ) 以簡報呈現進行病例口冊時之報告。</w:t>
      </w:r>
    </w:p>
    <w:p>
      <w:pPr>
        <w:pStyle w:val="BodyText"/>
        <w:spacing w:line="400" w:lineRule="exact"/>
        <w:ind w:left="629"/>
        <w:jc w:val="both"/>
      </w:pPr>
      <w:r>
        <w:rPr/>
        <w:pict>
          <v:group style="position:absolute;margin-left:557.686523pt;margin-top:18.327509pt;width:37.35pt;height:447.55pt;mso-position-horizontal-relative:page;mso-position-vertical-relative:paragraph;z-index:252148736" coordorigin="11154,367" coordsize="747,8951">
            <v:shape style="position:absolute;left:11283;top:878;width:439;height:8439" type="#_x0000_t75" stroked="false">
              <v:imagedata r:id="rId450" o:title=""/>
            </v:shape>
            <v:shape style="position:absolute;left:11153;top:366;width:747;height:812" coordorigin="11154,367" coordsize="747,812" path="m11900,367l11536,367,11514,369,11454,403,11188,685,11154,772,11162,819,11454,1142,11514,1176,11536,1178,11900,1178,11900,367xe" filled="true" fillcolor="#8ebe3f" stroked="false">
              <v:path arrowok="t"/>
              <v:fill type="solid"/>
            </v:shape>
            <v:shape style="position:absolute;left:11321;top:633;width:384;height:273" type="#_x0000_t75" stroked="false">
              <v:imagedata r:id="rId469" o:title=""/>
            </v:shape>
            <v:shape style="position:absolute;left:11379;top:1314;width:251;height:3607" type="#_x0000_t75" stroked="false">
              <v:imagedata r:id="rId452" o:title=""/>
            </v:shape>
            <v:shape style="position:absolute;left:11368;top:8754;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159</w:t>
                    </w:r>
                  </w:p>
                </w:txbxContent>
              </v:textbox>
              <w10:wrap type="none"/>
            </v:shape>
            <w10:wrap type="none"/>
          </v:group>
        </w:pict>
      </w:r>
      <w:r>
        <w:rPr>
          <w:color w:val="231F20"/>
          <w:w w:val="70"/>
        </w:rPr>
        <w:t>（ </w:t>
      </w:r>
      <w:r>
        <w:rPr>
          <w:color w:val="231F20"/>
          <w:w w:val="110"/>
        </w:rPr>
        <w:t>三 ) 準備結核病診療諮詢小組病例口冊建議暨診療醫師回復單(附件 14-10)。</w:t>
      </w:r>
    </w:p>
    <w:p>
      <w:pPr>
        <w:pStyle w:val="BodyText"/>
        <w:spacing w:line="230" w:lineRule="auto" w:before="2"/>
        <w:ind w:left="1349" w:right="1135" w:hanging="720"/>
        <w:jc w:val="both"/>
      </w:pPr>
      <w:r>
        <w:rPr/>
        <w:pict>
          <v:shape style="position:absolute;margin-left:116.453499pt;margin-top:78.037224pt;width:422.3pt;height:290.6pt;mso-position-horizontal-relative:page;mso-position-vertical-relative:paragraph;z-index:252149760"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3217"/>
                    <w:gridCol w:w="5206"/>
                  </w:tblGrid>
                  <w:tr>
                    <w:trPr>
                      <w:trHeight w:val="451" w:hRule="atLeast"/>
                    </w:trPr>
                    <w:tc>
                      <w:tcPr>
                        <w:tcW w:w="3217" w:type="dxa"/>
                        <w:shd w:val="clear" w:color="auto" w:fill="E6E7E8"/>
                      </w:tcPr>
                      <w:p>
                        <w:pPr>
                          <w:pStyle w:val="TableParagraph"/>
                          <w:spacing w:line="431" w:lineRule="exact"/>
                          <w:ind w:left="528"/>
                          <w:rPr>
                            <w:rFonts w:ascii="微軟正黑體" w:eastAsia="微軟正黑體" w:hint="eastAsia"/>
                            <w:b/>
                            <w:sz w:val="24"/>
                          </w:rPr>
                        </w:pPr>
                        <w:r>
                          <w:rPr>
                            <w:rFonts w:ascii="微軟正黑體" w:eastAsia="微軟正黑體" w:hint="eastAsia"/>
                            <w:b/>
                            <w:color w:val="231F20"/>
                            <w:sz w:val="24"/>
                          </w:rPr>
                          <w:t>原診療醫師回復結果</w:t>
                        </w:r>
                      </w:p>
                    </w:tc>
                    <w:tc>
                      <w:tcPr>
                        <w:tcW w:w="5206" w:type="dxa"/>
                        <w:shd w:val="clear" w:color="auto" w:fill="E6E7E8"/>
                      </w:tcPr>
                      <w:p>
                        <w:pPr>
                          <w:pStyle w:val="TableParagraph"/>
                          <w:spacing w:line="431" w:lineRule="exact"/>
                          <w:ind w:left="2343" w:right="2328"/>
                          <w:jc w:val="center"/>
                          <w:rPr>
                            <w:rFonts w:ascii="微軟正黑體" w:eastAsia="微軟正黑體" w:hint="eastAsia"/>
                            <w:b/>
                            <w:sz w:val="24"/>
                          </w:rPr>
                        </w:pPr>
                        <w:r>
                          <w:rPr>
                            <w:rFonts w:ascii="微軟正黑體" w:eastAsia="微軟正黑體" w:hint="eastAsia"/>
                            <w:b/>
                            <w:color w:val="231F20"/>
                            <w:sz w:val="24"/>
                          </w:rPr>
                          <w:t>處理</w:t>
                        </w:r>
                      </w:p>
                    </w:tc>
                  </w:tr>
                  <w:tr>
                    <w:trPr>
                      <w:trHeight w:val="851" w:hRule="atLeast"/>
                    </w:trPr>
                    <w:tc>
                      <w:tcPr>
                        <w:tcW w:w="3217" w:type="dxa"/>
                      </w:tcPr>
                      <w:p>
                        <w:pPr>
                          <w:pStyle w:val="TableParagraph"/>
                          <w:spacing w:before="231"/>
                          <w:ind w:left="84"/>
                          <w:rPr>
                            <w:sz w:val="24"/>
                          </w:rPr>
                        </w:pPr>
                        <w:r>
                          <w:rPr>
                            <w:color w:val="231F20"/>
                            <w:sz w:val="24"/>
                          </w:rPr>
                          <w:t>回復「同意」</w:t>
                        </w:r>
                      </w:p>
                    </w:tc>
                    <w:tc>
                      <w:tcPr>
                        <w:tcW w:w="5206" w:type="dxa"/>
                      </w:tcPr>
                      <w:p>
                        <w:pPr>
                          <w:pStyle w:val="TableParagraph"/>
                          <w:spacing w:line="409" w:lineRule="exact" w:before="31"/>
                          <w:ind w:left="84"/>
                          <w:rPr>
                            <w:sz w:val="24"/>
                          </w:rPr>
                        </w:pPr>
                        <w:r>
                          <w:rPr>
                            <w:color w:val="231F20"/>
                            <w:sz w:val="24"/>
                          </w:rPr>
                          <w:t>追蹤診療醫師是否依照委員建議進行後續治療</w:t>
                        </w:r>
                      </w:p>
                      <w:p>
                        <w:pPr>
                          <w:pStyle w:val="TableParagraph"/>
                          <w:spacing w:line="391" w:lineRule="exact"/>
                          <w:ind w:left="84"/>
                          <w:rPr>
                            <w:sz w:val="24"/>
                          </w:rPr>
                        </w:pPr>
                        <w:r>
                          <w:rPr>
                            <w:color w:val="231F20"/>
                            <w:sz w:val="24"/>
                          </w:rPr>
                          <w:t>事宜。</w:t>
                        </w:r>
                      </w:p>
                    </w:tc>
                  </w:tr>
                  <w:tr>
                    <w:trPr>
                      <w:trHeight w:val="4449" w:hRule="atLeast"/>
                    </w:trPr>
                    <w:tc>
                      <w:tcPr>
                        <w:tcW w:w="3217" w:type="dxa"/>
                      </w:tcPr>
                      <w:p>
                        <w:pPr>
                          <w:pStyle w:val="TableParagraph"/>
                          <w:rPr>
                            <w:sz w:val="32"/>
                          </w:rPr>
                        </w:pPr>
                      </w:p>
                      <w:p>
                        <w:pPr>
                          <w:pStyle w:val="TableParagraph"/>
                          <w:rPr>
                            <w:sz w:val="32"/>
                          </w:rPr>
                        </w:pPr>
                      </w:p>
                      <w:p>
                        <w:pPr>
                          <w:pStyle w:val="TableParagraph"/>
                          <w:rPr>
                            <w:sz w:val="32"/>
                          </w:rPr>
                        </w:pPr>
                      </w:p>
                      <w:p>
                        <w:pPr>
                          <w:pStyle w:val="TableParagraph"/>
                          <w:spacing w:before="11"/>
                          <w:rPr>
                            <w:sz w:val="20"/>
                          </w:rPr>
                        </w:pPr>
                      </w:p>
                      <w:p>
                        <w:pPr>
                          <w:pStyle w:val="TableParagraph"/>
                          <w:ind w:left="84"/>
                          <w:rPr>
                            <w:sz w:val="24"/>
                          </w:rPr>
                        </w:pPr>
                        <w:r>
                          <w:rPr>
                            <w:color w:val="231F20"/>
                            <w:sz w:val="24"/>
                          </w:rPr>
                          <w:t>回復「不同意」</w:t>
                        </w:r>
                      </w:p>
                    </w:tc>
                    <w:tc>
                      <w:tcPr>
                        <w:tcW w:w="5206" w:type="dxa"/>
                      </w:tcPr>
                      <w:p>
                        <w:pPr>
                          <w:pStyle w:val="TableParagraph"/>
                          <w:numPr>
                            <w:ilvl w:val="0"/>
                            <w:numId w:val="305"/>
                          </w:numPr>
                          <w:tabs>
                            <w:tab w:pos="340" w:val="left" w:leader="none"/>
                          </w:tabs>
                          <w:spacing w:line="230" w:lineRule="auto" w:before="43" w:after="0"/>
                          <w:ind w:left="339" w:right="53" w:hanging="255"/>
                          <w:jc w:val="left"/>
                          <w:rPr>
                            <w:sz w:val="24"/>
                          </w:rPr>
                        </w:pPr>
                        <w:r>
                          <w:rPr>
                            <w:color w:val="231F20"/>
                            <w:spacing w:val="10"/>
                            <w:sz w:val="24"/>
                          </w:rPr>
                          <w:t>將不同意理由回復諮詢委員，再次審視口冊結果是否修正。</w:t>
                        </w:r>
                      </w:p>
                      <w:p>
                        <w:pPr>
                          <w:pStyle w:val="TableParagraph"/>
                          <w:numPr>
                            <w:ilvl w:val="0"/>
                            <w:numId w:val="305"/>
                          </w:numPr>
                          <w:tabs>
                            <w:tab w:pos="340" w:val="left" w:leader="none"/>
                          </w:tabs>
                          <w:spacing w:line="230" w:lineRule="auto" w:before="0" w:after="0"/>
                          <w:ind w:left="339" w:right="54" w:hanging="255"/>
                          <w:jc w:val="left"/>
                          <w:rPr>
                            <w:sz w:val="24"/>
                          </w:rPr>
                        </w:pPr>
                        <w:r>
                          <w:rPr>
                            <w:color w:val="231F20"/>
                            <w:spacing w:val="8"/>
                            <w:sz w:val="24"/>
                          </w:rPr>
                          <w:t>當委員「維持原口冊意見」，請諮詢委員或</w:t>
                        </w:r>
                        <w:r>
                          <w:rPr>
                            <w:color w:val="231F20"/>
                            <w:sz w:val="24"/>
                          </w:rPr>
                          <w:t>防疫醫師再次與原診療醫師進行病例溝通。</w:t>
                        </w:r>
                      </w:p>
                      <w:p>
                        <w:pPr>
                          <w:pStyle w:val="TableParagraph"/>
                          <w:numPr>
                            <w:ilvl w:val="0"/>
                            <w:numId w:val="305"/>
                          </w:numPr>
                          <w:tabs>
                            <w:tab w:pos="340" w:val="left" w:leader="none"/>
                          </w:tabs>
                          <w:spacing w:line="395" w:lineRule="exact" w:before="0" w:after="0"/>
                          <w:ind w:left="339" w:right="0" w:hanging="256"/>
                          <w:jc w:val="left"/>
                          <w:rPr>
                            <w:sz w:val="24"/>
                          </w:rPr>
                        </w:pPr>
                        <w:r>
                          <w:rPr>
                            <w:color w:val="231F20"/>
                            <w:spacing w:val="-4"/>
                            <w:sz w:val="24"/>
                          </w:rPr>
                          <w:t>當諮詢委員「修正意見」後，修正後之意見：</w:t>
                        </w:r>
                      </w:p>
                      <w:p>
                        <w:pPr>
                          <w:pStyle w:val="TableParagraph"/>
                          <w:spacing w:line="230" w:lineRule="auto"/>
                          <w:ind w:left="595" w:right="55" w:hanging="397"/>
                          <w:jc w:val="both"/>
                          <w:rPr>
                            <w:sz w:val="24"/>
                          </w:rPr>
                        </w:pPr>
                        <w:r>
                          <w:rPr>
                            <w:color w:val="231F20"/>
                            <w:w w:val="32"/>
                            <w:sz w:val="24"/>
                          </w:rPr>
                          <w:t>（</w:t>
                        </w:r>
                        <w:r>
                          <w:rPr>
                            <w:color w:val="231F20"/>
                            <w:w w:val="104"/>
                            <w:sz w:val="24"/>
                          </w:rPr>
                          <w:t>1</w:t>
                        </w:r>
                        <w:r>
                          <w:rPr>
                            <w:color w:val="231F20"/>
                            <w:w w:val="96"/>
                            <w:sz w:val="24"/>
                          </w:rPr>
                          <w:t>)</w:t>
                        </w:r>
                        <w:r>
                          <w:rPr>
                            <w:color w:val="231F20"/>
                            <w:sz w:val="24"/>
                          </w:rPr>
                          <w:t>  「同意」原診療醫師回復意見， 請追蹤診療醫師是否依照協商後意見，進行後續治療事宜。</w:t>
                        </w:r>
                      </w:p>
                      <w:p>
                        <w:pPr>
                          <w:pStyle w:val="TableParagraph"/>
                          <w:spacing w:line="230" w:lineRule="auto"/>
                          <w:ind w:left="595" w:right="60" w:hanging="397"/>
                          <w:jc w:val="both"/>
                          <w:rPr>
                            <w:sz w:val="24"/>
                          </w:rPr>
                        </w:pPr>
                        <w:r>
                          <w:rPr>
                            <w:color w:val="231F20"/>
                            <w:w w:val="32"/>
                            <w:sz w:val="24"/>
                          </w:rPr>
                          <w:t>（</w:t>
                        </w:r>
                        <w:r>
                          <w:rPr>
                            <w:color w:val="231F20"/>
                            <w:w w:val="104"/>
                            <w:sz w:val="24"/>
                          </w:rPr>
                          <w:t>2</w:t>
                        </w:r>
                        <w:r>
                          <w:rPr>
                            <w:color w:val="231F20"/>
                            <w:w w:val="96"/>
                            <w:sz w:val="24"/>
                          </w:rPr>
                          <w:t>)</w:t>
                        </w:r>
                        <w:r>
                          <w:rPr>
                            <w:color w:val="231F20"/>
                            <w:sz w:val="24"/>
                          </w:rPr>
                          <w:t>  對原診療醫師回復意見「有其他建議」，請知會原診療醫師， 並追蹤原診療醫師是</w:t>
                        </w:r>
                      </w:p>
                      <w:p>
                        <w:pPr>
                          <w:pStyle w:val="TableParagraph"/>
                          <w:spacing w:line="386" w:lineRule="exact"/>
                          <w:ind w:left="595"/>
                          <w:rPr>
                            <w:sz w:val="24"/>
                          </w:rPr>
                        </w:pPr>
                        <w:r>
                          <w:rPr>
                            <w:color w:val="231F20"/>
                            <w:sz w:val="24"/>
                          </w:rPr>
                          <w:t>否依照該建議進行後續醫療事宜。</w:t>
                        </w:r>
                      </w:p>
                    </w:tc>
                  </w:tr>
                </w:tbl>
                <w:p>
                  <w:pPr>
                    <w:pStyle w:val="BodyText"/>
                  </w:pPr>
                </w:p>
              </w:txbxContent>
            </v:textbox>
            <w10:wrap type="none"/>
          </v:shape>
        </w:pict>
      </w:r>
      <w:r>
        <w:rPr>
          <w:color w:val="231F20"/>
          <w:w w:val="65"/>
        </w:rPr>
        <w:t>（ </w:t>
      </w:r>
      <w:r>
        <w:rPr>
          <w:color w:val="231F20"/>
        </w:rPr>
        <w:t>匹 ) 縣市衛生局診療諮詢小組會議或將相關資料送請諮詢委員進行書面口冊，請諮詢委員將病例口冊結果逐案填寫於「結核病診療諮詢小組病例口冊建議暨診療醫師回復單」，送交原診療醫師參考，並依下述流程追蹤原診療醫師回復口冊結果之處理情形：</w:t>
      </w:r>
    </w:p>
    <w:p>
      <w:pPr>
        <w:spacing w:after="0" w:line="230" w:lineRule="auto"/>
        <w:jc w:val="both"/>
        <w:sectPr>
          <w:pgSz w:w="11910" w:h="16840"/>
          <w:pgMar w:top="1200" w:bottom="0" w:left="980" w:right="0"/>
        </w:sectPr>
      </w:pPr>
    </w:p>
    <w:p>
      <w:pPr>
        <w:pStyle w:val="BodyText"/>
        <w:spacing w:line="409" w:lineRule="exact" w:before="59"/>
        <w:ind w:left="391"/>
      </w:pPr>
      <w:r>
        <w:rPr/>
        <w:pict>
          <v:group style="position:absolute;margin-left:.0pt;margin-top:394.171997pt;width:37.35pt;height:447.55pt;mso-position-horizontal-relative:page;mso-position-vertical-relative:page;z-index:252151808" coordorigin="0,7883" coordsize="747,8951">
            <v:shape style="position:absolute;left:178;top:8394;width:439;height:8440" type="#_x0000_t75" stroked="false">
              <v:imagedata r:id="rId453" o:title=""/>
            </v:shape>
            <v:shape style="position:absolute;left:0;top:7883;width:747;height:812" coordorigin="0,7883" coordsize="747,812" path="m365,7883l0,7883,0,8695,365,8695,387,8692,447,8659,713,8376,747,8289,738,8243,447,7920,387,7886,365,7883xe" filled="true" fillcolor="#8ebe3f" stroked="false">
              <v:path arrowok="t"/>
              <v:fill type="solid"/>
            </v:shape>
            <v:shape style="position:absolute;left:216;top:8150;width:384;height:273" type="#_x0000_t75" stroked="false">
              <v:imagedata r:id="rId470" o:title=""/>
            </v:shape>
            <v:shape style="position:absolute;left:274;top:8831;width:251;height:3607" type="#_x0000_t75" stroked="false">
              <v:imagedata r:id="rId45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160</w:t>
                    </w:r>
                  </w:p>
                </w:txbxContent>
              </v:textbox>
              <w10:wrap type="none"/>
            </v:shape>
            <w10:wrap type="none"/>
          </v:group>
        </w:pict>
      </w:r>
      <w:r>
        <w:rPr>
          <w:color w:val="231F20"/>
        </w:rPr>
        <w:t>匹、送病例口冊原因歸類標準</w:t>
      </w:r>
    </w:p>
    <w:p>
      <w:pPr>
        <w:pStyle w:val="BodyText"/>
        <w:spacing w:line="230" w:lineRule="auto" w:before="2"/>
        <w:ind w:left="878" w:right="1134"/>
        <w:jc w:val="both"/>
      </w:pPr>
      <w:r>
        <w:rPr/>
        <w:pict>
          <v:shape style="position:absolute;margin-left:92.935501pt;margin-top:58.04274pt;width:446.35pt;height:240.65pt;mso-position-horizontal-relative:page;mso-position-vertical-relative:paragraph;z-index:252152832"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3948"/>
                    <w:gridCol w:w="4957"/>
                  </w:tblGrid>
                  <w:tr>
                    <w:trPr>
                      <w:trHeight w:val="451" w:hRule="atLeast"/>
                    </w:trPr>
                    <w:tc>
                      <w:tcPr>
                        <w:tcW w:w="3948" w:type="dxa"/>
                        <w:shd w:val="clear" w:color="auto" w:fill="E6E7E8"/>
                      </w:tcPr>
                      <w:p>
                        <w:pPr>
                          <w:pStyle w:val="TableParagraph"/>
                          <w:spacing w:line="431" w:lineRule="exact"/>
                          <w:ind w:left="1134"/>
                          <w:rPr>
                            <w:rFonts w:ascii="微軟正黑體" w:eastAsia="微軟正黑體" w:hint="eastAsia"/>
                            <w:b/>
                            <w:sz w:val="24"/>
                          </w:rPr>
                        </w:pPr>
                        <w:r>
                          <w:rPr>
                            <w:rFonts w:ascii="微軟正黑體" w:eastAsia="微軟正黑體" w:hint="eastAsia"/>
                            <w:b/>
                            <w:color w:val="231F20"/>
                            <w:sz w:val="24"/>
                          </w:rPr>
                          <w:t>送討論原因併列</w:t>
                        </w:r>
                      </w:p>
                    </w:tc>
                    <w:tc>
                      <w:tcPr>
                        <w:tcW w:w="4957" w:type="dxa"/>
                        <w:shd w:val="clear" w:color="auto" w:fill="E6E7E8"/>
                      </w:tcPr>
                      <w:p>
                        <w:pPr>
                          <w:pStyle w:val="TableParagraph"/>
                          <w:spacing w:line="431" w:lineRule="exact"/>
                          <w:ind w:left="1978" w:right="1963"/>
                          <w:jc w:val="center"/>
                          <w:rPr>
                            <w:rFonts w:ascii="微軟正黑體" w:eastAsia="微軟正黑體" w:hint="eastAsia"/>
                            <w:b/>
                            <w:sz w:val="24"/>
                          </w:rPr>
                        </w:pPr>
                        <w:r>
                          <w:rPr>
                            <w:rFonts w:ascii="微軟正黑體" w:eastAsia="微軟正黑體" w:hint="eastAsia"/>
                            <w:b/>
                            <w:color w:val="231F20"/>
                            <w:sz w:val="24"/>
                          </w:rPr>
                          <w:t>優先歸類</w:t>
                        </w:r>
                      </w:p>
                    </w:tc>
                  </w:tr>
                  <w:tr>
                    <w:trPr>
                      <w:trHeight w:val="851" w:hRule="atLeast"/>
                    </w:trPr>
                    <w:tc>
                      <w:tcPr>
                        <w:tcW w:w="3948" w:type="dxa"/>
                      </w:tcPr>
                      <w:p>
                        <w:pPr>
                          <w:pStyle w:val="TableParagraph"/>
                          <w:spacing w:before="231"/>
                          <w:ind w:left="84"/>
                          <w:rPr>
                            <w:sz w:val="24"/>
                          </w:rPr>
                        </w:pPr>
                        <w:r>
                          <w:rPr>
                            <w:color w:val="231F20"/>
                            <w:sz w:val="24"/>
                          </w:rPr>
                          <w:t>「診斷疑義」與「治療疑義」</w:t>
                        </w:r>
                      </w:p>
                    </w:tc>
                    <w:tc>
                      <w:tcPr>
                        <w:tcW w:w="4957" w:type="dxa"/>
                      </w:tcPr>
                      <w:p>
                        <w:pPr>
                          <w:pStyle w:val="TableParagraph"/>
                          <w:spacing w:line="409" w:lineRule="exact" w:before="31"/>
                          <w:ind w:left="84"/>
                          <w:rPr>
                            <w:sz w:val="24"/>
                          </w:rPr>
                        </w:pPr>
                        <w:r>
                          <w:rPr>
                            <w:color w:val="231F20"/>
                            <w:sz w:val="24"/>
                          </w:rPr>
                          <w:t>欲判定是否為結核病須開始治療，應選擇「診</w:t>
                        </w:r>
                      </w:p>
                      <w:p>
                        <w:pPr>
                          <w:pStyle w:val="TableParagraph"/>
                          <w:spacing w:line="391" w:lineRule="exact"/>
                          <w:ind w:left="84"/>
                          <w:rPr>
                            <w:sz w:val="24"/>
                          </w:rPr>
                        </w:pPr>
                        <w:r>
                          <w:rPr>
                            <w:color w:val="231F20"/>
                            <w:sz w:val="24"/>
                          </w:rPr>
                          <w:t>斷疑義」。</w:t>
                        </w:r>
                      </w:p>
                    </w:tc>
                  </w:tr>
                  <w:tr>
                    <w:trPr>
                      <w:trHeight w:val="851" w:hRule="atLeast"/>
                    </w:trPr>
                    <w:tc>
                      <w:tcPr>
                        <w:tcW w:w="3948" w:type="dxa"/>
                      </w:tcPr>
                      <w:p>
                        <w:pPr>
                          <w:pStyle w:val="TableParagraph"/>
                          <w:spacing w:before="231"/>
                          <w:ind w:left="84"/>
                          <w:rPr>
                            <w:sz w:val="24"/>
                          </w:rPr>
                        </w:pPr>
                        <w:r>
                          <w:rPr>
                            <w:color w:val="231F20"/>
                            <w:sz w:val="24"/>
                          </w:rPr>
                          <w:t>「治療疑義」與「隔離治療」</w:t>
                        </w:r>
                      </w:p>
                    </w:tc>
                    <w:tc>
                      <w:tcPr>
                        <w:tcW w:w="4957" w:type="dxa"/>
                      </w:tcPr>
                      <w:p>
                        <w:pPr>
                          <w:pStyle w:val="TableParagraph"/>
                          <w:spacing w:line="409" w:lineRule="exact" w:before="31"/>
                          <w:ind w:left="84"/>
                          <w:rPr>
                            <w:sz w:val="24"/>
                          </w:rPr>
                        </w:pPr>
                        <w:r>
                          <w:rPr>
                            <w:color w:val="231F20"/>
                            <w:sz w:val="24"/>
                          </w:rPr>
                          <w:t>因個案配合度不佳，公衛管理人員欲請委員判</w:t>
                        </w:r>
                      </w:p>
                      <w:p>
                        <w:pPr>
                          <w:pStyle w:val="TableParagraph"/>
                          <w:spacing w:line="391" w:lineRule="exact"/>
                          <w:ind w:left="84"/>
                          <w:rPr>
                            <w:sz w:val="24"/>
                          </w:rPr>
                        </w:pPr>
                        <w:r>
                          <w:rPr>
                            <w:color w:val="231F20"/>
                            <w:sz w:val="24"/>
                          </w:rPr>
                          <w:t>定是否隔離治療者，應選擇「隔離治療」。</w:t>
                        </w:r>
                      </w:p>
                    </w:tc>
                  </w:tr>
                  <w:tr>
                    <w:trPr>
                      <w:trHeight w:val="851" w:hRule="atLeast"/>
                    </w:trPr>
                    <w:tc>
                      <w:tcPr>
                        <w:tcW w:w="3948" w:type="dxa"/>
                      </w:tcPr>
                      <w:p>
                        <w:pPr>
                          <w:pStyle w:val="TableParagraph"/>
                          <w:spacing w:before="231"/>
                          <w:ind w:left="84"/>
                          <w:rPr>
                            <w:sz w:val="24"/>
                          </w:rPr>
                        </w:pPr>
                        <w:r>
                          <w:rPr>
                            <w:color w:val="231F20"/>
                            <w:sz w:val="24"/>
                          </w:rPr>
                          <w:t>「治療疑義」與「個案完治疑義」</w:t>
                        </w:r>
                      </w:p>
                    </w:tc>
                    <w:tc>
                      <w:tcPr>
                        <w:tcW w:w="4957" w:type="dxa"/>
                      </w:tcPr>
                      <w:p>
                        <w:pPr>
                          <w:pStyle w:val="TableParagraph"/>
                          <w:spacing w:line="409" w:lineRule="exact" w:before="31"/>
                          <w:ind w:left="84"/>
                          <w:rPr>
                            <w:sz w:val="24"/>
                          </w:rPr>
                        </w:pPr>
                        <w:r>
                          <w:rPr>
                            <w:color w:val="231F20"/>
                            <w:sz w:val="24"/>
                          </w:rPr>
                          <w:t>涉及完治判定之疑義者應選擇「個案完治疑</w:t>
                        </w:r>
                      </w:p>
                      <w:p>
                        <w:pPr>
                          <w:pStyle w:val="TableParagraph"/>
                          <w:spacing w:line="391" w:lineRule="exact"/>
                          <w:ind w:left="84"/>
                          <w:rPr>
                            <w:sz w:val="24"/>
                          </w:rPr>
                        </w:pPr>
                        <w:r>
                          <w:rPr>
                            <w:color w:val="231F20"/>
                            <w:sz w:val="24"/>
                          </w:rPr>
                          <w:t>義」。</w:t>
                        </w:r>
                      </w:p>
                    </w:tc>
                  </w:tr>
                  <w:tr>
                    <w:trPr>
                      <w:trHeight w:val="851" w:hRule="atLeast"/>
                    </w:trPr>
                    <w:tc>
                      <w:tcPr>
                        <w:tcW w:w="3948" w:type="dxa"/>
                      </w:tcPr>
                      <w:p>
                        <w:pPr>
                          <w:pStyle w:val="TableParagraph"/>
                          <w:spacing w:before="231"/>
                          <w:ind w:left="84"/>
                          <w:rPr>
                            <w:sz w:val="24"/>
                          </w:rPr>
                        </w:pPr>
                        <w:r>
                          <w:rPr>
                            <w:color w:val="231F20"/>
                            <w:sz w:val="24"/>
                          </w:rPr>
                          <w:t>「診斷疑義」與「重開案」</w:t>
                        </w:r>
                      </w:p>
                    </w:tc>
                    <w:tc>
                      <w:tcPr>
                        <w:tcW w:w="4957" w:type="dxa"/>
                      </w:tcPr>
                      <w:p>
                        <w:pPr>
                          <w:pStyle w:val="TableParagraph"/>
                          <w:spacing w:line="409" w:lineRule="exact" w:before="31"/>
                          <w:ind w:left="84"/>
                          <w:rPr>
                            <w:sz w:val="24"/>
                          </w:rPr>
                        </w:pPr>
                        <w:r>
                          <w:rPr>
                            <w:color w:val="231F20"/>
                            <w:sz w:val="24"/>
                          </w:rPr>
                          <w:t>對於個案重開涉及之診斷問題，應選擇「重開</w:t>
                        </w:r>
                      </w:p>
                      <w:p>
                        <w:pPr>
                          <w:pStyle w:val="TableParagraph"/>
                          <w:spacing w:line="391" w:lineRule="exact"/>
                          <w:ind w:left="84"/>
                          <w:rPr>
                            <w:sz w:val="24"/>
                          </w:rPr>
                        </w:pPr>
                        <w:r>
                          <w:rPr>
                            <w:color w:val="231F20"/>
                            <w:sz w:val="24"/>
                          </w:rPr>
                          <w:t>案」。</w:t>
                        </w:r>
                      </w:p>
                    </w:tc>
                  </w:tr>
                  <w:tr>
                    <w:trPr>
                      <w:trHeight w:val="851" w:hRule="atLeast"/>
                    </w:trPr>
                    <w:tc>
                      <w:tcPr>
                        <w:tcW w:w="3948" w:type="dxa"/>
                      </w:tcPr>
                      <w:p>
                        <w:pPr>
                          <w:pStyle w:val="TableParagraph"/>
                          <w:spacing w:before="231"/>
                          <w:ind w:left="84"/>
                          <w:rPr>
                            <w:sz w:val="24"/>
                          </w:rPr>
                        </w:pPr>
                        <w:r>
                          <w:rPr>
                            <w:color w:val="231F20"/>
                            <w:sz w:val="24"/>
                          </w:rPr>
                          <w:t>「治療疑義」與「申請公費藥」</w:t>
                        </w:r>
                      </w:p>
                    </w:tc>
                    <w:tc>
                      <w:tcPr>
                        <w:tcW w:w="4957" w:type="dxa"/>
                      </w:tcPr>
                      <w:p>
                        <w:pPr>
                          <w:pStyle w:val="TableParagraph"/>
                          <w:spacing w:line="409" w:lineRule="exact" w:before="31"/>
                          <w:ind w:left="84"/>
                          <w:rPr>
                            <w:sz w:val="24"/>
                          </w:rPr>
                        </w:pPr>
                        <w:r>
                          <w:rPr>
                            <w:color w:val="231F20"/>
                            <w:sz w:val="24"/>
                          </w:rPr>
                          <w:t>欲使用公費藥治療，且對公費藥的申請結果有</w:t>
                        </w:r>
                      </w:p>
                      <w:p>
                        <w:pPr>
                          <w:pStyle w:val="TableParagraph"/>
                          <w:spacing w:line="391" w:lineRule="exact"/>
                          <w:ind w:left="84"/>
                          <w:rPr>
                            <w:sz w:val="24"/>
                          </w:rPr>
                        </w:pPr>
                        <w:r>
                          <w:rPr>
                            <w:color w:val="231F20"/>
                            <w:sz w:val="24"/>
                          </w:rPr>
                          <w:t>疑義者應選擇「申請公費藥」。</w:t>
                        </w:r>
                      </w:p>
                    </w:tc>
                  </w:tr>
                </w:tbl>
                <w:p>
                  <w:pPr>
                    <w:pStyle w:val="BodyText"/>
                  </w:pPr>
                </w:p>
              </w:txbxContent>
            </v:textbox>
            <w10:wrap type="none"/>
          </v:shape>
        </w:pict>
      </w:r>
      <w:r>
        <w:rPr>
          <w:color w:val="231F20"/>
        </w:rPr>
        <w:t>個案送口冊原因應選擇適切且單—，避免歸類為「其他」，如同時具有二種或以上原因者，亦不可歸類為「其他」，應以「送口冊最主要的目的」與「送口冊結果的後續作為」判斷優先歸類邏輯如下表：</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4"/>
        <w:rPr>
          <w:sz w:val="46"/>
        </w:rPr>
      </w:pPr>
    </w:p>
    <w:p>
      <w:pPr>
        <w:pStyle w:val="BodyText"/>
        <w:ind w:left="391"/>
      </w:pPr>
      <w:r>
        <w:rPr/>
        <w:pict>
          <v:shape style="position:absolute;margin-left:92.934502pt;margin-top:18.539555pt;width:446.05pt;height:350.6pt;mso-position-horizontal-relative:page;mso-position-vertical-relative:paragraph;z-index:252153856" type="#_x0000_t202" filled="false" stroked="false">
            <v:textbox inset="0,0,0,0">
              <w:txbxContent>
                <w:tbl>
                  <w:tblPr>
                    <w:tblW w:w="0" w:type="auto"/>
                    <w:jc w:val="left"/>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492"/>
                    <w:gridCol w:w="4118"/>
                    <w:gridCol w:w="3289"/>
                  </w:tblGrid>
                  <w:tr>
                    <w:trPr>
                      <w:trHeight w:val="451" w:hRule="atLeast"/>
                    </w:trPr>
                    <w:tc>
                      <w:tcPr>
                        <w:tcW w:w="1492" w:type="dxa"/>
                        <w:shd w:val="clear" w:color="auto" w:fill="E6E7E8"/>
                      </w:tcPr>
                      <w:p>
                        <w:pPr>
                          <w:pStyle w:val="TableParagraph"/>
                          <w:spacing w:line="431" w:lineRule="exact"/>
                          <w:ind w:right="136"/>
                          <w:jc w:val="right"/>
                          <w:rPr>
                            <w:rFonts w:ascii="微軟正黑體" w:eastAsia="微軟正黑體" w:hint="eastAsia"/>
                            <w:b/>
                            <w:sz w:val="24"/>
                          </w:rPr>
                        </w:pPr>
                        <w:r>
                          <w:rPr>
                            <w:rFonts w:ascii="微軟正黑體" w:eastAsia="微軟正黑體" w:hint="eastAsia"/>
                            <w:b/>
                            <w:color w:val="231F20"/>
                            <w:sz w:val="24"/>
                          </w:rPr>
                          <w:t>編碼 </w:t>
                        </w:r>
                        <w:r>
                          <w:rPr>
                            <w:rFonts w:ascii="微軟正黑體" w:eastAsia="微軟正黑體" w:hint="eastAsia"/>
                            <w:b/>
                            <w:color w:val="231F20"/>
                            <w:w w:val="75"/>
                            <w:sz w:val="24"/>
                          </w:rPr>
                          <w:t>／ </w:t>
                        </w:r>
                        <w:r>
                          <w:rPr>
                            <w:rFonts w:ascii="微軟正黑體" w:eastAsia="微軟正黑體" w:hint="eastAsia"/>
                            <w:b/>
                            <w:color w:val="231F20"/>
                            <w:sz w:val="24"/>
                          </w:rPr>
                          <w:t>原因</w:t>
                        </w:r>
                      </w:p>
                    </w:tc>
                    <w:tc>
                      <w:tcPr>
                        <w:tcW w:w="4118" w:type="dxa"/>
                        <w:shd w:val="clear" w:color="auto" w:fill="E6E7E8"/>
                      </w:tcPr>
                      <w:p>
                        <w:pPr>
                          <w:pStyle w:val="TableParagraph"/>
                          <w:spacing w:line="431" w:lineRule="exact"/>
                          <w:ind w:left="1558" w:right="1545"/>
                          <w:jc w:val="center"/>
                          <w:rPr>
                            <w:rFonts w:ascii="微軟正黑體" w:eastAsia="微軟正黑體" w:hint="eastAsia"/>
                            <w:b/>
                            <w:sz w:val="24"/>
                          </w:rPr>
                        </w:pPr>
                        <w:r>
                          <w:rPr>
                            <w:rFonts w:ascii="微軟正黑體" w:eastAsia="微軟正黑體" w:hint="eastAsia"/>
                            <w:b/>
                            <w:color w:val="231F20"/>
                            <w:sz w:val="24"/>
                          </w:rPr>
                          <w:t>個案情況</w:t>
                        </w:r>
                      </w:p>
                    </w:tc>
                    <w:tc>
                      <w:tcPr>
                        <w:tcW w:w="3289" w:type="dxa"/>
                        <w:shd w:val="clear" w:color="auto" w:fill="E6E7E8"/>
                      </w:tcPr>
                      <w:p>
                        <w:pPr>
                          <w:pStyle w:val="TableParagraph"/>
                          <w:spacing w:line="431" w:lineRule="exact"/>
                          <w:ind w:left="84"/>
                          <w:rPr>
                            <w:rFonts w:ascii="微軟正黑體" w:eastAsia="微軟正黑體" w:hint="eastAsia"/>
                            <w:b/>
                            <w:sz w:val="24"/>
                          </w:rPr>
                        </w:pPr>
                        <w:r>
                          <w:rPr>
                            <w:rFonts w:ascii="微軟正黑體" w:eastAsia="微軟正黑體" w:hint="eastAsia"/>
                            <w:b/>
                            <w:color w:val="231F20"/>
                            <w:sz w:val="24"/>
                          </w:rPr>
                          <w:t>編碼 </w:t>
                        </w:r>
                        <w:r>
                          <w:rPr>
                            <w:rFonts w:ascii="微軟正黑體" w:eastAsia="微軟正黑體" w:hint="eastAsia"/>
                            <w:b/>
                            <w:color w:val="231F20"/>
                            <w:w w:val="75"/>
                            <w:sz w:val="24"/>
                          </w:rPr>
                          <w:t>／ </w:t>
                        </w:r>
                        <w:r>
                          <w:rPr>
                            <w:rFonts w:ascii="微軟正黑體" w:eastAsia="微軟正黑體" w:hint="eastAsia"/>
                            <w:b/>
                            <w:color w:val="231F20"/>
                            <w:sz w:val="24"/>
                          </w:rPr>
                          <w:t>討論結果</w:t>
                        </w:r>
                      </w:p>
                    </w:tc>
                  </w:tr>
                  <w:tr>
                    <w:trPr>
                      <w:trHeight w:val="4849" w:hRule="atLeast"/>
                    </w:trPr>
                    <w:tc>
                      <w:tcPr>
                        <w:tcW w:w="1492" w:type="dxa"/>
                      </w:tcPr>
                      <w:p>
                        <w:pPr>
                          <w:pStyle w:val="TableParagraph"/>
                          <w:rPr>
                            <w:sz w:val="32"/>
                          </w:rPr>
                        </w:pPr>
                      </w:p>
                      <w:p>
                        <w:pPr>
                          <w:pStyle w:val="TableParagraph"/>
                          <w:rPr>
                            <w:sz w:val="32"/>
                          </w:rPr>
                        </w:pPr>
                      </w:p>
                      <w:p>
                        <w:pPr>
                          <w:pStyle w:val="TableParagraph"/>
                          <w:rPr>
                            <w:sz w:val="32"/>
                          </w:rPr>
                        </w:pPr>
                      </w:p>
                      <w:p>
                        <w:pPr>
                          <w:pStyle w:val="TableParagraph"/>
                          <w:spacing w:before="2"/>
                          <w:rPr>
                            <w:sz w:val="32"/>
                          </w:rPr>
                        </w:pPr>
                      </w:p>
                      <w:p>
                        <w:pPr>
                          <w:pStyle w:val="TableParagraph"/>
                          <w:ind w:right="176"/>
                          <w:jc w:val="right"/>
                          <w:rPr>
                            <w:sz w:val="24"/>
                          </w:rPr>
                        </w:pPr>
                        <w:r>
                          <w:rPr>
                            <w:color w:val="231F20"/>
                            <w:sz w:val="24"/>
                          </w:rPr>
                          <w:t>1. 診斷疑義</w:t>
                        </w:r>
                      </w:p>
                    </w:tc>
                    <w:tc>
                      <w:tcPr>
                        <w:tcW w:w="4118" w:type="dxa"/>
                      </w:tcPr>
                      <w:p>
                        <w:pPr>
                          <w:pStyle w:val="TableParagraph"/>
                          <w:numPr>
                            <w:ilvl w:val="0"/>
                            <w:numId w:val="306"/>
                          </w:numPr>
                          <w:tabs>
                            <w:tab w:pos="340" w:val="left" w:leader="none"/>
                          </w:tabs>
                          <w:spacing w:line="230" w:lineRule="auto" w:before="43" w:after="0"/>
                          <w:ind w:left="339" w:right="46" w:hanging="255"/>
                          <w:jc w:val="both"/>
                          <w:rPr>
                            <w:sz w:val="24"/>
                          </w:rPr>
                        </w:pPr>
                        <w:r>
                          <w:rPr>
                            <w:color w:val="231F20"/>
                            <w:spacing w:val="18"/>
                            <w:sz w:val="24"/>
                          </w:rPr>
                          <w:t>疑似個案無法於 </w:t>
                        </w:r>
                        <w:r>
                          <w:rPr>
                            <w:color w:val="231F20"/>
                            <w:sz w:val="24"/>
                          </w:rPr>
                          <w:t>2</w:t>
                        </w:r>
                        <w:r>
                          <w:rPr>
                            <w:color w:val="231F20"/>
                            <w:spacing w:val="21"/>
                            <w:sz w:val="24"/>
                          </w:rPr>
                          <w:t> 個月內確診者</w:t>
                        </w:r>
                        <w:r>
                          <w:rPr>
                            <w:color w:val="231F20"/>
                            <w:w w:val="110"/>
                            <w:sz w:val="24"/>
                          </w:rPr>
                          <w:t>(含死亡)。</w:t>
                        </w:r>
                      </w:p>
                      <w:p>
                        <w:pPr>
                          <w:pStyle w:val="TableParagraph"/>
                          <w:numPr>
                            <w:ilvl w:val="0"/>
                            <w:numId w:val="306"/>
                          </w:numPr>
                          <w:tabs>
                            <w:tab w:pos="340" w:val="left" w:leader="none"/>
                          </w:tabs>
                          <w:spacing w:line="230" w:lineRule="auto" w:before="0" w:after="0"/>
                          <w:ind w:left="339" w:right="55" w:hanging="255"/>
                          <w:jc w:val="both"/>
                          <w:rPr>
                            <w:sz w:val="24"/>
                          </w:rPr>
                        </w:pPr>
                        <w:r>
                          <w:rPr>
                            <w:color w:val="231F20"/>
                            <w:spacing w:val="11"/>
                            <w:sz w:val="24"/>
                          </w:rPr>
                          <w:t>個案曾經 </w:t>
                        </w:r>
                        <w:r>
                          <w:rPr>
                            <w:color w:val="231F20"/>
                            <w:sz w:val="24"/>
                          </w:rPr>
                          <w:t>NAA</w:t>
                        </w:r>
                        <w:r>
                          <w:rPr>
                            <w:color w:val="231F20"/>
                            <w:spacing w:val="12"/>
                            <w:sz w:val="24"/>
                          </w:rPr>
                          <w:t> 檢驗陽性，或痰培</w:t>
                        </w:r>
                        <w:r>
                          <w:rPr>
                            <w:color w:val="231F20"/>
                            <w:spacing w:val="3"/>
                            <w:w w:val="105"/>
                            <w:sz w:val="24"/>
                          </w:rPr>
                          <w:t>養結果有 </w:t>
                        </w:r>
                        <w:r>
                          <w:rPr>
                            <w:color w:val="231F20"/>
                            <w:w w:val="105"/>
                            <w:sz w:val="24"/>
                          </w:rPr>
                          <w:t>MTBC</w:t>
                        </w:r>
                        <w:r>
                          <w:rPr>
                            <w:color w:val="231F20"/>
                            <w:spacing w:val="4"/>
                            <w:w w:val="105"/>
                            <w:sz w:val="24"/>
                          </w:rPr>
                          <w:t>(不含已經確定為</w:t>
                        </w:r>
                        <w:r>
                          <w:rPr>
                            <w:color w:val="231F20"/>
                            <w:w w:val="105"/>
                            <w:sz w:val="24"/>
                          </w:rPr>
                          <w:t>BCG)，擬排除診斷者。</w:t>
                        </w:r>
                      </w:p>
                      <w:p>
                        <w:pPr>
                          <w:pStyle w:val="TableParagraph"/>
                          <w:numPr>
                            <w:ilvl w:val="0"/>
                            <w:numId w:val="306"/>
                          </w:numPr>
                          <w:tabs>
                            <w:tab w:pos="340" w:val="left" w:leader="none"/>
                          </w:tabs>
                          <w:spacing w:line="230" w:lineRule="auto" w:before="0" w:after="0"/>
                          <w:ind w:left="339" w:right="62" w:hanging="255"/>
                          <w:jc w:val="both"/>
                          <w:rPr>
                            <w:sz w:val="24"/>
                          </w:rPr>
                        </w:pPr>
                        <w:r>
                          <w:rPr>
                            <w:color w:val="231F20"/>
                            <w:spacing w:val="5"/>
                            <w:sz w:val="24"/>
                          </w:rPr>
                          <w:t>個案求診於不同醫院，初次就診醫</w:t>
                        </w:r>
                        <w:r>
                          <w:rPr>
                            <w:color w:val="231F20"/>
                            <w:spacing w:val="3"/>
                            <w:sz w:val="24"/>
                          </w:rPr>
                          <w:t>師通報後，被另—醫師排除診斷， 原通報醫師不同意排除診斷時。</w:t>
                        </w:r>
                      </w:p>
                      <w:p>
                        <w:pPr>
                          <w:pStyle w:val="TableParagraph"/>
                          <w:numPr>
                            <w:ilvl w:val="0"/>
                            <w:numId w:val="306"/>
                          </w:numPr>
                          <w:tabs>
                            <w:tab w:pos="340" w:val="left" w:leader="none"/>
                          </w:tabs>
                          <w:spacing w:line="230" w:lineRule="auto" w:before="0" w:after="0"/>
                          <w:ind w:left="339" w:right="69" w:hanging="255"/>
                          <w:jc w:val="both"/>
                          <w:rPr>
                            <w:sz w:val="24"/>
                          </w:rPr>
                        </w:pPr>
                        <w:r>
                          <w:rPr>
                            <w:color w:val="231F20"/>
                            <w:spacing w:val="-1"/>
                            <w:sz w:val="24"/>
                          </w:rPr>
                          <w:t>復發卻沒有培養為 </w:t>
                        </w:r>
                        <w:r>
                          <w:rPr>
                            <w:color w:val="231F20"/>
                            <w:sz w:val="24"/>
                          </w:rPr>
                          <w:t>MTBC</w:t>
                        </w:r>
                        <w:r>
                          <w:rPr>
                            <w:color w:val="231F20"/>
                            <w:spacing w:val="-4"/>
                            <w:sz w:val="24"/>
                          </w:rPr>
                          <w:t> 之證據， </w:t>
                        </w:r>
                        <w:r>
                          <w:rPr>
                            <w:color w:val="231F20"/>
                            <w:sz w:val="24"/>
                          </w:rPr>
                          <w:t>但診療醫師未排除者。</w:t>
                        </w:r>
                      </w:p>
                      <w:p>
                        <w:pPr>
                          <w:pStyle w:val="TableParagraph"/>
                          <w:numPr>
                            <w:ilvl w:val="0"/>
                            <w:numId w:val="306"/>
                          </w:numPr>
                          <w:tabs>
                            <w:tab w:pos="340" w:val="left" w:leader="none"/>
                          </w:tabs>
                          <w:spacing w:line="395" w:lineRule="exact" w:before="0" w:after="0"/>
                          <w:ind w:left="339" w:right="0" w:hanging="256"/>
                          <w:jc w:val="both"/>
                          <w:rPr>
                            <w:sz w:val="24"/>
                          </w:rPr>
                        </w:pPr>
                        <w:r>
                          <w:rPr>
                            <w:color w:val="231F20"/>
                            <w:spacing w:val="4"/>
                            <w:sz w:val="24"/>
                          </w:rPr>
                          <w:t>其他：與結核病診斷相關之送口冊</w:t>
                        </w:r>
                      </w:p>
                      <w:p>
                        <w:pPr>
                          <w:pStyle w:val="TableParagraph"/>
                          <w:spacing w:line="391" w:lineRule="exact"/>
                          <w:ind w:left="339"/>
                          <w:rPr>
                            <w:sz w:val="24"/>
                          </w:rPr>
                        </w:pPr>
                        <w:r>
                          <w:rPr>
                            <w:color w:val="231F20"/>
                            <w:sz w:val="24"/>
                          </w:rPr>
                          <w:t>案件。</w:t>
                        </w:r>
                      </w:p>
                    </w:tc>
                    <w:tc>
                      <w:tcPr>
                        <w:tcW w:w="3289" w:type="dxa"/>
                      </w:tcPr>
                      <w:p>
                        <w:pPr>
                          <w:pStyle w:val="TableParagraph"/>
                          <w:numPr>
                            <w:ilvl w:val="0"/>
                            <w:numId w:val="307"/>
                          </w:numPr>
                          <w:tabs>
                            <w:tab w:pos="340" w:val="left" w:leader="none"/>
                          </w:tabs>
                          <w:spacing w:line="409" w:lineRule="exact" w:before="31" w:after="0"/>
                          <w:ind w:left="339" w:right="0" w:hanging="256"/>
                          <w:jc w:val="left"/>
                          <w:rPr>
                            <w:sz w:val="24"/>
                          </w:rPr>
                        </w:pPr>
                        <w:r>
                          <w:rPr>
                            <w:color w:val="231F20"/>
                            <w:sz w:val="24"/>
                          </w:rPr>
                          <w:t>排除結核病</w:t>
                        </w:r>
                      </w:p>
                      <w:p>
                        <w:pPr>
                          <w:pStyle w:val="TableParagraph"/>
                          <w:numPr>
                            <w:ilvl w:val="0"/>
                            <w:numId w:val="307"/>
                          </w:numPr>
                          <w:tabs>
                            <w:tab w:pos="340" w:val="left" w:leader="none"/>
                          </w:tabs>
                          <w:spacing w:line="400" w:lineRule="exact" w:before="0" w:after="0"/>
                          <w:ind w:left="339" w:right="0" w:hanging="256"/>
                          <w:jc w:val="left"/>
                          <w:rPr>
                            <w:sz w:val="24"/>
                          </w:rPr>
                        </w:pPr>
                        <w:r>
                          <w:rPr>
                            <w:color w:val="231F20"/>
                            <w:sz w:val="24"/>
                          </w:rPr>
                          <w:t>確定結核病</w:t>
                        </w:r>
                      </w:p>
                      <w:p>
                        <w:pPr>
                          <w:pStyle w:val="TableParagraph"/>
                          <w:numPr>
                            <w:ilvl w:val="0"/>
                            <w:numId w:val="307"/>
                          </w:numPr>
                          <w:tabs>
                            <w:tab w:pos="340" w:val="left" w:leader="none"/>
                          </w:tabs>
                          <w:spacing w:line="230" w:lineRule="auto" w:before="3" w:after="0"/>
                          <w:ind w:left="339" w:right="45" w:hanging="255"/>
                          <w:jc w:val="left"/>
                          <w:rPr>
                            <w:sz w:val="24"/>
                          </w:rPr>
                        </w:pPr>
                        <w:r>
                          <w:rPr>
                            <w:color w:val="231F20"/>
                            <w:spacing w:val="20"/>
                            <w:sz w:val="24"/>
                          </w:rPr>
                          <w:t>等痰報告或其他檢査下次</w:t>
                        </w:r>
                        <w:r>
                          <w:rPr>
                            <w:color w:val="231F20"/>
                            <w:sz w:val="24"/>
                          </w:rPr>
                          <w:t>再口冊</w:t>
                        </w:r>
                      </w:p>
                      <w:p>
                        <w:pPr>
                          <w:pStyle w:val="TableParagraph"/>
                          <w:numPr>
                            <w:ilvl w:val="0"/>
                            <w:numId w:val="307"/>
                          </w:numPr>
                          <w:tabs>
                            <w:tab w:pos="340" w:val="left" w:leader="none"/>
                          </w:tabs>
                          <w:spacing w:line="395" w:lineRule="exact" w:before="0" w:after="0"/>
                          <w:ind w:left="339" w:right="0" w:hanging="256"/>
                          <w:jc w:val="left"/>
                          <w:rPr>
                            <w:sz w:val="24"/>
                          </w:rPr>
                        </w:pPr>
                        <w:r>
                          <w:rPr>
                            <w:color w:val="231F20"/>
                            <w:sz w:val="24"/>
                          </w:rPr>
                          <w:t>確定因結核病死亡</w:t>
                        </w:r>
                      </w:p>
                      <w:p>
                        <w:pPr>
                          <w:pStyle w:val="TableParagraph"/>
                          <w:numPr>
                            <w:ilvl w:val="0"/>
                            <w:numId w:val="307"/>
                          </w:numPr>
                          <w:tabs>
                            <w:tab w:pos="340" w:val="left" w:leader="none"/>
                          </w:tabs>
                          <w:spacing w:line="400" w:lineRule="exact" w:before="0" w:after="0"/>
                          <w:ind w:left="339" w:right="0" w:hanging="256"/>
                          <w:jc w:val="left"/>
                          <w:rPr>
                            <w:sz w:val="24"/>
                          </w:rPr>
                        </w:pPr>
                        <w:r>
                          <w:rPr>
                            <w:color w:val="231F20"/>
                            <w:sz w:val="24"/>
                          </w:rPr>
                          <w:t>確定非因結核病死亡</w:t>
                        </w:r>
                      </w:p>
                      <w:p>
                        <w:pPr>
                          <w:pStyle w:val="TableParagraph"/>
                          <w:numPr>
                            <w:ilvl w:val="0"/>
                            <w:numId w:val="308"/>
                          </w:numPr>
                          <w:tabs>
                            <w:tab w:pos="478" w:val="left" w:leader="none"/>
                          </w:tabs>
                          <w:spacing w:line="400" w:lineRule="exact" w:before="0" w:after="0"/>
                          <w:ind w:left="477" w:right="0" w:hanging="394"/>
                          <w:jc w:val="left"/>
                          <w:rPr>
                            <w:sz w:val="24"/>
                          </w:rPr>
                        </w:pPr>
                        <w:r>
                          <w:rPr>
                            <w:color w:val="231F20"/>
                            <w:spacing w:val="-2"/>
                            <w:sz w:val="24"/>
                          </w:rPr>
                          <w:t>建議轉介 </w:t>
                        </w:r>
                        <w:r>
                          <w:rPr>
                            <w:color w:val="231F20"/>
                            <w:spacing w:val="-3"/>
                            <w:sz w:val="24"/>
                          </w:rPr>
                          <w:t>TMTC 團隊評估</w:t>
                        </w:r>
                      </w:p>
                      <w:p>
                        <w:pPr>
                          <w:pStyle w:val="TableParagraph"/>
                          <w:numPr>
                            <w:ilvl w:val="0"/>
                            <w:numId w:val="308"/>
                          </w:numPr>
                          <w:tabs>
                            <w:tab w:pos="478" w:val="left" w:leader="none"/>
                          </w:tabs>
                          <w:spacing w:line="409" w:lineRule="exact" w:before="0" w:after="0"/>
                          <w:ind w:left="477" w:right="0" w:hanging="394"/>
                          <w:jc w:val="left"/>
                          <w:rPr>
                            <w:sz w:val="24"/>
                          </w:rPr>
                        </w:pPr>
                        <w:r>
                          <w:rPr>
                            <w:color w:val="231F20"/>
                            <w:w w:val="110"/>
                            <w:sz w:val="24"/>
                          </w:rPr>
                          <w:t>其他</w:t>
                        </w:r>
                        <w:r>
                          <w:rPr>
                            <w:color w:val="231F20"/>
                            <w:spacing w:val="5"/>
                            <w:w w:val="110"/>
                            <w:sz w:val="24"/>
                            <w:u w:val="single" w:color="231F20"/>
                          </w:rPr>
                          <w:t> (請詳述</w:t>
                        </w:r>
                        <w:r>
                          <w:rPr>
                            <w:color w:val="231F20"/>
                            <w:w w:val="280"/>
                            <w:sz w:val="24"/>
                            <w:u w:val="single" w:color="231F20"/>
                          </w:rPr>
                          <w:t>)</w:t>
                        </w:r>
                        <w:r>
                          <w:rPr>
                            <w:color w:val="231F20"/>
                            <w:spacing w:val="-21"/>
                            <w:sz w:val="24"/>
                            <w:u w:val="single" w:color="231F20"/>
                          </w:rPr>
                          <w:t> </w:t>
                        </w:r>
                      </w:p>
                    </w:tc>
                  </w:tr>
                  <w:tr>
                    <w:trPr>
                      <w:trHeight w:val="1651" w:hRule="atLeast"/>
                    </w:trPr>
                    <w:tc>
                      <w:tcPr>
                        <w:tcW w:w="1492" w:type="dxa"/>
                      </w:tcPr>
                      <w:p>
                        <w:pPr>
                          <w:pStyle w:val="TableParagraph"/>
                          <w:spacing w:before="4"/>
                          <w:rPr>
                            <w:sz w:val="36"/>
                          </w:rPr>
                        </w:pPr>
                      </w:p>
                      <w:p>
                        <w:pPr>
                          <w:pStyle w:val="TableParagraph"/>
                          <w:ind w:right="176"/>
                          <w:jc w:val="right"/>
                          <w:rPr>
                            <w:sz w:val="24"/>
                          </w:rPr>
                        </w:pPr>
                        <w:r>
                          <w:rPr>
                            <w:color w:val="231F20"/>
                            <w:sz w:val="24"/>
                          </w:rPr>
                          <w:t>2. 治療疑義</w:t>
                        </w:r>
                      </w:p>
                    </w:tc>
                    <w:tc>
                      <w:tcPr>
                        <w:tcW w:w="4118" w:type="dxa"/>
                      </w:tcPr>
                      <w:p>
                        <w:pPr>
                          <w:pStyle w:val="TableParagraph"/>
                          <w:numPr>
                            <w:ilvl w:val="0"/>
                            <w:numId w:val="309"/>
                          </w:numPr>
                          <w:tabs>
                            <w:tab w:pos="340" w:val="left" w:leader="none"/>
                          </w:tabs>
                          <w:spacing w:line="230" w:lineRule="auto" w:before="43" w:after="0"/>
                          <w:ind w:left="339" w:right="66" w:hanging="255"/>
                          <w:jc w:val="left"/>
                          <w:rPr>
                            <w:sz w:val="24"/>
                          </w:rPr>
                        </w:pPr>
                        <w:r>
                          <w:rPr>
                            <w:color w:val="231F20"/>
                            <w:spacing w:val="3"/>
                            <w:sz w:val="24"/>
                          </w:rPr>
                          <w:t>個案參與都治計畫 </w:t>
                        </w:r>
                        <w:r>
                          <w:rPr>
                            <w:color w:val="231F20"/>
                            <w:sz w:val="24"/>
                          </w:rPr>
                          <w:t>6</w:t>
                        </w:r>
                        <w:r>
                          <w:rPr>
                            <w:color w:val="231F20"/>
                            <w:spacing w:val="3"/>
                            <w:sz w:val="24"/>
                          </w:rPr>
                          <w:t> 個月仍未完治而無特殊原因。</w:t>
                        </w:r>
                      </w:p>
                      <w:p>
                        <w:pPr>
                          <w:pStyle w:val="TableParagraph"/>
                          <w:numPr>
                            <w:ilvl w:val="0"/>
                            <w:numId w:val="309"/>
                          </w:numPr>
                          <w:tabs>
                            <w:tab w:pos="340" w:val="left" w:leader="none"/>
                          </w:tabs>
                          <w:spacing w:line="395" w:lineRule="exact" w:before="0" w:after="0"/>
                          <w:ind w:left="339" w:right="0" w:hanging="256"/>
                          <w:jc w:val="left"/>
                          <w:rPr>
                            <w:sz w:val="24"/>
                          </w:rPr>
                        </w:pPr>
                        <w:r>
                          <w:rPr>
                            <w:color w:val="231F20"/>
                            <w:sz w:val="24"/>
                          </w:rPr>
                          <w:t>用藥種類或劑量疑義。</w:t>
                        </w:r>
                      </w:p>
                      <w:p>
                        <w:pPr>
                          <w:pStyle w:val="TableParagraph"/>
                          <w:numPr>
                            <w:ilvl w:val="0"/>
                            <w:numId w:val="309"/>
                          </w:numPr>
                          <w:tabs>
                            <w:tab w:pos="340" w:val="left" w:leader="none"/>
                          </w:tabs>
                          <w:spacing w:line="391" w:lineRule="exact" w:before="0" w:after="0"/>
                          <w:ind w:left="339" w:right="0" w:hanging="256"/>
                          <w:jc w:val="left"/>
                          <w:rPr>
                            <w:sz w:val="24"/>
                          </w:rPr>
                        </w:pPr>
                        <w:r>
                          <w:rPr>
                            <w:color w:val="231F20"/>
                            <w:sz w:val="24"/>
                          </w:rPr>
                          <w:t>欲確定診療方式是否適當。</w:t>
                        </w:r>
                      </w:p>
                    </w:tc>
                    <w:tc>
                      <w:tcPr>
                        <w:tcW w:w="3289" w:type="dxa"/>
                      </w:tcPr>
                      <w:p>
                        <w:pPr>
                          <w:pStyle w:val="TableParagraph"/>
                          <w:spacing w:line="230" w:lineRule="auto" w:before="43"/>
                          <w:ind w:left="339" w:right="248" w:hanging="255"/>
                          <w:rPr>
                            <w:sz w:val="24"/>
                          </w:rPr>
                        </w:pPr>
                        <w:r>
                          <w:rPr>
                            <w:color w:val="231F20"/>
                            <w:sz w:val="24"/>
                          </w:rPr>
                          <w:t>3. 等痰報告或其他檢査下次再口冊</w:t>
                        </w:r>
                      </w:p>
                      <w:p>
                        <w:pPr>
                          <w:pStyle w:val="TableParagraph"/>
                          <w:numPr>
                            <w:ilvl w:val="0"/>
                            <w:numId w:val="310"/>
                          </w:numPr>
                          <w:tabs>
                            <w:tab w:pos="340" w:val="left" w:leader="none"/>
                          </w:tabs>
                          <w:spacing w:line="395" w:lineRule="exact" w:before="0" w:after="0"/>
                          <w:ind w:left="339" w:right="0" w:hanging="256"/>
                          <w:jc w:val="left"/>
                          <w:rPr>
                            <w:sz w:val="24"/>
                          </w:rPr>
                        </w:pPr>
                        <w:r>
                          <w:rPr>
                            <w:color w:val="231F20"/>
                            <w:sz w:val="24"/>
                          </w:rPr>
                          <w:t>MDR</w:t>
                        </w:r>
                        <w:r>
                          <w:rPr>
                            <w:color w:val="231F20"/>
                            <w:spacing w:val="-3"/>
                            <w:sz w:val="24"/>
                          </w:rPr>
                          <w:t> 初次治療</w:t>
                        </w:r>
                      </w:p>
                      <w:p>
                        <w:pPr>
                          <w:pStyle w:val="TableParagraph"/>
                          <w:numPr>
                            <w:ilvl w:val="0"/>
                            <w:numId w:val="310"/>
                          </w:numPr>
                          <w:tabs>
                            <w:tab w:pos="340" w:val="left" w:leader="none"/>
                          </w:tabs>
                          <w:spacing w:line="391" w:lineRule="exact" w:before="0" w:after="0"/>
                          <w:ind w:left="339" w:right="0" w:hanging="256"/>
                          <w:jc w:val="left"/>
                          <w:rPr>
                            <w:sz w:val="24"/>
                          </w:rPr>
                        </w:pPr>
                        <w:r>
                          <w:rPr>
                            <w:color w:val="231F20"/>
                            <w:sz w:val="24"/>
                          </w:rPr>
                          <w:t>失敗再治</w:t>
                        </w:r>
                      </w:p>
                    </w:tc>
                  </w:tr>
                </w:tbl>
                <w:p>
                  <w:pPr>
                    <w:pStyle w:val="BodyText"/>
                  </w:pPr>
                </w:p>
              </w:txbxContent>
            </v:textbox>
            <w10:wrap type="none"/>
          </v:shape>
        </w:pict>
      </w:r>
      <w:r>
        <w:rPr>
          <w:color w:val="231F20"/>
        </w:rPr>
        <w:t>五、送病例口冊原因及口冊結果</w:t>
      </w:r>
    </w:p>
    <w:p>
      <w:pPr>
        <w:spacing w:after="0"/>
        <w:sectPr>
          <w:pgSz w:w="11910" w:h="16840"/>
          <w:pgMar w:top="1060" w:bottom="0" w:left="980" w:right="0"/>
        </w:sectPr>
      </w:pPr>
    </w:p>
    <w:tbl>
      <w:tblPr>
        <w:tblW w:w="0" w:type="auto"/>
        <w:jc w:val="left"/>
        <w:tblInd w:w="893"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492"/>
        <w:gridCol w:w="4118"/>
        <w:gridCol w:w="3289"/>
      </w:tblGrid>
      <w:tr>
        <w:trPr>
          <w:trHeight w:val="451" w:hRule="atLeast"/>
        </w:trPr>
        <w:tc>
          <w:tcPr>
            <w:tcW w:w="1492" w:type="dxa"/>
            <w:shd w:val="clear" w:color="auto" w:fill="E6E7E8"/>
          </w:tcPr>
          <w:p>
            <w:pPr>
              <w:pStyle w:val="TableParagraph"/>
              <w:spacing w:line="432" w:lineRule="exact"/>
              <w:ind w:left="152"/>
              <w:rPr>
                <w:rFonts w:ascii="微軟正黑體" w:eastAsia="微軟正黑體" w:hint="eastAsia"/>
                <w:b/>
                <w:sz w:val="24"/>
              </w:rPr>
            </w:pPr>
            <w:r>
              <w:rPr>
                <w:rFonts w:ascii="微軟正黑體" w:eastAsia="微軟正黑體" w:hint="eastAsia"/>
                <w:b/>
                <w:color w:val="231F20"/>
                <w:sz w:val="24"/>
              </w:rPr>
              <w:t>編碼 </w:t>
            </w:r>
            <w:r>
              <w:rPr>
                <w:rFonts w:ascii="微軟正黑體" w:eastAsia="微軟正黑體" w:hint="eastAsia"/>
                <w:b/>
                <w:color w:val="231F20"/>
                <w:w w:val="75"/>
                <w:sz w:val="24"/>
              </w:rPr>
              <w:t>／ </w:t>
            </w:r>
            <w:r>
              <w:rPr>
                <w:rFonts w:ascii="微軟正黑體" w:eastAsia="微軟正黑體" w:hint="eastAsia"/>
                <w:b/>
                <w:color w:val="231F20"/>
                <w:sz w:val="24"/>
              </w:rPr>
              <w:t>原因</w:t>
            </w:r>
          </w:p>
        </w:tc>
        <w:tc>
          <w:tcPr>
            <w:tcW w:w="4118" w:type="dxa"/>
            <w:shd w:val="clear" w:color="auto" w:fill="E6E7E8"/>
          </w:tcPr>
          <w:p>
            <w:pPr>
              <w:pStyle w:val="TableParagraph"/>
              <w:spacing w:line="432" w:lineRule="exact"/>
              <w:ind w:left="1558" w:right="1545"/>
              <w:jc w:val="center"/>
              <w:rPr>
                <w:rFonts w:ascii="微軟正黑體" w:eastAsia="微軟正黑體" w:hint="eastAsia"/>
                <w:b/>
                <w:sz w:val="24"/>
              </w:rPr>
            </w:pPr>
            <w:r>
              <w:rPr>
                <w:rFonts w:ascii="微軟正黑體" w:eastAsia="微軟正黑體" w:hint="eastAsia"/>
                <w:b/>
                <w:color w:val="231F20"/>
                <w:sz w:val="24"/>
              </w:rPr>
              <w:t>個案情況</w:t>
            </w:r>
          </w:p>
        </w:tc>
        <w:tc>
          <w:tcPr>
            <w:tcW w:w="3289" w:type="dxa"/>
            <w:shd w:val="clear" w:color="auto" w:fill="E6E7E8"/>
          </w:tcPr>
          <w:p>
            <w:pPr>
              <w:pStyle w:val="TableParagraph"/>
              <w:spacing w:line="432" w:lineRule="exact"/>
              <w:ind w:left="84"/>
              <w:rPr>
                <w:rFonts w:ascii="微軟正黑體" w:eastAsia="微軟正黑體" w:hint="eastAsia"/>
                <w:b/>
                <w:sz w:val="24"/>
              </w:rPr>
            </w:pPr>
            <w:r>
              <w:rPr>
                <w:rFonts w:ascii="微軟正黑體" w:eastAsia="微軟正黑體" w:hint="eastAsia"/>
                <w:b/>
                <w:color w:val="231F20"/>
                <w:sz w:val="24"/>
              </w:rPr>
              <w:t>編碼 </w:t>
            </w:r>
            <w:r>
              <w:rPr>
                <w:rFonts w:ascii="微軟正黑體" w:eastAsia="微軟正黑體" w:hint="eastAsia"/>
                <w:b/>
                <w:color w:val="231F20"/>
                <w:w w:val="75"/>
                <w:sz w:val="24"/>
              </w:rPr>
              <w:t>／ </w:t>
            </w:r>
            <w:r>
              <w:rPr>
                <w:rFonts w:ascii="微軟正黑體" w:eastAsia="微軟正黑體" w:hint="eastAsia"/>
                <w:b/>
                <w:color w:val="231F20"/>
                <w:sz w:val="24"/>
              </w:rPr>
              <w:t>討論結果</w:t>
            </w:r>
          </w:p>
        </w:tc>
      </w:tr>
      <w:tr>
        <w:trPr>
          <w:trHeight w:val="8847" w:hRule="atLeast"/>
        </w:trPr>
        <w:tc>
          <w:tcPr>
            <w:tcW w:w="1492" w:type="dxa"/>
          </w:tcPr>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rPr>
                <w:sz w:val="32"/>
              </w:rPr>
            </w:pPr>
          </w:p>
          <w:p>
            <w:pPr>
              <w:pStyle w:val="TableParagraph"/>
              <w:spacing w:before="10"/>
              <w:rPr>
                <w:sz w:val="18"/>
              </w:rPr>
            </w:pPr>
          </w:p>
          <w:p>
            <w:pPr>
              <w:pStyle w:val="TableParagraph"/>
              <w:ind w:left="84"/>
              <w:rPr>
                <w:sz w:val="24"/>
              </w:rPr>
            </w:pPr>
            <w:r>
              <w:rPr>
                <w:color w:val="231F20"/>
                <w:sz w:val="24"/>
              </w:rPr>
              <w:t>2. 治療疑義</w:t>
            </w:r>
          </w:p>
        </w:tc>
        <w:tc>
          <w:tcPr>
            <w:tcW w:w="4118" w:type="dxa"/>
          </w:tcPr>
          <w:p>
            <w:pPr>
              <w:pStyle w:val="TableParagraph"/>
              <w:numPr>
                <w:ilvl w:val="0"/>
                <w:numId w:val="311"/>
              </w:numPr>
              <w:tabs>
                <w:tab w:pos="340" w:val="left" w:leader="none"/>
              </w:tabs>
              <w:spacing w:line="409" w:lineRule="exact" w:before="25" w:after="0"/>
              <w:ind w:left="339" w:right="0" w:hanging="256"/>
              <w:jc w:val="both"/>
              <w:rPr>
                <w:sz w:val="24"/>
              </w:rPr>
            </w:pPr>
            <w:r>
              <w:rPr>
                <w:color w:val="231F20"/>
                <w:sz w:val="24"/>
              </w:rPr>
              <w:t>治療期程過長或不足疑義。</w:t>
            </w:r>
          </w:p>
          <w:p>
            <w:pPr>
              <w:pStyle w:val="TableParagraph"/>
              <w:numPr>
                <w:ilvl w:val="0"/>
                <w:numId w:val="311"/>
              </w:numPr>
              <w:tabs>
                <w:tab w:pos="340" w:val="left" w:leader="none"/>
              </w:tabs>
              <w:spacing w:line="230" w:lineRule="auto" w:before="2" w:after="0"/>
              <w:ind w:left="339" w:right="62" w:hanging="255"/>
              <w:jc w:val="both"/>
              <w:rPr>
                <w:sz w:val="24"/>
              </w:rPr>
            </w:pPr>
            <w:r>
              <w:rPr>
                <w:color w:val="231F20"/>
                <w:spacing w:val="5"/>
                <w:sz w:val="24"/>
              </w:rPr>
              <w:t>不合作個案經通報後，治療情況不</w:t>
            </w:r>
            <w:r>
              <w:rPr>
                <w:color w:val="231F20"/>
                <w:spacing w:val="1"/>
                <w:sz w:val="24"/>
              </w:rPr>
              <w:t>佳，公衛管理人員最近得知 </w:t>
            </w:r>
            <w:r>
              <w:rPr>
                <w:color w:val="231F20"/>
                <w:sz w:val="24"/>
              </w:rPr>
              <w:t>X</w:t>
            </w:r>
            <w:r>
              <w:rPr>
                <w:color w:val="231F20"/>
                <w:spacing w:val="4"/>
                <w:sz w:val="24"/>
              </w:rPr>
              <w:t> 光及</w:t>
            </w:r>
            <w:r>
              <w:rPr>
                <w:color w:val="231F20"/>
                <w:spacing w:val="3"/>
                <w:sz w:val="24"/>
              </w:rPr>
              <w:t>痰結果，可送諮詢委員會瞭解後續</w:t>
            </w:r>
            <w:r>
              <w:rPr>
                <w:color w:val="231F20"/>
                <w:sz w:val="24"/>
              </w:rPr>
              <w:t>治療方向。</w:t>
            </w:r>
          </w:p>
          <w:p>
            <w:pPr>
              <w:pStyle w:val="TableParagraph"/>
              <w:numPr>
                <w:ilvl w:val="0"/>
                <w:numId w:val="311"/>
              </w:numPr>
              <w:tabs>
                <w:tab w:pos="340" w:val="left" w:leader="none"/>
              </w:tabs>
              <w:spacing w:line="230" w:lineRule="auto" w:before="0" w:after="0"/>
              <w:ind w:left="339" w:right="41" w:hanging="255"/>
              <w:jc w:val="both"/>
              <w:rPr>
                <w:sz w:val="24"/>
              </w:rPr>
            </w:pPr>
            <w:r>
              <w:rPr>
                <w:color w:val="231F20"/>
                <w:spacing w:val="23"/>
                <w:sz w:val="24"/>
              </w:rPr>
              <w:t>治療出現副作用，欲諮詢用藥方</w:t>
            </w:r>
            <w:r>
              <w:rPr>
                <w:color w:val="231F20"/>
                <w:sz w:val="24"/>
              </w:rPr>
              <w:t>式。</w:t>
            </w:r>
          </w:p>
          <w:p>
            <w:pPr>
              <w:pStyle w:val="TableParagraph"/>
              <w:numPr>
                <w:ilvl w:val="0"/>
                <w:numId w:val="311"/>
              </w:numPr>
              <w:tabs>
                <w:tab w:pos="340" w:val="left" w:leader="none"/>
              </w:tabs>
              <w:spacing w:line="230" w:lineRule="auto" w:before="0" w:after="0"/>
              <w:ind w:left="339" w:right="60" w:hanging="255"/>
              <w:jc w:val="both"/>
              <w:rPr>
                <w:sz w:val="24"/>
              </w:rPr>
            </w:pPr>
            <w:r>
              <w:rPr>
                <w:color w:val="231F20"/>
                <w:spacing w:val="-1"/>
                <w:sz w:val="24"/>
              </w:rPr>
              <w:t>未納入 </w:t>
            </w:r>
            <w:r>
              <w:rPr>
                <w:color w:val="231F20"/>
                <w:spacing w:val="-4"/>
                <w:sz w:val="24"/>
              </w:rPr>
              <w:t>TMTC</w:t>
            </w:r>
            <w:r>
              <w:rPr>
                <w:color w:val="231F20"/>
                <w:spacing w:val="1"/>
                <w:sz w:val="24"/>
              </w:rPr>
              <w:t> 團隊治療之抗藥性結</w:t>
            </w:r>
            <w:r>
              <w:rPr>
                <w:color w:val="231F20"/>
                <w:spacing w:val="-12"/>
                <w:sz w:val="24"/>
              </w:rPr>
              <w:t>核病人，包含「</w:t>
            </w:r>
            <w:r>
              <w:rPr>
                <w:color w:val="231F20"/>
                <w:sz w:val="24"/>
              </w:rPr>
              <w:t>MDR-TB</w:t>
            </w:r>
            <w:r>
              <w:rPr>
                <w:color w:val="231F20"/>
                <w:spacing w:val="-38"/>
                <w:sz w:val="24"/>
              </w:rPr>
              <w:t>」、「</w:t>
            </w:r>
            <w:r>
              <w:rPr>
                <w:color w:val="231F20"/>
                <w:sz w:val="24"/>
              </w:rPr>
              <w:t>RMP </w:t>
            </w:r>
            <w:r>
              <w:rPr>
                <w:color w:val="231F20"/>
                <w:spacing w:val="-4"/>
                <w:sz w:val="24"/>
              </w:rPr>
              <w:t>抗藥且對任— </w:t>
            </w:r>
            <w:r>
              <w:rPr>
                <w:color w:val="231F20"/>
                <w:spacing w:val="-3"/>
                <w:sz w:val="24"/>
              </w:rPr>
              <w:t>FLQ</w:t>
            </w:r>
            <w:r>
              <w:rPr>
                <w:color w:val="231F20"/>
                <w:spacing w:val="-9"/>
                <w:sz w:val="24"/>
              </w:rPr>
              <w:t> 抗藥」、「</w:t>
            </w:r>
            <w:r>
              <w:rPr>
                <w:color w:val="231F20"/>
                <w:sz w:val="24"/>
              </w:rPr>
              <w:t>RMP </w:t>
            </w:r>
            <w:r>
              <w:rPr>
                <w:color w:val="231F20"/>
                <w:spacing w:val="4"/>
                <w:sz w:val="24"/>
              </w:rPr>
              <w:t>單—抗藥」、「任三種—線藥物抗</w:t>
            </w:r>
            <w:r>
              <w:rPr>
                <w:color w:val="231F20"/>
                <w:spacing w:val="2"/>
                <w:sz w:val="24"/>
              </w:rPr>
              <w:t>藥」及「</w:t>
            </w:r>
            <w:r>
              <w:rPr>
                <w:color w:val="231F20"/>
                <w:sz w:val="24"/>
              </w:rPr>
              <w:t>INH</w:t>
            </w:r>
            <w:r>
              <w:rPr>
                <w:color w:val="231F20"/>
                <w:spacing w:val="6"/>
                <w:sz w:val="24"/>
              </w:rPr>
              <w:t> 抗藥及任—線藥抗藥</w:t>
            </w:r>
            <w:r>
              <w:rPr>
                <w:color w:val="231F20"/>
                <w:w w:val="125"/>
                <w:sz w:val="24"/>
              </w:rPr>
              <w:t>(RMP</w:t>
            </w:r>
            <w:r>
              <w:rPr>
                <w:color w:val="231F20"/>
                <w:spacing w:val="-7"/>
                <w:sz w:val="24"/>
              </w:rPr>
              <w:t> 除外</w:t>
            </w:r>
            <w:r>
              <w:rPr>
                <w:color w:val="231F20"/>
                <w:spacing w:val="-26"/>
                <w:w w:val="300"/>
                <w:sz w:val="24"/>
              </w:rPr>
              <w:t>)</w:t>
            </w:r>
            <w:r>
              <w:rPr>
                <w:color w:val="231F20"/>
                <w:spacing w:val="-10"/>
                <w:sz w:val="24"/>
              </w:rPr>
              <w:t>，併使用 </w:t>
            </w:r>
            <w:r>
              <w:rPr>
                <w:color w:val="231F20"/>
                <w:w w:val="88"/>
                <w:sz w:val="24"/>
              </w:rPr>
              <w:t>F</w:t>
            </w:r>
            <w:r>
              <w:rPr>
                <w:color w:val="231F20"/>
                <w:spacing w:val="-9"/>
                <w:w w:val="88"/>
                <w:sz w:val="24"/>
              </w:rPr>
              <w:t>L</w:t>
            </w:r>
            <w:r>
              <w:rPr>
                <w:color w:val="231F20"/>
                <w:w w:val="104"/>
                <w:sz w:val="24"/>
              </w:rPr>
              <w:t>Q</w:t>
            </w:r>
            <w:r>
              <w:rPr>
                <w:color w:val="231F20"/>
                <w:spacing w:val="-6"/>
                <w:sz w:val="24"/>
              </w:rPr>
              <w:t> 治療」</w:t>
            </w:r>
          </w:p>
          <w:p>
            <w:pPr>
              <w:pStyle w:val="TableParagraph"/>
              <w:spacing w:line="230" w:lineRule="auto"/>
              <w:ind w:left="594" w:right="43" w:hanging="340"/>
              <w:jc w:val="both"/>
              <w:rPr>
                <w:sz w:val="24"/>
              </w:rPr>
            </w:pPr>
            <w:r>
              <w:rPr>
                <w:color w:val="231F20"/>
                <w:w w:val="32"/>
                <w:sz w:val="24"/>
              </w:rPr>
              <w:t>（</w:t>
            </w:r>
            <w:r>
              <w:rPr>
                <w:color w:val="231F20"/>
                <w:w w:val="104"/>
                <w:sz w:val="24"/>
              </w:rPr>
              <w:t>1</w:t>
            </w:r>
            <w:r>
              <w:rPr>
                <w:color w:val="231F20"/>
                <w:w w:val="96"/>
                <w:sz w:val="24"/>
              </w:rPr>
              <w:t>)</w:t>
            </w:r>
            <w:r>
              <w:rPr>
                <w:color w:val="231F20"/>
                <w:sz w:val="24"/>
              </w:rPr>
              <w:t> 應於 </w:t>
            </w:r>
            <w:r>
              <w:rPr>
                <w:color w:val="231F20"/>
                <w:w w:val="104"/>
                <w:sz w:val="24"/>
              </w:rPr>
              <w:t>2</w:t>
            </w:r>
            <w:r>
              <w:rPr>
                <w:color w:val="231F20"/>
                <w:sz w:val="24"/>
              </w:rPr>
              <w:t>  個月內提送諮詢小組口冊。</w:t>
            </w:r>
          </w:p>
          <w:p>
            <w:pPr>
              <w:pStyle w:val="TableParagraph"/>
              <w:spacing w:line="230" w:lineRule="auto"/>
              <w:ind w:left="594" w:right="61" w:hanging="340"/>
              <w:jc w:val="both"/>
              <w:rPr>
                <w:sz w:val="24"/>
              </w:rPr>
            </w:pPr>
            <w:r>
              <w:rPr>
                <w:color w:val="231F20"/>
                <w:w w:val="32"/>
                <w:sz w:val="24"/>
              </w:rPr>
              <w:t>（</w:t>
            </w:r>
            <w:r>
              <w:rPr>
                <w:color w:val="231F20"/>
                <w:w w:val="104"/>
                <w:sz w:val="24"/>
              </w:rPr>
              <w:t>2</w:t>
            </w:r>
            <w:r>
              <w:rPr>
                <w:color w:val="231F20"/>
                <w:w w:val="96"/>
                <w:sz w:val="24"/>
              </w:rPr>
              <w:t>)</w:t>
            </w:r>
            <w:r>
              <w:rPr>
                <w:color w:val="231F20"/>
                <w:sz w:val="24"/>
              </w:rPr>
              <w:t> 治療滿 </w:t>
            </w:r>
            <w:r>
              <w:rPr>
                <w:color w:val="231F20"/>
                <w:w w:val="104"/>
                <w:sz w:val="24"/>
              </w:rPr>
              <w:t>4</w:t>
            </w:r>
            <w:r>
              <w:rPr>
                <w:color w:val="231F20"/>
                <w:sz w:val="24"/>
              </w:rPr>
              <w:t> 個月未陰轉，應提送疾管署召開之「抗藥性結核病醫療照護體系檢口暨困難治療個案口冊會」。</w:t>
            </w:r>
          </w:p>
          <w:p>
            <w:pPr>
              <w:pStyle w:val="TableParagraph"/>
              <w:spacing w:line="230" w:lineRule="auto"/>
              <w:ind w:left="594" w:right="66" w:hanging="340"/>
              <w:jc w:val="both"/>
              <w:rPr>
                <w:sz w:val="24"/>
              </w:rPr>
            </w:pPr>
            <w:r>
              <w:rPr>
                <w:color w:val="231F20"/>
                <w:w w:val="32"/>
                <w:sz w:val="24"/>
              </w:rPr>
              <w:t>（</w:t>
            </w:r>
            <w:r>
              <w:rPr>
                <w:color w:val="231F20"/>
                <w:w w:val="104"/>
                <w:sz w:val="24"/>
              </w:rPr>
              <w:t>3</w:t>
            </w:r>
            <w:r>
              <w:rPr>
                <w:color w:val="231F20"/>
                <w:w w:val="96"/>
                <w:sz w:val="24"/>
              </w:rPr>
              <w:t>)</w:t>
            </w:r>
            <w:r>
              <w:rPr>
                <w:color w:val="231F20"/>
                <w:sz w:val="24"/>
              </w:rPr>
              <w:t> 之後若仍未陰轉，應每 </w:t>
            </w:r>
            <w:r>
              <w:rPr>
                <w:color w:val="231F20"/>
                <w:w w:val="104"/>
                <w:sz w:val="24"/>
              </w:rPr>
              <w:t>2</w:t>
            </w:r>
            <w:r>
              <w:rPr>
                <w:color w:val="231F20"/>
                <w:sz w:val="24"/>
              </w:rPr>
              <w:t> 個月提送病例口冊。</w:t>
            </w:r>
          </w:p>
          <w:p>
            <w:pPr>
              <w:pStyle w:val="TableParagraph"/>
              <w:numPr>
                <w:ilvl w:val="0"/>
                <w:numId w:val="311"/>
              </w:numPr>
              <w:tabs>
                <w:tab w:pos="340" w:val="left" w:leader="none"/>
              </w:tabs>
              <w:spacing w:line="393" w:lineRule="exact" w:before="0" w:after="0"/>
              <w:ind w:left="339" w:right="0" w:hanging="256"/>
              <w:jc w:val="both"/>
              <w:rPr>
                <w:sz w:val="24"/>
              </w:rPr>
            </w:pPr>
            <w:r>
              <w:rPr>
                <w:color w:val="231F20"/>
                <w:sz w:val="24"/>
              </w:rPr>
              <w:t>其他：與治療相關之送口冊案件。</w:t>
            </w:r>
          </w:p>
        </w:tc>
        <w:tc>
          <w:tcPr>
            <w:tcW w:w="3289" w:type="dxa"/>
          </w:tcPr>
          <w:p>
            <w:pPr>
              <w:pStyle w:val="TableParagraph"/>
              <w:numPr>
                <w:ilvl w:val="0"/>
                <w:numId w:val="312"/>
              </w:numPr>
              <w:tabs>
                <w:tab w:pos="340" w:val="left" w:leader="none"/>
              </w:tabs>
              <w:spacing w:line="409" w:lineRule="exact" w:before="25" w:after="0"/>
              <w:ind w:left="339" w:right="0" w:hanging="256"/>
              <w:jc w:val="left"/>
              <w:rPr>
                <w:sz w:val="24"/>
              </w:rPr>
            </w:pPr>
            <w:r>
              <w:rPr>
                <w:color w:val="231F20"/>
                <w:sz w:val="24"/>
              </w:rPr>
              <w:t>繼續治療</w:t>
            </w:r>
          </w:p>
          <w:p>
            <w:pPr>
              <w:pStyle w:val="TableParagraph"/>
              <w:numPr>
                <w:ilvl w:val="0"/>
                <w:numId w:val="312"/>
              </w:numPr>
              <w:tabs>
                <w:tab w:pos="340" w:val="left" w:leader="none"/>
              </w:tabs>
              <w:spacing w:line="400" w:lineRule="exact" w:before="0" w:after="0"/>
              <w:ind w:left="339" w:right="0" w:hanging="256"/>
              <w:jc w:val="left"/>
              <w:rPr>
                <w:sz w:val="24"/>
              </w:rPr>
            </w:pPr>
            <w:r>
              <w:rPr>
                <w:color w:val="231F20"/>
                <w:sz w:val="24"/>
              </w:rPr>
              <w:t>認定病情須延長住院</w:t>
            </w:r>
          </w:p>
          <w:p>
            <w:pPr>
              <w:pStyle w:val="TableParagraph"/>
              <w:numPr>
                <w:ilvl w:val="0"/>
                <w:numId w:val="313"/>
              </w:numPr>
              <w:tabs>
                <w:tab w:pos="478" w:val="left" w:leader="none"/>
              </w:tabs>
              <w:spacing w:line="400" w:lineRule="exact" w:before="0" w:after="0"/>
              <w:ind w:left="477" w:right="0" w:hanging="394"/>
              <w:jc w:val="left"/>
              <w:rPr>
                <w:sz w:val="24"/>
              </w:rPr>
            </w:pPr>
            <w:r>
              <w:rPr>
                <w:color w:val="231F20"/>
                <w:sz w:val="24"/>
              </w:rPr>
              <w:t>用藥種類增修</w:t>
            </w:r>
          </w:p>
          <w:p>
            <w:pPr>
              <w:pStyle w:val="TableParagraph"/>
              <w:numPr>
                <w:ilvl w:val="0"/>
                <w:numId w:val="313"/>
              </w:numPr>
              <w:tabs>
                <w:tab w:pos="478" w:val="left" w:leader="none"/>
              </w:tabs>
              <w:spacing w:line="400" w:lineRule="exact" w:before="0" w:after="0"/>
              <w:ind w:left="477" w:right="0" w:hanging="394"/>
              <w:jc w:val="left"/>
              <w:rPr>
                <w:sz w:val="24"/>
              </w:rPr>
            </w:pPr>
            <w:r>
              <w:rPr>
                <w:color w:val="231F20"/>
                <w:sz w:val="24"/>
              </w:rPr>
              <w:t>用藥劑量增修</w:t>
            </w:r>
          </w:p>
          <w:p>
            <w:pPr>
              <w:pStyle w:val="TableParagraph"/>
              <w:numPr>
                <w:ilvl w:val="0"/>
                <w:numId w:val="313"/>
              </w:numPr>
              <w:tabs>
                <w:tab w:pos="478" w:val="left" w:leader="none"/>
              </w:tabs>
              <w:spacing w:line="400" w:lineRule="exact" w:before="0" w:after="0"/>
              <w:ind w:left="477" w:right="0" w:hanging="394"/>
              <w:jc w:val="left"/>
              <w:rPr>
                <w:sz w:val="24"/>
              </w:rPr>
            </w:pPr>
            <w:r>
              <w:rPr>
                <w:color w:val="231F20"/>
                <w:sz w:val="24"/>
              </w:rPr>
              <w:t>可停止抗結核治療</w:t>
            </w:r>
          </w:p>
          <w:p>
            <w:pPr>
              <w:pStyle w:val="TableParagraph"/>
              <w:numPr>
                <w:ilvl w:val="0"/>
                <w:numId w:val="314"/>
              </w:numPr>
              <w:tabs>
                <w:tab w:pos="478" w:val="left" w:leader="none"/>
              </w:tabs>
              <w:spacing w:line="400" w:lineRule="exact" w:before="0" w:after="0"/>
              <w:ind w:left="477" w:right="0" w:hanging="394"/>
              <w:jc w:val="left"/>
              <w:rPr>
                <w:sz w:val="24"/>
              </w:rPr>
            </w:pPr>
            <w:r>
              <w:rPr>
                <w:color w:val="231F20"/>
                <w:spacing w:val="-2"/>
                <w:sz w:val="24"/>
              </w:rPr>
              <w:t>建議轉介 </w:t>
            </w:r>
            <w:r>
              <w:rPr>
                <w:color w:val="231F20"/>
                <w:spacing w:val="-3"/>
                <w:sz w:val="24"/>
              </w:rPr>
              <w:t>TMTC 團隊評估</w:t>
            </w:r>
          </w:p>
          <w:p>
            <w:pPr>
              <w:pStyle w:val="TableParagraph"/>
              <w:numPr>
                <w:ilvl w:val="0"/>
                <w:numId w:val="314"/>
              </w:numPr>
              <w:tabs>
                <w:tab w:pos="478" w:val="left" w:leader="none"/>
              </w:tabs>
              <w:spacing w:line="409" w:lineRule="exact" w:before="0" w:after="0"/>
              <w:ind w:left="477" w:right="0" w:hanging="394"/>
              <w:jc w:val="left"/>
              <w:rPr>
                <w:sz w:val="24"/>
              </w:rPr>
            </w:pPr>
            <w:r>
              <w:rPr>
                <w:color w:val="231F20"/>
                <w:w w:val="110"/>
                <w:sz w:val="24"/>
              </w:rPr>
              <w:t>其他</w:t>
            </w:r>
            <w:r>
              <w:rPr>
                <w:color w:val="231F20"/>
                <w:spacing w:val="5"/>
                <w:w w:val="110"/>
                <w:sz w:val="24"/>
                <w:u w:val="single" w:color="231F20"/>
              </w:rPr>
              <w:t> (請詳述</w:t>
            </w:r>
            <w:r>
              <w:rPr>
                <w:color w:val="231F20"/>
                <w:w w:val="280"/>
                <w:sz w:val="24"/>
                <w:u w:val="single" w:color="231F20"/>
              </w:rPr>
              <w:t>)</w:t>
            </w:r>
            <w:r>
              <w:rPr>
                <w:color w:val="231F20"/>
                <w:spacing w:val="-21"/>
                <w:sz w:val="24"/>
                <w:u w:val="single" w:color="231F20"/>
              </w:rPr>
              <w:t> </w:t>
            </w:r>
          </w:p>
        </w:tc>
      </w:tr>
      <w:tr>
        <w:trPr>
          <w:trHeight w:val="1649" w:hRule="atLeast"/>
        </w:trPr>
        <w:tc>
          <w:tcPr>
            <w:tcW w:w="1492" w:type="dxa"/>
          </w:tcPr>
          <w:p>
            <w:pPr>
              <w:pStyle w:val="TableParagraph"/>
              <w:spacing w:before="16"/>
              <w:rPr>
                <w:sz w:val="24"/>
              </w:rPr>
            </w:pPr>
          </w:p>
          <w:p>
            <w:pPr>
              <w:pStyle w:val="TableParagraph"/>
              <w:spacing w:line="230" w:lineRule="auto"/>
              <w:ind w:left="339" w:right="131" w:hanging="255"/>
              <w:rPr>
                <w:sz w:val="24"/>
              </w:rPr>
            </w:pPr>
            <w:r>
              <w:rPr>
                <w:color w:val="231F20"/>
                <w:sz w:val="24"/>
              </w:rPr>
              <w:t>3. 個案完治疑義</w:t>
            </w:r>
          </w:p>
        </w:tc>
        <w:tc>
          <w:tcPr>
            <w:tcW w:w="4118" w:type="dxa"/>
          </w:tcPr>
          <w:p>
            <w:pPr>
              <w:pStyle w:val="TableParagraph"/>
              <w:spacing w:line="230" w:lineRule="auto" w:before="34"/>
              <w:ind w:left="84" w:right="8"/>
              <w:jc w:val="both"/>
              <w:rPr>
                <w:sz w:val="24"/>
              </w:rPr>
            </w:pPr>
            <w:r>
              <w:rPr>
                <w:color w:val="231F20"/>
                <w:spacing w:val="5"/>
                <w:sz w:val="24"/>
              </w:rPr>
              <w:t>治療處方不符「結核病診治指引」之</w:t>
            </w:r>
            <w:r>
              <w:rPr>
                <w:color w:val="231F20"/>
                <w:spacing w:val="4"/>
                <w:sz w:val="24"/>
              </w:rPr>
              <w:t>標準處方判完治者，與原診療醫師再</w:t>
            </w:r>
            <w:r>
              <w:rPr>
                <w:color w:val="231F20"/>
                <w:spacing w:val="-11"/>
                <w:sz w:val="24"/>
              </w:rPr>
              <w:t>確認仍判「完治」者，須提諮詢口冊。</w:t>
            </w:r>
          </w:p>
        </w:tc>
        <w:tc>
          <w:tcPr>
            <w:tcW w:w="3289" w:type="dxa"/>
          </w:tcPr>
          <w:p>
            <w:pPr>
              <w:pStyle w:val="TableParagraph"/>
              <w:spacing w:line="409" w:lineRule="exact" w:before="23"/>
              <w:ind w:left="84"/>
              <w:rPr>
                <w:sz w:val="24"/>
              </w:rPr>
            </w:pPr>
            <w:r>
              <w:rPr>
                <w:color w:val="231F20"/>
                <w:sz w:val="24"/>
              </w:rPr>
              <w:t>8. 繼續治療</w:t>
            </w:r>
          </w:p>
          <w:p>
            <w:pPr>
              <w:pStyle w:val="TableParagraph"/>
              <w:spacing w:line="400" w:lineRule="exact"/>
              <w:ind w:left="84"/>
              <w:rPr>
                <w:sz w:val="24"/>
              </w:rPr>
            </w:pPr>
            <w:r>
              <w:rPr>
                <w:color w:val="231F20"/>
                <w:sz w:val="24"/>
              </w:rPr>
              <w:t>16. 可停止抗結核治療</w:t>
            </w:r>
          </w:p>
          <w:p>
            <w:pPr>
              <w:pStyle w:val="TableParagraph"/>
              <w:numPr>
                <w:ilvl w:val="0"/>
                <w:numId w:val="315"/>
              </w:numPr>
              <w:tabs>
                <w:tab w:pos="478" w:val="left" w:leader="none"/>
              </w:tabs>
              <w:spacing w:line="400" w:lineRule="exact" w:before="0" w:after="0"/>
              <w:ind w:left="477" w:right="0" w:hanging="394"/>
              <w:jc w:val="left"/>
              <w:rPr>
                <w:sz w:val="24"/>
              </w:rPr>
            </w:pPr>
            <w:r>
              <w:rPr>
                <w:color w:val="231F20"/>
                <w:spacing w:val="-2"/>
                <w:sz w:val="24"/>
              </w:rPr>
              <w:t>建議轉介 </w:t>
            </w:r>
            <w:r>
              <w:rPr>
                <w:color w:val="231F20"/>
                <w:spacing w:val="-3"/>
                <w:sz w:val="24"/>
              </w:rPr>
              <w:t>TMTC 團隊評估</w:t>
            </w:r>
          </w:p>
          <w:p>
            <w:pPr>
              <w:pStyle w:val="TableParagraph"/>
              <w:numPr>
                <w:ilvl w:val="0"/>
                <w:numId w:val="315"/>
              </w:numPr>
              <w:tabs>
                <w:tab w:pos="478" w:val="left" w:leader="none"/>
              </w:tabs>
              <w:spacing w:line="398" w:lineRule="exact" w:before="0" w:after="0"/>
              <w:ind w:left="477" w:right="0" w:hanging="394"/>
              <w:jc w:val="left"/>
              <w:rPr>
                <w:sz w:val="24"/>
              </w:rPr>
            </w:pPr>
            <w:r>
              <w:rPr>
                <w:color w:val="231F20"/>
                <w:w w:val="110"/>
                <w:sz w:val="24"/>
              </w:rPr>
              <w:t>其他</w:t>
            </w:r>
            <w:r>
              <w:rPr>
                <w:color w:val="231F20"/>
                <w:spacing w:val="5"/>
                <w:w w:val="110"/>
                <w:sz w:val="24"/>
                <w:u w:val="single" w:color="231F20"/>
              </w:rPr>
              <w:t> (請詳述</w:t>
            </w:r>
            <w:r>
              <w:rPr>
                <w:color w:val="231F20"/>
                <w:w w:val="280"/>
                <w:sz w:val="24"/>
                <w:u w:val="single" w:color="231F20"/>
              </w:rPr>
              <w:t>)</w:t>
            </w:r>
            <w:r>
              <w:rPr>
                <w:color w:val="231F20"/>
                <w:spacing w:val="-21"/>
                <w:sz w:val="24"/>
                <w:u w:val="single" w:color="231F20"/>
              </w:rPr>
              <w:t> </w:t>
            </w:r>
          </w:p>
        </w:tc>
      </w:tr>
      <w:tr>
        <w:trPr>
          <w:trHeight w:val="3250" w:hRule="atLeast"/>
        </w:trPr>
        <w:tc>
          <w:tcPr>
            <w:tcW w:w="1492" w:type="dxa"/>
          </w:tcPr>
          <w:p>
            <w:pPr>
              <w:pStyle w:val="TableParagraph"/>
              <w:rPr>
                <w:sz w:val="32"/>
              </w:rPr>
            </w:pPr>
          </w:p>
          <w:p>
            <w:pPr>
              <w:pStyle w:val="TableParagraph"/>
              <w:rPr>
                <w:sz w:val="32"/>
              </w:rPr>
            </w:pPr>
          </w:p>
          <w:p>
            <w:pPr>
              <w:pStyle w:val="TableParagraph"/>
              <w:spacing w:before="14"/>
              <w:rPr>
                <w:sz w:val="17"/>
              </w:rPr>
            </w:pPr>
          </w:p>
          <w:p>
            <w:pPr>
              <w:pStyle w:val="TableParagraph"/>
              <w:ind w:left="84"/>
              <w:rPr>
                <w:sz w:val="24"/>
              </w:rPr>
            </w:pPr>
            <w:r>
              <w:rPr>
                <w:color w:val="231F20"/>
                <w:sz w:val="24"/>
              </w:rPr>
              <w:t>4. 重開案</w:t>
            </w:r>
          </w:p>
        </w:tc>
        <w:tc>
          <w:tcPr>
            <w:tcW w:w="4118" w:type="dxa"/>
          </w:tcPr>
          <w:p>
            <w:pPr>
              <w:pStyle w:val="TableParagraph"/>
              <w:numPr>
                <w:ilvl w:val="0"/>
                <w:numId w:val="316"/>
              </w:numPr>
              <w:tabs>
                <w:tab w:pos="340" w:val="left" w:leader="none"/>
              </w:tabs>
              <w:spacing w:line="230" w:lineRule="auto" w:before="36" w:after="0"/>
              <w:ind w:left="339" w:right="62" w:hanging="255"/>
              <w:jc w:val="both"/>
              <w:rPr>
                <w:sz w:val="24"/>
              </w:rPr>
            </w:pPr>
            <w:r>
              <w:rPr>
                <w:color w:val="231F20"/>
                <w:spacing w:val="5"/>
                <w:sz w:val="24"/>
              </w:rPr>
              <w:t>已銷案未滿二年辦理重開之個案， 本次通報之初次査痰，該檢體若不</w:t>
            </w:r>
            <w:r>
              <w:rPr>
                <w:color w:val="231F20"/>
                <w:sz w:val="24"/>
              </w:rPr>
              <w:t>符合下列任—項，應提送諮詢口冊</w:t>
            </w:r>
          </w:p>
          <w:p>
            <w:pPr>
              <w:pStyle w:val="TableParagraph"/>
              <w:spacing w:line="230" w:lineRule="auto"/>
              <w:ind w:left="594" w:right="63" w:hanging="340"/>
              <w:jc w:val="both"/>
              <w:rPr>
                <w:sz w:val="24"/>
              </w:rPr>
            </w:pPr>
            <w:r>
              <w:rPr>
                <w:color w:val="231F20"/>
                <w:w w:val="32"/>
                <w:sz w:val="24"/>
              </w:rPr>
              <w:t>（</w:t>
            </w:r>
            <w:r>
              <w:rPr>
                <w:color w:val="231F20"/>
                <w:w w:val="104"/>
                <w:sz w:val="24"/>
              </w:rPr>
              <w:t>1</w:t>
            </w:r>
            <w:r>
              <w:rPr>
                <w:color w:val="231F20"/>
                <w:w w:val="96"/>
                <w:sz w:val="24"/>
              </w:rPr>
              <w:t>)</w:t>
            </w:r>
            <w:r>
              <w:rPr>
                <w:color w:val="231F20"/>
                <w:sz w:val="24"/>
              </w:rPr>
              <w:t> 至少—次痰塗片顯微鏡檢陽性且 NAA 檢驗陽性或</w:t>
            </w:r>
          </w:p>
          <w:p>
            <w:pPr>
              <w:pStyle w:val="TableParagraph"/>
              <w:spacing w:line="230" w:lineRule="auto"/>
              <w:ind w:left="594" w:right="63" w:hanging="340"/>
              <w:jc w:val="both"/>
              <w:rPr>
                <w:sz w:val="24"/>
              </w:rPr>
            </w:pPr>
            <w:r>
              <w:rPr>
                <w:color w:val="231F20"/>
                <w:w w:val="32"/>
                <w:sz w:val="24"/>
              </w:rPr>
              <w:t>（</w:t>
            </w:r>
            <w:r>
              <w:rPr>
                <w:color w:val="231F20"/>
                <w:w w:val="104"/>
                <w:sz w:val="24"/>
              </w:rPr>
              <w:t>2</w:t>
            </w:r>
            <w:r>
              <w:rPr>
                <w:color w:val="231F20"/>
                <w:w w:val="96"/>
                <w:sz w:val="24"/>
              </w:rPr>
              <w:t>)</w:t>
            </w:r>
            <w:r>
              <w:rPr>
                <w:color w:val="231F20"/>
                <w:sz w:val="24"/>
              </w:rPr>
              <w:t> 至少—次檢體結核蔥培養陽性且鑑定為 MTBC 者。</w:t>
            </w:r>
          </w:p>
          <w:p>
            <w:pPr>
              <w:pStyle w:val="TableParagraph"/>
              <w:numPr>
                <w:ilvl w:val="0"/>
                <w:numId w:val="316"/>
              </w:numPr>
              <w:tabs>
                <w:tab w:pos="340" w:val="left" w:leader="none"/>
              </w:tabs>
              <w:spacing w:line="393" w:lineRule="exact" w:before="0" w:after="0"/>
              <w:ind w:left="339" w:right="0" w:hanging="256"/>
              <w:jc w:val="left"/>
              <w:rPr>
                <w:sz w:val="24"/>
              </w:rPr>
            </w:pPr>
            <w:r>
              <w:rPr>
                <w:color w:val="231F20"/>
                <w:sz w:val="24"/>
              </w:rPr>
              <w:t>對於重開案有其他疑義者。</w:t>
            </w:r>
          </w:p>
        </w:tc>
        <w:tc>
          <w:tcPr>
            <w:tcW w:w="3289" w:type="dxa"/>
          </w:tcPr>
          <w:p>
            <w:pPr>
              <w:pStyle w:val="TableParagraph"/>
              <w:spacing w:line="409" w:lineRule="exact" w:before="25"/>
              <w:ind w:left="84"/>
              <w:rPr>
                <w:sz w:val="24"/>
              </w:rPr>
            </w:pPr>
            <w:r>
              <w:rPr>
                <w:color w:val="231F20"/>
                <w:sz w:val="24"/>
              </w:rPr>
              <w:t>1. 排除結核病</w:t>
            </w:r>
          </w:p>
          <w:p>
            <w:pPr>
              <w:pStyle w:val="TableParagraph"/>
              <w:spacing w:line="230" w:lineRule="auto" w:before="2"/>
              <w:ind w:left="339" w:right="248" w:hanging="255"/>
              <w:rPr>
                <w:sz w:val="24"/>
              </w:rPr>
            </w:pPr>
            <w:r>
              <w:rPr>
                <w:color w:val="231F20"/>
                <w:sz w:val="24"/>
              </w:rPr>
              <w:t>3. 等痰報告或其他檢査下次再口冊</w:t>
            </w:r>
          </w:p>
          <w:p>
            <w:pPr>
              <w:pStyle w:val="TableParagraph"/>
              <w:numPr>
                <w:ilvl w:val="0"/>
                <w:numId w:val="317"/>
              </w:numPr>
              <w:tabs>
                <w:tab w:pos="478" w:val="left" w:leader="none"/>
              </w:tabs>
              <w:spacing w:line="395" w:lineRule="exact" w:before="0" w:after="0"/>
              <w:ind w:left="477" w:right="0" w:hanging="394"/>
              <w:jc w:val="left"/>
              <w:rPr>
                <w:sz w:val="24"/>
              </w:rPr>
            </w:pPr>
            <w:r>
              <w:rPr>
                <w:color w:val="231F20"/>
                <w:sz w:val="24"/>
              </w:rPr>
              <w:t>同意開案</w:t>
            </w:r>
          </w:p>
          <w:p>
            <w:pPr>
              <w:pStyle w:val="TableParagraph"/>
              <w:numPr>
                <w:ilvl w:val="0"/>
                <w:numId w:val="317"/>
              </w:numPr>
              <w:tabs>
                <w:tab w:pos="478" w:val="left" w:leader="none"/>
              </w:tabs>
              <w:spacing w:line="400" w:lineRule="exact" w:before="0" w:after="0"/>
              <w:ind w:left="477" w:right="0" w:hanging="394"/>
              <w:jc w:val="left"/>
              <w:rPr>
                <w:sz w:val="24"/>
              </w:rPr>
            </w:pPr>
            <w:r>
              <w:rPr>
                <w:color w:val="231F20"/>
                <w:sz w:val="24"/>
              </w:rPr>
              <w:t>不同意開案</w:t>
            </w:r>
          </w:p>
          <w:p>
            <w:pPr>
              <w:pStyle w:val="TableParagraph"/>
              <w:spacing w:line="409" w:lineRule="exact"/>
              <w:ind w:left="84"/>
              <w:rPr>
                <w:sz w:val="24"/>
              </w:rPr>
            </w:pPr>
            <w:r>
              <w:rPr>
                <w:color w:val="231F20"/>
                <w:w w:val="110"/>
                <w:sz w:val="24"/>
              </w:rPr>
              <w:t>20. 其他</w:t>
            </w:r>
            <w:r>
              <w:rPr>
                <w:color w:val="231F20"/>
                <w:w w:val="110"/>
                <w:sz w:val="24"/>
                <w:u w:val="single" w:color="231F20"/>
              </w:rPr>
              <w:t> (</w:t>
            </w:r>
            <w:r>
              <w:rPr>
                <w:color w:val="231F20"/>
                <w:w w:val="135"/>
                <w:sz w:val="24"/>
                <w:u w:val="single" w:color="231F20"/>
              </w:rPr>
              <w:t>請詳述</w:t>
            </w:r>
            <w:r>
              <w:rPr>
                <w:color w:val="231F20"/>
                <w:w w:val="280"/>
                <w:sz w:val="24"/>
                <w:u w:val="single" w:color="231F20"/>
              </w:rPr>
              <w:t>)</w:t>
            </w:r>
            <w:r>
              <w:rPr>
                <w:color w:val="231F20"/>
                <w:sz w:val="24"/>
                <w:u w:val="single" w:color="231F20"/>
              </w:rPr>
              <w:t> </w:t>
            </w:r>
          </w:p>
        </w:tc>
      </w:tr>
    </w:tbl>
    <w:p>
      <w:pPr>
        <w:rPr>
          <w:sz w:val="2"/>
          <w:szCs w:val="2"/>
        </w:rPr>
      </w:pPr>
      <w:r>
        <w:rPr/>
        <w:pict>
          <v:group style="position:absolute;margin-left:557.686523pt;margin-top:394.171997pt;width:37.35pt;height:447.55pt;mso-position-horizontal-relative:page;mso-position-vertical-relative:page;z-index:252155904" coordorigin="11154,7883" coordsize="747,8951">
            <v:shape style="position:absolute;left:11283;top:8394;width:439;height:8439" type="#_x0000_t75" stroked="false">
              <v:imagedata r:id="rId450" o:title=""/>
            </v:shape>
            <v:shape style="position:absolute;left:11153;top:7883;width:747;height:812" coordorigin="11154,7883" coordsize="747,812" path="m11900,7883l11536,7883,11514,7886,11454,7920,11188,8202,11154,8289,11162,8336,11454,8659,11514,8692,11536,8695,11900,8695,11900,7883xe" filled="true" fillcolor="#8ebe3f" stroked="false">
              <v:path arrowok="t"/>
              <v:fill type="solid"/>
            </v:shape>
            <v:shape style="position:absolute;left:11321;top:8150;width:384;height:273" type="#_x0000_t75" stroked="false">
              <v:imagedata r:id="rId471" o:title=""/>
            </v:shape>
            <v:shape style="position:absolute;left:11379;top:8831;width:251;height:3607" type="#_x0000_t75" stroked="false">
              <v:imagedata r:id="rId452" o:title=""/>
            </v:shape>
            <v:shape style="position:absolute;left:11368;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161</w:t>
                    </w:r>
                  </w:p>
                </w:txbxContent>
              </v:textbox>
              <w10:wrap type="none"/>
            </v:shape>
            <w10:wrap type="none"/>
          </v:group>
        </w:pict>
      </w:r>
    </w:p>
    <w:p>
      <w:pPr>
        <w:spacing w:after="0"/>
        <w:rPr>
          <w:sz w:val="2"/>
          <w:szCs w:val="2"/>
        </w:rPr>
        <w:sectPr>
          <w:pgSz w:w="11910" w:h="16840"/>
          <w:pgMar w:top="1200" w:bottom="0" w:left="980" w:right="0"/>
        </w:sectPr>
      </w:pPr>
    </w:p>
    <w:tbl>
      <w:tblPr>
        <w:tblW w:w="0" w:type="auto"/>
        <w:jc w:val="left"/>
        <w:tblInd w:w="893"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1492"/>
        <w:gridCol w:w="4118"/>
        <w:gridCol w:w="3289"/>
      </w:tblGrid>
      <w:tr>
        <w:trPr>
          <w:trHeight w:val="451" w:hRule="atLeast"/>
        </w:trPr>
        <w:tc>
          <w:tcPr>
            <w:tcW w:w="1492" w:type="dxa"/>
            <w:shd w:val="clear" w:color="auto" w:fill="E6E7E8"/>
          </w:tcPr>
          <w:p>
            <w:pPr>
              <w:pStyle w:val="TableParagraph"/>
              <w:spacing w:line="432" w:lineRule="exact"/>
              <w:ind w:left="152"/>
              <w:rPr>
                <w:rFonts w:ascii="微軟正黑體" w:eastAsia="微軟正黑體" w:hint="eastAsia"/>
                <w:b/>
                <w:sz w:val="24"/>
              </w:rPr>
            </w:pPr>
            <w:r>
              <w:rPr>
                <w:rFonts w:ascii="微軟正黑體" w:eastAsia="微軟正黑體" w:hint="eastAsia"/>
                <w:b/>
                <w:color w:val="231F20"/>
                <w:sz w:val="24"/>
              </w:rPr>
              <w:t>編碼 </w:t>
            </w:r>
            <w:r>
              <w:rPr>
                <w:rFonts w:ascii="微軟正黑體" w:eastAsia="微軟正黑體" w:hint="eastAsia"/>
                <w:b/>
                <w:color w:val="231F20"/>
                <w:w w:val="75"/>
                <w:sz w:val="24"/>
              </w:rPr>
              <w:t>／ </w:t>
            </w:r>
            <w:r>
              <w:rPr>
                <w:rFonts w:ascii="微軟正黑體" w:eastAsia="微軟正黑體" w:hint="eastAsia"/>
                <w:b/>
                <w:color w:val="231F20"/>
                <w:sz w:val="24"/>
              </w:rPr>
              <w:t>原因</w:t>
            </w:r>
          </w:p>
        </w:tc>
        <w:tc>
          <w:tcPr>
            <w:tcW w:w="4118" w:type="dxa"/>
            <w:shd w:val="clear" w:color="auto" w:fill="E6E7E8"/>
          </w:tcPr>
          <w:p>
            <w:pPr>
              <w:pStyle w:val="TableParagraph"/>
              <w:spacing w:line="432" w:lineRule="exact"/>
              <w:ind w:left="1558" w:right="1545"/>
              <w:jc w:val="center"/>
              <w:rPr>
                <w:rFonts w:ascii="微軟正黑體" w:eastAsia="微軟正黑體" w:hint="eastAsia"/>
                <w:b/>
                <w:sz w:val="24"/>
              </w:rPr>
            </w:pPr>
            <w:r>
              <w:rPr>
                <w:rFonts w:ascii="微軟正黑體" w:eastAsia="微軟正黑體" w:hint="eastAsia"/>
                <w:b/>
                <w:color w:val="231F20"/>
                <w:sz w:val="24"/>
              </w:rPr>
              <w:t>個案情況</w:t>
            </w:r>
          </w:p>
        </w:tc>
        <w:tc>
          <w:tcPr>
            <w:tcW w:w="3289" w:type="dxa"/>
            <w:shd w:val="clear" w:color="auto" w:fill="E6E7E8"/>
          </w:tcPr>
          <w:p>
            <w:pPr>
              <w:pStyle w:val="TableParagraph"/>
              <w:spacing w:line="432" w:lineRule="exact"/>
              <w:ind w:left="84"/>
              <w:rPr>
                <w:rFonts w:ascii="微軟正黑體" w:eastAsia="微軟正黑體" w:hint="eastAsia"/>
                <w:b/>
                <w:sz w:val="24"/>
              </w:rPr>
            </w:pPr>
            <w:r>
              <w:rPr>
                <w:rFonts w:ascii="微軟正黑體" w:eastAsia="微軟正黑體" w:hint="eastAsia"/>
                <w:b/>
                <w:color w:val="231F20"/>
                <w:sz w:val="24"/>
              </w:rPr>
              <w:t>編碼 </w:t>
            </w:r>
            <w:r>
              <w:rPr>
                <w:rFonts w:ascii="微軟正黑體" w:eastAsia="微軟正黑體" w:hint="eastAsia"/>
                <w:b/>
                <w:color w:val="231F20"/>
                <w:w w:val="75"/>
                <w:sz w:val="24"/>
              </w:rPr>
              <w:t>／ </w:t>
            </w:r>
            <w:r>
              <w:rPr>
                <w:rFonts w:ascii="微軟正黑體" w:eastAsia="微軟正黑體" w:hint="eastAsia"/>
                <w:b/>
                <w:color w:val="231F20"/>
                <w:sz w:val="24"/>
              </w:rPr>
              <w:t>討論結果</w:t>
            </w:r>
          </w:p>
        </w:tc>
      </w:tr>
      <w:tr>
        <w:trPr>
          <w:trHeight w:val="3650" w:hRule="atLeast"/>
        </w:trPr>
        <w:tc>
          <w:tcPr>
            <w:tcW w:w="1492" w:type="dxa"/>
          </w:tcPr>
          <w:p>
            <w:pPr>
              <w:pStyle w:val="TableParagraph"/>
              <w:rPr>
                <w:sz w:val="32"/>
              </w:rPr>
            </w:pPr>
          </w:p>
          <w:p>
            <w:pPr>
              <w:pStyle w:val="TableParagraph"/>
              <w:rPr>
                <w:sz w:val="32"/>
              </w:rPr>
            </w:pPr>
          </w:p>
          <w:p>
            <w:pPr>
              <w:pStyle w:val="TableParagraph"/>
              <w:spacing w:before="8"/>
              <w:rPr>
                <w:sz w:val="18"/>
              </w:rPr>
            </w:pPr>
          </w:p>
          <w:p>
            <w:pPr>
              <w:pStyle w:val="TableParagraph"/>
              <w:spacing w:line="230" w:lineRule="auto"/>
              <w:ind w:left="339" w:right="131" w:hanging="255"/>
              <w:rPr>
                <w:sz w:val="24"/>
              </w:rPr>
            </w:pPr>
            <w:r>
              <w:rPr>
                <w:color w:val="231F20"/>
                <w:sz w:val="24"/>
              </w:rPr>
              <w:t>5. 申請公費藥</w:t>
            </w:r>
          </w:p>
        </w:tc>
        <w:tc>
          <w:tcPr>
            <w:tcW w:w="4118" w:type="dxa"/>
          </w:tcPr>
          <w:p>
            <w:pPr>
              <w:pStyle w:val="TableParagraph"/>
              <w:spacing w:before="25"/>
              <w:ind w:left="84"/>
              <w:rPr>
                <w:sz w:val="24"/>
              </w:rPr>
            </w:pPr>
            <w:r>
              <w:rPr>
                <w:color w:val="231F20"/>
                <w:spacing w:val="-5"/>
                <w:sz w:val="24"/>
              </w:rPr>
              <w:t>對於公費藥申請之口冊結果有疑義者。</w:t>
            </w:r>
          </w:p>
        </w:tc>
        <w:tc>
          <w:tcPr>
            <w:tcW w:w="3289" w:type="dxa"/>
          </w:tcPr>
          <w:p>
            <w:pPr>
              <w:pStyle w:val="TableParagraph"/>
              <w:spacing w:line="230" w:lineRule="auto" w:before="36"/>
              <w:ind w:left="339" w:right="248" w:hanging="255"/>
              <w:rPr>
                <w:sz w:val="24"/>
              </w:rPr>
            </w:pPr>
            <w:r>
              <w:rPr>
                <w:color w:val="231F20"/>
                <w:sz w:val="24"/>
              </w:rPr>
              <w:t>3. 等痰報告或其他檢査下次再口冊</w:t>
            </w:r>
          </w:p>
          <w:p>
            <w:pPr>
              <w:pStyle w:val="TableParagraph"/>
              <w:numPr>
                <w:ilvl w:val="0"/>
                <w:numId w:val="318"/>
              </w:numPr>
              <w:tabs>
                <w:tab w:pos="478" w:val="left" w:leader="none"/>
              </w:tabs>
              <w:spacing w:line="395" w:lineRule="exact" w:before="0" w:after="0"/>
              <w:ind w:left="477" w:right="0" w:hanging="394"/>
              <w:jc w:val="left"/>
              <w:rPr>
                <w:sz w:val="24"/>
              </w:rPr>
            </w:pPr>
            <w:r>
              <w:rPr>
                <w:color w:val="231F20"/>
                <w:sz w:val="24"/>
              </w:rPr>
              <w:t>不同意公費藥申請</w:t>
            </w:r>
          </w:p>
          <w:p>
            <w:pPr>
              <w:pStyle w:val="TableParagraph"/>
              <w:numPr>
                <w:ilvl w:val="0"/>
                <w:numId w:val="318"/>
              </w:numPr>
              <w:tabs>
                <w:tab w:pos="478" w:val="left" w:leader="none"/>
              </w:tabs>
              <w:spacing w:line="400" w:lineRule="exact" w:before="0" w:after="0"/>
              <w:ind w:left="477" w:right="0" w:hanging="394"/>
              <w:jc w:val="left"/>
              <w:rPr>
                <w:sz w:val="24"/>
              </w:rPr>
            </w:pPr>
            <w:r>
              <w:rPr>
                <w:color w:val="231F20"/>
                <w:sz w:val="24"/>
              </w:rPr>
              <w:t>同意公費藥申請</w:t>
            </w:r>
          </w:p>
          <w:p>
            <w:pPr>
              <w:pStyle w:val="TableParagraph"/>
              <w:numPr>
                <w:ilvl w:val="0"/>
                <w:numId w:val="319"/>
              </w:numPr>
              <w:tabs>
                <w:tab w:pos="478" w:val="left" w:leader="none"/>
              </w:tabs>
              <w:spacing w:line="400" w:lineRule="exact" w:before="0" w:after="0"/>
              <w:ind w:left="477" w:right="0" w:hanging="394"/>
              <w:jc w:val="left"/>
              <w:rPr>
                <w:sz w:val="24"/>
              </w:rPr>
            </w:pPr>
            <w:r>
              <w:rPr>
                <w:color w:val="231F20"/>
                <w:sz w:val="24"/>
              </w:rPr>
              <w:t>用藥種類增修</w:t>
            </w:r>
          </w:p>
          <w:p>
            <w:pPr>
              <w:pStyle w:val="TableParagraph"/>
              <w:numPr>
                <w:ilvl w:val="0"/>
                <w:numId w:val="319"/>
              </w:numPr>
              <w:tabs>
                <w:tab w:pos="478" w:val="left" w:leader="none"/>
              </w:tabs>
              <w:spacing w:line="400" w:lineRule="exact" w:before="0" w:after="0"/>
              <w:ind w:left="477" w:right="0" w:hanging="394"/>
              <w:jc w:val="left"/>
              <w:rPr>
                <w:sz w:val="24"/>
              </w:rPr>
            </w:pPr>
            <w:r>
              <w:rPr>
                <w:color w:val="231F20"/>
                <w:sz w:val="24"/>
              </w:rPr>
              <w:t>用藥劑量增修</w:t>
            </w:r>
          </w:p>
          <w:p>
            <w:pPr>
              <w:pStyle w:val="TableParagraph"/>
              <w:numPr>
                <w:ilvl w:val="0"/>
                <w:numId w:val="319"/>
              </w:numPr>
              <w:tabs>
                <w:tab w:pos="478" w:val="left" w:leader="none"/>
              </w:tabs>
              <w:spacing w:line="400" w:lineRule="exact" w:before="0" w:after="0"/>
              <w:ind w:left="477" w:right="0" w:hanging="394"/>
              <w:jc w:val="left"/>
              <w:rPr>
                <w:sz w:val="24"/>
              </w:rPr>
            </w:pPr>
            <w:r>
              <w:rPr>
                <w:color w:val="231F20"/>
                <w:sz w:val="24"/>
              </w:rPr>
              <w:t>可停止抗結核治療</w:t>
            </w:r>
          </w:p>
          <w:p>
            <w:pPr>
              <w:pStyle w:val="TableParagraph"/>
              <w:numPr>
                <w:ilvl w:val="0"/>
                <w:numId w:val="320"/>
              </w:numPr>
              <w:tabs>
                <w:tab w:pos="478" w:val="left" w:leader="none"/>
              </w:tabs>
              <w:spacing w:line="400" w:lineRule="exact" w:before="0" w:after="0"/>
              <w:ind w:left="477" w:right="0" w:hanging="394"/>
              <w:jc w:val="left"/>
              <w:rPr>
                <w:sz w:val="24"/>
              </w:rPr>
            </w:pPr>
            <w:r>
              <w:rPr>
                <w:color w:val="231F20"/>
                <w:spacing w:val="-2"/>
                <w:sz w:val="24"/>
              </w:rPr>
              <w:t>建議轉介 </w:t>
            </w:r>
            <w:r>
              <w:rPr>
                <w:color w:val="231F20"/>
                <w:spacing w:val="-3"/>
                <w:sz w:val="24"/>
              </w:rPr>
              <w:t>TMTC 團隊評估</w:t>
            </w:r>
          </w:p>
          <w:p>
            <w:pPr>
              <w:pStyle w:val="TableParagraph"/>
              <w:numPr>
                <w:ilvl w:val="0"/>
                <w:numId w:val="320"/>
              </w:numPr>
              <w:tabs>
                <w:tab w:pos="478" w:val="left" w:leader="none"/>
                <w:tab w:pos="1197" w:val="left" w:leader="none"/>
              </w:tabs>
              <w:spacing w:line="398" w:lineRule="exact" w:before="0" w:after="0"/>
              <w:ind w:left="477" w:right="0" w:hanging="394"/>
              <w:jc w:val="left"/>
              <w:rPr>
                <w:sz w:val="24"/>
              </w:rPr>
            </w:pPr>
            <w:r>
              <w:rPr>
                <w:color w:val="231F20"/>
                <w:w w:val="120"/>
                <w:sz w:val="24"/>
              </w:rPr>
              <w:t>其他</w:t>
              <w:tab/>
            </w:r>
            <w:r>
              <w:rPr>
                <w:color w:val="231F20"/>
                <w:w w:val="125"/>
                <w:sz w:val="24"/>
              </w:rPr>
              <w:t>(請詳述)</w:t>
            </w:r>
          </w:p>
        </w:tc>
      </w:tr>
      <w:tr>
        <w:trPr>
          <w:trHeight w:val="1251" w:hRule="atLeast"/>
        </w:trPr>
        <w:tc>
          <w:tcPr>
            <w:tcW w:w="1492" w:type="dxa"/>
          </w:tcPr>
          <w:p>
            <w:pPr>
              <w:pStyle w:val="TableParagraph"/>
              <w:spacing w:before="7"/>
              <w:rPr>
                <w:sz w:val="24"/>
              </w:rPr>
            </w:pPr>
          </w:p>
          <w:p>
            <w:pPr>
              <w:pStyle w:val="TableParagraph"/>
              <w:ind w:left="84"/>
              <w:rPr>
                <w:sz w:val="24"/>
              </w:rPr>
            </w:pPr>
            <w:r>
              <w:rPr>
                <w:color w:val="231F20"/>
                <w:sz w:val="24"/>
              </w:rPr>
              <w:t>6. 隔離治療</w:t>
            </w:r>
          </w:p>
        </w:tc>
        <w:tc>
          <w:tcPr>
            <w:tcW w:w="4118" w:type="dxa"/>
          </w:tcPr>
          <w:p>
            <w:pPr>
              <w:pStyle w:val="TableParagraph"/>
              <w:spacing w:before="25"/>
              <w:ind w:left="84"/>
              <w:rPr>
                <w:sz w:val="24"/>
              </w:rPr>
            </w:pPr>
            <w:r>
              <w:rPr>
                <w:color w:val="231F20"/>
                <w:sz w:val="24"/>
              </w:rPr>
              <w:t>隔離治療個案須重新評估鑑定者。</w:t>
            </w:r>
          </w:p>
        </w:tc>
        <w:tc>
          <w:tcPr>
            <w:tcW w:w="3289" w:type="dxa"/>
          </w:tcPr>
          <w:p>
            <w:pPr>
              <w:pStyle w:val="TableParagraph"/>
              <w:numPr>
                <w:ilvl w:val="0"/>
                <w:numId w:val="321"/>
              </w:numPr>
              <w:tabs>
                <w:tab w:pos="478" w:val="left" w:leader="none"/>
              </w:tabs>
              <w:spacing w:line="409" w:lineRule="exact" w:before="25" w:after="0"/>
              <w:ind w:left="477" w:right="0" w:hanging="394"/>
              <w:jc w:val="left"/>
              <w:rPr>
                <w:sz w:val="24"/>
              </w:rPr>
            </w:pPr>
            <w:r>
              <w:rPr>
                <w:color w:val="231F20"/>
                <w:sz w:val="24"/>
              </w:rPr>
              <w:t>同意隔離治療</w:t>
            </w:r>
          </w:p>
          <w:p>
            <w:pPr>
              <w:pStyle w:val="TableParagraph"/>
              <w:numPr>
                <w:ilvl w:val="0"/>
                <w:numId w:val="321"/>
              </w:numPr>
              <w:tabs>
                <w:tab w:pos="478" w:val="left" w:leader="none"/>
              </w:tabs>
              <w:spacing w:line="400" w:lineRule="exact" w:before="0" w:after="0"/>
              <w:ind w:left="477" w:right="0" w:hanging="394"/>
              <w:jc w:val="left"/>
              <w:rPr>
                <w:sz w:val="24"/>
              </w:rPr>
            </w:pPr>
            <w:r>
              <w:rPr>
                <w:color w:val="231F20"/>
                <w:sz w:val="24"/>
              </w:rPr>
              <w:t>解除隔離治療</w:t>
            </w:r>
          </w:p>
          <w:p>
            <w:pPr>
              <w:pStyle w:val="TableParagraph"/>
              <w:spacing w:line="398" w:lineRule="exact"/>
              <w:ind w:left="84"/>
              <w:rPr>
                <w:sz w:val="24"/>
              </w:rPr>
            </w:pPr>
            <w:r>
              <w:rPr>
                <w:color w:val="231F20"/>
                <w:w w:val="120"/>
                <w:sz w:val="24"/>
              </w:rPr>
              <w:t>20.</w:t>
            </w:r>
            <w:r>
              <w:rPr>
                <w:color w:val="231F20"/>
                <w:spacing w:val="-9"/>
                <w:w w:val="120"/>
                <w:sz w:val="24"/>
              </w:rPr>
              <w:t> 其他</w:t>
            </w:r>
            <w:r>
              <w:rPr>
                <w:color w:val="231F20"/>
                <w:spacing w:val="8"/>
                <w:w w:val="120"/>
                <w:sz w:val="24"/>
                <w:u w:val="single" w:color="231F20"/>
              </w:rPr>
              <w:t>  (請詳述)</w:t>
            </w:r>
          </w:p>
        </w:tc>
      </w:tr>
      <w:tr>
        <w:trPr>
          <w:trHeight w:val="1251" w:hRule="atLeast"/>
        </w:trPr>
        <w:tc>
          <w:tcPr>
            <w:tcW w:w="1492" w:type="dxa"/>
          </w:tcPr>
          <w:p>
            <w:pPr>
              <w:pStyle w:val="TableParagraph"/>
              <w:spacing w:before="6"/>
              <w:rPr>
                <w:sz w:val="24"/>
              </w:rPr>
            </w:pPr>
          </w:p>
          <w:p>
            <w:pPr>
              <w:pStyle w:val="TableParagraph"/>
              <w:spacing w:before="1"/>
              <w:ind w:left="84"/>
              <w:rPr>
                <w:sz w:val="14"/>
              </w:rPr>
            </w:pPr>
            <w:r>
              <w:rPr>
                <w:color w:val="231F20"/>
                <w:sz w:val="24"/>
              </w:rPr>
              <w:t>7. 其他</w:t>
            </w:r>
            <w:r>
              <w:rPr>
                <w:color w:val="231F20"/>
                <w:position w:val="12"/>
                <w:sz w:val="14"/>
              </w:rPr>
              <w:t>註</w:t>
            </w:r>
          </w:p>
        </w:tc>
        <w:tc>
          <w:tcPr>
            <w:tcW w:w="4118" w:type="dxa"/>
          </w:tcPr>
          <w:p>
            <w:pPr>
              <w:pStyle w:val="TableParagraph"/>
              <w:spacing w:line="230" w:lineRule="auto" w:before="36"/>
              <w:ind w:left="84" w:right="59"/>
              <w:rPr>
                <w:sz w:val="24"/>
              </w:rPr>
            </w:pPr>
            <w:r>
              <w:rPr>
                <w:color w:val="231F20"/>
                <w:sz w:val="24"/>
              </w:rPr>
              <w:t>其他診療疑問，可由診療醫師主動提</w:t>
            </w:r>
            <w:r>
              <w:rPr>
                <w:color w:val="231F20"/>
                <w:w w:val="105"/>
                <w:sz w:val="24"/>
              </w:rPr>
              <w:t>出、或由衛生局聯繫診療醫師</w:t>
            </w:r>
            <w:r>
              <w:rPr>
                <w:color w:val="231F20"/>
                <w:w w:val="140"/>
                <w:sz w:val="24"/>
              </w:rPr>
              <w:t>(院)</w:t>
            </w:r>
          </w:p>
          <w:p>
            <w:pPr>
              <w:pStyle w:val="TableParagraph"/>
              <w:spacing w:line="393" w:lineRule="exact"/>
              <w:ind w:left="84"/>
              <w:rPr>
                <w:sz w:val="24"/>
              </w:rPr>
            </w:pPr>
            <w:r>
              <w:rPr>
                <w:color w:val="231F20"/>
                <w:sz w:val="24"/>
              </w:rPr>
              <w:t>取得病歷等資料送諮詢小組口冊。</w:t>
            </w:r>
          </w:p>
        </w:tc>
        <w:tc>
          <w:tcPr>
            <w:tcW w:w="3289" w:type="dxa"/>
          </w:tcPr>
          <w:p>
            <w:pPr>
              <w:pStyle w:val="TableParagraph"/>
              <w:spacing w:before="25"/>
              <w:ind w:left="84"/>
              <w:rPr>
                <w:sz w:val="24"/>
              </w:rPr>
            </w:pPr>
            <w:r>
              <w:rPr>
                <w:color w:val="231F20"/>
                <w:w w:val="110"/>
                <w:sz w:val="24"/>
              </w:rPr>
              <w:t>1~20</w:t>
            </w:r>
          </w:p>
        </w:tc>
      </w:tr>
    </w:tbl>
    <w:p>
      <w:pPr>
        <w:pStyle w:val="BodyText"/>
        <w:spacing w:line="230" w:lineRule="auto"/>
        <w:ind w:left="1343" w:right="1131" w:hanging="482"/>
        <w:jc w:val="both"/>
      </w:pPr>
      <w:r>
        <w:rPr/>
        <w:pict>
          <v:group style="position:absolute;margin-left:.0pt;margin-top:394.171997pt;width:37.35pt;height:447.55pt;mso-position-horizontal-relative:page;mso-position-vertical-relative:page;z-index:252157952" coordorigin="0,7883" coordsize="747,8951">
            <v:shape style="position:absolute;left:178;top:8394;width:439;height:8440" type="#_x0000_t75" stroked="false">
              <v:imagedata r:id="rId453" o:title=""/>
            </v:shape>
            <v:shape style="position:absolute;left:0;top:7883;width:747;height:812" coordorigin="0,7883" coordsize="747,812" path="m365,7883l0,7883,0,8695,365,8695,387,8692,447,8659,713,8376,747,8289,738,8243,447,7920,387,7886,365,7883xe" filled="true" fillcolor="#8ebe3f" stroked="false">
              <v:path arrowok="t"/>
              <v:fill type="solid"/>
            </v:shape>
            <v:shape style="position:absolute;left:216;top:8150;width:384;height:273" type="#_x0000_t75" stroked="false">
              <v:imagedata r:id="rId472" o:title=""/>
            </v:shape>
            <v:shape style="position:absolute;left:274;top:8831;width:251;height:3607" type="#_x0000_t75" stroked="false">
              <v:imagedata r:id="rId45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162</w:t>
                    </w:r>
                  </w:p>
                </w:txbxContent>
              </v:textbox>
              <w10:wrap type="none"/>
            </v:shape>
            <w10:wrap type="none"/>
          </v:group>
        </w:pict>
      </w:r>
      <w:r>
        <w:rPr>
          <w:color w:val="231F20"/>
        </w:rPr>
        <w:t>註：送病例口冊原因為「其他」，係指無法歸類為第 1 至第 6 類者，並請於 TB 系統詳敘原因。</w:t>
      </w:r>
    </w:p>
    <w:p>
      <w:pPr>
        <w:pStyle w:val="BodyText"/>
        <w:spacing w:before="4"/>
        <w:rPr>
          <w:sz w:val="21"/>
        </w:rPr>
      </w:pPr>
    </w:p>
    <w:p>
      <w:pPr>
        <w:pStyle w:val="BodyText"/>
        <w:spacing w:line="409" w:lineRule="exact"/>
        <w:ind w:left="391"/>
      </w:pPr>
      <w:r>
        <w:rPr>
          <w:color w:val="231F20"/>
        </w:rPr>
        <w:t>六、書面諮詢</w:t>
      </w:r>
    </w:p>
    <w:p>
      <w:pPr>
        <w:pStyle w:val="BodyText"/>
        <w:tabs>
          <w:tab w:pos="1350" w:val="left" w:leader="none"/>
        </w:tabs>
        <w:spacing w:line="230" w:lineRule="auto" w:before="3"/>
        <w:ind w:left="1349" w:right="1137" w:hanging="720"/>
      </w:pPr>
      <w:r>
        <w:rPr>
          <w:color w:val="231F20"/>
          <w:w w:val="65"/>
        </w:rPr>
        <w:t>（</w:t>
      </w:r>
      <w:r>
        <w:rPr>
          <w:color w:val="231F20"/>
          <w:spacing w:val="1"/>
          <w:w w:val="65"/>
        </w:rPr>
        <w:t> </w:t>
      </w:r>
      <w:r>
        <w:rPr>
          <w:color w:val="231F20"/>
          <w:spacing w:val="-8"/>
        </w:rPr>
        <w:t>— )</w:t>
      </w:r>
      <w:r>
        <w:rPr>
          <w:color w:val="231F20"/>
        </w:rPr>
        <w:tab/>
        <w:tab/>
      </w:r>
      <w:r>
        <w:rPr>
          <w:color w:val="231F20"/>
          <w:spacing w:val="-1"/>
        </w:rPr>
        <w:t>隔離治療評估及診療有疑義且有時間急迫性之個案，縣市衛生局未能及時辦理病</w:t>
      </w:r>
      <w:r>
        <w:rPr>
          <w:color w:val="231F20"/>
        </w:rPr>
        <w:t>例口冊會議者，得將有關資料送請縣市諮詢委員進行書面諮詢。</w:t>
      </w:r>
    </w:p>
    <w:p>
      <w:pPr>
        <w:pStyle w:val="BodyText"/>
        <w:tabs>
          <w:tab w:pos="1349" w:val="left" w:leader="none"/>
        </w:tabs>
        <w:spacing w:line="230" w:lineRule="auto"/>
        <w:ind w:left="391" w:right="3757" w:firstLine="238"/>
      </w:pPr>
      <w:r>
        <w:rPr>
          <w:color w:val="231F20"/>
          <w:w w:val="70"/>
        </w:rPr>
        <w:t>（</w:t>
      </w:r>
      <w:r>
        <w:rPr>
          <w:color w:val="231F20"/>
          <w:spacing w:val="-5"/>
          <w:w w:val="70"/>
        </w:rPr>
        <w:t> </w:t>
      </w:r>
      <w:r>
        <w:rPr>
          <w:color w:val="231F20"/>
        </w:rPr>
        <w:t>二</w:t>
      </w:r>
      <w:r>
        <w:rPr>
          <w:color w:val="231F20"/>
          <w:spacing w:val="-24"/>
        </w:rPr>
        <w:t> </w:t>
      </w:r>
      <w:r>
        <w:rPr>
          <w:color w:val="231F20"/>
        </w:rPr>
        <w:t>)</w:t>
        <w:tab/>
        <w:t>採按件計酬方式支付委員審査費，每件 300 元為原則</w:t>
      </w:r>
      <w:r>
        <w:rPr>
          <w:color w:val="231F20"/>
          <w:spacing w:val="-19"/>
        </w:rPr>
        <w:t>。</w:t>
      </w:r>
      <w:r>
        <w:rPr>
          <w:color w:val="231F20"/>
        </w:rPr>
        <w:t>七</w:t>
      </w:r>
      <w:r>
        <w:rPr>
          <w:color w:val="231F20"/>
          <w:spacing w:val="7"/>
        </w:rPr>
        <w:t>、</w:t>
      </w:r>
      <w:r>
        <w:rPr>
          <w:color w:val="231F20"/>
        </w:rPr>
        <w:t>面訪困難個案程序</w:t>
      </w:r>
    </w:p>
    <w:p>
      <w:pPr>
        <w:pStyle w:val="BodyText"/>
        <w:tabs>
          <w:tab w:pos="1349" w:val="left" w:leader="none"/>
        </w:tabs>
        <w:spacing w:line="395" w:lineRule="exact"/>
        <w:ind w:left="629"/>
      </w:pPr>
      <w:r>
        <w:rPr>
          <w:color w:val="231F20"/>
          <w:w w:val="70"/>
        </w:rPr>
        <w:t>（</w:t>
      </w:r>
      <w:r>
        <w:rPr>
          <w:color w:val="231F20"/>
          <w:spacing w:val="-5"/>
          <w:w w:val="70"/>
        </w:rPr>
        <w:t> </w:t>
      </w:r>
      <w:r>
        <w:rPr>
          <w:color w:val="231F20"/>
          <w:spacing w:val="-8"/>
        </w:rPr>
        <w:t>— )</w:t>
      </w:r>
      <w:r>
        <w:rPr>
          <w:color w:val="231F20"/>
        </w:rPr>
        <w:tab/>
        <w:t>準備結核病診療諮詢小組困難個案面訪回復單(附件 14-11)及相關資訊。</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會同委員進行面訪作業。</w:t>
      </w:r>
    </w:p>
    <w:p>
      <w:pPr>
        <w:pStyle w:val="BodyText"/>
        <w:tabs>
          <w:tab w:pos="1349" w:val="left" w:leader="none"/>
        </w:tabs>
        <w:spacing w:line="230" w:lineRule="auto"/>
        <w:ind w:left="391" w:right="1974" w:firstLine="238"/>
      </w:pPr>
      <w:r>
        <w:rPr>
          <w:color w:val="231F20"/>
          <w:w w:val="65"/>
        </w:rPr>
        <w:t>（</w:t>
      </w:r>
      <w:r>
        <w:rPr>
          <w:color w:val="231F20"/>
          <w:spacing w:val="1"/>
          <w:w w:val="65"/>
        </w:rPr>
        <w:t> </w:t>
      </w:r>
      <w:r>
        <w:rPr>
          <w:color w:val="231F20"/>
        </w:rPr>
        <w:t>三</w:t>
      </w:r>
      <w:r>
        <w:rPr>
          <w:color w:val="231F20"/>
          <w:spacing w:val="-22"/>
        </w:rPr>
        <w:t> </w:t>
      </w:r>
      <w:r>
        <w:rPr>
          <w:color w:val="231F20"/>
        </w:rPr>
        <w:t>)</w:t>
        <w:tab/>
        <w:t>結束後至</w:t>
      </w:r>
      <w:r>
        <w:rPr>
          <w:color w:val="231F20"/>
          <w:spacing w:val="-17"/>
        </w:rPr>
        <w:t> </w:t>
      </w:r>
      <w:r>
        <w:rPr>
          <w:color w:val="231F20"/>
        </w:rPr>
        <w:t>TB</w:t>
      </w:r>
      <w:r>
        <w:rPr>
          <w:color w:val="231F20"/>
          <w:spacing w:val="-17"/>
        </w:rPr>
        <w:t> </w:t>
      </w:r>
      <w:r>
        <w:rPr>
          <w:color w:val="231F20"/>
        </w:rPr>
        <w:t>系統進行維護作業回復處理情形，並系統上傳面訪回復單</w:t>
      </w:r>
      <w:r>
        <w:rPr>
          <w:color w:val="231F20"/>
          <w:spacing w:val="-21"/>
        </w:rPr>
        <w:t>。</w:t>
      </w:r>
      <w:r>
        <w:rPr>
          <w:color w:val="231F20"/>
        </w:rPr>
        <w:t>八</w:t>
      </w:r>
      <w:r>
        <w:rPr>
          <w:color w:val="231F20"/>
          <w:spacing w:val="7"/>
        </w:rPr>
        <w:t>、</w:t>
      </w:r>
      <w:r>
        <w:rPr>
          <w:color w:val="231F20"/>
        </w:rPr>
        <w:t>費用支應(含病例口冊及困難個案面訪)</w:t>
      </w:r>
    </w:p>
    <w:p>
      <w:pPr>
        <w:pStyle w:val="BodyText"/>
        <w:spacing w:line="230" w:lineRule="auto"/>
        <w:ind w:left="1343" w:right="1134" w:hanging="482"/>
        <w:jc w:val="both"/>
      </w:pPr>
      <w:r>
        <w:rPr>
          <w:color w:val="231F20"/>
          <w:w w:val="70"/>
        </w:rPr>
        <w:t>（ </w:t>
      </w:r>
      <w:r>
        <w:rPr>
          <w:color w:val="231F20"/>
          <w:spacing w:val="-9"/>
          <w:w w:val="105"/>
        </w:rPr>
        <w:t>— ) 縣市衛生局得編列及支付結核病診療諮詢小組委員每次出席費用 </w:t>
      </w:r>
      <w:r>
        <w:rPr>
          <w:color w:val="231F20"/>
          <w:w w:val="105"/>
        </w:rPr>
        <w:t>2,500</w:t>
      </w:r>
      <w:r>
        <w:rPr>
          <w:color w:val="231F20"/>
          <w:spacing w:val="-17"/>
          <w:w w:val="105"/>
        </w:rPr>
        <w:t> 元(包</w:t>
      </w:r>
      <w:r>
        <w:rPr>
          <w:color w:val="231F20"/>
          <w:w w:val="110"/>
        </w:rPr>
        <w:t>含參與病例口冊之診療或共病診療醫師)。</w:t>
      </w:r>
    </w:p>
    <w:p>
      <w:pPr>
        <w:pStyle w:val="BodyText"/>
        <w:spacing w:line="230" w:lineRule="auto"/>
        <w:ind w:left="1343" w:right="1136" w:hanging="482"/>
        <w:jc w:val="both"/>
      </w:pPr>
      <w:r>
        <w:rPr>
          <w:color w:val="231F20"/>
          <w:w w:val="65"/>
        </w:rPr>
        <w:t>（ </w:t>
      </w:r>
      <w:r>
        <w:rPr>
          <w:color w:val="231F20"/>
        </w:rPr>
        <w:t>二 ) 交通費按國內出差給付標準支給，若有住宿事實檢據核銷，不另支付膳雜費； 未達出差標準，同縣市核實支給大眾交通工具車資，外縣市支給臺鐵、高鐵或大眾交通工具車資。</w:t>
      </w:r>
    </w:p>
    <w:p>
      <w:pPr>
        <w:pStyle w:val="BodyText"/>
        <w:spacing w:line="394" w:lineRule="exact"/>
        <w:ind w:left="391"/>
        <w:jc w:val="both"/>
      </w:pPr>
      <w:r>
        <w:rPr>
          <w:color w:val="231F20"/>
        </w:rPr>
        <w:t>九、TB 系統登錄之作業流程</w:t>
      </w:r>
    </w:p>
    <w:p>
      <w:pPr>
        <w:pStyle w:val="BodyText"/>
        <w:spacing w:line="409" w:lineRule="exact"/>
        <w:ind w:left="629"/>
        <w:jc w:val="both"/>
      </w:pPr>
      <w:r>
        <w:rPr>
          <w:color w:val="231F20"/>
          <w:w w:val="70"/>
        </w:rPr>
        <w:t>（ </w:t>
      </w:r>
      <w:r>
        <w:rPr>
          <w:color w:val="231F20"/>
        </w:rPr>
        <w:t>— ) TB 系統「專案管理」：病例口冊管理點選「病例口冊」輸入個案 ID --- 送出依病</w:t>
      </w:r>
    </w:p>
    <w:p>
      <w:pPr>
        <w:spacing w:after="0" w:line="409" w:lineRule="exact"/>
        <w:jc w:val="both"/>
        <w:sectPr>
          <w:pgSz w:w="11910" w:h="16840"/>
          <w:pgMar w:top="1200" w:bottom="0" w:left="980" w:right="0"/>
        </w:sectPr>
      </w:pPr>
    </w:p>
    <w:p>
      <w:pPr>
        <w:pStyle w:val="BodyText"/>
        <w:spacing w:line="230" w:lineRule="auto" w:before="70"/>
        <w:ind w:left="1349" w:right="1137"/>
      </w:pPr>
      <w:r>
        <w:rPr>
          <w:color w:val="231F20"/>
        </w:rPr>
        <w:t>例口冊紀錄或困難個案面訪，由系統產出「結核病診療諮詢小組病例口冊建議暨診療醫師回復單」／「困難個案面訪紀錄單」。</w:t>
      </w:r>
    </w:p>
    <w:p>
      <w:pPr>
        <w:pStyle w:val="BodyText"/>
        <w:spacing w:line="230" w:lineRule="auto"/>
        <w:ind w:left="1349" w:right="1137" w:hanging="720"/>
        <w:jc w:val="both"/>
      </w:pPr>
      <w:r>
        <w:rPr>
          <w:color w:val="231F20"/>
          <w:w w:val="65"/>
        </w:rPr>
        <w:t>（ </w:t>
      </w:r>
      <w:r>
        <w:rPr>
          <w:color w:val="231F20"/>
        </w:rPr>
        <w:t>二 ) 結核病診療諮詢小組病例口冊建議暨診療醫師回復單：由委員逐案填寫並簽名， 交由公衛人員送原診治醫師參考。困難個案面訪紀錄單：由委員填寫訪視情形及建議，並簽名。</w:t>
      </w:r>
    </w:p>
    <w:p>
      <w:pPr>
        <w:pStyle w:val="BodyText"/>
        <w:spacing w:line="230" w:lineRule="auto"/>
        <w:ind w:left="1349" w:right="1135" w:hanging="720"/>
        <w:jc w:val="both"/>
      </w:pPr>
      <w:r>
        <w:rPr>
          <w:color w:val="231F20"/>
          <w:w w:val="65"/>
        </w:rPr>
        <w:t>（ </w:t>
      </w:r>
      <w:r>
        <w:rPr>
          <w:color w:val="231F20"/>
        </w:rPr>
        <w:t>三 ) TB 系統維護病例口冊紀錄：針對原診療醫師回復情形進行處理，並於會後 7 日內進行系統登錄(輸入口冊結果說明、診療醫師回復情形)以並於 1 個月內上傳回復單掃描檔案。</w:t>
      </w:r>
    </w:p>
    <w:p>
      <w:pPr>
        <w:pStyle w:val="BodyText"/>
        <w:spacing w:line="230" w:lineRule="auto"/>
        <w:ind w:left="1349" w:right="1128" w:hanging="720"/>
        <w:jc w:val="both"/>
      </w:pPr>
      <w:r>
        <w:rPr>
          <w:color w:val="231F20"/>
          <w:w w:val="65"/>
        </w:rPr>
        <w:t>（ </w:t>
      </w:r>
      <w:r>
        <w:rPr>
          <w:color w:val="231F20"/>
        </w:rPr>
        <w:t>匹 ) TB 系統維護面訪記錄：衛生局將訪視結果與處置情況進行 TB 系統登錄， 並上傳回復單掃描檔案。</w:t>
      </w:r>
    </w:p>
    <w:p>
      <w:pPr>
        <w:pStyle w:val="BodyText"/>
        <w:spacing w:before="11"/>
        <w:rPr>
          <w:sz w:val="19"/>
        </w:rPr>
      </w:pPr>
    </w:p>
    <w:p>
      <w:pPr>
        <w:pStyle w:val="Heading2"/>
      </w:pPr>
      <w:r>
        <w:rPr>
          <w:color w:val="231F20"/>
        </w:rPr>
        <w:t>肆、抗結核公費藥申請</w:t>
      </w:r>
    </w:p>
    <w:p>
      <w:pPr>
        <w:pStyle w:val="BodyText"/>
        <w:spacing w:line="404" w:lineRule="exact"/>
        <w:ind w:left="391"/>
        <w:jc w:val="both"/>
      </w:pPr>
      <w:r>
        <w:rPr>
          <w:color w:val="231F20"/>
          <w:w w:val="115"/>
        </w:rPr>
        <w:t>—、依據：衛生福利部結核病防治費用補助要點(附件 14-1)</w:t>
      </w:r>
    </w:p>
    <w:p>
      <w:pPr>
        <w:pStyle w:val="BodyText"/>
        <w:spacing w:line="230" w:lineRule="auto" w:before="3"/>
        <w:ind w:left="878" w:right="1132" w:hanging="488"/>
        <w:jc w:val="both"/>
      </w:pPr>
      <w:r>
        <w:rPr>
          <w:color w:val="231F20"/>
        </w:rPr>
        <w:t>二、醫院申請之類別分為—般醫院、TMTC 團隊醫院以及大宗醫院等，不同類別醫院在申請流程上亦有所區別，TMTC 團隊醫院請參照工作手冊第十章「抗藥性結核病照護與管理」。</w:t>
      </w:r>
    </w:p>
    <w:p>
      <w:pPr>
        <w:pStyle w:val="BodyText"/>
        <w:spacing w:line="394" w:lineRule="exact"/>
        <w:ind w:right="7973"/>
        <w:jc w:val="center"/>
      </w:pPr>
      <w:r>
        <w:rPr/>
        <w:pict>
          <v:group style="position:absolute;margin-left:557.686523pt;margin-top:17.745659pt;width:37.35pt;height:447.55pt;mso-position-horizontal-relative:page;mso-position-vertical-relative:paragraph;z-index:252160000" coordorigin="11154,355" coordsize="747,8951">
            <v:shape style="position:absolute;left:11283;top:866;width:439;height:8439" type="#_x0000_t75" stroked="false">
              <v:imagedata r:id="rId450" o:title=""/>
            </v:shape>
            <v:shape style="position:absolute;left:11153;top:354;width:747;height:812" coordorigin="11154,355" coordsize="747,812" path="m11900,355l11536,355,11514,357,11454,391,11188,673,11154,761,11162,807,11454,1130,11514,1164,11536,1166,11900,1166,11900,355xe" filled="true" fillcolor="#8ebe3f" stroked="false">
              <v:path arrowok="t"/>
              <v:fill type="solid"/>
            </v:shape>
            <v:shape style="position:absolute;left:11321;top:621;width:384;height:273" type="#_x0000_t75" stroked="false">
              <v:imagedata r:id="rId473" o:title=""/>
            </v:shape>
            <v:shape style="position:absolute;left:11379;top:1302;width:251;height:3607" type="#_x0000_t75" stroked="false">
              <v:imagedata r:id="rId452" o:title=""/>
            </v:shape>
            <v:shape style="position:absolute;left:11368;top:8743;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163</w:t>
                    </w:r>
                  </w:p>
                </w:txbxContent>
              </v:textbox>
              <w10:wrap type="none"/>
            </v:shape>
            <w10:wrap type="none"/>
          </v:group>
        </w:pict>
      </w:r>
      <w:r>
        <w:rPr>
          <w:color w:val="231F20"/>
        </w:rPr>
        <w:t>三、申請公費藥理由</w:t>
      </w:r>
    </w:p>
    <w:p>
      <w:pPr>
        <w:pStyle w:val="BodyText"/>
        <w:tabs>
          <w:tab w:pos="719" w:val="left" w:leader="none"/>
        </w:tabs>
        <w:spacing w:line="400" w:lineRule="exact"/>
        <w:ind w:right="7984"/>
        <w:jc w:val="center"/>
      </w:pPr>
      <w:r>
        <w:rPr>
          <w:color w:val="231F20"/>
          <w:w w:val="65"/>
        </w:rPr>
        <w:t>（</w:t>
      </w:r>
      <w:r>
        <w:rPr>
          <w:color w:val="231F20"/>
          <w:spacing w:val="1"/>
          <w:w w:val="65"/>
        </w:rPr>
        <w:t> </w:t>
      </w:r>
      <w:r>
        <w:rPr>
          <w:color w:val="231F20"/>
          <w:spacing w:val="-8"/>
        </w:rPr>
        <w:t>— )</w:t>
      </w:r>
      <w:r>
        <w:rPr>
          <w:color w:val="231F20"/>
        </w:rPr>
        <w:tab/>
        <w:t>具抗藥性</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二</w:t>
      </w:r>
      <w:r>
        <w:rPr>
          <w:color w:val="231F20"/>
          <w:spacing w:val="-22"/>
        </w:rPr>
        <w:t> </w:t>
      </w:r>
      <w:r>
        <w:rPr>
          <w:color w:val="231F20"/>
        </w:rPr>
        <w:t>)</w:t>
        <w:tab/>
        <w:t>藥物副作用(例：皮膚過敏、肝功能不佳)</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三</w:t>
      </w:r>
      <w:r>
        <w:rPr>
          <w:color w:val="231F20"/>
          <w:spacing w:val="-22"/>
        </w:rPr>
        <w:t> </w:t>
      </w:r>
      <w:r>
        <w:rPr>
          <w:color w:val="231F20"/>
        </w:rPr>
        <w:t>)</w:t>
        <w:tab/>
        <w:t>接種卡介苗產生不良反應</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匹</w:t>
      </w:r>
      <w:r>
        <w:rPr>
          <w:color w:val="231F20"/>
          <w:spacing w:val="-22"/>
        </w:rPr>
        <w:t> </w:t>
      </w:r>
      <w:r>
        <w:rPr>
          <w:color w:val="231F20"/>
        </w:rPr>
        <w:t>)</w:t>
        <w:tab/>
        <w:t>復發、失落個案</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五</w:t>
      </w:r>
      <w:r>
        <w:rPr>
          <w:color w:val="231F20"/>
          <w:spacing w:val="-22"/>
        </w:rPr>
        <w:t> </w:t>
      </w:r>
      <w:r>
        <w:rPr>
          <w:color w:val="231F20"/>
        </w:rPr>
        <w:t>)</w:t>
        <w:tab/>
        <w:t>預期治療效果不佳</w:t>
      </w:r>
    </w:p>
    <w:p>
      <w:pPr>
        <w:pStyle w:val="BodyText"/>
        <w:tabs>
          <w:tab w:pos="1349" w:val="left" w:leader="none"/>
        </w:tabs>
        <w:spacing w:line="400" w:lineRule="exact"/>
        <w:ind w:left="629"/>
      </w:pPr>
      <w:r>
        <w:rPr>
          <w:color w:val="231F20"/>
          <w:w w:val="65"/>
        </w:rPr>
        <w:t>（</w:t>
      </w:r>
      <w:r>
        <w:rPr>
          <w:color w:val="231F20"/>
          <w:spacing w:val="1"/>
          <w:w w:val="65"/>
        </w:rPr>
        <w:t> </w:t>
      </w:r>
      <w:r>
        <w:rPr>
          <w:color w:val="231F20"/>
        </w:rPr>
        <w:t>六</w:t>
      </w:r>
      <w:r>
        <w:rPr>
          <w:color w:val="231F20"/>
          <w:spacing w:val="-22"/>
        </w:rPr>
        <w:t> </w:t>
      </w:r>
      <w:r>
        <w:rPr>
          <w:color w:val="231F20"/>
        </w:rPr>
        <w:t>)</w:t>
        <w:tab/>
        <w:t>藥物交互作用</w:t>
      </w:r>
    </w:p>
    <w:p>
      <w:pPr>
        <w:pStyle w:val="BodyText"/>
        <w:tabs>
          <w:tab w:pos="1349" w:val="left" w:leader="none"/>
        </w:tabs>
        <w:spacing w:line="400" w:lineRule="exact"/>
        <w:ind w:left="629"/>
      </w:pPr>
      <w:r>
        <w:rPr>
          <w:color w:val="231F20"/>
          <w:w w:val="70"/>
        </w:rPr>
        <w:t>（</w:t>
      </w:r>
      <w:r>
        <w:rPr>
          <w:color w:val="231F20"/>
          <w:spacing w:val="-8"/>
          <w:w w:val="70"/>
        </w:rPr>
        <w:t> </w:t>
      </w:r>
      <w:r>
        <w:rPr>
          <w:color w:val="231F20"/>
          <w:w w:val="105"/>
        </w:rPr>
        <w:t>七</w:t>
      </w:r>
      <w:r>
        <w:rPr>
          <w:color w:val="231F20"/>
          <w:spacing w:val="-30"/>
          <w:w w:val="105"/>
        </w:rPr>
        <w:t> </w:t>
      </w:r>
      <w:r>
        <w:rPr>
          <w:color w:val="231F20"/>
          <w:w w:val="105"/>
        </w:rPr>
        <w:t>)</w:t>
        <w:tab/>
        <w:t>其他(例：—線藥物治療成效不佳)</w:t>
      </w:r>
    </w:p>
    <w:p>
      <w:pPr>
        <w:pStyle w:val="BodyText"/>
        <w:spacing w:line="230" w:lineRule="auto" w:before="2"/>
        <w:ind w:left="878" w:right="1090" w:hanging="488"/>
      </w:pPr>
      <w:r>
        <w:rPr>
          <w:color w:val="231F20"/>
        </w:rPr>
        <w:t>匹、申請藥量：初次申請以 1 個月為上限，再次申請以 2 個月為上限，欲繼續使用需再次申請。</w:t>
      </w:r>
    </w:p>
    <w:p>
      <w:pPr>
        <w:pStyle w:val="BodyText"/>
        <w:spacing w:line="395" w:lineRule="exact"/>
        <w:ind w:left="391"/>
      </w:pPr>
      <w:r>
        <w:rPr>
          <w:color w:val="231F20"/>
        </w:rPr>
        <w:t>五、檢附資料</w:t>
      </w:r>
    </w:p>
    <w:p>
      <w:pPr>
        <w:pStyle w:val="BodyText"/>
        <w:tabs>
          <w:tab w:pos="1349" w:val="left" w:leader="none"/>
        </w:tabs>
        <w:spacing w:line="230" w:lineRule="auto" w:before="3"/>
        <w:ind w:left="1349" w:right="1133" w:hanging="720"/>
      </w:pPr>
      <w:r>
        <w:rPr>
          <w:color w:val="231F20"/>
          <w:w w:val="65"/>
        </w:rPr>
        <w:t>（</w:t>
      </w:r>
      <w:r>
        <w:rPr>
          <w:color w:val="231F20"/>
          <w:spacing w:val="1"/>
          <w:w w:val="65"/>
        </w:rPr>
        <w:t> </w:t>
      </w:r>
      <w:r>
        <w:rPr>
          <w:color w:val="231F20"/>
          <w:spacing w:val="-8"/>
        </w:rPr>
        <w:t>— )</w:t>
      </w:r>
      <w:r>
        <w:rPr>
          <w:color w:val="231F20"/>
        </w:rPr>
        <w:tab/>
        <w:t>初次申請：抗結核公費藥申請單、病歷摘要、個案用藥史、驗痰結果、分子檢驗</w:t>
      </w:r>
      <w:r>
        <w:rPr>
          <w:color w:val="231F20"/>
          <w:spacing w:val="-1"/>
        </w:rPr>
        <w:t>結果、藥物感受性試驗結果、有無其他病史、生化檢驗、胸部 </w:t>
      </w:r>
      <w:r>
        <w:rPr>
          <w:color w:val="231F20"/>
        </w:rPr>
        <w:t>X</w:t>
      </w:r>
      <w:r>
        <w:rPr>
          <w:color w:val="231F20"/>
          <w:spacing w:val="-8"/>
        </w:rPr>
        <w:t> 光片 </w:t>
      </w:r>
      <w:r>
        <w:rPr>
          <w:color w:val="231F20"/>
          <w:spacing w:val="2"/>
          <w:w w:val="65"/>
        </w:rPr>
        <w:t>／ </w:t>
      </w:r>
      <w:r>
        <w:rPr>
          <w:color w:val="231F20"/>
          <w:spacing w:val="-5"/>
        </w:rPr>
        <w:t>其他影像</w:t>
      </w:r>
    </w:p>
    <w:p>
      <w:pPr>
        <w:pStyle w:val="BodyText"/>
        <w:spacing w:line="395" w:lineRule="exact"/>
        <w:ind w:left="1349"/>
      </w:pPr>
      <w:r>
        <w:rPr>
          <w:color w:val="231F20"/>
          <w:w w:val="70"/>
        </w:rPr>
        <w:t>（ </w:t>
      </w:r>
      <w:r>
        <w:rPr>
          <w:color w:val="231F20"/>
          <w:w w:val="110"/>
        </w:rPr>
        <w:t>肺的電腦斷層或骨頭的 MRI 等 )(附件 14-12A)。</w:t>
      </w:r>
    </w:p>
    <w:p>
      <w:pPr>
        <w:pStyle w:val="BodyText"/>
        <w:tabs>
          <w:tab w:pos="1349" w:val="left" w:leader="none"/>
        </w:tabs>
        <w:spacing w:line="230" w:lineRule="auto" w:before="2"/>
        <w:ind w:left="1349" w:right="1133" w:hanging="720"/>
      </w:pPr>
      <w:r>
        <w:rPr>
          <w:color w:val="231F20"/>
          <w:w w:val="70"/>
        </w:rPr>
        <w:t>（</w:t>
      </w:r>
      <w:r>
        <w:rPr>
          <w:color w:val="231F20"/>
          <w:spacing w:val="-8"/>
          <w:w w:val="70"/>
        </w:rPr>
        <w:t> </w:t>
      </w:r>
      <w:r>
        <w:rPr>
          <w:color w:val="231F20"/>
          <w:w w:val="105"/>
        </w:rPr>
        <w:t>二</w:t>
      </w:r>
      <w:r>
        <w:rPr>
          <w:color w:val="231F20"/>
          <w:spacing w:val="-30"/>
          <w:w w:val="105"/>
        </w:rPr>
        <w:t> </w:t>
      </w:r>
      <w:r>
        <w:rPr>
          <w:color w:val="231F20"/>
          <w:w w:val="105"/>
        </w:rPr>
        <w:t>)</w:t>
        <w:tab/>
      </w:r>
      <w:r>
        <w:rPr>
          <w:color w:val="231F20"/>
        </w:rPr>
        <w:t>再次申請：需詳述個案服藥情形、生化檢驗、治療驗痰結果(包括：培養及藥敏</w:t>
      </w:r>
      <w:r>
        <w:rPr>
          <w:color w:val="231F20"/>
          <w:w w:val="105"/>
        </w:rPr>
        <w:t>試驗)及治療紀錄卡(附件</w:t>
      </w:r>
      <w:r>
        <w:rPr>
          <w:color w:val="231F20"/>
          <w:spacing w:val="-6"/>
          <w:w w:val="105"/>
        </w:rPr>
        <w:t> </w:t>
      </w:r>
      <w:r>
        <w:rPr>
          <w:color w:val="231F20"/>
          <w:w w:val="105"/>
        </w:rPr>
        <w:t>14-12B)。</w:t>
      </w:r>
    </w:p>
    <w:p>
      <w:pPr>
        <w:pStyle w:val="BodyText"/>
        <w:spacing w:line="395" w:lineRule="exact"/>
        <w:ind w:left="391"/>
      </w:pPr>
      <w:r>
        <w:rPr>
          <w:color w:val="231F20"/>
        </w:rPr>
        <w:t>六、—般醫院申辦方式</w:t>
      </w:r>
    </w:p>
    <w:p>
      <w:pPr>
        <w:pStyle w:val="BodyText"/>
        <w:spacing w:line="230" w:lineRule="auto" w:before="3"/>
        <w:ind w:left="878" w:right="1130"/>
      </w:pPr>
      <w:r>
        <w:rPr>
          <w:color w:val="231F20"/>
        </w:rPr>
        <w:t>醫院至 TB 系統填寫申請單，並上傳需檢附資料之掃描檔後送出，該院所在地之疾管署區管中心於系統受理申請，列印申請表單與相關資料後寄送諮詢委員審査，詳如</w:t>
      </w:r>
    </w:p>
    <w:p>
      <w:pPr>
        <w:pStyle w:val="BodyText"/>
        <w:spacing w:line="404" w:lineRule="exact"/>
        <w:ind w:left="878"/>
      </w:pPr>
      <w:r>
        <w:rPr>
          <w:color w:val="231F20"/>
          <w:w w:val="105"/>
        </w:rPr>
        <w:t>「衛生福利部疾病管制署申請抗結核公費藥流程」(附件 14-12)，說明如下：</w:t>
      </w:r>
    </w:p>
    <w:p>
      <w:pPr>
        <w:spacing w:after="0" w:line="404" w:lineRule="exact"/>
        <w:sectPr>
          <w:pgSz w:w="11910" w:h="16840"/>
          <w:pgMar w:top="1060" w:bottom="0" w:left="980" w:right="0"/>
        </w:sectPr>
      </w:pPr>
    </w:p>
    <w:p>
      <w:pPr>
        <w:pStyle w:val="BodyText"/>
        <w:spacing w:line="230" w:lineRule="auto" w:before="70"/>
        <w:ind w:left="1349" w:right="1128" w:hanging="720"/>
        <w:jc w:val="both"/>
      </w:pPr>
      <w:r>
        <w:rPr/>
        <w:pict>
          <v:group style="position:absolute;margin-left:.0pt;margin-top:394.171997pt;width:37.35pt;height:447.55pt;mso-position-horizontal-relative:page;mso-position-vertical-relative:page;z-index:252163072" coordorigin="0,7883" coordsize="747,8951">
            <v:shape style="position:absolute;left:178;top:8394;width:439;height:8440" type="#_x0000_t75" stroked="false">
              <v:imagedata r:id="rId453" o:title=""/>
            </v:shape>
            <v:shape style="position:absolute;left:0;top:7883;width:747;height:812" coordorigin="0,7883" coordsize="747,812" path="m365,7883l0,7883,0,8695,365,8695,387,8692,447,8659,713,8376,747,8289,738,8243,447,7920,387,7886,365,7883xe" filled="true" fillcolor="#8ebe3f" stroked="false">
              <v:path arrowok="t"/>
              <v:fill type="solid"/>
            </v:shape>
            <v:shape style="position:absolute;left:216;top:8150;width:384;height:273" type="#_x0000_t75" stroked="false">
              <v:imagedata r:id="rId474" o:title=""/>
            </v:shape>
            <v:shape style="position:absolute;left:274;top:8831;width:251;height:3607" type="#_x0000_t75" stroked="false">
              <v:imagedata r:id="rId47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164</w:t>
                    </w:r>
                  </w:p>
                </w:txbxContent>
              </v:textbox>
              <w10:wrap type="none"/>
            </v:shape>
            <w10:wrap type="none"/>
          </v:group>
        </w:pict>
      </w:r>
      <w:r>
        <w:rPr>
          <w:color w:val="231F20"/>
          <w:w w:val="70"/>
        </w:rPr>
        <w:t>（ </w:t>
      </w:r>
      <w:r>
        <w:rPr>
          <w:color w:val="231F20"/>
        </w:rPr>
        <w:t>— ) 審査同意，由疾管署各區管制中心傳真疾管署抗結核公費藥申請單(附件 14- </w:t>
      </w:r>
      <w:r>
        <w:rPr>
          <w:color w:val="231F20"/>
          <w:w w:val="105"/>
        </w:rPr>
        <w:t>12A)及申請公費藥複審符合申請案件總表(附件  14-12C)予公費藥管理單位(胸腔病院)寄發藥品，並回復申請醫院，醫院約於收到通知後 2 個工作天會收到藥品。</w:t>
      </w:r>
    </w:p>
    <w:p>
      <w:pPr>
        <w:pStyle w:val="BodyText"/>
        <w:spacing w:line="230" w:lineRule="auto"/>
        <w:ind w:left="1349" w:right="1138" w:hanging="720"/>
        <w:jc w:val="both"/>
      </w:pPr>
      <w:r>
        <w:rPr>
          <w:color w:val="231F20"/>
          <w:w w:val="70"/>
        </w:rPr>
        <w:t>（ </w:t>
      </w:r>
      <w:r>
        <w:rPr>
          <w:color w:val="231F20"/>
        </w:rPr>
        <w:t>二 ) 審査不同意、審査同意但需再更改處方或建議送快速分子抗藥檢驗，由區管中心</w:t>
      </w:r>
      <w:r>
        <w:rPr>
          <w:color w:val="231F20"/>
          <w:w w:val="105"/>
        </w:rPr>
        <w:t>填寫抗結核公費藥診療醫師回復單(附件 14-12G)，連同申請單回復醫院。</w:t>
      </w:r>
    </w:p>
    <w:p>
      <w:pPr>
        <w:pStyle w:val="BodyText"/>
        <w:spacing w:line="395" w:lineRule="exact"/>
        <w:ind w:left="391"/>
      </w:pPr>
      <w:r>
        <w:rPr>
          <w:color w:val="231F20"/>
        </w:rPr>
        <w:t>七、大宗醫院申請</w:t>
      </w:r>
    </w:p>
    <w:p>
      <w:pPr>
        <w:pStyle w:val="BodyText"/>
        <w:spacing w:line="230" w:lineRule="auto"/>
        <w:ind w:left="878" w:right="1075"/>
        <w:jc w:val="both"/>
      </w:pPr>
      <w:r>
        <w:rPr>
          <w:color w:val="231F20"/>
          <w:spacing w:val="-2"/>
        </w:rPr>
        <w:t>大宗醫院係指該院有 </w:t>
      </w:r>
      <w:r>
        <w:rPr>
          <w:color w:val="231F20"/>
        </w:rPr>
        <w:t>20</w:t>
      </w:r>
      <w:r>
        <w:rPr>
          <w:color w:val="231F20"/>
          <w:spacing w:val="-10"/>
        </w:rPr>
        <w:t> 名以上申請個案，並向疾管署各區管制中心提出申請核可者。</w:t>
      </w:r>
      <w:r>
        <w:rPr>
          <w:color w:val="231F20"/>
          <w:spacing w:val="2"/>
        </w:rPr>
        <w:t>國內大宗醫院名單與申請單檔案請逕至本署全球資訊網 </w:t>
      </w:r>
      <w:r>
        <w:rPr>
          <w:color w:val="231F20"/>
          <w:spacing w:val="-3"/>
        </w:rPr>
        <w:t>www.cdc.gov.tw</w:t>
      </w:r>
      <w:r>
        <w:rPr>
          <w:color w:val="231F20"/>
          <w:spacing w:val="17"/>
        </w:rPr>
        <w:t>(首頁＞ 傳</w:t>
      </w:r>
      <w:r>
        <w:rPr>
          <w:color w:val="231F20"/>
          <w:spacing w:val="-13"/>
        </w:rPr>
        <w:t>染病與防疫專題 ＞ 傳染病介紹 ＞ 第三類法定傳染病 ＞ 結核病 ＞ 治療照護 ＞ 抗結核</w:t>
      </w:r>
      <w:r>
        <w:rPr>
          <w:color w:val="231F20"/>
          <w:w w:val="105"/>
        </w:rPr>
        <w:t>公費藥申請)下載使用。</w:t>
      </w:r>
    </w:p>
    <w:p>
      <w:pPr>
        <w:pStyle w:val="BodyText"/>
        <w:spacing w:line="401" w:lineRule="exact"/>
        <w:ind w:left="861"/>
      </w:pPr>
      <w:r>
        <w:rPr/>
        <w:pict>
          <v:group style="position:absolute;margin-left:101.919998pt;margin-top:24.324089pt;width:425.1pt;height:433.05pt;mso-position-horizontal-relative:page;mso-position-vertical-relative:paragraph;z-index:-251155456;mso-wrap-distance-left:0;mso-wrap-distance-right:0" coordorigin="2038,486" coordsize="8502,8661">
            <v:shape style="position:absolute;left:2038;top:486;width:8502;height:2668" type="#_x0000_t75" stroked="false">
              <v:imagedata r:id="rId476" o:title=""/>
            </v:shape>
            <v:shape style="position:absolute;left:2038;top:3148;width:8502;height:2671" type="#_x0000_t75" stroked="false">
              <v:imagedata r:id="rId477" o:title=""/>
            </v:shape>
            <v:shape style="position:absolute;left:2038;top:5813;width:8502;height:3334" type="#_x0000_t75" stroked="false">
              <v:imagedata r:id="rId478" o:title=""/>
            </v:shape>
            <w10:wrap type="topAndBottom"/>
          </v:group>
        </w:pict>
      </w:r>
      <w:r>
        <w:rPr>
          <w:color w:val="231F20"/>
        </w:rPr>
        <w:t>大宗醫院申請公費藥之流程如下圖：</w:t>
      </w:r>
    </w:p>
    <w:p>
      <w:pPr>
        <w:spacing w:after="0" w:line="401" w:lineRule="exact"/>
        <w:sectPr>
          <w:pgSz w:w="11910" w:h="16840"/>
          <w:pgMar w:top="1060" w:bottom="0" w:left="980" w:right="0"/>
        </w:sectPr>
      </w:pPr>
    </w:p>
    <w:p>
      <w:pPr>
        <w:pStyle w:val="BodyText"/>
        <w:spacing w:line="409" w:lineRule="exact" w:before="59"/>
        <w:ind w:left="391"/>
      </w:pPr>
      <w:r>
        <w:rPr/>
        <w:pict>
          <v:group style="position:absolute;margin-left:557.686523pt;margin-top:394.171997pt;width:37.35pt;height:447.55pt;mso-position-horizontal-relative:page;mso-position-vertical-relative:page;z-index:252165120" coordorigin="11154,7883" coordsize="747,8951">
            <v:shape style="position:absolute;left:11283;top:8394;width:439;height:8439" type="#_x0000_t75" stroked="false">
              <v:imagedata r:id="rId450" o:title=""/>
            </v:shape>
            <v:shape style="position:absolute;left:11153;top:7883;width:747;height:812" coordorigin="11154,7883" coordsize="747,812" path="m11900,7883l11536,7883,11514,7886,11454,7920,11188,8202,11154,8289,11162,8336,11454,8659,11514,8692,11536,8695,11900,8695,11900,7883xe" filled="true" fillcolor="#8ebe3f" stroked="false">
              <v:path arrowok="t"/>
              <v:fill type="solid"/>
            </v:shape>
            <v:shape style="position:absolute;left:11321;top:8150;width:384;height:273" type="#_x0000_t75" stroked="false">
              <v:imagedata r:id="rId479" o:title=""/>
            </v:shape>
            <v:shape style="position:absolute;left:11379;top:8831;width:251;height:3607" type="#_x0000_t75" stroked="false">
              <v:imagedata r:id="rId452" o:title=""/>
            </v:shape>
            <v:shape style="position:absolute;left:11368;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165</w:t>
                    </w:r>
                  </w:p>
                </w:txbxContent>
              </v:textbox>
              <w10:wrap type="none"/>
            </v:shape>
            <w10:wrap type="none"/>
          </v:group>
        </w:pict>
      </w:r>
      <w:r>
        <w:rPr>
          <w:color w:val="231F20"/>
        </w:rPr>
        <w:t>八、抗結核公費藥申請須知：目前國內提供之抗結核病公費藥分為：</w:t>
      </w:r>
    </w:p>
    <w:p>
      <w:pPr>
        <w:pStyle w:val="BodyText"/>
        <w:tabs>
          <w:tab w:pos="1349" w:val="left" w:leader="none"/>
        </w:tabs>
        <w:spacing w:line="400" w:lineRule="exact"/>
        <w:ind w:left="629"/>
      </w:pPr>
      <w:r>
        <w:rPr>
          <w:color w:val="231F20"/>
          <w:w w:val="70"/>
        </w:rPr>
        <w:t>（</w:t>
      </w:r>
      <w:r>
        <w:rPr>
          <w:color w:val="231F20"/>
          <w:spacing w:val="-5"/>
          <w:w w:val="70"/>
        </w:rPr>
        <w:t> </w:t>
      </w:r>
      <w:r>
        <w:rPr>
          <w:color w:val="231F20"/>
          <w:spacing w:val="-8"/>
        </w:rPr>
        <w:t>— )</w:t>
      </w:r>
      <w:r>
        <w:rPr>
          <w:color w:val="231F20"/>
        </w:rPr>
        <w:tab/>
      </w:r>
      <w:r>
        <w:rPr>
          <w:color w:val="231F20"/>
          <w:spacing w:val="-2"/>
        </w:rPr>
        <w:t>可提供—般 </w:t>
      </w:r>
      <w:r>
        <w:rPr>
          <w:color w:val="231F20"/>
          <w:spacing w:val="-3"/>
        </w:rPr>
        <w:t>／TMTC 團隊醫院申請的藥物</w:t>
      </w:r>
    </w:p>
    <w:p>
      <w:pPr>
        <w:pStyle w:val="BodyText"/>
        <w:tabs>
          <w:tab w:pos="1349" w:val="left" w:leader="none"/>
        </w:tabs>
        <w:spacing w:line="400" w:lineRule="exact"/>
        <w:ind w:left="629"/>
      </w:pPr>
      <w:r>
        <w:rPr>
          <w:color w:val="231F20"/>
          <w:w w:val="70"/>
        </w:rPr>
        <w:t>（</w:t>
      </w:r>
      <w:r>
        <w:rPr>
          <w:color w:val="231F20"/>
          <w:spacing w:val="-5"/>
          <w:w w:val="70"/>
        </w:rPr>
        <w:t> </w:t>
      </w:r>
      <w:r>
        <w:rPr>
          <w:color w:val="231F20"/>
        </w:rPr>
        <w:t>二</w:t>
      </w:r>
      <w:r>
        <w:rPr>
          <w:color w:val="231F20"/>
          <w:spacing w:val="-24"/>
        </w:rPr>
        <w:t> </w:t>
      </w:r>
      <w:r>
        <w:rPr>
          <w:color w:val="231F20"/>
        </w:rPr>
        <w:t>)</w:t>
        <w:tab/>
        <w:t>限</w:t>
      </w:r>
      <w:r>
        <w:rPr>
          <w:color w:val="231F20"/>
          <w:spacing w:val="-7"/>
        </w:rPr>
        <w:t> </w:t>
      </w:r>
      <w:r>
        <w:rPr>
          <w:color w:val="231F20"/>
          <w:spacing w:val="-4"/>
        </w:rPr>
        <w:t>TMTC</w:t>
      </w:r>
      <w:r>
        <w:rPr>
          <w:color w:val="231F20"/>
          <w:spacing w:val="-7"/>
        </w:rPr>
        <w:t> </w:t>
      </w:r>
      <w:r>
        <w:rPr>
          <w:color w:val="231F20"/>
        </w:rPr>
        <w:t>團隊申請的藥物</w:t>
      </w:r>
    </w:p>
    <w:p>
      <w:pPr>
        <w:pStyle w:val="BodyText"/>
        <w:tabs>
          <w:tab w:pos="1349" w:val="left" w:leader="none"/>
        </w:tabs>
        <w:spacing w:line="400" w:lineRule="exact"/>
        <w:ind w:left="629"/>
      </w:pPr>
      <w:r>
        <w:rPr>
          <w:color w:val="231F20"/>
          <w:w w:val="70"/>
        </w:rPr>
        <w:t>（</w:t>
      </w:r>
      <w:r>
        <w:rPr>
          <w:color w:val="231F20"/>
          <w:spacing w:val="-5"/>
          <w:w w:val="70"/>
        </w:rPr>
        <w:t> </w:t>
      </w:r>
      <w:r>
        <w:rPr>
          <w:color w:val="231F20"/>
        </w:rPr>
        <w:t>三</w:t>
      </w:r>
      <w:r>
        <w:rPr>
          <w:color w:val="231F20"/>
          <w:spacing w:val="-24"/>
        </w:rPr>
        <w:t> </w:t>
      </w:r>
      <w:r>
        <w:rPr>
          <w:color w:val="231F20"/>
        </w:rPr>
        <w:t>)</w:t>
        <w:tab/>
      </w:r>
      <w:r>
        <w:rPr>
          <w:color w:val="231F20"/>
          <w:spacing w:val="-3"/>
        </w:rPr>
        <w:t>TMTC</w:t>
      </w:r>
      <w:r>
        <w:rPr>
          <w:color w:val="231F20"/>
          <w:spacing w:val="-7"/>
        </w:rPr>
        <w:t> </w:t>
      </w:r>
      <w:r>
        <w:rPr>
          <w:color w:val="231F20"/>
        </w:rPr>
        <w:t>團隊自購藥物</w:t>
      </w:r>
    </w:p>
    <w:p>
      <w:pPr>
        <w:pStyle w:val="BodyText"/>
        <w:spacing w:line="230" w:lineRule="auto" w:before="2"/>
        <w:ind w:left="1349" w:right="1125"/>
        <w:jc w:val="both"/>
      </w:pPr>
      <w:r>
        <w:rPr>
          <w:color w:val="231F20"/>
        </w:rPr>
        <w:t>疾管署統—採購的具藥品許可證之藥品、專案進口藥品及TMTC 團隊醫院自行採購藥品 3 大類，依藥品種類、個案身分別、是否加入 TMTC 團隊、都治等申請條件，羅列如附件 14-12H。</w:t>
      </w:r>
    </w:p>
    <w:p>
      <w:pPr>
        <w:pStyle w:val="BodyText"/>
        <w:spacing w:before="2"/>
        <w:rPr>
          <w:sz w:val="20"/>
        </w:rPr>
      </w:pPr>
    </w:p>
    <w:p>
      <w:pPr>
        <w:pStyle w:val="Heading2"/>
        <w:spacing w:line="240" w:lineRule="auto"/>
      </w:pPr>
      <w:r>
        <w:rPr>
          <w:color w:val="231F20"/>
        </w:rPr>
        <w:t>伍、工作內容及分工</w:t>
      </w:r>
    </w:p>
    <w:tbl>
      <w:tblPr>
        <w:tblW w:w="0" w:type="auto"/>
        <w:jc w:val="left"/>
        <w:tblInd w:w="16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top w:w="0" w:type="dxa"/>
          <w:left w:w="0" w:type="dxa"/>
          <w:bottom w:w="0" w:type="dxa"/>
          <w:right w:w="0" w:type="dxa"/>
        </w:tblCellMar>
        <w:tblLook w:val="01E0"/>
      </w:tblPr>
      <w:tblGrid>
        <w:gridCol w:w="2387"/>
        <w:gridCol w:w="7232"/>
      </w:tblGrid>
      <w:tr>
        <w:trPr>
          <w:trHeight w:val="451" w:hRule="atLeast"/>
        </w:trPr>
        <w:tc>
          <w:tcPr>
            <w:tcW w:w="2387" w:type="dxa"/>
            <w:shd w:val="clear" w:color="auto" w:fill="E6E7E8"/>
          </w:tcPr>
          <w:p>
            <w:pPr>
              <w:pStyle w:val="TableParagraph"/>
              <w:spacing w:line="403" w:lineRule="exact"/>
              <w:ind w:left="312" w:right="298"/>
              <w:jc w:val="center"/>
              <w:rPr>
                <w:rFonts w:ascii="微軟正黑體" w:eastAsia="微軟正黑體" w:hint="eastAsia"/>
                <w:b/>
                <w:sz w:val="24"/>
              </w:rPr>
            </w:pPr>
            <w:r>
              <w:rPr>
                <w:rFonts w:ascii="微軟正黑體" w:eastAsia="微軟正黑體" w:hint="eastAsia"/>
                <w:b/>
                <w:color w:val="231F20"/>
                <w:sz w:val="24"/>
              </w:rPr>
              <w:t>主責單位</w:t>
            </w:r>
          </w:p>
        </w:tc>
        <w:tc>
          <w:tcPr>
            <w:tcW w:w="7232" w:type="dxa"/>
            <w:shd w:val="clear" w:color="auto" w:fill="E6E7E8"/>
          </w:tcPr>
          <w:p>
            <w:pPr>
              <w:pStyle w:val="TableParagraph"/>
              <w:spacing w:line="403" w:lineRule="exact"/>
              <w:ind w:left="3115" w:right="3101"/>
              <w:jc w:val="center"/>
              <w:rPr>
                <w:rFonts w:ascii="微軟正黑體" w:eastAsia="微軟正黑體" w:hint="eastAsia"/>
                <w:b/>
                <w:sz w:val="24"/>
              </w:rPr>
            </w:pPr>
            <w:r>
              <w:rPr>
                <w:rFonts w:ascii="微軟正黑體" w:eastAsia="微軟正黑體" w:hint="eastAsia"/>
                <w:b/>
                <w:color w:val="231F20"/>
                <w:sz w:val="24"/>
              </w:rPr>
              <w:t>工作項目</w:t>
            </w:r>
          </w:p>
        </w:tc>
      </w:tr>
      <w:tr>
        <w:trPr>
          <w:trHeight w:val="2850" w:hRule="atLeast"/>
        </w:trPr>
        <w:tc>
          <w:tcPr>
            <w:tcW w:w="2387" w:type="dxa"/>
          </w:tcPr>
          <w:p>
            <w:pPr>
              <w:pStyle w:val="TableParagraph"/>
              <w:rPr>
                <w:rFonts w:ascii="微軟正黑體"/>
                <w:b/>
                <w:sz w:val="32"/>
              </w:rPr>
            </w:pPr>
          </w:p>
          <w:p>
            <w:pPr>
              <w:pStyle w:val="TableParagraph"/>
              <w:spacing w:before="15"/>
              <w:rPr>
                <w:rFonts w:ascii="微軟正黑體"/>
                <w:b/>
                <w:sz w:val="32"/>
              </w:rPr>
            </w:pPr>
          </w:p>
          <w:p>
            <w:pPr>
              <w:pStyle w:val="TableParagraph"/>
              <w:ind w:left="312" w:right="238"/>
              <w:jc w:val="center"/>
              <w:rPr>
                <w:sz w:val="24"/>
              </w:rPr>
            </w:pPr>
            <w:r>
              <w:rPr>
                <w:color w:val="231F20"/>
                <w:sz w:val="24"/>
              </w:rPr>
              <w:t>衛生局／所 </w:t>
            </w:r>
          </w:p>
        </w:tc>
        <w:tc>
          <w:tcPr>
            <w:tcW w:w="7232" w:type="dxa"/>
          </w:tcPr>
          <w:p>
            <w:pPr>
              <w:pStyle w:val="TableParagraph"/>
              <w:numPr>
                <w:ilvl w:val="0"/>
                <w:numId w:val="322"/>
              </w:numPr>
              <w:tabs>
                <w:tab w:pos="369" w:val="left" w:leader="none"/>
              </w:tabs>
              <w:spacing w:line="230" w:lineRule="auto" w:before="4" w:after="0"/>
              <w:ind w:left="368" w:right="94" w:hanging="255"/>
              <w:jc w:val="both"/>
              <w:rPr>
                <w:sz w:val="24"/>
              </w:rPr>
            </w:pPr>
            <w:r>
              <w:rPr>
                <w:color w:val="231F20"/>
                <w:spacing w:val="-1"/>
                <w:w w:val="105"/>
                <w:sz w:val="24"/>
              </w:rPr>
              <w:t>召開縣市級診療諮詢小組，至少 </w:t>
            </w:r>
            <w:r>
              <w:rPr>
                <w:color w:val="231F20"/>
                <w:w w:val="105"/>
                <w:sz w:val="24"/>
              </w:rPr>
              <w:t>3</w:t>
            </w:r>
            <w:r>
              <w:rPr>
                <w:color w:val="231F20"/>
                <w:spacing w:val="-2"/>
                <w:w w:val="105"/>
                <w:sz w:val="24"/>
              </w:rPr>
              <w:t> 位(單數)諮詢委員，備妥需</w:t>
            </w:r>
            <w:r>
              <w:rPr>
                <w:color w:val="231F20"/>
                <w:spacing w:val="2"/>
                <w:sz w:val="24"/>
              </w:rPr>
              <w:t>口冊的個案資料(兒童病例應找 </w:t>
            </w:r>
            <w:r>
              <w:rPr>
                <w:color w:val="231F20"/>
                <w:sz w:val="24"/>
              </w:rPr>
              <w:t>2</w:t>
            </w:r>
            <w:r>
              <w:rPr>
                <w:color w:val="231F20"/>
                <w:spacing w:val="1"/>
                <w:sz w:val="24"/>
              </w:rPr>
              <w:t> 位兒科或相關影像醫學科、骨</w:t>
            </w:r>
            <w:r>
              <w:rPr>
                <w:color w:val="231F20"/>
                <w:spacing w:val="1"/>
                <w:w w:val="105"/>
                <w:sz w:val="24"/>
              </w:rPr>
              <w:t>科或外科等醫師參與提供診療意見)</w:t>
            </w:r>
          </w:p>
          <w:p>
            <w:pPr>
              <w:pStyle w:val="TableParagraph"/>
              <w:numPr>
                <w:ilvl w:val="0"/>
                <w:numId w:val="322"/>
              </w:numPr>
              <w:tabs>
                <w:tab w:pos="368" w:val="left" w:leader="none"/>
              </w:tabs>
              <w:spacing w:line="394" w:lineRule="exact" w:before="0" w:after="0"/>
              <w:ind w:left="367" w:right="0" w:hanging="255"/>
              <w:jc w:val="left"/>
              <w:rPr>
                <w:sz w:val="24"/>
              </w:rPr>
            </w:pPr>
            <w:r>
              <w:rPr>
                <w:color w:val="231F20"/>
                <w:sz w:val="24"/>
              </w:rPr>
              <w:t>會同諮詢委員面訪個案及處理突發疫情等</w:t>
            </w:r>
          </w:p>
          <w:p>
            <w:pPr>
              <w:pStyle w:val="TableParagraph"/>
              <w:numPr>
                <w:ilvl w:val="0"/>
                <w:numId w:val="322"/>
              </w:numPr>
              <w:tabs>
                <w:tab w:pos="368" w:val="left" w:leader="none"/>
              </w:tabs>
              <w:spacing w:line="400" w:lineRule="exact" w:before="0" w:after="0"/>
              <w:ind w:left="367" w:right="0" w:hanging="255"/>
              <w:jc w:val="left"/>
              <w:rPr>
                <w:sz w:val="24"/>
              </w:rPr>
            </w:pPr>
            <w:r>
              <w:rPr>
                <w:color w:val="231F20"/>
                <w:sz w:val="24"/>
              </w:rPr>
              <w:t>製作諮詢會議紀錄及後續追蹤相關事宜</w:t>
            </w:r>
          </w:p>
          <w:p>
            <w:pPr>
              <w:pStyle w:val="TableParagraph"/>
              <w:numPr>
                <w:ilvl w:val="0"/>
                <w:numId w:val="322"/>
              </w:numPr>
              <w:tabs>
                <w:tab w:pos="368" w:val="left" w:leader="none"/>
              </w:tabs>
              <w:spacing w:line="400" w:lineRule="exact" w:before="0" w:after="0"/>
              <w:ind w:left="367" w:right="0" w:hanging="255"/>
              <w:jc w:val="left"/>
              <w:rPr>
                <w:sz w:val="24"/>
              </w:rPr>
            </w:pPr>
            <w:r>
              <w:rPr>
                <w:color w:val="231F20"/>
                <w:sz w:val="24"/>
              </w:rPr>
              <w:t>回復診療醫師病例口冊結果及後續溝通事宜</w:t>
            </w:r>
          </w:p>
          <w:p>
            <w:pPr>
              <w:pStyle w:val="TableParagraph"/>
              <w:numPr>
                <w:ilvl w:val="0"/>
                <w:numId w:val="322"/>
              </w:numPr>
              <w:tabs>
                <w:tab w:pos="368" w:val="left" w:leader="none"/>
              </w:tabs>
              <w:spacing w:line="409" w:lineRule="exact" w:before="0" w:after="0"/>
              <w:ind w:left="367" w:right="0" w:hanging="255"/>
              <w:jc w:val="left"/>
              <w:rPr>
                <w:sz w:val="24"/>
              </w:rPr>
            </w:pPr>
            <w:r>
              <w:rPr>
                <w:color w:val="231F20"/>
                <w:sz w:val="24"/>
              </w:rPr>
              <w:t>完成病例口冊與面訪困難個案之登錄作業</w:t>
            </w:r>
          </w:p>
        </w:tc>
      </w:tr>
      <w:tr>
        <w:trPr>
          <w:trHeight w:val="2450" w:hRule="atLeast"/>
        </w:trPr>
        <w:tc>
          <w:tcPr>
            <w:tcW w:w="2387" w:type="dxa"/>
          </w:tcPr>
          <w:p>
            <w:pPr>
              <w:pStyle w:val="TableParagraph"/>
              <w:spacing w:before="13"/>
              <w:rPr>
                <w:rFonts w:ascii="微軟正黑體"/>
                <w:b/>
                <w:sz w:val="43"/>
              </w:rPr>
            </w:pPr>
          </w:p>
          <w:p>
            <w:pPr>
              <w:pStyle w:val="TableParagraph"/>
              <w:spacing w:line="230" w:lineRule="auto"/>
              <w:ind w:left="473" w:right="457" w:firstLine="279"/>
              <w:rPr>
                <w:sz w:val="24"/>
              </w:rPr>
            </w:pPr>
            <w:r>
              <w:rPr>
                <w:color w:val="231F20"/>
                <w:sz w:val="24"/>
              </w:rPr>
              <w:t>疾 管 署 </w:t>
            </w:r>
            <w:r>
              <w:rPr>
                <w:color w:val="231F20"/>
                <w:w w:val="70"/>
                <w:sz w:val="24"/>
              </w:rPr>
              <w:t>／ </w:t>
            </w:r>
            <w:r>
              <w:rPr>
                <w:color w:val="231F20"/>
                <w:sz w:val="24"/>
              </w:rPr>
              <w:t>各區管制中心</w:t>
            </w:r>
          </w:p>
        </w:tc>
        <w:tc>
          <w:tcPr>
            <w:tcW w:w="7232" w:type="dxa"/>
          </w:tcPr>
          <w:p>
            <w:pPr>
              <w:pStyle w:val="TableParagraph"/>
              <w:numPr>
                <w:ilvl w:val="0"/>
                <w:numId w:val="323"/>
              </w:numPr>
              <w:tabs>
                <w:tab w:pos="368" w:val="left" w:leader="none"/>
              </w:tabs>
              <w:spacing w:line="402" w:lineRule="exact" w:before="0" w:after="0"/>
              <w:ind w:left="367" w:right="0" w:hanging="255"/>
              <w:jc w:val="left"/>
              <w:rPr>
                <w:sz w:val="24"/>
              </w:rPr>
            </w:pPr>
            <w:r>
              <w:rPr>
                <w:color w:val="231F20"/>
                <w:sz w:val="24"/>
              </w:rPr>
              <w:t>聘任疾管署各區診療諮詢小組委員</w:t>
            </w:r>
          </w:p>
          <w:p>
            <w:pPr>
              <w:pStyle w:val="TableParagraph"/>
              <w:numPr>
                <w:ilvl w:val="0"/>
                <w:numId w:val="323"/>
              </w:numPr>
              <w:tabs>
                <w:tab w:pos="368" w:val="left" w:leader="none"/>
              </w:tabs>
              <w:spacing w:line="400" w:lineRule="exact" w:before="0" w:after="0"/>
              <w:ind w:left="367" w:right="0" w:hanging="255"/>
              <w:jc w:val="left"/>
              <w:rPr>
                <w:sz w:val="24"/>
              </w:rPr>
            </w:pPr>
            <w:r>
              <w:rPr>
                <w:color w:val="231F20"/>
                <w:sz w:val="24"/>
              </w:rPr>
              <w:t>督導縣市衛生局召開病例口冊會議</w:t>
            </w:r>
          </w:p>
          <w:p>
            <w:pPr>
              <w:pStyle w:val="TableParagraph"/>
              <w:numPr>
                <w:ilvl w:val="0"/>
                <w:numId w:val="323"/>
              </w:numPr>
              <w:tabs>
                <w:tab w:pos="368" w:val="left" w:leader="none"/>
              </w:tabs>
              <w:spacing w:line="400" w:lineRule="exact" w:before="0" w:after="0"/>
              <w:ind w:left="367" w:right="0" w:hanging="255"/>
              <w:jc w:val="left"/>
              <w:rPr>
                <w:sz w:val="24"/>
              </w:rPr>
            </w:pPr>
            <w:r>
              <w:rPr>
                <w:color w:val="231F20"/>
                <w:w w:val="105"/>
                <w:sz w:val="24"/>
              </w:rPr>
              <w:t>輔導縣市衛生局(所)人員會同委員面訪個案及處理突發疫情等</w:t>
            </w:r>
          </w:p>
          <w:p>
            <w:pPr>
              <w:pStyle w:val="TableParagraph"/>
              <w:numPr>
                <w:ilvl w:val="0"/>
                <w:numId w:val="323"/>
              </w:numPr>
              <w:tabs>
                <w:tab w:pos="368" w:val="left" w:leader="none"/>
              </w:tabs>
              <w:spacing w:line="400" w:lineRule="exact" w:before="0" w:after="0"/>
              <w:ind w:left="367" w:right="0" w:hanging="255"/>
              <w:jc w:val="left"/>
              <w:rPr>
                <w:sz w:val="24"/>
              </w:rPr>
            </w:pPr>
            <w:r>
              <w:rPr>
                <w:color w:val="231F20"/>
                <w:sz w:val="24"/>
              </w:rPr>
              <w:t>召開區域級結核病診療諮詢小組</w:t>
            </w:r>
          </w:p>
          <w:p>
            <w:pPr>
              <w:pStyle w:val="TableParagraph"/>
              <w:numPr>
                <w:ilvl w:val="0"/>
                <w:numId w:val="323"/>
              </w:numPr>
              <w:tabs>
                <w:tab w:pos="369" w:val="left" w:leader="none"/>
              </w:tabs>
              <w:spacing w:line="230" w:lineRule="auto" w:before="2" w:after="0"/>
              <w:ind w:left="368" w:right="93" w:hanging="255"/>
              <w:jc w:val="left"/>
              <w:rPr>
                <w:sz w:val="24"/>
              </w:rPr>
            </w:pPr>
            <w:r>
              <w:rPr>
                <w:color w:val="231F20"/>
                <w:sz w:val="24"/>
              </w:rPr>
              <w:t>每月 15</w:t>
            </w:r>
            <w:r>
              <w:rPr>
                <w:color w:val="231F20"/>
                <w:spacing w:val="1"/>
                <w:sz w:val="24"/>
              </w:rPr>
              <w:t> 日，確認縣市衛生局完成上—個月之諮詢小組會議及面</w:t>
            </w:r>
            <w:r>
              <w:rPr>
                <w:color w:val="231F20"/>
                <w:spacing w:val="-2"/>
                <w:sz w:val="24"/>
              </w:rPr>
              <w:t>訪困難個案 </w:t>
            </w:r>
            <w:r>
              <w:rPr>
                <w:color w:val="231F20"/>
                <w:sz w:val="24"/>
              </w:rPr>
              <w:t>TB</w:t>
            </w:r>
            <w:r>
              <w:rPr>
                <w:color w:val="231F20"/>
                <w:spacing w:val="-3"/>
                <w:sz w:val="24"/>
              </w:rPr>
              <w:t> 系統登錄作業是否完成</w:t>
            </w:r>
          </w:p>
        </w:tc>
      </w:tr>
      <w:tr>
        <w:trPr>
          <w:trHeight w:val="1651" w:hRule="atLeast"/>
        </w:trPr>
        <w:tc>
          <w:tcPr>
            <w:tcW w:w="2387" w:type="dxa"/>
          </w:tcPr>
          <w:p>
            <w:pPr>
              <w:pStyle w:val="TableParagraph"/>
              <w:spacing w:before="4"/>
              <w:rPr>
                <w:rFonts w:ascii="微軟正黑體"/>
                <w:b/>
                <w:sz w:val="32"/>
              </w:rPr>
            </w:pPr>
          </w:p>
          <w:p>
            <w:pPr>
              <w:pStyle w:val="TableParagraph"/>
              <w:ind w:left="312" w:right="298"/>
              <w:jc w:val="center"/>
              <w:rPr>
                <w:sz w:val="24"/>
              </w:rPr>
            </w:pPr>
            <w:r>
              <w:rPr>
                <w:color w:val="231F20"/>
                <w:sz w:val="24"/>
              </w:rPr>
              <w:t>疾管署 </w:t>
            </w:r>
            <w:r>
              <w:rPr>
                <w:color w:val="231F20"/>
                <w:w w:val="70"/>
                <w:sz w:val="24"/>
              </w:rPr>
              <w:t>／ </w:t>
            </w:r>
            <w:r>
              <w:rPr>
                <w:color w:val="231F20"/>
                <w:sz w:val="24"/>
              </w:rPr>
              <w:t>慢性組</w:t>
            </w:r>
          </w:p>
        </w:tc>
        <w:tc>
          <w:tcPr>
            <w:tcW w:w="7232" w:type="dxa"/>
          </w:tcPr>
          <w:p>
            <w:pPr>
              <w:pStyle w:val="TableParagraph"/>
              <w:numPr>
                <w:ilvl w:val="0"/>
                <w:numId w:val="324"/>
              </w:numPr>
              <w:tabs>
                <w:tab w:pos="368" w:val="left" w:leader="none"/>
              </w:tabs>
              <w:spacing w:line="402" w:lineRule="exact" w:before="0" w:after="0"/>
              <w:ind w:left="367" w:right="0" w:hanging="255"/>
              <w:jc w:val="left"/>
              <w:rPr>
                <w:sz w:val="24"/>
              </w:rPr>
            </w:pPr>
            <w:r>
              <w:rPr>
                <w:color w:val="231F20"/>
                <w:sz w:val="24"/>
              </w:rPr>
              <w:t>聘任衛生福利部諮詢委員</w:t>
            </w:r>
          </w:p>
          <w:p>
            <w:pPr>
              <w:pStyle w:val="TableParagraph"/>
              <w:numPr>
                <w:ilvl w:val="0"/>
                <w:numId w:val="324"/>
              </w:numPr>
              <w:tabs>
                <w:tab w:pos="369" w:val="left" w:leader="none"/>
              </w:tabs>
              <w:spacing w:line="230" w:lineRule="auto" w:before="2" w:after="0"/>
              <w:ind w:left="368" w:right="84" w:hanging="255"/>
              <w:jc w:val="left"/>
              <w:rPr>
                <w:sz w:val="24"/>
              </w:rPr>
            </w:pPr>
            <w:r>
              <w:rPr>
                <w:color w:val="231F20"/>
                <w:spacing w:val="7"/>
                <w:sz w:val="24"/>
              </w:rPr>
              <w:t>召開「抗藥性結核病醫療照護體系檢口暨困難治療個案口冊會</w:t>
            </w:r>
            <w:r>
              <w:rPr>
                <w:color w:val="231F20"/>
                <w:sz w:val="24"/>
              </w:rPr>
              <w:t>議」</w:t>
            </w:r>
          </w:p>
          <w:p>
            <w:pPr>
              <w:pStyle w:val="TableParagraph"/>
              <w:numPr>
                <w:ilvl w:val="0"/>
                <w:numId w:val="324"/>
              </w:numPr>
              <w:tabs>
                <w:tab w:pos="368" w:val="left" w:leader="none"/>
              </w:tabs>
              <w:spacing w:line="404" w:lineRule="exact" w:before="0" w:after="0"/>
              <w:ind w:left="367" w:right="0" w:hanging="255"/>
              <w:jc w:val="left"/>
              <w:rPr>
                <w:sz w:val="24"/>
              </w:rPr>
            </w:pPr>
            <w:r>
              <w:rPr>
                <w:color w:val="231F20"/>
                <w:sz w:val="24"/>
              </w:rPr>
              <w:t>彙整統計諮詢小組運作成果</w:t>
            </w:r>
          </w:p>
        </w:tc>
      </w:tr>
      <w:tr>
        <w:trPr>
          <w:trHeight w:val="2850" w:hRule="atLeast"/>
        </w:trPr>
        <w:tc>
          <w:tcPr>
            <w:tcW w:w="2387" w:type="dxa"/>
          </w:tcPr>
          <w:p>
            <w:pPr>
              <w:pStyle w:val="TableParagraph"/>
              <w:rPr>
                <w:rFonts w:ascii="微軟正黑體"/>
                <w:b/>
                <w:sz w:val="32"/>
              </w:rPr>
            </w:pPr>
          </w:p>
          <w:p>
            <w:pPr>
              <w:pStyle w:val="TableParagraph"/>
              <w:spacing w:before="15"/>
              <w:rPr>
                <w:rFonts w:ascii="微軟正黑體"/>
                <w:b/>
                <w:sz w:val="32"/>
              </w:rPr>
            </w:pPr>
          </w:p>
          <w:p>
            <w:pPr>
              <w:pStyle w:val="TableParagraph"/>
              <w:ind w:left="312" w:right="298"/>
              <w:jc w:val="center"/>
              <w:rPr>
                <w:sz w:val="24"/>
              </w:rPr>
            </w:pPr>
            <w:r>
              <w:rPr>
                <w:color w:val="231F20"/>
                <w:sz w:val="24"/>
              </w:rPr>
              <w:t>諮詢委員</w:t>
            </w:r>
          </w:p>
        </w:tc>
        <w:tc>
          <w:tcPr>
            <w:tcW w:w="7232" w:type="dxa"/>
          </w:tcPr>
          <w:p>
            <w:pPr>
              <w:pStyle w:val="TableParagraph"/>
              <w:numPr>
                <w:ilvl w:val="0"/>
                <w:numId w:val="325"/>
              </w:numPr>
              <w:tabs>
                <w:tab w:pos="369" w:val="left" w:leader="none"/>
              </w:tabs>
              <w:spacing w:line="230" w:lineRule="auto" w:before="4" w:after="0"/>
              <w:ind w:left="368" w:right="94" w:hanging="255"/>
              <w:jc w:val="left"/>
              <w:rPr>
                <w:sz w:val="24"/>
              </w:rPr>
            </w:pPr>
            <w:r>
              <w:rPr>
                <w:color w:val="231F20"/>
                <w:spacing w:val="-4"/>
                <w:sz w:val="24"/>
              </w:rPr>
              <w:t>對診斷 </w:t>
            </w:r>
            <w:r>
              <w:rPr>
                <w:color w:val="231F20"/>
                <w:spacing w:val="2"/>
                <w:w w:val="70"/>
                <w:sz w:val="24"/>
              </w:rPr>
              <w:t>／ </w:t>
            </w:r>
            <w:r>
              <w:rPr>
                <w:color w:val="231F20"/>
                <w:spacing w:val="-1"/>
                <w:sz w:val="24"/>
              </w:rPr>
              <w:t>治療有疑義的結核病個案提供處理意見，協助原診療醫</w:t>
            </w:r>
            <w:r>
              <w:rPr>
                <w:color w:val="231F20"/>
                <w:sz w:val="24"/>
              </w:rPr>
              <w:t>師確定診斷及治療</w:t>
            </w:r>
          </w:p>
          <w:p>
            <w:pPr>
              <w:pStyle w:val="TableParagraph"/>
              <w:numPr>
                <w:ilvl w:val="0"/>
                <w:numId w:val="325"/>
              </w:numPr>
              <w:tabs>
                <w:tab w:pos="368" w:val="left" w:leader="none"/>
              </w:tabs>
              <w:spacing w:line="395" w:lineRule="exact" w:before="0" w:after="0"/>
              <w:ind w:left="367" w:right="0" w:hanging="255"/>
              <w:jc w:val="left"/>
              <w:rPr>
                <w:sz w:val="24"/>
              </w:rPr>
            </w:pPr>
            <w:r>
              <w:rPr>
                <w:color w:val="231F20"/>
                <w:sz w:val="24"/>
              </w:rPr>
              <w:t>提供醫療院所結核病診療、用藥之諮詢</w:t>
            </w:r>
          </w:p>
          <w:p>
            <w:pPr>
              <w:pStyle w:val="TableParagraph"/>
              <w:numPr>
                <w:ilvl w:val="0"/>
                <w:numId w:val="325"/>
              </w:numPr>
              <w:tabs>
                <w:tab w:pos="368" w:val="left" w:leader="none"/>
              </w:tabs>
              <w:spacing w:line="400" w:lineRule="exact" w:before="0" w:after="0"/>
              <w:ind w:left="367" w:right="0" w:hanging="255"/>
              <w:jc w:val="left"/>
              <w:rPr>
                <w:sz w:val="24"/>
              </w:rPr>
            </w:pPr>
            <w:r>
              <w:rPr>
                <w:color w:val="231F20"/>
                <w:sz w:val="24"/>
              </w:rPr>
              <w:t>個案隔離治療需求評估</w:t>
            </w:r>
          </w:p>
          <w:p>
            <w:pPr>
              <w:pStyle w:val="TableParagraph"/>
              <w:numPr>
                <w:ilvl w:val="0"/>
                <w:numId w:val="325"/>
              </w:numPr>
              <w:tabs>
                <w:tab w:pos="368" w:val="left" w:leader="none"/>
              </w:tabs>
              <w:spacing w:line="400" w:lineRule="exact" w:before="0" w:after="0"/>
              <w:ind w:left="367" w:right="0" w:hanging="255"/>
              <w:jc w:val="left"/>
              <w:rPr>
                <w:sz w:val="24"/>
              </w:rPr>
            </w:pPr>
            <w:r>
              <w:rPr>
                <w:color w:val="231F20"/>
                <w:sz w:val="24"/>
              </w:rPr>
              <w:t>協助面訪治療困難或不合作之個案</w:t>
            </w:r>
          </w:p>
          <w:p>
            <w:pPr>
              <w:pStyle w:val="TableParagraph"/>
              <w:numPr>
                <w:ilvl w:val="0"/>
                <w:numId w:val="325"/>
              </w:numPr>
              <w:tabs>
                <w:tab w:pos="368" w:val="left" w:leader="none"/>
              </w:tabs>
              <w:spacing w:line="400" w:lineRule="exact" w:before="0" w:after="0"/>
              <w:ind w:left="367" w:right="0" w:hanging="255"/>
              <w:jc w:val="left"/>
              <w:rPr>
                <w:sz w:val="24"/>
              </w:rPr>
            </w:pPr>
            <w:r>
              <w:rPr>
                <w:color w:val="231F20"/>
                <w:w w:val="105"/>
                <w:sz w:val="24"/>
              </w:rPr>
              <w:t>協助突發(或異常)疫情之調査處理</w:t>
            </w:r>
          </w:p>
          <w:p>
            <w:pPr>
              <w:pStyle w:val="TableParagraph"/>
              <w:numPr>
                <w:ilvl w:val="0"/>
                <w:numId w:val="325"/>
              </w:numPr>
              <w:tabs>
                <w:tab w:pos="368" w:val="left" w:leader="none"/>
              </w:tabs>
              <w:spacing w:line="409" w:lineRule="exact" w:before="0" w:after="0"/>
              <w:ind w:left="367" w:right="0" w:hanging="255"/>
              <w:jc w:val="left"/>
              <w:rPr>
                <w:sz w:val="24"/>
              </w:rPr>
            </w:pPr>
            <w:r>
              <w:rPr>
                <w:color w:val="231F20"/>
                <w:sz w:val="24"/>
              </w:rPr>
              <w:t>其他結核病診療相關諮詢及協助事項</w:t>
            </w:r>
          </w:p>
        </w:tc>
      </w:tr>
    </w:tbl>
    <w:p>
      <w:pPr>
        <w:spacing w:after="0" w:line="409" w:lineRule="exact"/>
        <w:jc w:val="left"/>
        <w:rPr>
          <w:sz w:val="24"/>
        </w:rPr>
        <w:sectPr>
          <w:pgSz w:w="11910" w:h="16840"/>
          <w:pgMar w:top="1060" w:bottom="0" w:left="980" w:right="0"/>
        </w:sectPr>
      </w:pPr>
    </w:p>
    <w:p>
      <w:pPr>
        <w:pStyle w:val="BodyText"/>
        <w:spacing w:before="16"/>
        <w:rPr>
          <w:rFonts w:ascii="微軟正黑體"/>
          <w:b/>
          <w:sz w:val="10"/>
        </w:rPr>
      </w:pPr>
      <w:r>
        <w:rPr/>
        <w:pict>
          <v:group style="position:absolute;margin-left:.0pt;margin-top:394.171997pt;width:37.35pt;height:447.55pt;mso-position-horizontal-relative:page;mso-position-vertical-relative:page;z-index:252167168" coordorigin="0,7883" coordsize="747,8951">
            <v:shape style="position:absolute;left:178;top:8394;width:439;height:8440" type="#_x0000_t75" stroked="false">
              <v:imagedata r:id="rId453" o:title=""/>
            </v:shape>
            <v:shape style="position:absolute;left:0;top:7883;width:747;height:812" coordorigin="0,7883" coordsize="747,812" path="m365,7883l0,7883,0,8695,365,8695,387,8692,447,8659,713,8376,747,8289,738,8243,447,7920,387,7886,365,7883xe" filled="true" fillcolor="#8ebe3f" stroked="false">
              <v:path arrowok="t"/>
              <v:fill type="solid"/>
            </v:shape>
            <v:shape style="position:absolute;left:216;top:8150;width:384;height:273" type="#_x0000_t75" stroked="false">
              <v:imagedata r:id="rId480" o:title=""/>
            </v:shape>
            <v:shape style="position:absolute;left:274;top:8831;width:251;height:3607" type="#_x0000_t75" stroked="false">
              <v:imagedata r:id="rId455" o:title=""/>
            </v:shape>
            <v:shape style="position:absolute;left:266;top:16271;width:287;height:179" type="#_x0000_t202" filled="false" stroked="false">
              <v:textbox inset="0,0,0,0">
                <w:txbxContent>
                  <w:p>
                    <w:pPr>
                      <w:spacing w:line="179" w:lineRule="exact" w:before="0"/>
                      <w:ind w:left="0" w:right="0" w:firstLine="0"/>
                      <w:jc w:val="left"/>
                      <w:rPr>
                        <w:rFonts w:ascii="Arial"/>
                        <w:sz w:val="16"/>
                      </w:rPr>
                    </w:pPr>
                    <w:r>
                      <w:rPr>
                        <w:rFonts w:ascii="Arial"/>
                        <w:color w:val="231F20"/>
                        <w:sz w:val="16"/>
                      </w:rPr>
                      <w:t>166</w:t>
                    </w:r>
                  </w:p>
                </w:txbxContent>
              </v:textbox>
              <w10:wrap type="none"/>
            </v:shape>
            <w10:wrap type="none"/>
          </v:group>
        </w:pict>
      </w:r>
    </w:p>
    <w:p>
      <w:pPr>
        <w:spacing w:after="0"/>
        <w:rPr>
          <w:rFonts w:ascii="微軟正黑體"/>
          <w:sz w:val="10"/>
        </w:rPr>
        <w:sectPr>
          <w:pgSz w:w="11910" w:h="16840"/>
          <w:pgMar w:top="1600" w:bottom="0" w:left="980" w:right="0"/>
        </w:sectPr>
      </w:pPr>
    </w:p>
    <w:p>
      <w:pPr>
        <w:pStyle w:val="BodyText"/>
        <w:spacing w:before="56"/>
        <w:ind w:left="155"/>
      </w:pPr>
      <w:r>
        <w:rPr>
          <w:color w:val="231F20"/>
        </w:rPr>
        <w:t>國家圖書館出版品預行編目 （CIP) 資料</w:t>
      </w:r>
    </w:p>
    <w:p>
      <w:pPr>
        <w:pStyle w:val="BodyText"/>
        <w:ind w:left="467"/>
        <w:rPr>
          <w:sz w:val="20"/>
        </w:rPr>
      </w:pPr>
      <w:r>
        <w:rPr>
          <w:position w:val="0"/>
          <w:sz w:val="20"/>
        </w:rPr>
        <w:pict>
          <v:shape style="width:312pt;height:136.050pt;mso-position-horizontal-relative:char;mso-position-vertical-relative:line" type="#_x0000_t202" filled="false" stroked="true" strokeweight=".567pt" strokecolor="#d1d3d4">
            <w10:anchorlock/>
            <v:textbox inset="0,0,0,0">
              <w:txbxContent>
                <w:p>
                  <w:pPr>
                    <w:spacing w:line="220" w:lineRule="auto" w:before="104"/>
                    <w:ind w:left="1058" w:right="868" w:hanging="194"/>
                    <w:jc w:val="both"/>
                    <w:rPr>
                      <w:sz w:val="20"/>
                    </w:rPr>
                  </w:pPr>
                  <w:r>
                    <w:rPr>
                      <w:color w:val="231F20"/>
                      <w:spacing w:val="-7"/>
                      <w:sz w:val="20"/>
                    </w:rPr>
                    <w:t>結核病防治工作手冊 = </w:t>
                  </w:r>
                  <w:r>
                    <w:rPr>
                      <w:color w:val="231F20"/>
                      <w:spacing w:val="-9"/>
                      <w:sz w:val="20"/>
                    </w:rPr>
                    <w:t>Tuberculosis</w:t>
                  </w:r>
                  <w:r>
                    <w:rPr>
                      <w:color w:val="231F20"/>
                      <w:spacing w:val="1"/>
                      <w:sz w:val="20"/>
                    </w:rPr>
                    <w:t> </w:t>
                  </w:r>
                  <w:r>
                    <w:rPr>
                      <w:color w:val="231F20"/>
                      <w:spacing w:val="-7"/>
                      <w:sz w:val="20"/>
                    </w:rPr>
                    <w:t>control</w:t>
                  </w:r>
                  <w:r>
                    <w:rPr>
                      <w:color w:val="231F20"/>
                      <w:spacing w:val="2"/>
                      <w:sz w:val="20"/>
                    </w:rPr>
                    <w:t> </w:t>
                  </w:r>
                  <w:r>
                    <w:rPr>
                      <w:color w:val="231F20"/>
                      <w:spacing w:val="-7"/>
                      <w:sz w:val="20"/>
                    </w:rPr>
                    <w:t>manual／ </w:t>
                  </w:r>
                  <w:r>
                    <w:rPr>
                      <w:color w:val="231F20"/>
                      <w:spacing w:val="-11"/>
                      <w:w w:val="105"/>
                      <w:sz w:val="20"/>
                    </w:rPr>
                    <w:t>衛生福利部疾病管制署編 . -- 第匹版 . -- 臺北市 : </w:t>
                  </w:r>
                  <w:r>
                    <w:rPr>
                      <w:color w:val="231F20"/>
                      <w:spacing w:val="-12"/>
                      <w:w w:val="105"/>
                      <w:sz w:val="20"/>
                    </w:rPr>
                    <w:t>衛生福利部疾病管制署 , </w:t>
                  </w:r>
                  <w:r>
                    <w:rPr>
                      <w:color w:val="231F20"/>
                      <w:w w:val="105"/>
                      <w:sz w:val="20"/>
                    </w:rPr>
                    <w:t>2023.05</w:t>
                  </w:r>
                </w:p>
                <w:p>
                  <w:pPr>
                    <w:spacing w:line="220" w:lineRule="auto" w:before="0"/>
                    <w:ind w:left="1064" w:right="1892" w:firstLine="199"/>
                    <w:jc w:val="both"/>
                    <w:rPr>
                      <w:sz w:val="20"/>
                    </w:rPr>
                  </w:pPr>
                  <w:r>
                    <w:rPr>
                      <w:color w:val="231F20"/>
                      <w:sz w:val="20"/>
                    </w:rPr>
                    <w:t>面 · 公分 . -- （ 防疫學苑系列 · 37) ISBN 978-626-7260-39-5（ 平裝 )</w:t>
                  </w:r>
                </w:p>
                <w:p>
                  <w:pPr>
                    <w:pStyle w:val="BodyText"/>
                    <w:spacing w:before="3"/>
                    <w:rPr>
                      <w:sz w:val="17"/>
                    </w:rPr>
                  </w:pPr>
                </w:p>
                <w:p>
                  <w:pPr>
                    <w:spacing w:before="0"/>
                    <w:ind w:left="864" w:right="0" w:firstLine="0"/>
                    <w:jc w:val="left"/>
                    <w:rPr>
                      <w:sz w:val="20"/>
                    </w:rPr>
                  </w:pPr>
                  <w:r>
                    <w:rPr>
                      <w:color w:val="231F20"/>
                      <w:sz w:val="20"/>
                    </w:rPr>
                    <w:t>1.CST: 結核病 2.CST: 結核病防治 3.CST: 手冊</w:t>
                  </w:r>
                </w:p>
                <w:p>
                  <w:pPr>
                    <w:tabs>
                      <w:tab w:pos="4466" w:val="left" w:leader="none"/>
                    </w:tabs>
                    <w:spacing w:before="15"/>
                    <w:ind w:left="782" w:right="0" w:firstLine="0"/>
                    <w:jc w:val="left"/>
                    <w:rPr>
                      <w:sz w:val="16"/>
                    </w:rPr>
                  </w:pPr>
                  <w:r>
                    <w:rPr>
                      <w:color w:val="231F20"/>
                      <w:w w:val="105"/>
                      <w:sz w:val="16"/>
                    </w:rPr>
                    <w:t>415.2773</w:t>
                    <w:tab/>
                    <w:t>112007684</w:t>
                  </w:r>
                </w:p>
              </w:txbxContent>
            </v:textbox>
            <v:stroke dashstyle="solid"/>
          </v:shape>
        </w:pict>
      </w:r>
      <w:r>
        <w:rPr>
          <w:position w:val="0"/>
          <w:sz w:val="20"/>
        </w:rPr>
      </w:r>
    </w:p>
    <w:p>
      <w:pPr>
        <w:spacing w:before="89"/>
        <w:ind w:left="153" w:right="0" w:firstLine="0"/>
        <w:jc w:val="left"/>
        <w:rPr>
          <w:sz w:val="18"/>
        </w:rPr>
      </w:pPr>
      <w:r>
        <w:rPr/>
        <w:drawing>
          <wp:anchor distT="0" distB="0" distL="0" distR="0" allowOverlap="1" layoutInCell="1" locked="0" behindDoc="0" simplePos="0" relativeHeight="499">
            <wp:simplePos x="0" y="0"/>
            <wp:positionH relativeFrom="page">
              <wp:posOffset>718743</wp:posOffset>
            </wp:positionH>
            <wp:positionV relativeFrom="paragraph">
              <wp:posOffset>282756</wp:posOffset>
            </wp:positionV>
            <wp:extent cx="2347499" cy="242887"/>
            <wp:effectExtent l="0" t="0" r="0" b="0"/>
            <wp:wrapTopAndBottom/>
            <wp:docPr id="23" name="image475.png"/>
            <wp:cNvGraphicFramePr>
              <a:graphicFrameLocks noChangeAspect="1"/>
            </wp:cNvGraphicFramePr>
            <a:graphic>
              <a:graphicData uri="http://schemas.openxmlformats.org/drawingml/2006/picture">
                <pic:pic>
                  <pic:nvPicPr>
                    <pic:cNvPr id="24" name="image475.png"/>
                    <pic:cNvPicPr/>
                  </pic:nvPicPr>
                  <pic:blipFill>
                    <a:blip r:embed="rId481" cstate="print"/>
                    <a:stretch>
                      <a:fillRect/>
                    </a:stretch>
                  </pic:blipFill>
                  <pic:spPr>
                    <a:xfrm>
                      <a:off x="0" y="0"/>
                      <a:ext cx="2347499" cy="242887"/>
                    </a:xfrm>
                    <a:prstGeom prst="rect">
                      <a:avLst/>
                    </a:prstGeom>
                  </pic:spPr>
                </pic:pic>
              </a:graphicData>
            </a:graphic>
          </wp:anchor>
        </w:drawing>
      </w:r>
      <w:r>
        <w:rPr>
          <w:color w:val="231F20"/>
          <w:sz w:val="18"/>
        </w:rPr>
        <w:t>防疫學苑系列 037</w:t>
      </w:r>
    </w:p>
    <w:p>
      <w:pPr>
        <w:spacing w:before="75" w:after="29"/>
        <w:ind w:left="153" w:right="0" w:firstLine="0"/>
        <w:jc w:val="left"/>
        <w:rPr>
          <w:rFonts w:ascii="Times New Roman"/>
          <w:b/>
          <w:sz w:val="28"/>
        </w:rPr>
      </w:pPr>
      <w:r>
        <w:rPr>
          <w:rFonts w:ascii="Times New Roman"/>
          <w:b/>
          <w:color w:val="2A5A58"/>
          <w:w w:val="95"/>
          <w:sz w:val="28"/>
        </w:rPr>
        <w:t>5VCFSDVMPTJT $POUSPM .BOVBM</w:t>
      </w:r>
    </w:p>
    <w:p>
      <w:pPr>
        <w:pStyle w:val="BodyText"/>
        <w:ind w:left="153"/>
        <w:rPr>
          <w:rFonts w:ascii="Times New Roman"/>
          <w:sz w:val="20"/>
        </w:rPr>
      </w:pPr>
      <w:r>
        <w:rPr>
          <w:rFonts w:ascii="Times New Roman"/>
          <w:sz w:val="20"/>
        </w:rPr>
        <w:pict>
          <v:shape style="width:179.95pt;height:16pt;mso-position-horizontal-relative:char;mso-position-vertical-relative:line" type="#_x0000_t202" filled="false" stroked="false">
            <w10:anchorlock/>
            <v:textbox inset="0,0,0,0">
              <w:txbxContent>
                <w:p>
                  <w:pPr>
                    <w:pStyle w:val="BodyText"/>
                    <w:tabs>
                      <w:tab w:pos="719" w:val="left" w:leader="none"/>
                    </w:tabs>
                    <w:spacing w:line="319" w:lineRule="exact"/>
                  </w:pPr>
                  <w:r>
                    <w:rPr>
                      <w:color w:val="231F20"/>
                    </w:rPr>
                    <w:t>編</w:t>
                    <w:tab/>
                    <w:t>者：衛生福利部疾病管制</w:t>
                  </w:r>
                  <w:r>
                    <w:rPr>
                      <w:color w:val="231F20"/>
                      <w:spacing w:val="-21"/>
                    </w:rPr>
                    <w:t>署</w:t>
                  </w:r>
                </w:p>
              </w:txbxContent>
            </v:textbox>
          </v:shape>
        </w:pict>
      </w:r>
      <w:r>
        <w:rPr>
          <w:rFonts w:ascii="Times New Roman"/>
          <w:sz w:val="20"/>
        </w:rPr>
      </w:r>
    </w:p>
    <w:p>
      <w:pPr>
        <w:pStyle w:val="BodyText"/>
        <w:tabs>
          <w:tab w:pos="872" w:val="left" w:leader="none"/>
        </w:tabs>
        <w:spacing w:line="184" w:lineRule="auto" w:before="36"/>
        <w:ind w:left="153" w:right="7170"/>
      </w:pPr>
      <w:r>
        <w:rPr>
          <w:color w:val="231F20"/>
        </w:rPr>
        <w:t>出版機關：衛生福利部疾病管制</w:t>
      </w:r>
      <w:r>
        <w:rPr>
          <w:color w:val="231F20"/>
          <w:spacing w:val="-19"/>
        </w:rPr>
        <w:t>署</w:t>
      </w:r>
      <w:r>
        <w:rPr>
          <w:color w:val="231F20"/>
        </w:rPr>
        <w:t>地</w:t>
        <w:tab/>
        <w:t>址：臺北市林森南路6號  電</w:t>
        <w:tab/>
        <w:t>話：02-23959825</w:t>
      </w:r>
    </w:p>
    <w:p>
      <w:pPr>
        <w:pStyle w:val="BodyText"/>
        <w:tabs>
          <w:tab w:pos="872" w:val="left" w:leader="none"/>
        </w:tabs>
        <w:spacing w:line="297" w:lineRule="exact"/>
        <w:ind w:left="153"/>
      </w:pPr>
      <w:r>
        <w:rPr>
          <w:color w:val="231F20"/>
          <w:w w:val="105"/>
        </w:rPr>
        <w:t>網</w:t>
        <w:tab/>
      </w:r>
      <w:hyperlink r:id="rId456">
        <w:r>
          <w:rPr>
            <w:color w:val="231F20"/>
            <w:w w:val="105"/>
          </w:rPr>
          <w:t>址</w:t>
        </w:r>
        <w:r>
          <w:rPr>
            <w:color w:val="231F20"/>
            <w:spacing w:val="-3"/>
            <w:w w:val="105"/>
          </w:rPr>
          <w:t>：www.cdc.gov.tw</w:t>
        </w:r>
      </w:hyperlink>
    </w:p>
    <w:p>
      <w:pPr>
        <w:pStyle w:val="BodyText"/>
        <w:tabs>
          <w:tab w:pos="872" w:val="left" w:leader="none"/>
        </w:tabs>
        <w:spacing w:line="320" w:lineRule="exact"/>
        <w:ind w:left="153"/>
      </w:pPr>
      <w:r>
        <w:rPr>
          <w:color w:val="231F20"/>
        </w:rPr>
        <w:t>印</w:t>
        <w:tab/>
        <w:t>刷：社團法人高雄市寶慶身心障礙協會</w:t>
      </w:r>
    </w:p>
    <w:p>
      <w:pPr>
        <w:pStyle w:val="BodyText"/>
        <w:tabs>
          <w:tab w:pos="873" w:val="left" w:leader="none"/>
        </w:tabs>
        <w:spacing w:line="184" w:lineRule="auto" w:before="17"/>
        <w:ind w:left="153" w:right="5278"/>
      </w:pPr>
      <w:r>
        <w:rPr>
          <w:color w:val="231F20"/>
        </w:rPr>
        <w:t>地</w:t>
        <w:tab/>
        <w:t>址：807</w:t>
      </w:r>
      <w:r>
        <w:rPr>
          <w:color w:val="231F20"/>
          <w:spacing w:val="1"/>
        </w:rPr>
        <w:t> </w:t>
      </w:r>
      <w:r>
        <w:rPr>
          <w:color w:val="231F20"/>
        </w:rPr>
        <w:t>高雄市三民區九如—路</w:t>
      </w:r>
      <w:r>
        <w:rPr>
          <w:color w:val="231F20"/>
          <w:spacing w:val="1"/>
        </w:rPr>
        <w:t> </w:t>
      </w:r>
      <w:r>
        <w:rPr>
          <w:color w:val="231F20"/>
        </w:rPr>
        <w:t>170</w:t>
      </w:r>
      <w:r>
        <w:rPr>
          <w:color w:val="231F20"/>
          <w:spacing w:val="1"/>
        </w:rPr>
        <w:t> </w:t>
      </w:r>
      <w:r>
        <w:rPr>
          <w:color w:val="231F20"/>
        </w:rPr>
        <w:t>巷</w:t>
      </w:r>
      <w:r>
        <w:rPr>
          <w:color w:val="231F20"/>
          <w:spacing w:val="2"/>
        </w:rPr>
        <w:t> </w:t>
      </w:r>
      <w:r>
        <w:rPr>
          <w:color w:val="231F20"/>
        </w:rPr>
        <w:t>19</w:t>
      </w:r>
      <w:r>
        <w:rPr>
          <w:color w:val="231F20"/>
          <w:spacing w:val="1"/>
        </w:rPr>
        <w:t> </w:t>
      </w:r>
      <w:r>
        <w:rPr>
          <w:color w:val="231F20"/>
          <w:spacing w:val="-18"/>
        </w:rPr>
        <w:t>號</w:t>
      </w:r>
      <w:r>
        <w:rPr>
          <w:color w:val="231F20"/>
        </w:rPr>
        <w:t>電</w:t>
        <w:tab/>
        <w:t>話：（07)3877006</w:t>
      </w:r>
    </w:p>
    <w:p>
      <w:pPr>
        <w:pStyle w:val="BodyText"/>
        <w:tabs>
          <w:tab w:pos="872" w:val="left" w:leader="none"/>
        </w:tabs>
        <w:spacing w:line="184" w:lineRule="auto"/>
        <w:ind w:left="153" w:right="8214"/>
      </w:pPr>
      <w:r>
        <w:rPr>
          <w:color w:val="231F20"/>
        </w:rPr>
        <w:t>出版年月：2023 年</w:t>
      </w:r>
      <w:r>
        <w:rPr>
          <w:color w:val="231F20"/>
          <w:spacing w:val="1"/>
        </w:rPr>
        <w:t> </w:t>
      </w:r>
      <w:r>
        <w:rPr>
          <w:color w:val="231F20"/>
        </w:rPr>
        <w:t>5</w:t>
      </w:r>
      <w:r>
        <w:rPr>
          <w:color w:val="231F20"/>
          <w:spacing w:val="2"/>
        </w:rPr>
        <w:t> </w:t>
      </w:r>
      <w:r>
        <w:rPr>
          <w:color w:val="231F20"/>
          <w:spacing w:val="-17"/>
        </w:rPr>
        <w:t>月</w:t>
      </w:r>
      <w:r>
        <w:rPr>
          <w:color w:val="231F20"/>
        </w:rPr>
        <w:t>版</w:t>
        <w:tab/>
        <w:t>次：第匹版</w:t>
      </w:r>
    </w:p>
    <w:p>
      <w:pPr>
        <w:pStyle w:val="BodyText"/>
        <w:tabs>
          <w:tab w:pos="873" w:val="left" w:leader="none"/>
        </w:tabs>
        <w:spacing w:line="348" w:lineRule="exact"/>
        <w:ind w:left="153"/>
      </w:pPr>
      <w:r>
        <w:rPr>
          <w:color w:val="231F20"/>
        </w:rPr>
        <w:t>定</w:t>
        <w:tab/>
        <w:t>價：新臺幣</w:t>
      </w:r>
      <w:r>
        <w:rPr>
          <w:color w:val="231F20"/>
          <w:spacing w:val="-7"/>
        </w:rPr>
        <w:t> </w:t>
      </w:r>
      <w:r>
        <w:rPr>
          <w:color w:val="231F20"/>
        </w:rPr>
        <w:t>150</w:t>
      </w:r>
      <w:r>
        <w:rPr>
          <w:color w:val="231F20"/>
          <w:spacing w:val="-7"/>
        </w:rPr>
        <w:t> </w:t>
      </w:r>
      <w:r>
        <w:rPr>
          <w:color w:val="231F20"/>
        </w:rPr>
        <w:t>元</w:t>
      </w:r>
    </w:p>
    <w:p>
      <w:pPr>
        <w:pStyle w:val="BodyText"/>
        <w:spacing w:before="5"/>
        <w:rPr>
          <w:sz w:val="7"/>
        </w:rPr>
      </w:pPr>
    </w:p>
    <w:p>
      <w:pPr>
        <w:spacing w:before="34"/>
        <w:ind w:left="0" w:right="984" w:firstLine="0"/>
        <w:jc w:val="center"/>
        <w:rPr>
          <w:rFonts w:ascii="微軟正黑體" w:eastAsia="微軟正黑體" w:hint="eastAsia"/>
          <w:b/>
          <w:sz w:val="26"/>
        </w:rPr>
      </w:pPr>
      <w:r>
        <w:rPr/>
        <w:pict>
          <v:line style="position:absolute;mso-position-horizontal-relative:page;mso-position-vertical-relative:paragraph;z-index:252171264" from="60.852001pt,23.862329pt" to="533.885001pt,23.862329pt" stroked="true" strokeweight="1pt" strokecolor="#4db4a5">
            <v:stroke dashstyle="solid"/>
            <w10:wrap type="none"/>
          </v:line>
        </w:pict>
      </w:r>
      <w:r>
        <w:rPr>
          <w:rFonts w:ascii="微軟正黑體" w:eastAsia="微軟正黑體" w:hint="eastAsia"/>
          <w:b/>
          <w:color w:val="231F20"/>
          <w:sz w:val="26"/>
        </w:rPr>
        <w:t>展售處</w:t>
      </w:r>
    </w:p>
    <w:p>
      <w:pPr>
        <w:pStyle w:val="BodyText"/>
        <w:spacing w:before="13"/>
        <w:rPr>
          <w:rFonts w:ascii="微軟正黑體"/>
          <w:b/>
          <w:sz w:val="15"/>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0"/>
        <w:gridCol w:w="562"/>
        <w:gridCol w:w="1968"/>
        <w:gridCol w:w="3975"/>
        <w:gridCol w:w="2280"/>
      </w:tblGrid>
      <w:tr>
        <w:trPr>
          <w:trHeight w:val="292" w:hRule="atLeast"/>
        </w:trPr>
        <w:tc>
          <w:tcPr>
            <w:tcW w:w="510" w:type="dxa"/>
          </w:tcPr>
          <w:p>
            <w:pPr>
              <w:pStyle w:val="TableParagraph"/>
              <w:spacing w:line="273" w:lineRule="exact"/>
              <w:ind w:left="50"/>
              <w:rPr>
                <w:sz w:val="20"/>
              </w:rPr>
            </w:pPr>
            <w:r>
              <w:rPr>
                <w:color w:val="231F20"/>
                <w:sz w:val="20"/>
              </w:rPr>
              <w:t>基</w:t>
            </w:r>
          </w:p>
        </w:tc>
        <w:tc>
          <w:tcPr>
            <w:tcW w:w="562" w:type="dxa"/>
          </w:tcPr>
          <w:p>
            <w:pPr>
              <w:pStyle w:val="TableParagraph"/>
              <w:spacing w:line="273" w:lineRule="exact"/>
              <w:ind w:right="100"/>
              <w:jc w:val="right"/>
              <w:rPr>
                <w:sz w:val="20"/>
              </w:rPr>
            </w:pPr>
            <w:r>
              <w:rPr>
                <w:color w:val="231F20"/>
                <w:sz w:val="20"/>
              </w:rPr>
              <w:t>隆</w:t>
            </w:r>
          </w:p>
        </w:tc>
        <w:tc>
          <w:tcPr>
            <w:tcW w:w="1968" w:type="dxa"/>
          </w:tcPr>
          <w:p>
            <w:pPr>
              <w:pStyle w:val="TableParagraph"/>
              <w:spacing w:line="273" w:lineRule="exact"/>
              <w:ind w:right="220"/>
              <w:jc w:val="right"/>
              <w:rPr>
                <w:sz w:val="20"/>
              </w:rPr>
            </w:pPr>
            <w:r>
              <w:rPr>
                <w:color w:val="231F20"/>
                <w:sz w:val="20"/>
              </w:rPr>
              <w:t>五南文化海洋書坊</w:t>
            </w:r>
          </w:p>
        </w:tc>
        <w:tc>
          <w:tcPr>
            <w:tcW w:w="3975" w:type="dxa"/>
          </w:tcPr>
          <w:p>
            <w:pPr>
              <w:pStyle w:val="TableParagraph"/>
              <w:spacing w:line="273" w:lineRule="exact"/>
              <w:ind w:left="186"/>
              <w:rPr>
                <w:sz w:val="20"/>
              </w:rPr>
            </w:pPr>
            <w:r>
              <w:rPr>
                <w:color w:val="231F20"/>
                <w:sz w:val="20"/>
              </w:rPr>
              <w:t>地址：（202)基隆市北寧路二號</w:t>
            </w:r>
          </w:p>
        </w:tc>
        <w:tc>
          <w:tcPr>
            <w:tcW w:w="2280" w:type="dxa"/>
          </w:tcPr>
          <w:p>
            <w:pPr>
              <w:pStyle w:val="TableParagraph"/>
              <w:spacing w:line="273" w:lineRule="exact"/>
              <w:ind w:left="254"/>
              <w:rPr>
                <w:sz w:val="20"/>
              </w:rPr>
            </w:pPr>
            <w:r>
              <w:rPr>
                <w:color w:val="231F20"/>
                <w:w w:val="95"/>
                <w:sz w:val="20"/>
              </w:rPr>
              <w:t>電話：（02)2463-6590</w:t>
            </w:r>
          </w:p>
        </w:tc>
      </w:tr>
      <w:tr>
        <w:trPr>
          <w:trHeight w:val="319" w:hRule="atLeast"/>
        </w:trPr>
        <w:tc>
          <w:tcPr>
            <w:tcW w:w="510" w:type="dxa"/>
          </w:tcPr>
          <w:p>
            <w:pPr>
              <w:pStyle w:val="TableParagraph"/>
              <w:spacing w:line="298" w:lineRule="exact" w:before="2"/>
              <w:ind w:left="50"/>
              <w:rPr>
                <w:sz w:val="20"/>
              </w:rPr>
            </w:pPr>
            <w:r>
              <w:rPr>
                <w:color w:val="231F20"/>
                <w:sz w:val="20"/>
              </w:rPr>
              <w:t>台</w:t>
            </w:r>
          </w:p>
        </w:tc>
        <w:tc>
          <w:tcPr>
            <w:tcW w:w="562" w:type="dxa"/>
          </w:tcPr>
          <w:p>
            <w:pPr>
              <w:pStyle w:val="TableParagraph"/>
              <w:spacing w:line="298" w:lineRule="exact" w:before="2"/>
              <w:ind w:right="100"/>
              <w:jc w:val="right"/>
              <w:rPr>
                <w:sz w:val="20"/>
              </w:rPr>
            </w:pPr>
            <w:r>
              <w:rPr>
                <w:color w:val="231F20"/>
                <w:sz w:val="20"/>
              </w:rPr>
              <w:t>北</w:t>
            </w:r>
          </w:p>
        </w:tc>
        <w:tc>
          <w:tcPr>
            <w:tcW w:w="1968" w:type="dxa"/>
          </w:tcPr>
          <w:p>
            <w:pPr>
              <w:pStyle w:val="TableParagraph"/>
              <w:spacing w:line="298" w:lineRule="exact" w:before="2"/>
              <w:ind w:right="220"/>
              <w:jc w:val="right"/>
              <w:rPr>
                <w:sz w:val="20"/>
              </w:rPr>
            </w:pPr>
            <w:r>
              <w:rPr>
                <w:color w:val="231F20"/>
                <w:sz w:val="20"/>
              </w:rPr>
              <w:t>國家書店松江門市</w:t>
            </w:r>
          </w:p>
        </w:tc>
        <w:tc>
          <w:tcPr>
            <w:tcW w:w="3975" w:type="dxa"/>
          </w:tcPr>
          <w:p>
            <w:pPr>
              <w:pStyle w:val="TableParagraph"/>
              <w:spacing w:line="298" w:lineRule="exact" w:before="2"/>
              <w:ind w:left="186"/>
              <w:rPr>
                <w:sz w:val="20"/>
              </w:rPr>
            </w:pPr>
            <w:r>
              <w:rPr>
                <w:color w:val="231F20"/>
                <w:sz w:val="20"/>
              </w:rPr>
              <w:t>地址：（104)台北市松江路 209 號 1 樓</w:t>
            </w:r>
          </w:p>
        </w:tc>
        <w:tc>
          <w:tcPr>
            <w:tcW w:w="2280" w:type="dxa"/>
          </w:tcPr>
          <w:p>
            <w:pPr>
              <w:pStyle w:val="TableParagraph"/>
              <w:spacing w:line="298" w:lineRule="exact" w:before="2"/>
              <w:ind w:left="254"/>
              <w:rPr>
                <w:sz w:val="20"/>
              </w:rPr>
            </w:pPr>
            <w:r>
              <w:rPr>
                <w:color w:val="231F20"/>
                <w:w w:val="95"/>
                <w:sz w:val="20"/>
              </w:rPr>
              <w:t>電話：（02)2518-0207</w:t>
            </w:r>
          </w:p>
        </w:tc>
      </w:tr>
      <w:tr>
        <w:trPr>
          <w:trHeight w:val="319" w:hRule="atLeast"/>
        </w:trPr>
        <w:tc>
          <w:tcPr>
            <w:tcW w:w="510" w:type="dxa"/>
          </w:tcPr>
          <w:p>
            <w:pPr>
              <w:pStyle w:val="TableParagraph"/>
              <w:rPr>
                <w:rFonts w:ascii="Times New Roman"/>
                <w:sz w:val="20"/>
              </w:rPr>
            </w:pPr>
          </w:p>
        </w:tc>
        <w:tc>
          <w:tcPr>
            <w:tcW w:w="562" w:type="dxa"/>
          </w:tcPr>
          <w:p>
            <w:pPr>
              <w:pStyle w:val="TableParagraph"/>
              <w:rPr>
                <w:rFonts w:ascii="Times New Roman"/>
                <w:sz w:val="20"/>
              </w:rPr>
            </w:pPr>
          </w:p>
        </w:tc>
        <w:tc>
          <w:tcPr>
            <w:tcW w:w="1968" w:type="dxa"/>
          </w:tcPr>
          <w:p>
            <w:pPr>
              <w:pStyle w:val="TableParagraph"/>
              <w:spacing w:line="298" w:lineRule="exact" w:before="2"/>
              <w:ind w:right="185"/>
              <w:jc w:val="right"/>
              <w:rPr>
                <w:sz w:val="20"/>
              </w:rPr>
            </w:pPr>
            <w:r>
              <w:rPr>
                <w:color w:val="231F20"/>
                <w:sz w:val="20"/>
              </w:rPr>
              <w:t>五南文化台大店 </w:t>
            </w:r>
          </w:p>
        </w:tc>
        <w:tc>
          <w:tcPr>
            <w:tcW w:w="3975" w:type="dxa"/>
          </w:tcPr>
          <w:p>
            <w:pPr>
              <w:pStyle w:val="TableParagraph"/>
              <w:spacing w:line="298" w:lineRule="exact" w:before="2"/>
              <w:ind w:left="186"/>
              <w:rPr>
                <w:sz w:val="20"/>
              </w:rPr>
            </w:pPr>
            <w:r>
              <w:rPr>
                <w:color w:val="231F20"/>
                <w:sz w:val="20"/>
              </w:rPr>
              <w:t>地址：（100)台北市羅斯福路匹段 160 號</w:t>
            </w:r>
          </w:p>
        </w:tc>
        <w:tc>
          <w:tcPr>
            <w:tcW w:w="2280" w:type="dxa"/>
          </w:tcPr>
          <w:p>
            <w:pPr>
              <w:pStyle w:val="TableParagraph"/>
              <w:spacing w:line="298" w:lineRule="exact" w:before="2"/>
              <w:ind w:left="254"/>
              <w:rPr>
                <w:sz w:val="20"/>
              </w:rPr>
            </w:pPr>
            <w:r>
              <w:rPr>
                <w:color w:val="231F20"/>
                <w:w w:val="95"/>
                <w:sz w:val="20"/>
              </w:rPr>
              <w:t>電話：（02)2368-3380</w:t>
            </w:r>
          </w:p>
        </w:tc>
      </w:tr>
      <w:tr>
        <w:trPr>
          <w:trHeight w:val="319" w:hRule="atLeast"/>
        </w:trPr>
        <w:tc>
          <w:tcPr>
            <w:tcW w:w="510" w:type="dxa"/>
          </w:tcPr>
          <w:p>
            <w:pPr>
              <w:pStyle w:val="TableParagraph"/>
              <w:rPr>
                <w:rFonts w:ascii="Times New Roman"/>
                <w:sz w:val="20"/>
              </w:rPr>
            </w:pPr>
          </w:p>
        </w:tc>
        <w:tc>
          <w:tcPr>
            <w:tcW w:w="562" w:type="dxa"/>
          </w:tcPr>
          <w:p>
            <w:pPr>
              <w:pStyle w:val="TableParagraph"/>
              <w:rPr>
                <w:rFonts w:ascii="Times New Roman"/>
                <w:sz w:val="20"/>
              </w:rPr>
            </w:pPr>
          </w:p>
        </w:tc>
        <w:tc>
          <w:tcPr>
            <w:tcW w:w="1968" w:type="dxa"/>
          </w:tcPr>
          <w:p>
            <w:pPr>
              <w:pStyle w:val="TableParagraph"/>
              <w:spacing w:line="298" w:lineRule="exact" w:before="2"/>
              <w:ind w:right="185"/>
              <w:jc w:val="right"/>
              <w:rPr>
                <w:sz w:val="20"/>
              </w:rPr>
            </w:pPr>
            <w:r>
              <w:rPr>
                <w:color w:val="231F20"/>
                <w:sz w:val="20"/>
              </w:rPr>
              <w:t>誠品信義旗艦店 </w:t>
            </w:r>
          </w:p>
        </w:tc>
        <w:tc>
          <w:tcPr>
            <w:tcW w:w="3975" w:type="dxa"/>
          </w:tcPr>
          <w:p>
            <w:pPr>
              <w:pStyle w:val="TableParagraph"/>
              <w:spacing w:line="298" w:lineRule="exact" w:before="2"/>
              <w:ind w:left="186"/>
              <w:rPr>
                <w:sz w:val="20"/>
              </w:rPr>
            </w:pPr>
            <w:r>
              <w:rPr>
                <w:color w:val="231F20"/>
                <w:sz w:val="20"/>
              </w:rPr>
              <w:t>地址：（110)台北市信義區松高路 11 號</w:t>
            </w:r>
          </w:p>
        </w:tc>
        <w:tc>
          <w:tcPr>
            <w:tcW w:w="2280" w:type="dxa"/>
          </w:tcPr>
          <w:p>
            <w:pPr>
              <w:pStyle w:val="TableParagraph"/>
              <w:spacing w:line="298" w:lineRule="exact" w:before="2"/>
              <w:ind w:left="254"/>
              <w:rPr>
                <w:sz w:val="20"/>
              </w:rPr>
            </w:pPr>
            <w:r>
              <w:rPr>
                <w:color w:val="231F20"/>
                <w:w w:val="95"/>
                <w:sz w:val="20"/>
              </w:rPr>
              <w:t>電話：（02)8789-3388</w:t>
            </w:r>
          </w:p>
        </w:tc>
      </w:tr>
      <w:tr>
        <w:trPr>
          <w:trHeight w:val="319" w:hRule="atLeast"/>
        </w:trPr>
        <w:tc>
          <w:tcPr>
            <w:tcW w:w="510" w:type="dxa"/>
          </w:tcPr>
          <w:p>
            <w:pPr>
              <w:pStyle w:val="TableParagraph"/>
              <w:spacing w:line="298" w:lineRule="exact" w:before="2"/>
              <w:ind w:left="50"/>
              <w:rPr>
                <w:sz w:val="20"/>
              </w:rPr>
            </w:pPr>
            <w:r>
              <w:rPr>
                <w:color w:val="231F20"/>
                <w:sz w:val="20"/>
              </w:rPr>
              <w:t>台</w:t>
            </w:r>
          </w:p>
        </w:tc>
        <w:tc>
          <w:tcPr>
            <w:tcW w:w="562" w:type="dxa"/>
          </w:tcPr>
          <w:p>
            <w:pPr>
              <w:pStyle w:val="TableParagraph"/>
              <w:spacing w:line="298" w:lineRule="exact" w:before="2"/>
              <w:ind w:right="100"/>
              <w:jc w:val="right"/>
              <w:rPr>
                <w:sz w:val="20"/>
              </w:rPr>
            </w:pPr>
            <w:r>
              <w:rPr>
                <w:color w:val="231F20"/>
                <w:sz w:val="20"/>
              </w:rPr>
              <w:t>中</w:t>
            </w:r>
          </w:p>
        </w:tc>
        <w:tc>
          <w:tcPr>
            <w:tcW w:w="1968" w:type="dxa"/>
          </w:tcPr>
          <w:p>
            <w:pPr>
              <w:pStyle w:val="TableParagraph"/>
              <w:spacing w:line="298" w:lineRule="exact" w:before="2"/>
              <w:ind w:right="220"/>
              <w:jc w:val="right"/>
              <w:rPr>
                <w:sz w:val="20"/>
              </w:rPr>
            </w:pPr>
            <w:r>
              <w:rPr>
                <w:color w:val="231F20"/>
                <w:sz w:val="20"/>
              </w:rPr>
              <w:t>五南文化台中總店</w:t>
            </w:r>
          </w:p>
        </w:tc>
        <w:tc>
          <w:tcPr>
            <w:tcW w:w="3975" w:type="dxa"/>
          </w:tcPr>
          <w:p>
            <w:pPr>
              <w:pStyle w:val="TableParagraph"/>
              <w:spacing w:line="298" w:lineRule="exact" w:before="2"/>
              <w:ind w:left="186"/>
              <w:rPr>
                <w:sz w:val="20"/>
              </w:rPr>
            </w:pPr>
            <w:r>
              <w:rPr>
                <w:color w:val="231F20"/>
                <w:sz w:val="20"/>
              </w:rPr>
              <w:t>地址：（400)台中市中區中山路6號</w:t>
            </w:r>
          </w:p>
        </w:tc>
        <w:tc>
          <w:tcPr>
            <w:tcW w:w="2280" w:type="dxa"/>
          </w:tcPr>
          <w:p>
            <w:pPr>
              <w:pStyle w:val="TableParagraph"/>
              <w:spacing w:line="298" w:lineRule="exact" w:before="2"/>
              <w:ind w:left="254"/>
              <w:rPr>
                <w:sz w:val="20"/>
              </w:rPr>
            </w:pPr>
            <w:r>
              <w:rPr>
                <w:color w:val="231F20"/>
                <w:w w:val="95"/>
                <w:sz w:val="20"/>
              </w:rPr>
              <w:t>電話：（04)2226-0330</w:t>
            </w:r>
          </w:p>
        </w:tc>
      </w:tr>
      <w:tr>
        <w:trPr>
          <w:trHeight w:val="319" w:hRule="atLeast"/>
        </w:trPr>
        <w:tc>
          <w:tcPr>
            <w:tcW w:w="510" w:type="dxa"/>
          </w:tcPr>
          <w:p>
            <w:pPr>
              <w:pStyle w:val="TableParagraph"/>
              <w:rPr>
                <w:rFonts w:ascii="Times New Roman"/>
                <w:sz w:val="20"/>
              </w:rPr>
            </w:pPr>
          </w:p>
        </w:tc>
        <w:tc>
          <w:tcPr>
            <w:tcW w:w="562" w:type="dxa"/>
          </w:tcPr>
          <w:p>
            <w:pPr>
              <w:pStyle w:val="TableParagraph"/>
              <w:rPr>
                <w:rFonts w:ascii="Times New Roman"/>
                <w:sz w:val="20"/>
              </w:rPr>
            </w:pPr>
          </w:p>
        </w:tc>
        <w:tc>
          <w:tcPr>
            <w:tcW w:w="1968" w:type="dxa"/>
          </w:tcPr>
          <w:p>
            <w:pPr>
              <w:pStyle w:val="TableParagraph"/>
              <w:spacing w:line="298" w:lineRule="exact" w:before="2"/>
              <w:ind w:right="225"/>
              <w:jc w:val="right"/>
              <w:rPr>
                <w:sz w:val="20"/>
              </w:rPr>
            </w:pPr>
            <w:r>
              <w:rPr>
                <w:color w:val="231F20"/>
                <w:sz w:val="20"/>
              </w:rPr>
              <w:t>逢甲店</w:t>
            </w:r>
          </w:p>
        </w:tc>
        <w:tc>
          <w:tcPr>
            <w:tcW w:w="3975" w:type="dxa"/>
          </w:tcPr>
          <w:p>
            <w:pPr>
              <w:pStyle w:val="TableParagraph"/>
              <w:spacing w:line="298" w:lineRule="exact" w:before="2"/>
              <w:ind w:left="186"/>
              <w:rPr>
                <w:sz w:val="20"/>
              </w:rPr>
            </w:pPr>
            <w:r>
              <w:rPr>
                <w:color w:val="231F20"/>
                <w:sz w:val="20"/>
              </w:rPr>
              <w:t>地址：（402)台中市河南路二段 240 號</w:t>
            </w:r>
          </w:p>
        </w:tc>
        <w:tc>
          <w:tcPr>
            <w:tcW w:w="2280" w:type="dxa"/>
          </w:tcPr>
          <w:p>
            <w:pPr>
              <w:pStyle w:val="TableParagraph"/>
              <w:spacing w:line="298" w:lineRule="exact" w:before="2"/>
              <w:ind w:left="254"/>
              <w:rPr>
                <w:sz w:val="20"/>
              </w:rPr>
            </w:pPr>
            <w:r>
              <w:rPr>
                <w:color w:val="231F20"/>
                <w:w w:val="95"/>
                <w:sz w:val="20"/>
              </w:rPr>
              <w:t>電話：（04)2705-5800</w:t>
            </w:r>
          </w:p>
        </w:tc>
      </w:tr>
      <w:tr>
        <w:trPr>
          <w:trHeight w:val="319" w:hRule="atLeast"/>
        </w:trPr>
        <w:tc>
          <w:tcPr>
            <w:tcW w:w="510" w:type="dxa"/>
          </w:tcPr>
          <w:p>
            <w:pPr>
              <w:pStyle w:val="TableParagraph"/>
              <w:rPr>
                <w:rFonts w:ascii="Times New Roman"/>
                <w:sz w:val="20"/>
              </w:rPr>
            </w:pPr>
          </w:p>
        </w:tc>
        <w:tc>
          <w:tcPr>
            <w:tcW w:w="562" w:type="dxa"/>
          </w:tcPr>
          <w:p>
            <w:pPr>
              <w:pStyle w:val="TableParagraph"/>
              <w:rPr>
                <w:rFonts w:ascii="Times New Roman"/>
                <w:sz w:val="20"/>
              </w:rPr>
            </w:pPr>
          </w:p>
        </w:tc>
        <w:tc>
          <w:tcPr>
            <w:tcW w:w="1968" w:type="dxa"/>
          </w:tcPr>
          <w:p>
            <w:pPr>
              <w:pStyle w:val="TableParagraph"/>
              <w:tabs>
                <w:tab w:pos="479" w:val="left" w:leader="none"/>
                <w:tab w:pos="959" w:val="left" w:leader="none"/>
                <w:tab w:pos="1439" w:val="left" w:leader="none"/>
              </w:tabs>
              <w:spacing w:line="298" w:lineRule="exact" w:before="2"/>
              <w:ind w:right="225"/>
              <w:jc w:val="right"/>
              <w:rPr>
                <w:sz w:val="20"/>
              </w:rPr>
            </w:pPr>
            <w:r>
              <w:rPr>
                <w:color w:val="231F20"/>
                <w:sz w:val="20"/>
              </w:rPr>
              <w:t>嶺</w:t>
              <w:tab/>
              <w:t>東</w:t>
              <w:tab/>
              <w:t>書</w:t>
              <w:tab/>
              <w:t>坊</w:t>
            </w:r>
          </w:p>
        </w:tc>
        <w:tc>
          <w:tcPr>
            <w:tcW w:w="3975" w:type="dxa"/>
          </w:tcPr>
          <w:p>
            <w:pPr>
              <w:pStyle w:val="TableParagraph"/>
              <w:spacing w:line="298" w:lineRule="exact" w:before="2"/>
              <w:ind w:left="186"/>
              <w:rPr>
                <w:sz w:val="20"/>
              </w:rPr>
            </w:pPr>
            <w:r>
              <w:rPr>
                <w:color w:val="231F20"/>
                <w:sz w:val="20"/>
              </w:rPr>
              <w:t>地址：（408)台中市南屯區嶺東路 1 號</w:t>
            </w:r>
          </w:p>
        </w:tc>
        <w:tc>
          <w:tcPr>
            <w:tcW w:w="2280" w:type="dxa"/>
          </w:tcPr>
          <w:p>
            <w:pPr>
              <w:pStyle w:val="TableParagraph"/>
              <w:spacing w:line="298" w:lineRule="exact" w:before="2"/>
              <w:ind w:left="254"/>
              <w:rPr>
                <w:sz w:val="20"/>
              </w:rPr>
            </w:pPr>
            <w:r>
              <w:rPr>
                <w:color w:val="231F20"/>
                <w:w w:val="95"/>
                <w:sz w:val="20"/>
              </w:rPr>
              <w:t>電話：（04)2385-3672</w:t>
            </w:r>
          </w:p>
        </w:tc>
      </w:tr>
      <w:tr>
        <w:trPr>
          <w:trHeight w:val="319" w:hRule="atLeast"/>
        </w:trPr>
        <w:tc>
          <w:tcPr>
            <w:tcW w:w="510" w:type="dxa"/>
          </w:tcPr>
          <w:p>
            <w:pPr>
              <w:pStyle w:val="TableParagraph"/>
              <w:spacing w:line="298" w:lineRule="exact" w:before="2"/>
              <w:ind w:left="50"/>
              <w:rPr>
                <w:sz w:val="20"/>
              </w:rPr>
            </w:pPr>
            <w:r>
              <w:rPr>
                <w:color w:val="231F20"/>
                <w:sz w:val="20"/>
              </w:rPr>
              <w:t>高</w:t>
            </w:r>
          </w:p>
        </w:tc>
        <w:tc>
          <w:tcPr>
            <w:tcW w:w="562" w:type="dxa"/>
          </w:tcPr>
          <w:p>
            <w:pPr>
              <w:pStyle w:val="TableParagraph"/>
              <w:spacing w:line="298" w:lineRule="exact" w:before="2"/>
              <w:ind w:right="100"/>
              <w:jc w:val="right"/>
              <w:rPr>
                <w:sz w:val="20"/>
              </w:rPr>
            </w:pPr>
            <w:r>
              <w:rPr>
                <w:color w:val="231F20"/>
                <w:sz w:val="20"/>
              </w:rPr>
              <w:t>雄</w:t>
            </w:r>
          </w:p>
        </w:tc>
        <w:tc>
          <w:tcPr>
            <w:tcW w:w="1968" w:type="dxa"/>
          </w:tcPr>
          <w:p>
            <w:pPr>
              <w:pStyle w:val="TableParagraph"/>
              <w:spacing w:line="298" w:lineRule="exact" w:before="2"/>
              <w:ind w:right="185"/>
              <w:jc w:val="right"/>
              <w:rPr>
                <w:sz w:val="20"/>
              </w:rPr>
            </w:pPr>
            <w:r>
              <w:rPr>
                <w:color w:val="231F20"/>
                <w:sz w:val="20"/>
              </w:rPr>
              <w:t>五南文化高雄店 </w:t>
            </w:r>
          </w:p>
        </w:tc>
        <w:tc>
          <w:tcPr>
            <w:tcW w:w="3975" w:type="dxa"/>
          </w:tcPr>
          <w:p>
            <w:pPr>
              <w:pStyle w:val="TableParagraph"/>
              <w:spacing w:line="298" w:lineRule="exact" w:before="2"/>
              <w:ind w:left="186"/>
              <w:rPr>
                <w:sz w:val="20"/>
              </w:rPr>
            </w:pPr>
            <w:r>
              <w:rPr>
                <w:color w:val="231F20"/>
                <w:sz w:val="20"/>
              </w:rPr>
              <w:t>地址：（800)高雄市中山—路 262 號</w:t>
            </w:r>
          </w:p>
        </w:tc>
        <w:tc>
          <w:tcPr>
            <w:tcW w:w="2280" w:type="dxa"/>
          </w:tcPr>
          <w:p>
            <w:pPr>
              <w:pStyle w:val="TableParagraph"/>
              <w:spacing w:line="298" w:lineRule="exact" w:before="2"/>
              <w:ind w:left="254"/>
              <w:rPr>
                <w:sz w:val="20"/>
              </w:rPr>
            </w:pPr>
            <w:r>
              <w:rPr>
                <w:color w:val="231F20"/>
                <w:sz w:val="20"/>
              </w:rPr>
              <w:t>電話：（07)235-1960</w:t>
            </w:r>
          </w:p>
        </w:tc>
      </w:tr>
      <w:tr>
        <w:trPr>
          <w:trHeight w:val="292" w:hRule="atLeast"/>
        </w:trPr>
        <w:tc>
          <w:tcPr>
            <w:tcW w:w="510" w:type="dxa"/>
          </w:tcPr>
          <w:p>
            <w:pPr>
              <w:pStyle w:val="TableParagraph"/>
              <w:spacing w:line="271" w:lineRule="exact" w:before="2"/>
              <w:ind w:left="50"/>
              <w:rPr>
                <w:sz w:val="20"/>
              </w:rPr>
            </w:pPr>
            <w:r>
              <w:rPr>
                <w:color w:val="231F20"/>
                <w:sz w:val="20"/>
              </w:rPr>
              <w:t>屏</w:t>
            </w:r>
          </w:p>
        </w:tc>
        <w:tc>
          <w:tcPr>
            <w:tcW w:w="562" w:type="dxa"/>
          </w:tcPr>
          <w:p>
            <w:pPr>
              <w:pStyle w:val="TableParagraph"/>
              <w:spacing w:line="271" w:lineRule="exact" w:before="2"/>
              <w:ind w:right="100"/>
              <w:jc w:val="right"/>
              <w:rPr>
                <w:sz w:val="20"/>
              </w:rPr>
            </w:pPr>
            <w:r>
              <w:rPr>
                <w:color w:val="231F20"/>
                <w:sz w:val="20"/>
              </w:rPr>
              <w:t>東</w:t>
            </w:r>
          </w:p>
        </w:tc>
        <w:tc>
          <w:tcPr>
            <w:tcW w:w="1968" w:type="dxa"/>
          </w:tcPr>
          <w:p>
            <w:pPr>
              <w:pStyle w:val="TableParagraph"/>
              <w:spacing w:line="271" w:lineRule="exact" w:before="2"/>
              <w:ind w:right="185"/>
              <w:jc w:val="right"/>
              <w:rPr>
                <w:sz w:val="20"/>
              </w:rPr>
            </w:pPr>
            <w:r>
              <w:rPr>
                <w:color w:val="231F20"/>
                <w:sz w:val="20"/>
              </w:rPr>
              <w:t>五南文化屏東店 </w:t>
            </w:r>
          </w:p>
        </w:tc>
        <w:tc>
          <w:tcPr>
            <w:tcW w:w="3975" w:type="dxa"/>
          </w:tcPr>
          <w:p>
            <w:pPr>
              <w:pStyle w:val="TableParagraph"/>
              <w:spacing w:line="271" w:lineRule="exact" w:before="2"/>
              <w:ind w:left="186"/>
              <w:rPr>
                <w:sz w:val="20"/>
              </w:rPr>
            </w:pPr>
            <w:r>
              <w:rPr>
                <w:color w:val="231F20"/>
                <w:sz w:val="20"/>
              </w:rPr>
              <w:t>地址：（900)屏東市中山路 46-2 號</w:t>
            </w:r>
          </w:p>
        </w:tc>
        <w:tc>
          <w:tcPr>
            <w:tcW w:w="2280" w:type="dxa"/>
          </w:tcPr>
          <w:p>
            <w:pPr>
              <w:pStyle w:val="TableParagraph"/>
              <w:spacing w:line="271" w:lineRule="exact" w:before="2"/>
              <w:ind w:left="254"/>
              <w:rPr>
                <w:sz w:val="20"/>
              </w:rPr>
            </w:pPr>
            <w:r>
              <w:rPr>
                <w:color w:val="231F20"/>
                <w:sz w:val="20"/>
              </w:rPr>
              <w:t>電話：（08)732-4020</w:t>
            </w:r>
          </w:p>
        </w:tc>
      </w:tr>
    </w:tbl>
    <w:p>
      <w:pPr>
        <w:spacing w:after="0" w:line="271" w:lineRule="exact"/>
        <w:rPr>
          <w:sz w:val="20"/>
        </w:rPr>
        <w:sectPr>
          <w:pgSz w:w="11910" w:h="16840"/>
          <w:pgMar w:top="1120" w:bottom="280" w:left="980" w:right="0"/>
        </w:sectPr>
      </w:pPr>
    </w:p>
    <w:p>
      <w:pPr>
        <w:spacing w:before="29"/>
        <w:ind w:left="153" w:right="0" w:firstLine="0"/>
        <w:jc w:val="left"/>
        <w:rPr>
          <w:sz w:val="20"/>
        </w:rPr>
      </w:pPr>
      <w:r>
        <w:rPr>
          <w:color w:val="231F20"/>
          <w:sz w:val="20"/>
        </w:rPr>
        <w:t>網路書店 </w:t>
      </w:r>
    </w:p>
    <w:p>
      <w:pPr>
        <w:spacing w:line="220" w:lineRule="auto" w:before="48"/>
        <w:ind w:left="123" w:right="38" w:firstLine="0"/>
        <w:jc w:val="both"/>
        <w:rPr>
          <w:sz w:val="20"/>
        </w:rPr>
      </w:pPr>
      <w:r>
        <w:rPr/>
        <w:br w:type="column"/>
      </w:r>
      <w:r>
        <w:rPr>
          <w:color w:val="231F20"/>
          <w:sz w:val="20"/>
        </w:rPr>
        <w:t>國 家 網 路 書 店五 南 網 路 書 店誠 品 網 路 書 店博客來網路書店 </w:t>
      </w:r>
    </w:p>
    <w:p>
      <w:pPr>
        <w:spacing w:line="334" w:lineRule="exact" w:before="29"/>
        <w:ind w:left="153" w:right="0" w:firstLine="0"/>
        <w:jc w:val="left"/>
        <w:rPr>
          <w:sz w:val="20"/>
        </w:rPr>
      </w:pPr>
      <w:r>
        <w:rPr/>
        <w:br w:type="column"/>
      </w:r>
      <w:hyperlink r:id="rId482">
        <w:r>
          <w:rPr>
            <w:color w:val="231F20"/>
            <w:sz w:val="20"/>
          </w:rPr>
          <w:t>網址：http:／／www.govbooks.com.tw</w:t>
        </w:r>
      </w:hyperlink>
    </w:p>
    <w:p>
      <w:pPr>
        <w:spacing w:line="220" w:lineRule="auto" w:before="5"/>
        <w:ind w:left="153" w:right="3870" w:firstLine="0"/>
        <w:jc w:val="left"/>
        <w:rPr>
          <w:sz w:val="20"/>
        </w:rPr>
      </w:pPr>
      <w:hyperlink r:id="rId483">
        <w:r>
          <w:rPr>
            <w:color w:val="231F20"/>
            <w:w w:val="95"/>
            <w:sz w:val="20"/>
          </w:rPr>
          <w:t>網址：http:／／www.wunanbooks.com.tw／ </w:t>
        </w:r>
      </w:hyperlink>
      <w:hyperlink r:id="rId484">
        <w:r>
          <w:rPr>
            <w:color w:val="231F20"/>
            <w:sz w:val="20"/>
          </w:rPr>
          <w:t>網址：http:／／www</w:t>
        </w:r>
      </w:hyperlink>
      <w:r>
        <w:rPr>
          <w:color w:val="231F20"/>
          <w:sz w:val="20"/>
        </w:rPr>
        <w:t>.eslit</w:t>
      </w:r>
      <w:hyperlink r:id="rId484">
        <w:r>
          <w:rPr>
            <w:color w:val="231F20"/>
            <w:sz w:val="20"/>
          </w:rPr>
          <w:t>ebooks.com／</w:t>
        </w:r>
      </w:hyperlink>
    </w:p>
    <w:p>
      <w:pPr>
        <w:spacing w:line="328" w:lineRule="exact" w:before="0"/>
        <w:ind w:left="153" w:right="0" w:firstLine="0"/>
        <w:jc w:val="left"/>
        <w:rPr>
          <w:sz w:val="20"/>
        </w:rPr>
      </w:pPr>
      <w:hyperlink r:id="rId485">
        <w:r>
          <w:rPr>
            <w:color w:val="231F20"/>
            <w:sz w:val="20"/>
          </w:rPr>
          <w:t>網址：http:／／www.books.com.tw／</w:t>
        </w:r>
      </w:hyperlink>
    </w:p>
    <w:p>
      <w:pPr>
        <w:spacing w:after="0" w:line="328" w:lineRule="exact"/>
        <w:jc w:val="left"/>
        <w:rPr>
          <w:sz w:val="20"/>
        </w:rPr>
        <w:sectPr>
          <w:type w:val="continuous"/>
          <w:pgSz w:w="11910" w:h="16840"/>
          <w:pgMar w:top="720" w:bottom="280" w:left="980" w:right="0"/>
          <w:cols w:num="3" w:equalWidth="0">
            <w:col w:w="1113" w:space="40"/>
            <w:col w:w="1892" w:space="132"/>
            <w:col w:w="7753"/>
          </w:cols>
        </w:sectPr>
      </w:pPr>
    </w:p>
    <w:p>
      <w:pPr>
        <w:spacing w:line="334" w:lineRule="exact" w:before="81"/>
        <w:ind w:left="153" w:right="0" w:firstLine="0"/>
        <w:jc w:val="left"/>
        <w:rPr>
          <w:sz w:val="20"/>
        </w:rPr>
      </w:pPr>
      <w:r>
        <w:rPr>
          <w:color w:val="231F20"/>
          <w:sz w:val="20"/>
        </w:rPr>
        <w:t>GPN：1011200594</w:t>
      </w:r>
    </w:p>
    <w:p>
      <w:pPr>
        <w:spacing w:line="334" w:lineRule="exact" w:before="0"/>
        <w:ind w:left="153" w:right="0" w:firstLine="0"/>
        <w:jc w:val="left"/>
        <w:rPr>
          <w:sz w:val="20"/>
        </w:rPr>
      </w:pPr>
      <w:r>
        <w:rPr>
          <w:color w:val="231F20"/>
          <w:w w:val="115"/>
          <w:sz w:val="20"/>
        </w:rPr>
        <w:t>ISBN：978-626-7260-39-5(平裝)</w:t>
      </w:r>
    </w:p>
    <w:p>
      <w:pPr>
        <w:spacing w:line="334" w:lineRule="exact" w:before="175"/>
        <w:ind w:left="153" w:right="0" w:firstLine="0"/>
        <w:jc w:val="left"/>
        <w:rPr>
          <w:sz w:val="20"/>
        </w:rPr>
      </w:pPr>
      <w:r>
        <w:rPr>
          <w:color w:val="231F20"/>
          <w:sz w:val="20"/>
        </w:rPr>
        <w:t>本書同時登載於衛生福利部疾病管制署網站，網址 </w:t>
      </w:r>
      <w:hyperlink r:id="rId456">
        <w:r>
          <w:rPr>
            <w:color w:val="231F20"/>
            <w:sz w:val="20"/>
          </w:rPr>
          <w:t>http:／／www.cdc.gov</w:t>
        </w:r>
      </w:hyperlink>
      <w:r>
        <w:rPr>
          <w:color w:val="231F20"/>
          <w:sz w:val="20"/>
        </w:rPr>
        <w:t>.tw</w:t>
      </w:r>
    </w:p>
    <w:p>
      <w:pPr>
        <w:spacing w:line="334" w:lineRule="exact" w:before="0"/>
        <w:ind w:left="153" w:right="0" w:firstLine="0"/>
        <w:jc w:val="left"/>
        <w:rPr>
          <w:sz w:val="20"/>
        </w:rPr>
      </w:pPr>
      <w:r>
        <w:rPr>
          <w:color w:val="231F20"/>
          <w:sz w:val="20"/>
        </w:rPr>
        <w:t>請尊重智慧財產權，欲利用內容者，須徵求衛生福利部疾病管制署同意或書面授權</w:t>
      </w:r>
    </w:p>
    <w:p>
      <w:pPr>
        <w:spacing w:after="0" w:line="334" w:lineRule="exact"/>
        <w:jc w:val="left"/>
        <w:rPr>
          <w:sz w:val="20"/>
        </w:rPr>
        <w:sectPr>
          <w:type w:val="continuous"/>
          <w:pgSz w:w="11910" w:h="16840"/>
          <w:pgMar w:top="720" w:bottom="280" w:left="980" w:right="0"/>
        </w:sectPr>
      </w:pPr>
    </w:p>
    <w:p>
      <w:pPr>
        <w:pStyle w:val="BodyText"/>
        <w:spacing w:before="8"/>
        <w:rPr>
          <w:sz w:val="11"/>
        </w:rPr>
      </w:pPr>
    </w:p>
    <w:p>
      <w:pPr>
        <w:spacing w:after="0"/>
        <w:rPr>
          <w:sz w:val="11"/>
        </w:rPr>
        <w:sectPr>
          <w:pgSz w:w="11910" w:h="16840"/>
          <w:pgMar w:top="1600" w:bottom="280" w:left="98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13"/>
        </w:rPr>
      </w:pPr>
    </w:p>
    <w:p>
      <w:pPr>
        <w:spacing w:after="0"/>
        <w:rPr>
          <w:sz w:val="13"/>
        </w:rPr>
        <w:sectPr>
          <w:pgSz w:w="11910" w:h="16840"/>
          <w:pgMar w:top="1600" w:bottom="280" w:left="980" w:right="0"/>
        </w:sectPr>
      </w:pPr>
    </w:p>
    <w:p>
      <w:pPr>
        <w:pStyle w:val="BodyText"/>
        <w:spacing w:before="12"/>
        <w:rPr>
          <w:sz w:val="23"/>
        </w:rPr>
      </w:pPr>
      <w:r>
        <w:rPr/>
        <w:drawing>
          <wp:anchor distT="0" distB="0" distL="0" distR="0" allowOverlap="1" layoutInCell="1" locked="0" behindDoc="1" simplePos="0" relativeHeight="237430784">
            <wp:simplePos x="0" y="0"/>
            <wp:positionH relativeFrom="page">
              <wp:posOffset>-4762</wp:posOffset>
            </wp:positionH>
            <wp:positionV relativeFrom="page">
              <wp:posOffset>2108</wp:posOffset>
            </wp:positionV>
            <wp:extent cx="7566291" cy="10687422"/>
            <wp:effectExtent l="0" t="0" r="0" b="0"/>
            <wp:wrapNone/>
            <wp:docPr id="25" name="image476.png"/>
            <wp:cNvGraphicFramePr>
              <a:graphicFrameLocks noChangeAspect="1"/>
            </wp:cNvGraphicFramePr>
            <a:graphic>
              <a:graphicData uri="http://schemas.openxmlformats.org/drawingml/2006/picture">
                <pic:pic>
                  <pic:nvPicPr>
                    <pic:cNvPr id="26" name="image476.png"/>
                    <pic:cNvPicPr/>
                  </pic:nvPicPr>
                  <pic:blipFill>
                    <a:blip r:embed="rId486" cstate="print"/>
                    <a:stretch>
                      <a:fillRect/>
                    </a:stretch>
                  </pic:blipFill>
                  <pic:spPr>
                    <a:xfrm>
                      <a:off x="0" y="0"/>
                      <a:ext cx="7566291" cy="10687422"/>
                    </a:xfrm>
                    <a:prstGeom prst="rect">
                      <a:avLst/>
                    </a:prstGeom>
                  </pic:spPr>
                </pic:pic>
              </a:graphicData>
            </a:graphic>
          </wp:anchor>
        </w:drawing>
      </w:r>
    </w:p>
    <w:p>
      <w:pPr>
        <w:spacing w:line="206" w:lineRule="auto" w:before="1"/>
        <w:ind w:left="391" w:right="38" w:firstLine="8"/>
        <w:jc w:val="both"/>
        <w:rPr>
          <w:rFonts w:ascii="Arial" w:hAnsi="Arial" w:eastAsia="Arial"/>
          <w:sz w:val="27"/>
        </w:rPr>
      </w:pPr>
      <w:r>
        <w:rPr>
          <w:rFonts w:ascii="新細明體" w:hAnsi="新細明體" w:eastAsia="新細明體" w:hint="eastAsia"/>
          <w:color w:val="262123"/>
          <w:w w:val="110"/>
          <w:sz w:val="22"/>
        </w:rPr>
        <w:t>防疫視同作戰</w:t>
      </w:r>
      <w:r>
        <w:rPr>
          <w:rFonts w:ascii="新細明體" w:hAnsi="新細明體" w:eastAsia="新細明體" w:hint="eastAsia"/>
          <w:color w:val="262123"/>
          <w:spacing w:val="-140"/>
          <w:w w:val="570"/>
          <w:sz w:val="22"/>
        </w:rPr>
        <w:t>·</w:t>
      </w:r>
      <w:r>
        <w:rPr>
          <w:rFonts w:ascii="新細明體" w:hAnsi="新細明體" w:eastAsia="新細明體" w:hint="eastAsia"/>
          <w:color w:val="262123"/>
          <w:w w:val="110"/>
          <w:sz w:val="22"/>
        </w:rPr>
        <w:t>團結專精實幹       </w:t>
      </w:r>
      <w:r>
        <w:rPr>
          <w:rFonts w:ascii="新細明體" w:hAnsi="新細明體" w:eastAsia="新細明體" w:hint="eastAsia"/>
          <w:color w:val="262123"/>
          <w:spacing w:val="8"/>
          <w:w w:val="85"/>
          <w:sz w:val="22"/>
        </w:rPr>
        <w:t>縦司士止</w:t>
      </w:r>
      <w:r>
        <w:rPr>
          <w:rFonts w:ascii="新細明體" w:hAnsi="新細明體" w:eastAsia="新細明體" w:hint="eastAsia"/>
          <w:color w:val="262123"/>
          <w:spacing w:val="-4"/>
          <w:w w:val="90"/>
          <w:sz w:val="27"/>
        </w:rPr>
        <w:t>：</w:t>
      </w:r>
      <w:r>
        <w:rPr>
          <w:rFonts w:ascii="Arial" w:hAnsi="Arial" w:eastAsia="Arial"/>
          <w:color w:val="262123"/>
          <w:spacing w:val="-4"/>
          <w:w w:val="90"/>
          <w:sz w:val="27"/>
        </w:rPr>
        <w:t>http</w:t>
      </w:r>
      <w:r>
        <w:rPr>
          <w:rFonts w:ascii="Arial" w:hAnsi="Arial" w:eastAsia="Arial"/>
          <w:color w:val="262123"/>
          <w:spacing w:val="19"/>
          <w:w w:val="90"/>
          <w:sz w:val="27"/>
        </w:rPr>
        <w:t> : </w:t>
      </w:r>
      <w:hyperlink r:id="rId456">
        <w:r>
          <w:rPr>
            <w:rFonts w:ascii="Arial" w:hAnsi="Arial" w:eastAsia="Arial"/>
            <w:color w:val="262123"/>
            <w:w w:val="90"/>
            <w:sz w:val="27"/>
          </w:rPr>
          <w:t>//www.cdc.gov.tw </w:t>
        </w:r>
      </w:hyperlink>
      <w:r>
        <w:rPr>
          <w:rFonts w:ascii="新細明體" w:hAnsi="新細明體" w:eastAsia="新細明體" w:hint="eastAsia"/>
          <w:color w:val="262123"/>
          <w:spacing w:val="38"/>
          <w:sz w:val="22"/>
        </w:rPr>
        <w:t>民眾疫情通報及關懷專線</w:t>
      </w:r>
      <w:r>
        <w:rPr>
          <w:rFonts w:ascii="Arial" w:hAnsi="Arial" w:eastAsia="Arial"/>
          <w:color w:val="262123"/>
          <w:sz w:val="27"/>
        </w:rPr>
        <w:t>1922</w:t>
      </w:r>
    </w:p>
    <w:p>
      <w:pPr>
        <w:spacing w:before="87"/>
        <w:ind w:left="581" w:right="0" w:firstLine="0"/>
        <w:jc w:val="left"/>
        <w:rPr>
          <w:rFonts w:ascii="Arial"/>
          <w:sz w:val="39"/>
        </w:rPr>
      </w:pPr>
      <w:r>
        <w:rPr/>
        <w:br w:type="column"/>
      </w:r>
      <w:r>
        <w:rPr>
          <w:rFonts w:ascii="Arial"/>
          <w:color w:val="FFFFFF"/>
          <w:sz w:val="39"/>
        </w:rPr>
        <w:t>11111</w:t>
      </w:r>
    </w:p>
    <w:p>
      <w:pPr>
        <w:spacing w:before="221"/>
        <w:ind w:left="0" w:right="860" w:firstLine="0"/>
        <w:jc w:val="right"/>
        <w:rPr>
          <w:rFonts w:ascii="Arial"/>
          <w:sz w:val="21"/>
        </w:rPr>
      </w:pPr>
      <w:r>
        <w:rPr>
          <w:rFonts w:ascii="Arial"/>
          <w:color w:val="262123"/>
          <w:sz w:val="21"/>
        </w:rPr>
        <w:t>GPN 1 1060 371</w:t>
      </w:r>
    </w:p>
    <w:p>
      <w:pPr>
        <w:tabs>
          <w:tab w:pos="579" w:val="left" w:leader="none"/>
        </w:tabs>
        <w:spacing w:before="28"/>
        <w:ind w:left="0" w:right="914" w:firstLine="0"/>
        <w:jc w:val="right"/>
        <w:rPr>
          <w:rFonts w:ascii="新細明體" w:eastAsia="新細明體" w:hint="eastAsia"/>
          <w:sz w:val="12"/>
        </w:rPr>
      </w:pPr>
      <w:r>
        <w:rPr>
          <w:rFonts w:ascii="新細明體" w:eastAsia="新細明體" w:hint="eastAsia"/>
          <w:color w:val="3D383A"/>
          <w:w w:val="105"/>
          <w:position w:val="10"/>
          <w:sz w:val="11"/>
        </w:rPr>
        <w:t>，敬＿</w:t>
        <w:tab/>
      </w:r>
      <w:r>
        <w:rPr>
          <w:rFonts w:ascii="Arial" w:eastAsia="Arial"/>
          <w:color w:val="262123"/>
          <w:w w:val="105"/>
          <w:sz w:val="10"/>
        </w:rPr>
        <w:t>r;-:, </w:t>
      </w:r>
      <w:r>
        <w:rPr>
          <w:rFonts w:ascii="SimSun" w:eastAsia="SimSun" w:hint="eastAsia"/>
          <w:color w:val="231F20"/>
          <w:w w:val="105"/>
          <w:sz w:val="22"/>
        </w:rPr>
        <w:t>150</w:t>
      </w:r>
      <w:r>
        <w:rPr>
          <w:rFonts w:ascii="SimSun" w:eastAsia="SimSun" w:hint="eastAsia"/>
          <w:color w:val="231F20"/>
          <w:spacing w:val="-57"/>
          <w:w w:val="105"/>
          <w:sz w:val="22"/>
        </w:rPr>
        <w:t> </w:t>
      </w:r>
      <w:r>
        <w:rPr>
          <w:rFonts w:ascii="新細明體" w:eastAsia="新細明體" w:hint="eastAsia"/>
          <w:color w:val="262123"/>
          <w:w w:val="105"/>
          <w:sz w:val="12"/>
        </w:rPr>
        <w:t>兀</w:t>
      </w:r>
    </w:p>
    <w:sectPr>
      <w:type w:val="continuous"/>
      <w:pgSz w:w="11910" w:h="16840"/>
      <w:pgMar w:top="720" w:bottom="280" w:left="980" w:right="0"/>
      <w:cols w:num="2" w:equalWidth="0">
        <w:col w:w="4002" w:space="3847"/>
        <w:col w:w="308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新細明體">
    <w:altName w:val="新細明體"/>
    <w:charset w:val="88"/>
    <w:family w:val="roman"/>
    <w:pitch w:val="variable"/>
  </w:font>
  <w:font w:name="微軟正黑體">
    <w:altName w:val="微軟正黑體"/>
    <w:charset w:val="88"/>
    <w:family w:val="swiss"/>
    <w:pitch w:val="variable"/>
  </w:font>
  <w:font w:name="Calibri">
    <w:altName w:val="Calibri"/>
    <w:charset w:val="0"/>
    <w:family w:val="swiss"/>
    <w:pitch w:val="variable"/>
  </w:font>
  <w:font w:name="Trebuchet MS">
    <w:altName w:val="Trebuchet MS"/>
    <w:charset w:val="0"/>
    <w:family w:val="swiss"/>
    <w:pitch w:val="variable"/>
  </w:font>
  <w:font w:name="Microsoft JhengHei UI">
    <w:altName w:val="Microsoft JhengHei UI"/>
    <w:charset w:val="88"/>
    <w:family w:val="swiss"/>
    <w:pitch w:val="variable"/>
  </w:font>
  <w:font w:name="Arial Unicode MS">
    <w:altName w:val="Arial Unicode MS"/>
    <w:charset w:val="88"/>
    <w:family w:val="swiss"/>
    <w:pitch w:val="variable"/>
  </w:font>
  <w:font w:name="Wingdings">
    <w:altName w:val="Wingdings"/>
    <w:charset w:val="2"/>
    <w:family w:val="auto"/>
    <w:pitch w:val="variable"/>
  </w:font>
  <w:font w:name="Symbol">
    <w:altName w:val="Symbol"/>
    <w:charset w:val="2"/>
    <w:family w:val="roman"/>
    <w:pitch w:val="variable"/>
  </w:font>
  <w:font w:name="細明體">
    <w:altName w:val="細明體"/>
    <w:charset w:val="88"/>
    <w:family w:val="modern"/>
    <w:pitch w:val="fixed"/>
  </w:font>
  <w:font w:name="SimSun">
    <w:altName w:val="SimSun"/>
    <w:charset w:val="0"/>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7">
    <w:multiLevelType w:val="hybridMultilevel"/>
    <w:lvl w:ilvl="0">
      <w:start w:val="1"/>
      <w:numFmt w:val="decimal"/>
      <w:lvlText w:val="%1."/>
      <w:lvlJc w:val="left"/>
      <w:pPr>
        <w:ind w:left="1349" w:hanging="257"/>
        <w:jc w:val="left"/>
      </w:pPr>
      <w:rPr>
        <w:rFonts w:hint="default" w:ascii="Arial Unicode MS" w:hAnsi="Arial Unicode MS" w:eastAsia="Arial Unicode MS" w:cs="Arial Unicode MS"/>
        <w:color w:val="231F20"/>
        <w:spacing w:val="0"/>
        <w:w w:val="97"/>
        <w:sz w:val="24"/>
        <w:szCs w:val="24"/>
      </w:rPr>
    </w:lvl>
    <w:lvl w:ilvl="1">
      <w:start w:val="0"/>
      <w:numFmt w:val="bullet"/>
      <w:lvlText w:val="•"/>
      <w:lvlJc w:val="left"/>
      <w:pPr>
        <w:ind w:left="2298" w:hanging="257"/>
      </w:pPr>
      <w:rPr>
        <w:rFonts w:hint="default"/>
      </w:rPr>
    </w:lvl>
    <w:lvl w:ilvl="2">
      <w:start w:val="0"/>
      <w:numFmt w:val="bullet"/>
      <w:lvlText w:val="•"/>
      <w:lvlJc w:val="left"/>
      <w:pPr>
        <w:ind w:left="3256" w:hanging="257"/>
      </w:pPr>
      <w:rPr>
        <w:rFonts w:hint="default"/>
      </w:rPr>
    </w:lvl>
    <w:lvl w:ilvl="3">
      <w:start w:val="0"/>
      <w:numFmt w:val="bullet"/>
      <w:lvlText w:val="•"/>
      <w:lvlJc w:val="left"/>
      <w:pPr>
        <w:ind w:left="4215" w:hanging="257"/>
      </w:pPr>
      <w:rPr>
        <w:rFonts w:hint="default"/>
      </w:rPr>
    </w:lvl>
    <w:lvl w:ilvl="4">
      <w:start w:val="0"/>
      <w:numFmt w:val="bullet"/>
      <w:lvlText w:val="•"/>
      <w:lvlJc w:val="left"/>
      <w:pPr>
        <w:ind w:left="5173" w:hanging="257"/>
      </w:pPr>
      <w:rPr>
        <w:rFonts w:hint="default"/>
      </w:rPr>
    </w:lvl>
    <w:lvl w:ilvl="5">
      <w:start w:val="0"/>
      <w:numFmt w:val="bullet"/>
      <w:lvlText w:val="•"/>
      <w:lvlJc w:val="left"/>
      <w:pPr>
        <w:ind w:left="6132" w:hanging="257"/>
      </w:pPr>
      <w:rPr>
        <w:rFonts w:hint="default"/>
      </w:rPr>
    </w:lvl>
    <w:lvl w:ilvl="6">
      <w:start w:val="0"/>
      <w:numFmt w:val="bullet"/>
      <w:lvlText w:val="•"/>
      <w:lvlJc w:val="left"/>
      <w:pPr>
        <w:ind w:left="7090" w:hanging="257"/>
      </w:pPr>
      <w:rPr>
        <w:rFonts w:hint="default"/>
      </w:rPr>
    </w:lvl>
    <w:lvl w:ilvl="7">
      <w:start w:val="0"/>
      <w:numFmt w:val="bullet"/>
      <w:lvlText w:val="•"/>
      <w:lvlJc w:val="left"/>
      <w:pPr>
        <w:ind w:left="8049" w:hanging="257"/>
      </w:pPr>
      <w:rPr>
        <w:rFonts w:hint="default"/>
      </w:rPr>
    </w:lvl>
    <w:lvl w:ilvl="8">
      <w:start w:val="0"/>
      <w:numFmt w:val="bullet"/>
      <w:lvlText w:val="•"/>
      <w:lvlJc w:val="left"/>
      <w:pPr>
        <w:ind w:left="9007" w:hanging="257"/>
      </w:pPr>
      <w:rPr>
        <w:rFonts w:hint="default"/>
      </w:rPr>
    </w:lvl>
  </w:abstractNum>
  <w:abstractNum w:abstractNumId="324">
    <w:multiLevelType w:val="hybridMultilevel"/>
    <w:lvl w:ilvl="0">
      <w:start w:val="1"/>
      <w:numFmt w:val="decimal"/>
      <w:lvlText w:val="%1."/>
      <w:lvlJc w:val="left"/>
      <w:pPr>
        <w:ind w:left="368"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1045" w:hanging="255"/>
      </w:pPr>
      <w:rPr>
        <w:rFonts w:hint="default"/>
      </w:rPr>
    </w:lvl>
    <w:lvl w:ilvl="2">
      <w:start w:val="0"/>
      <w:numFmt w:val="bullet"/>
      <w:lvlText w:val="•"/>
      <w:lvlJc w:val="left"/>
      <w:pPr>
        <w:ind w:left="1731" w:hanging="255"/>
      </w:pPr>
      <w:rPr>
        <w:rFonts w:hint="default"/>
      </w:rPr>
    </w:lvl>
    <w:lvl w:ilvl="3">
      <w:start w:val="0"/>
      <w:numFmt w:val="bullet"/>
      <w:lvlText w:val="•"/>
      <w:lvlJc w:val="left"/>
      <w:pPr>
        <w:ind w:left="2417" w:hanging="255"/>
      </w:pPr>
      <w:rPr>
        <w:rFonts w:hint="default"/>
      </w:rPr>
    </w:lvl>
    <w:lvl w:ilvl="4">
      <w:start w:val="0"/>
      <w:numFmt w:val="bullet"/>
      <w:lvlText w:val="•"/>
      <w:lvlJc w:val="left"/>
      <w:pPr>
        <w:ind w:left="3102" w:hanging="255"/>
      </w:pPr>
      <w:rPr>
        <w:rFonts w:hint="default"/>
      </w:rPr>
    </w:lvl>
    <w:lvl w:ilvl="5">
      <w:start w:val="0"/>
      <w:numFmt w:val="bullet"/>
      <w:lvlText w:val="•"/>
      <w:lvlJc w:val="left"/>
      <w:pPr>
        <w:ind w:left="3788" w:hanging="255"/>
      </w:pPr>
      <w:rPr>
        <w:rFonts w:hint="default"/>
      </w:rPr>
    </w:lvl>
    <w:lvl w:ilvl="6">
      <w:start w:val="0"/>
      <w:numFmt w:val="bullet"/>
      <w:lvlText w:val="•"/>
      <w:lvlJc w:val="left"/>
      <w:pPr>
        <w:ind w:left="4474" w:hanging="255"/>
      </w:pPr>
      <w:rPr>
        <w:rFonts w:hint="default"/>
      </w:rPr>
    </w:lvl>
    <w:lvl w:ilvl="7">
      <w:start w:val="0"/>
      <w:numFmt w:val="bullet"/>
      <w:lvlText w:val="•"/>
      <w:lvlJc w:val="left"/>
      <w:pPr>
        <w:ind w:left="5159" w:hanging="255"/>
      </w:pPr>
      <w:rPr>
        <w:rFonts w:hint="default"/>
      </w:rPr>
    </w:lvl>
    <w:lvl w:ilvl="8">
      <w:start w:val="0"/>
      <w:numFmt w:val="bullet"/>
      <w:lvlText w:val="•"/>
      <w:lvlJc w:val="left"/>
      <w:pPr>
        <w:ind w:left="5845" w:hanging="255"/>
      </w:pPr>
      <w:rPr>
        <w:rFonts w:hint="default"/>
      </w:rPr>
    </w:lvl>
  </w:abstractNum>
  <w:abstractNum w:abstractNumId="323">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1045" w:hanging="255"/>
      </w:pPr>
      <w:rPr>
        <w:rFonts w:hint="default"/>
      </w:rPr>
    </w:lvl>
    <w:lvl w:ilvl="2">
      <w:start w:val="0"/>
      <w:numFmt w:val="bullet"/>
      <w:lvlText w:val="•"/>
      <w:lvlJc w:val="left"/>
      <w:pPr>
        <w:ind w:left="1731" w:hanging="255"/>
      </w:pPr>
      <w:rPr>
        <w:rFonts w:hint="default"/>
      </w:rPr>
    </w:lvl>
    <w:lvl w:ilvl="3">
      <w:start w:val="0"/>
      <w:numFmt w:val="bullet"/>
      <w:lvlText w:val="•"/>
      <w:lvlJc w:val="left"/>
      <w:pPr>
        <w:ind w:left="2417" w:hanging="255"/>
      </w:pPr>
      <w:rPr>
        <w:rFonts w:hint="default"/>
      </w:rPr>
    </w:lvl>
    <w:lvl w:ilvl="4">
      <w:start w:val="0"/>
      <w:numFmt w:val="bullet"/>
      <w:lvlText w:val="•"/>
      <w:lvlJc w:val="left"/>
      <w:pPr>
        <w:ind w:left="3102" w:hanging="255"/>
      </w:pPr>
      <w:rPr>
        <w:rFonts w:hint="default"/>
      </w:rPr>
    </w:lvl>
    <w:lvl w:ilvl="5">
      <w:start w:val="0"/>
      <w:numFmt w:val="bullet"/>
      <w:lvlText w:val="•"/>
      <w:lvlJc w:val="left"/>
      <w:pPr>
        <w:ind w:left="3788" w:hanging="255"/>
      </w:pPr>
      <w:rPr>
        <w:rFonts w:hint="default"/>
      </w:rPr>
    </w:lvl>
    <w:lvl w:ilvl="6">
      <w:start w:val="0"/>
      <w:numFmt w:val="bullet"/>
      <w:lvlText w:val="•"/>
      <w:lvlJc w:val="left"/>
      <w:pPr>
        <w:ind w:left="4474" w:hanging="255"/>
      </w:pPr>
      <w:rPr>
        <w:rFonts w:hint="default"/>
      </w:rPr>
    </w:lvl>
    <w:lvl w:ilvl="7">
      <w:start w:val="0"/>
      <w:numFmt w:val="bullet"/>
      <w:lvlText w:val="•"/>
      <w:lvlJc w:val="left"/>
      <w:pPr>
        <w:ind w:left="5159" w:hanging="255"/>
      </w:pPr>
      <w:rPr>
        <w:rFonts w:hint="default"/>
      </w:rPr>
    </w:lvl>
    <w:lvl w:ilvl="8">
      <w:start w:val="0"/>
      <w:numFmt w:val="bullet"/>
      <w:lvlText w:val="•"/>
      <w:lvlJc w:val="left"/>
      <w:pPr>
        <w:ind w:left="5845" w:hanging="255"/>
      </w:pPr>
      <w:rPr>
        <w:rFonts w:hint="default"/>
      </w:rPr>
    </w:lvl>
  </w:abstractNum>
  <w:abstractNum w:abstractNumId="322">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1045" w:hanging="255"/>
      </w:pPr>
      <w:rPr>
        <w:rFonts w:hint="default"/>
      </w:rPr>
    </w:lvl>
    <w:lvl w:ilvl="2">
      <w:start w:val="0"/>
      <w:numFmt w:val="bullet"/>
      <w:lvlText w:val="•"/>
      <w:lvlJc w:val="left"/>
      <w:pPr>
        <w:ind w:left="1731" w:hanging="255"/>
      </w:pPr>
      <w:rPr>
        <w:rFonts w:hint="default"/>
      </w:rPr>
    </w:lvl>
    <w:lvl w:ilvl="3">
      <w:start w:val="0"/>
      <w:numFmt w:val="bullet"/>
      <w:lvlText w:val="•"/>
      <w:lvlJc w:val="left"/>
      <w:pPr>
        <w:ind w:left="2417" w:hanging="255"/>
      </w:pPr>
      <w:rPr>
        <w:rFonts w:hint="default"/>
      </w:rPr>
    </w:lvl>
    <w:lvl w:ilvl="4">
      <w:start w:val="0"/>
      <w:numFmt w:val="bullet"/>
      <w:lvlText w:val="•"/>
      <w:lvlJc w:val="left"/>
      <w:pPr>
        <w:ind w:left="3102" w:hanging="255"/>
      </w:pPr>
      <w:rPr>
        <w:rFonts w:hint="default"/>
      </w:rPr>
    </w:lvl>
    <w:lvl w:ilvl="5">
      <w:start w:val="0"/>
      <w:numFmt w:val="bullet"/>
      <w:lvlText w:val="•"/>
      <w:lvlJc w:val="left"/>
      <w:pPr>
        <w:ind w:left="3788" w:hanging="255"/>
      </w:pPr>
      <w:rPr>
        <w:rFonts w:hint="default"/>
      </w:rPr>
    </w:lvl>
    <w:lvl w:ilvl="6">
      <w:start w:val="0"/>
      <w:numFmt w:val="bullet"/>
      <w:lvlText w:val="•"/>
      <w:lvlJc w:val="left"/>
      <w:pPr>
        <w:ind w:left="4474" w:hanging="255"/>
      </w:pPr>
      <w:rPr>
        <w:rFonts w:hint="default"/>
      </w:rPr>
    </w:lvl>
    <w:lvl w:ilvl="7">
      <w:start w:val="0"/>
      <w:numFmt w:val="bullet"/>
      <w:lvlText w:val="•"/>
      <w:lvlJc w:val="left"/>
      <w:pPr>
        <w:ind w:left="5159" w:hanging="255"/>
      </w:pPr>
      <w:rPr>
        <w:rFonts w:hint="default"/>
      </w:rPr>
    </w:lvl>
    <w:lvl w:ilvl="8">
      <w:start w:val="0"/>
      <w:numFmt w:val="bullet"/>
      <w:lvlText w:val="•"/>
      <w:lvlJc w:val="left"/>
      <w:pPr>
        <w:ind w:left="5845" w:hanging="255"/>
      </w:pPr>
      <w:rPr>
        <w:rFonts w:hint="default"/>
      </w:rPr>
    </w:lvl>
  </w:abstractNum>
  <w:abstractNum w:abstractNumId="321">
    <w:multiLevelType w:val="hybridMultilevel"/>
    <w:lvl w:ilvl="0">
      <w:start w:val="1"/>
      <w:numFmt w:val="decimal"/>
      <w:lvlText w:val="%1."/>
      <w:lvlJc w:val="left"/>
      <w:pPr>
        <w:ind w:left="368" w:hanging="256"/>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1045" w:hanging="256"/>
      </w:pPr>
      <w:rPr>
        <w:rFonts w:hint="default"/>
      </w:rPr>
    </w:lvl>
    <w:lvl w:ilvl="2">
      <w:start w:val="0"/>
      <w:numFmt w:val="bullet"/>
      <w:lvlText w:val="•"/>
      <w:lvlJc w:val="left"/>
      <w:pPr>
        <w:ind w:left="1731" w:hanging="256"/>
      </w:pPr>
      <w:rPr>
        <w:rFonts w:hint="default"/>
      </w:rPr>
    </w:lvl>
    <w:lvl w:ilvl="3">
      <w:start w:val="0"/>
      <w:numFmt w:val="bullet"/>
      <w:lvlText w:val="•"/>
      <w:lvlJc w:val="left"/>
      <w:pPr>
        <w:ind w:left="2417" w:hanging="256"/>
      </w:pPr>
      <w:rPr>
        <w:rFonts w:hint="default"/>
      </w:rPr>
    </w:lvl>
    <w:lvl w:ilvl="4">
      <w:start w:val="0"/>
      <w:numFmt w:val="bullet"/>
      <w:lvlText w:val="•"/>
      <w:lvlJc w:val="left"/>
      <w:pPr>
        <w:ind w:left="3102" w:hanging="256"/>
      </w:pPr>
      <w:rPr>
        <w:rFonts w:hint="default"/>
      </w:rPr>
    </w:lvl>
    <w:lvl w:ilvl="5">
      <w:start w:val="0"/>
      <w:numFmt w:val="bullet"/>
      <w:lvlText w:val="•"/>
      <w:lvlJc w:val="left"/>
      <w:pPr>
        <w:ind w:left="3788" w:hanging="256"/>
      </w:pPr>
      <w:rPr>
        <w:rFonts w:hint="default"/>
      </w:rPr>
    </w:lvl>
    <w:lvl w:ilvl="6">
      <w:start w:val="0"/>
      <w:numFmt w:val="bullet"/>
      <w:lvlText w:val="•"/>
      <w:lvlJc w:val="left"/>
      <w:pPr>
        <w:ind w:left="4474" w:hanging="256"/>
      </w:pPr>
      <w:rPr>
        <w:rFonts w:hint="default"/>
      </w:rPr>
    </w:lvl>
    <w:lvl w:ilvl="7">
      <w:start w:val="0"/>
      <w:numFmt w:val="bullet"/>
      <w:lvlText w:val="•"/>
      <w:lvlJc w:val="left"/>
      <w:pPr>
        <w:ind w:left="5159" w:hanging="256"/>
      </w:pPr>
      <w:rPr>
        <w:rFonts w:hint="default"/>
      </w:rPr>
    </w:lvl>
    <w:lvl w:ilvl="8">
      <w:start w:val="0"/>
      <w:numFmt w:val="bullet"/>
      <w:lvlText w:val="•"/>
      <w:lvlJc w:val="left"/>
      <w:pPr>
        <w:ind w:left="5845" w:hanging="256"/>
      </w:pPr>
      <w:rPr>
        <w:rFonts w:hint="default"/>
      </w:rPr>
    </w:lvl>
  </w:abstractNum>
  <w:abstractNum w:abstractNumId="320">
    <w:multiLevelType w:val="hybridMultilevel"/>
    <w:lvl w:ilvl="0">
      <w:start w:val="12"/>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19">
    <w:multiLevelType w:val="hybridMultilevel"/>
    <w:lvl w:ilvl="0">
      <w:start w:val="19"/>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18">
    <w:multiLevelType w:val="hybridMultilevel"/>
    <w:lvl w:ilvl="0">
      <w:start w:val="14"/>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17">
    <w:multiLevelType w:val="hybridMultilevel"/>
    <w:lvl w:ilvl="0">
      <w:start w:val="10"/>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16">
    <w:multiLevelType w:val="hybridMultilevel"/>
    <w:lvl w:ilvl="0">
      <w:start w:val="17"/>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15">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16" w:hanging="255"/>
      </w:pPr>
      <w:rPr>
        <w:rFonts w:hint="default"/>
      </w:rPr>
    </w:lvl>
    <w:lvl w:ilvl="2">
      <w:start w:val="0"/>
      <w:numFmt w:val="bullet"/>
      <w:lvlText w:val="•"/>
      <w:lvlJc w:val="left"/>
      <w:pPr>
        <w:ind w:left="1092" w:hanging="255"/>
      </w:pPr>
      <w:rPr>
        <w:rFonts w:hint="default"/>
      </w:rPr>
    </w:lvl>
    <w:lvl w:ilvl="3">
      <w:start w:val="0"/>
      <w:numFmt w:val="bullet"/>
      <w:lvlText w:val="•"/>
      <w:lvlJc w:val="left"/>
      <w:pPr>
        <w:ind w:left="1468" w:hanging="255"/>
      </w:pPr>
      <w:rPr>
        <w:rFonts w:hint="default"/>
      </w:rPr>
    </w:lvl>
    <w:lvl w:ilvl="4">
      <w:start w:val="0"/>
      <w:numFmt w:val="bullet"/>
      <w:lvlText w:val="•"/>
      <w:lvlJc w:val="left"/>
      <w:pPr>
        <w:ind w:left="1845" w:hanging="255"/>
      </w:pPr>
      <w:rPr>
        <w:rFonts w:hint="default"/>
      </w:rPr>
    </w:lvl>
    <w:lvl w:ilvl="5">
      <w:start w:val="0"/>
      <w:numFmt w:val="bullet"/>
      <w:lvlText w:val="•"/>
      <w:lvlJc w:val="left"/>
      <w:pPr>
        <w:ind w:left="2221" w:hanging="255"/>
      </w:pPr>
      <w:rPr>
        <w:rFonts w:hint="default"/>
      </w:rPr>
    </w:lvl>
    <w:lvl w:ilvl="6">
      <w:start w:val="0"/>
      <w:numFmt w:val="bullet"/>
      <w:lvlText w:val="•"/>
      <w:lvlJc w:val="left"/>
      <w:pPr>
        <w:ind w:left="2597" w:hanging="255"/>
      </w:pPr>
      <w:rPr>
        <w:rFonts w:hint="default"/>
      </w:rPr>
    </w:lvl>
    <w:lvl w:ilvl="7">
      <w:start w:val="0"/>
      <w:numFmt w:val="bullet"/>
      <w:lvlText w:val="•"/>
      <w:lvlJc w:val="left"/>
      <w:pPr>
        <w:ind w:left="2974" w:hanging="255"/>
      </w:pPr>
      <w:rPr>
        <w:rFonts w:hint="default"/>
      </w:rPr>
    </w:lvl>
    <w:lvl w:ilvl="8">
      <w:start w:val="0"/>
      <w:numFmt w:val="bullet"/>
      <w:lvlText w:val="•"/>
      <w:lvlJc w:val="left"/>
      <w:pPr>
        <w:ind w:left="3350" w:hanging="255"/>
      </w:pPr>
      <w:rPr>
        <w:rFonts w:hint="default"/>
      </w:rPr>
    </w:lvl>
  </w:abstractNum>
  <w:abstractNum w:abstractNumId="314">
    <w:multiLevelType w:val="hybridMultilevel"/>
    <w:lvl w:ilvl="0">
      <w:start w:val="19"/>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13">
    <w:multiLevelType w:val="hybridMultilevel"/>
    <w:lvl w:ilvl="0">
      <w:start w:val="19"/>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12">
    <w:multiLevelType w:val="hybridMultilevel"/>
    <w:lvl w:ilvl="0">
      <w:start w:val="14"/>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11">
    <w:multiLevelType w:val="hybridMultilevel"/>
    <w:lvl w:ilvl="0">
      <w:start w:val="8"/>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33" w:hanging="255"/>
      </w:pPr>
      <w:rPr>
        <w:rFonts w:hint="default"/>
      </w:rPr>
    </w:lvl>
    <w:lvl w:ilvl="2">
      <w:start w:val="0"/>
      <w:numFmt w:val="bullet"/>
      <w:lvlText w:val="•"/>
      <w:lvlJc w:val="left"/>
      <w:pPr>
        <w:ind w:left="926" w:hanging="255"/>
      </w:pPr>
      <w:rPr>
        <w:rFonts w:hint="default"/>
      </w:rPr>
    </w:lvl>
    <w:lvl w:ilvl="3">
      <w:start w:val="0"/>
      <w:numFmt w:val="bullet"/>
      <w:lvlText w:val="•"/>
      <w:lvlJc w:val="left"/>
      <w:pPr>
        <w:ind w:left="1220" w:hanging="255"/>
      </w:pPr>
      <w:rPr>
        <w:rFonts w:hint="default"/>
      </w:rPr>
    </w:lvl>
    <w:lvl w:ilvl="4">
      <w:start w:val="0"/>
      <w:numFmt w:val="bullet"/>
      <w:lvlText w:val="•"/>
      <w:lvlJc w:val="left"/>
      <w:pPr>
        <w:ind w:left="1513" w:hanging="255"/>
      </w:pPr>
      <w:rPr>
        <w:rFonts w:hint="default"/>
      </w:rPr>
    </w:lvl>
    <w:lvl w:ilvl="5">
      <w:start w:val="0"/>
      <w:numFmt w:val="bullet"/>
      <w:lvlText w:val="•"/>
      <w:lvlJc w:val="left"/>
      <w:pPr>
        <w:ind w:left="1807" w:hanging="255"/>
      </w:pPr>
      <w:rPr>
        <w:rFonts w:hint="default"/>
      </w:rPr>
    </w:lvl>
    <w:lvl w:ilvl="6">
      <w:start w:val="0"/>
      <w:numFmt w:val="bullet"/>
      <w:lvlText w:val="•"/>
      <w:lvlJc w:val="left"/>
      <w:pPr>
        <w:ind w:left="2100" w:hanging="255"/>
      </w:pPr>
      <w:rPr>
        <w:rFonts w:hint="default"/>
      </w:rPr>
    </w:lvl>
    <w:lvl w:ilvl="7">
      <w:start w:val="0"/>
      <w:numFmt w:val="bullet"/>
      <w:lvlText w:val="•"/>
      <w:lvlJc w:val="left"/>
      <w:pPr>
        <w:ind w:left="2393" w:hanging="255"/>
      </w:pPr>
      <w:rPr>
        <w:rFonts w:hint="default"/>
      </w:rPr>
    </w:lvl>
    <w:lvl w:ilvl="8">
      <w:start w:val="0"/>
      <w:numFmt w:val="bullet"/>
      <w:lvlText w:val="•"/>
      <w:lvlJc w:val="left"/>
      <w:pPr>
        <w:ind w:left="2687" w:hanging="255"/>
      </w:pPr>
      <w:rPr>
        <w:rFonts w:hint="default"/>
      </w:rPr>
    </w:lvl>
  </w:abstractNum>
  <w:abstractNum w:abstractNumId="310">
    <w:multiLevelType w:val="hybridMultilevel"/>
    <w:lvl w:ilvl="0">
      <w:start w:val="4"/>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16" w:hanging="255"/>
      </w:pPr>
      <w:rPr>
        <w:rFonts w:hint="default"/>
      </w:rPr>
    </w:lvl>
    <w:lvl w:ilvl="2">
      <w:start w:val="0"/>
      <w:numFmt w:val="bullet"/>
      <w:lvlText w:val="•"/>
      <w:lvlJc w:val="left"/>
      <w:pPr>
        <w:ind w:left="1092" w:hanging="255"/>
      </w:pPr>
      <w:rPr>
        <w:rFonts w:hint="default"/>
      </w:rPr>
    </w:lvl>
    <w:lvl w:ilvl="3">
      <w:start w:val="0"/>
      <w:numFmt w:val="bullet"/>
      <w:lvlText w:val="•"/>
      <w:lvlJc w:val="left"/>
      <w:pPr>
        <w:ind w:left="1468" w:hanging="255"/>
      </w:pPr>
      <w:rPr>
        <w:rFonts w:hint="default"/>
      </w:rPr>
    </w:lvl>
    <w:lvl w:ilvl="4">
      <w:start w:val="0"/>
      <w:numFmt w:val="bullet"/>
      <w:lvlText w:val="•"/>
      <w:lvlJc w:val="left"/>
      <w:pPr>
        <w:ind w:left="1845" w:hanging="255"/>
      </w:pPr>
      <w:rPr>
        <w:rFonts w:hint="default"/>
      </w:rPr>
    </w:lvl>
    <w:lvl w:ilvl="5">
      <w:start w:val="0"/>
      <w:numFmt w:val="bullet"/>
      <w:lvlText w:val="•"/>
      <w:lvlJc w:val="left"/>
      <w:pPr>
        <w:ind w:left="2221" w:hanging="255"/>
      </w:pPr>
      <w:rPr>
        <w:rFonts w:hint="default"/>
      </w:rPr>
    </w:lvl>
    <w:lvl w:ilvl="6">
      <w:start w:val="0"/>
      <w:numFmt w:val="bullet"/>
      <w:lvlText w:val="•"/>
      <w:lvlJc w:val="left"/>
      <w:pPr>
        <w:ind w:left="2597" w:hanging="255"/>
      </w:pPr>
      <w:rPr>
        <w:rFonts w:hint="default"/>
      </w:rPr>
    </w:lvl>
    <w:lvl w:ilvl="7">
      <w:start w:val="0"/>
      <w:numFmt w:val="bullet"/>
      <w:lvlText w:val="•"/>
      <w:lvlJc w:val="left"/>
      <w:pPr>
        <w:ind w:left="2974" w:hanging="255"/>
      </w:pPr>
      <w:rPr>
        <w:rFonts w:hint="default"/>
      </w:rPr>
    </w:lvl>
    <w:lvl w:ilvl="8">
      <w:start w:val="0"/>
      <w:numFmt w:val="bullet"/>
      <w:lvlText w:val="•"/>
      <w:lvlJc w:val="left"/>
      <w:pPr>
        <w:ind w:left="3350" w:hanging="255"/>
      </w:pPr>
      <w:rPr>
        <w:rFonts w:hint="default"/>
      </w:rPr>
    </w:lvl>
  </w:abstractNum>
  <w:abstractNum w:abstractNumId="309">
    <w:multiLevelType w:val="hybridMultilevel"/>
    <w:lvl w:ilvl="0">
      <w:start w:val="6"/>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33" w:hanging="255"/>
      </w:pPr>
      <w:rPr>
        <w:rFonts w:hint="default"/>
      </w:rPr>
    </w:lvl>
    <w:lvl w:ilvl="2">
      <w:start w:val="0"/>
      <w:numFmt w:val="bullet"/>
      <w:lvlText w:val="•"/>
      <w:lvlJc w:val="left"/>
      <w:pPr>
        <w:ind w:left="926" w:hanging="255"/>
      </w:pPr>
      <w:rPr>
        <w:rFonts w:hint="default"/>
      </w:rPr>
    </w:lvl>
    <w:lvl w:ilvl="3">
      <w:start w:val="0"/>
      <w:numFmt w:val="bullet"/>
      <w:lvlText w:val="•"/>
      <w:lvlJc w:val="left"/>
      <w:pPr>
        <w:ind w:left="1220" w:hanging="255"/>
      </w:pPr>
      <w:rPr>
        <w:rFonts w:hint="default"/>
      </w:rPr>
    </w:lvl>
    <w:lvl w:ilvl="4">
      <w:start w:val="0"/>
      <w:numFmt w:val="bullet"/>
      <w:lvlText w:val="•"/>
      <w:lvlJc w:val="left"/>
      <w:pPr>
        <w:ind w:left="1513" w:hanging="255"/>
      </w:pPr>
      <w:rPr>
        <w:rFonts w:hint="default"/>
      </w:rPr>
    </w:lvl>
    <w:lvl w:ilvl="5">
      <w:start w:val="0"/>
      <w:numFmt w:val="bullet"/>
      <w:lvlText w:val="•"/>
      <w:lvlJc w:val="left"/>
      <w:pPr>
        <w:ind w:left="1807" w:hanging="255"/>
      </w:pPr>
      <w:rPr>
        <w:rFonts w:hint="default"/>
      </w:rPr>
    </w:lvl>
    <w:lvl w:ilvl="6">
      <w:start w:val="0"/>
      <w:numFmt w:val="bullet"/>
      <w:lvlText w:val="•"/>
      <w:lvlJc w:val="left"/>
      <w:pPr>
        <w:ind w:left="2100" w:hanging="255"/>
      </w:pPr>
      <w:rPr>
        <w:rFonts w:hint="default"/>
      </w:rPr>
    </w:lvl>
    <w:lvl w:ilvl="7">
      <w:start w:val="0"/>
      <w:numFmt w:val="bullet"/>
      <w:lvlText w:val="•"/>
      <w:lvlJc w:val="left"/>
      <w:pPr>
        <w:ind w:left="2393" w:hanging="255"/>
      </w:pPr>
      <w:rPr>
        <w:rFonts w:hint="default"/>
      </w:rPr>
    </w:lvl>
    <w:lvl w:ilvl="8">
      <w:start w:val="0"/>
      <w:numFmt w:val="bullet"/>
      <w:lvlText w:val="•"/>
      <w:lvlJc w:val="left"/>
      <w:pPr>
        <w:ind w:left="2687" w:hanging="255"/>
      </w:pPr>
      <w:rPr>
        <w:rFonts w:hint="default"/>
      </w:rPr>
    </w:lvl>
  </w:abstractNum>
  <w:abstractNum w:abstractNumId="308">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16" w:hanging="255"/>
      </w:pPr>
      <w:rPr>
        <w:rFonts w:hint="default"/>
      </w:rPr>
    </w:lvl>
    <w:lvl w:ilvl="2">
      <w:start w:val="0"/>
      <w:numFmt w:val="bullet"/>
      <w:lvlText w:val="•"/>
      <w:lvlJc w:val="left"/>
      <w:pPr>
        <w:ind w:left="1092" w:hanging="255"/>
      </w:pPr>
      <w:rPr>
        <w:rFonts w:hint="default"/>
      </w:rPr>
    </w:lvl>
    <w:lvl w:ilvl="3">
      <w:start w:val="0"/>
      <w:numFmt w:val="bullet"/>
      <w:lvlText w:val="•"/>
      <w:lvlJc w:val="left"/>
      <w:pPr>
        <w:ind w:left="1468" w:hanging="255"/>
      </w:pPr>
      <w:rPr>
        <w:rFonts w:hint="default"/>
      </w:rPr>
    </w:lvl>
    <w:lvl w:ilvl="4">
      <w:start w:val="0"/>
      <w:numFmt w:val="bullet"/>
      <w:lvlText w:val="•"/>
      <w:lvlJc w:val="left"/>
      <w:pPr>
        <w:ind w:left="1845" w:hanging="255"/>
      </w:pPr>
      <w:rPr>
        <w:rFonts w:hint="default"/>
      </w:rPr>
    </w:lvl>
    <w:lvl w:ilvl="5">
      <w:start w:val="0"/>
      <w:numFmt w:val="bullet"/>
      <w:lvlText w:val="•"/>
      <w:lvlJc w:val="left"/>
      <w:pPr>
        <w:ind w:left="2221" w:hanging="255"/>
      </w:pPr>
      <w:rPr>
        <w:rFonts w:hint="default"/>
      </w:rPr>
    </w:lvl>
    <w:lvl w:ilvl="6">
      <w:start w:val="0"/>
      <w:numFmt w:val="bullet"/>
      <w:lvlText w:val="•"/>
      <w:lvlJc w:val="left"/>
      <w:pPr>
        <w:ind w:left="2597" w:hanging="255"/>
      </w:pPr>
      <w:rPr>
        <w:rFonts w:hint="default"/>
      </w:rPr>
    </w:lvl>
    <w:lvl w:ilvl="7">
      <w:start w:val="0"/>
      <w:numFmt w:val="bullet"/>
      <w:lvlText w:val="•"/>
      <w:lvlJc w:val="left"/>
      <w:pPr>
        <w:ind w:left="2974" w:hanging="255"/>
      </w:pPr>
      <w:rPr>
        <w:rFonts w:hint="default"/>
      </w:rPr>
    </w:lvl>
    <w:lvl w:ilvl="8">
      <w:start w:val="0"/>
      <w:numFmt w:val="bullet"/>
      <w:lvlText w:val="•"/>
      <w:lvlJc w:val="left"/>
      <w:pPr>
        <w:ind w:left="3350" w:hanging="255"/>
      </w:pPr>
      <w:rPr>
        <w:rFonts w:hint="default"/>
      </w:rPr>
    </w:lvl>
  </w:abstractNum>
  <w:abstractNum w:abstractNumId="307">
    <w:multiLevelType w:val="hybridMultilevel"/>
    <w:lvl w:ilvl="0">
      <w:start w:val="19"/>
      <w:numFmt w:val="decimal"/>
      <w:lvlText w:val="%1."/>
      <w:lvlJc w:val="left"/>
      <w:pPr>
        <w:ind w:left="477" w:hanging="394"/>
        <w:jc w:val="left"/>
      </w:pPr>
      <w:rPr>
        <w:rFonts w:hint="default" w:ascii="Arial Unicode MS" w:hAnsi="Arial Unicode MS" w:eastAsia="Arial Unicode MS" w:cs="Arial Unicode MS"/>
        <w:color w:val="231F20"/>
        <w:w w:val="99"/>
        <w:sz w:val="24"/>
        <w:szCs w:val="24"/>
      </w:rPr>
    </w:lvl>
    <w:lvl w:ilvl="1">
      <w:start w:val="0"/>
      <w:numFmt w:val="bullet"/>
      <w:lvlText w:val="•"/>
      <w:lvlJc w:val="left"/>
      <w:pPr>
        <w:ind w:left="759" w:hanging="394"/>
      </w:pPr>
      <w:rPr>
        <w:rFonts w:hint="default"/>
      </w:rPr>
    </w:lvl>
    <w:lvl w:ilvl="2">
      <w:start w:val="0"/>
      <w:numFmt w:val="bullet"/>
      <w:lvlText w:val="•"/>
      <w:lvlJc w:val="left"/>
      <w:pPr>
        <w:ind w:left="1038" w:hanging="394"/>
      </w:pPr>
      <w:rPr>
        <w:rFonts w:hint="default"/>
      </w:rPr>
    </w:lvl>
    <w:lvl w:ilvl="3">
      <w:start w:val="0"/>
      <w:numFmt w:val="bullet"/>
      <w:lvlText w:val="•"/>
      <w:lvlJc w:val="left"/>
      <w:pPr>
        <w:ind w:left="1318" w:hanging="394"/>
      </w:pPr>
      <w:rPr>
        <w:rFonts w:hint="default"/>
      </w:rPr>
    </w:lvl>
    <w:lvl w:ilvl="4">
      <w:start w:val="0"/>
      <w:numFmt w:val="bullet"/>
      <w:lvlText w:val="•"/>
      <w:lvlJc w:val="left"/>
      <w:pPr>
        <w:ind w:left="1597" w:hanging="394"/>
      </w:pPr>
      <w:rPr>
        <w:rFonts w:hint="default"/>
      </w:rPr>
    </w:lvl>
    <w:lvl w:ilvl="5">
      <w:start w:val="0"/>
      <w:numFmt w:val="bullet"/>
      <w:lvlText w:val="•"/>
      <w:lvlJc w:val="left"/>
      <w:pPr>
        <w:ind w:left="1877" w:hanging="394"/>
      </w:pPr>
      <w:rPr>
        <w:rFonts w:hint="default"/>
      </w:rPr>
    </w:lvl>
    <w:lvl w:ilvl="6">
      <w:start w:val="0"/>
      <w:numFmt w:val="bullet"/>
      <w:lvlText w:val="•"/>
      <w:lvlJc w:val="left"/>
      <w:pPr>
        <w:ind w:left="2156" w:hanging="394"/>
      </w:pPr>
      <w:rPr>
        <w:rFonts w:hint="default"/>
      </w:rPr>
    </w:lvl>
    <w:lvl w:ilvl="7">
      <w:start w:val="0"/>
      <w:numFmt w:val="bullet"/>
      <w:lvlText w:val="•"/>
      <w:lvlJc w:val="left"/>
      <w:pPr>
        <w:ind w:left="2435" w:hanging="394"/>
      </w:pPr>
      <w:rPr>
        <w:rFonts w:hint="default"/>
      </w:rPr>
    </w:lvl>
    <w:lvl w:ilvl="8">
      <w:start w:val="0"/>
      <w:numFmt w:val="bullet"/>
      <w:lvlText w:val="•"/>
      <w:lvlJc w:val="left"/>
      <w:pPr>
        <w:ind w:left="2715" w:hanging="394"/>
      </w:pPr>
      <w:rPr>
        <w:rFonts w:hint="default"/>
      </w:rPr>
    </w:lvl>
  </w:abstractNum>
  <w:abstractNum w:abstractNumId="306">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33" w:hanging="255"/>
      </w:pPr>
      <w:rPr>
        <w:rFonts w:hint="default"/>
      </w:rPr>
    </w:lvl>
    <w:lvl w:ilvl="2">
      <w:start w:val="0"/>
      <w:numFmt w:val="bullet"/>
      <w:lvlText w:val="•"/>
      <w:lvlJc w:val="left"/>
      <w:pPr>
        <w:ind w:left="926" w:hanging="255"/>
      </w:pPr>
      <w:rPr>
        <w:rFonts w:hint="default"/>
      </w:rPr>
    </w:lvl>
    <w:lvl w:ilvl="3">
      <w:start w:val="0"/>
      <w:numFmt w:val="bullet"/>
      <w:lvlText w:val="•"/>
      <w:lvlJc w:val="left"/>
      <w:pPr>
        <w:ind w:left="1220" w:hanging="255"/>
      </w:pPr>
      <w:rPr>
        <w:rFonts w:hint="default"/>
      </w:rPr>
    </w:lvl>
    <w:lvl w:ilvl="4">
      <w:start w:val="0"/>
      <w:numFmt w:val="bullet"/>
      <w:lvlText w:val="•"/>
      <w:lvlJc w:val="left"/>
      <w:pPr>
        <w:ind w:left="1513" w:hanging="255"/>
      </w:pPr>
      <w:rPr>
        <w:rFonts w:hint="default"/>
      </w:rPr>
    </w:lvl>
    <w:lvl w:ilvl="5">
      <w:start w:val="0"/>
      <w:numFmt w:val="bullet"/>
      <w:lvlText w:val="•"/>
      <w:lvlJc w:val="left"/>
      <w:pPr>
        <w:ind w:left="1807" w:hanging="255"/>
      </w:pPr>
      <w:rPr>
        <w:rFonts w:hint="default"/>
      </w:rPr>
    </w:lvl>
    <w:lvl w:ilvl="6">
      <w:start w:val="0"/>
      <w:numFmt w:val="bullet"/>
      <w:lvlText w:val="•"/>
      <w:lvlJc w:val="left"/>
      <w:pPr>
        <w:ind w:left="2100" w:hanging="255"/>
      </w:pPr>
      <w:rPr>
        <w:rFonts w:hint="default"/>
      </w:rPr>
    </w:lvl>
    <w:lvl w:ilvl="7">
      <w:start w:val="0"/>
      <w:numFmt w:val="bullet"/>
      <w:lvlText w:val="•"/>
      <w:lvlJc w:val="left"/>
      <w:pPr>
        <w:ind w:left="2393" w:hanging="255"/>
      </w:pPr>
      <w:rPr>
        <w:rFonts w:hint="default"/>
      </w:rPr>
    </w:lvl>
    <w:lvl w:ilvl="8">
      <w:start w:val="0"/>
      <w:numFmt w:val="bullet"/>
      <w:lvlText w:val="•"/>
      <w:lvlJc w:val="left"/>
      <w:pPr>
        <w:ind w:left="2687" w:hanging="255"/>
      </w:pPr>
      <w:rPr>
        <w:rFonts w:hint="default"/>
      </w:rPr>
    </w:lvl>
  </w:abstractNum>
  <w:abstractNum w:abstractNumId="305">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16" w:hanging="255"/>
      </w:pPr>
      <w:rPr>
        <w:rFonts w:hint="default"/>
      </w:rPr>
    </w:lvl>
    <w:lvl w:ilvl="2">
      <w:start w:val="0"/>
      <w:numFmt w:val="bullet"/>
      <w:lvlText w:val="•"/>
      <w:lvlJc w:val="left"/>
      <w:pPr>
        <w:ind w:left="1092" w:hanging="255"/>
      </w:pPr>
      <w:rPr>
        <w:rFonts w:hint="default"/>
      </w:rPr>
    </w:lvl>
    <w:lvl w:ilvl="3">
      <w:start w:val="0"/>
      <w:numFmt w:val="bullet"/>
      <w:lvlText w:val="•"/>
      <w:lvlJc w:val="left"/>
      <w:pPr>
        <w:ind w:left="1468" w:hanging="255"/>
      </w:pPr>
      <w:rPr>
        <w:rFonts w:hint="default"/>
      </w:rPr>
    </w:lvl>
    <w:lvl w:ilvl="4">
      <w:start w:val="0"/>
      <w:numFmt w:val="bullet"/>
      <w:lvlText w:val="•"/>
      <w:lvlJc w:val="left"/>
      <w:pPr>
        <w:ind w:left="1845" w:hanging="255"/>
      </w:pPr>
      <w:rPr>
        <w:rFonts w:hint="default"/>
      </w:rPr>
    </w:lvl>
    <w:lvl w:ilvl="5">
      <w:start w:val="0"/>
      <w:numFmt w:val="bullet"/>
      <w:lvlText w:val="•"/>
      <w:lvlJc w:val="left"/>
      <w:pPr>
        <w:ind w:left="2221" w:hanging="255"/>
      </w:pPr>
      <w:rPr>
        <w:rFonts w:hint="default"/>
      </w:rPr>
    </w:lvl>
    <w:lvl w:ilvl="6">
      <w:start w:val="0"/>
      <w:numFmt w:val="bullet"/>
      <w:lvlText w:val="•"/>
      <w:lvlJc w:val="left"/>
      <w:pPr>
        <w:ind w:left="2597" w:hanging="255"/>
      </w:pPr>
      <w:rPr>
        <w:rFonts w:hint="default"/>
      </w:rPr>
    </w:lvl>
    <w:lvl w:ilvl="7">
      <w:start w:val="0"/>
      <w:numFmt w:val="bullet"/>
      <w:lvlText w:val="•"/>
      <w:lvlJc w:val="left"/>
      <w:pPr>
        <w:ind w:left="2974" w:hanging="255"/>
      </w:pPr>
      <w:rPr>
        <w:rFonts w:hint="default"/>
      </w:rPr>
    </w:lvl>
    <w:lvl w:ilvl="8">
      <w:start w:val="0"/>
      <w:numFmt w:val="bullet"/>
      <w:lvlText w:val="•"/>
      <w:lvlJc w:val="left"/>
      <w:pPr>
        <w:ind w:left="3350" w:hanging="255"/>
      </w:pPr>
      <w:rPr>
        <w:rFonts w:hint="default"/>
      </w:rPr>
    </w:lvl>
  </w:abstractNum>
  <w:abstractNum w:abstractNumId="304">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825" w:hanging="255"/>
      </w:pPr>
      <w:rPr>
        <w:rFonts w:hint="default"/>
      </w:rPr>
    </w:lvl>
    <w:lvl w:ilvl="2">
      <w:start w:val="0"/>
      <w:numFmt w:val="bullet"/>
      <w:lvlText w:val="•"/>
      <w:lvlJc w:val="left"/>
      <w:pPr>
        <w:ind w:left="1310" w:hanging="255"/>
      </w:pPr>
      <w:rPr>
        <w:rFonts w:hint="default"/>
      </w:rPr>
    </w:lvl>
    <w:lvl w:ilvl="3">
      <w:start w:val="0"/>
      <w:numFmt w:val="bullet"/>
      <w:lvlText w:val="•"/>
      <w:lvlJc w:val="left"/>
      <w:pPr>
        <w:ind w:left="1795" w:hanging="255"/>
      </w:pPr>
      <w:rPr>
        <w:rFonts w:hint="default"/>
      </w:rPr>
    </w:lvl>
    <w:lvl w:ilvl="4">
      <w:start w:val="0"/>
      <w:numFmt w:val="bullet"/>
      <w:lvlText w:val="•"/>
      <w:lvlJc w:val="left"/>
      <w:pPr>
        <w:ind w:left="2280" w:hanging="255"/>
      </w:pPr>
      <w:rPr>
        <w:rFonts w:hint="default"/>
      </w:rPr>
    </w:lvl>
    <w:lvl w:ilvl="5">
      <w:start w:val="0"/>
      <w:numFmt w:val="bullet"/>
      <w:lvlText w:val="•"/>
      <w:lvlJc w:val="left"/>
      <w:pPr>
        <w:ind w:left="2765" w:hanging="255"/>
      </w:pPr>
      <w:rPr>
        <w:rFonts w:hint="default"/>
      </w:rPr>
    </w:lvl>
    <w:lvl w:ilvl="6">
      <w:start w:val="0"/>
      <w:numFmt w:val="bullet"/>
      <w:lvlText w:val="•"/>
      <w:lvlJc w:val="left"/>
      <w:pPr>
        <w:ind w:left="3250" w:hanging="255"/>
      </w:pPr>
      <w:rPr>
        <w:rFonts w:hint="default"/>
      </w:rPr>
    </w:lvl>
    <w:lvl w:ilvl="7">
      <w:start w:val="0"/>
      <w:numFmt w:val="bullet"/>
      <w:lvlText w:val="•"/>
      <w:lvlJc w:val="left"/>
      <w:pPr>
        <w:ind w:left="3735" w:hanging="255"/>
      </w:pPr>
      <w:rPr>
        <w:rFonts w:hint="default"/>
      </w:rPr>
    </w:lvl>
    <w:lvl w:ilvl="8">
      <w:start w:val="0"/>
      <w:numFmt w:val="bullet"/>
      <w:lvlText w:val="•"/>
      <w:lvlJc w:val="left"/>
      <w:pPr>
        <w:ind w:left="4220" w:hanging="255"/>
      </w:pPr>
      <w:rPr>
        <w:rFonts w:hint="default"/>
      </w:rPr>
    </w:lvl>
  </w:abstractNum>
  <w:abstractNum w:abstractNumId="303">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1164" w:hanging="255"/>
      </w:pPr>
      <w:rPr>
        <w:rFonts w:hint="default"/>
      </w:rPr>
    </w:lvl>
    <w:lvl w:ilvl="2">
      <w:start w:val="0"/>
      <w:numFmt w:val="bullet"/>
      <w:lvlText w:val="•"/>
      <w:lvlJc w:val="left"/>
      <w:pPr>
        <w:ind w:left="1969" w:hanging="255"/>
      </w:pPr>
      <w:rPr>
        <w:rFonts w:hint="default"/>
      </w:rPr>
    </w:lvl>
    <w:lvl w:ilvl="3">
      <w:start w:val="0"/>
      <w:numFmt w:val="bullet"/>
      <w:lvlText w:val="•"/>
      <w:lvlJc w:val="left"/>
      <w:pPr>
        <w:ind w:left="2774" w:hanging="255"/>
      </w:pPr>
      <w:rPr>
        <w:rFonts w:hint="default"/>
      </w:rPr>
    </w:lvl>
    <w:lvl w:ilvl="4">
      <w:start w:val="0"/>
      <w:numFmt w:val="bullet"/>
      <w:lvlText w:val="•"/>
      <w:lvlJc w:val="left"/>
      <w:pPr>
        <w:ind w:left="3579" w:hanging="255"/>
      </w:pPr>
      <w:rPr>
        <w:rFonts w:hint="default"/>
      </w:rPr>
    </w:lvl>
    <w:lvl w:ilvl="5">
      <w:start w:val="0"/>
      <w:numFmt w:val="bullet"/>
      <w:lvlText w:val="•"/>
      <w:lvlJc w:val="left"/>
      <w:pPr>
        <w:ind w:left="4384" w:hanging="255"/>
      </w:pPr>
      <w:rPr>
        <w:rFonts w:hint="default"/>
      </w:rPr>
    </w:lvl>
    <w:lvl w:ilvl="6">
      <w:start w:val="0"/>
      <w:numFmt w:val="bullet"/>
      <w:lvlText w:val="•"/>
      <w:lvlJc w:val="left"/>
      <w:pPr>
        <w:ind w:left="5189" w:hanging="255"/>
      </w:pPr>
      <w:rPr>
        <w:rFonts w:hint="default"/>
      </w:rPr>
    </w:lvl>
    <w:lvl w:ilvl="7">
      <w:start w:val="0"/>
      <w:numFmt w:val="bullet"/>
      <w:lvlText w:val="•"/>
      <w:lvlJc w:val="left"/>
      <w:pPr>
        <w:ind w:left="5994" w:hanging="255"/>
      </w:pPr>
      <w:rPr>
        <w:rFonts w:hint="default"/>
      </w:rPr>
    </w:lvl>
    <w:lvl w:ilvl="8">
      <w:start w:val="0"/>
      <w:numFmt w:val="bullet"/>
      <w:lvlText w:val="•"/>
      <w:lvlJc w:val="left"/>
      <w:pPr>
        <w:ind w:left="6799" w:hanging="255"/>
      </w:pPr>
      <w:rPr>
        <w:rFonts w:hint="default"/>
      </w:rPr>
    </w:lvl>
  </w:abstractNum>
  <w:abstractNum w:abstractNumId="302">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1164" w:hanging="255"/>
      </w:pPr>
      <w:rPr>
        <w:rFonts w:hint="default"/>
      </w:rPr>
    </w:lvl>
    <w:lvl w:ilvl="2">
      <w:start w:val="0"/>
      <w:numFmt w:val="bullet"/>
      <w:lvlText w:val="•"/>
      <w:lvlJc w:val="left"/>
      <w:pPr>
        <w:ind w:left="1969" w:hanging="255"/>
      </w:pPr>
      <w:rPr>
        <w:rFonts w:hint="default"/>
      </w:rPr>
    </w:lvl>
    <w:lvl w:ilvl="3">
      <w:start w:val="0"/>
      <w:numFmt w:val="bullet"/>
      <w:lvlText w:val="•"/>
      <w:lvlJc w:val="left"/>
      <w:pPr>
        <w:ind w:left="2774" w:hanging="255"/>
      </w:pPr>
      <w:rPr>
        <w:rFonts w:hint="default"/>
      </w:rPr>
    </w:lvl>
    <w:lvl w:ilvl="4">
      <w:start w:val="0"/>
      <w:numFmt w:val="bullet"/>
      <w:lvlText w:val="•"/>
      <w:lvlJc w:val="left"/>
      <w:pPr>
        <w:ind w:left="3579" w:hanging="255"/>
      </w:pPr>
      <w:rPr>
        <w:rFonts w:hint="default"/>
      </w:rPr>
    </w:lvl>
    <w:lvl w:ilvl="5">
      <w:start w:val="0"/>
      <w:numFmt w:val="bullet"/>
      <w:lvlText w:val="•"/>
      <w:lvlJc w:val="left"/>
      <w:pPr>
        <w:ind w:left="4384" w:hanging="255"/>
      </w:pPr>
      <w:rPr>
        <w:rFonts w:hint="default"/>
      </w:rPr>
    </w:lvl>
    <w:lvl w:ilvl="6">
      <w:start w:val="0"/>
      <w:numFmt w:val="bullet"/>
      <w:lvlText w:val="•"/>
      <w:lvlJc w:val="left"/>
      <w:pPr>
        <w:ind w:left="5189" w:hanging="255"/>
      </w:pPr>
      <w:rPr>
        <w:rFonts w:hint="default"/>
      </w:rPr>
    </w:lvl>
    <w:lvl w:ilvl="7">
      <w:start w:val="0"/>
      <w:numFmt w:val="bullet"/>
      <w:lvlText w:val="•"/>
      <w:lvlJc w:val="left"/>
      <w:pPr>
        <w:ind w:left="5994" w:hanging="255"/>
      </w:pPr>
      <w:rPr>
        <w:rFonts w:hint="default"/>
      </w:rPr>
    </w:lvl>
    <w:lvl w:ilvl="8">
      <w:start w:val="0"/>
      <w:numFmt w:val="bullet"/>
      <w:lvlText w:val="•"/>
      <w:lvlJc w:val="left"/>
      <w:pPr>
        <w:ind w:left="6799" w:hanging="255"/>
      </w:pPr>
      <w:rPr>
        <w:rFonts w:hint="default"/>
      </w:rPr>
    </w:lvl>
  </w:abstractNum>
  <w:abstractNum w:abstractNumId="301">
    <w:multiLevelType w:val="hybridMultilevel"/>
    <w:lvl w:ilvl="0">
      <w:start w:val="1"/>
      <w:numFmt w:val="decimal"/>
      <w:lvlText w:val="%1."/>
      <w:lvlJc w:val="left"/>
      <w:pPr>
        <w:ind w:left="833" w:hanging="227"/>
        <w:jc w:val="left"/>
      </w:pPr>
      <w:rPr>
        <w:rFonts w:hint="default" w:ascii="Arial Unicode MS" w:hAnsi="Arial Unicode MS" w:eastAsia="Arial Unicode MS" w:cs="Arial Unicode MS"/>
        <w:color w:val="231F20"/>
        <w:w w:val="82"/>
        <w:sz w:val="24"/>
        <w:szCs w:val="24"/>
      </w:rPr>
    </w:lvl>
    <w:lvl w:ilvl="1">
      <w:start w:val="1"/>
      <w:numFmt w:val="decimal"/>
      <w:lvlText w:val="%2."/>
      <w:lvlJc w:val="left"/>
      <w:pPr>
        <w:ind w:left="1348" w:hanging="255"/>
        <w:jc w:val="left"/>
      </w:pPr>
      <w:rPr>
        <w:rFonts w:hint="default" w:ascii="Arial Unicode MS" w:hAnsi="Arial Unicode MS" w:eastAsia="Arial Unicode MS" w:cs="Arial Unicode MS"/>
        <w:color w:val="231F20"/>
        <w:w w:val="97"/>
        <w:sz w:val="24"/>
        <w:szCs w:val="24"/>
      </w:rPr>
    </w:lvl>
    <w:lvl w:ilvl="2">
      <w:start w:val="0"/>
      <w:numFmt w:val="bullet"/>
      <w:lvlText w:val="•"/>
      <w:lvlJc w:val="left"/>
      <w:pPr>
        <w:ind w:left="2404" w:hanging="255"/>
      </w:pPr>
      <w:rPr>
        <w:rFonts w:hint="default"/>
      </w:rPr>
    </w:lvl>
    <w:lvl w:ilvl="3">
      <w:start w:val="0"/>
      <w:numFmt w:val="bullet"/>
      <w:lvlText w:val="•"/>
      <w:lvlJc w:val="left"/>
      <w:pPr>
        <w:ind w:left="3469" w:hanging="255"/>
      </w:pPr>
      <w:rPr>
        <w:rFonts w:hint="default"/>
      </w:rPr>
    </w:lvl>
    <w:lvl w:ilvl="4">
      <w:start w:val="0"/>
      <w:numFmt w:val="bullet"/>
      <w:lvlText w:val="•"/>
      <w:lvlJc w:val="left"/>
      <w:pPr>
        <w:ind w:left="4534" w:hanging="255"/>
      </w:pPr>
      <w:rPr>
        <w:rFonts w:hint="default"/>
      </w:rPr>
    </w:lvl>
    <w:lvl w:ilvl="5">
      <w:start w:val="0"/>
      <w:numFmt w:val="bullet"/>
      <w:lvlText w:val="•"/>
      <w:lvlJc w:val="left"/>
      <w:pPr>
        <w:ind w:left="5599" w:hanging="255"/>
      </w:pPr>
      <w:rPr>
        <w:rFonts w:hint="default"/>
      </w:rPr>
    </w:lvl>
    <w:lvl w:ilvl="6">
      <w:start w:val="0"/>
      <w:numFmt w:val="bullet"/>
      <w:lvlText w:val="•"/>
      <w:lvlJc w:val="left"/>
      <w:pPr>
        <w:ind w:left="6664" w:hanging="255"/>
      </w:pPr>
      <w:rPr>
        <w:rFonts w:hint="default"/>
      </w:rPr>
    </w:lvl>
    <w:lvl w:ilvl="7">
      <w:start w:val="0"/>
      <w:numFmt w:val="bullet"/>
      <w:lvlText w:val="•"/>
      <w:lvlJc w:val="left"/>
      <w:pPr>
        <w:ind w:left="7729" w:hanging="255"/>
      </w:pPr>
      <w:rPr>
        <w:rFonts w:hint="default"/>
      </w:rPr>
    </w:lvl>
    <w:lvl w:ilvl="8">
      <w:start w:val="0"/>
      <w:numFmt w:val="bullet"/>
      <w:lvlText w:val="•"/>
      <w:lvlJc w:val="left"/>
      <w:pPr>
        <w:ind w:left="8794" w:hanging="255"/>
      </w:pPr>
      <w:rPr>
        <w:rFonts w:hint="default"/>
      </w:rPr>
    </w:lvl>
  </w:abstractNum>
  <w:abstractNum w:abstractNumId="300">
    <w:multiLevelType w:val="hybridMultilevel"/>
    <w:lvl w:ilvl="0">
      <w:start w:val="1"/>
      <w:numFmt w:val="decimal"/>
      <w:lvlText w:val="%1."/>
      <w:lvlJc w:val="left"/>
      <w:pPr>
        <w:ind w:left="339" w:hanging="262"/>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89" w:hanging="262"/>
      </w:pPr>
      <w:rPr>
        <w:rFonts w:hint="default"/>
      </w:rPr>
    </w:lvl>
    <w:lvl w:ilvl="2">
      <w:start w:val="0"/>
      <w:numFmt w:val="bullet"/>
      <w:lvlText w:val="•"/>
      <w:lvlJc w:val="left"/>
      <w:pPr>
        <w:ind w:left="1039" w:hanging="262"/>
      </w:pPr>
      <w:rPr>
        <w:rFonts w:hint="default"/>
      </w:rPr>
    </w:lvl>
    <w:lvl w:ilvl="3">
      <w:start w:val="0"/>
      <w:numFmt w:val="bullet"/>
      <w:lvlText w:val="•"/>
      <w:lvlJc w:val="left"/>
      <w:pPr>
        <w:ind w:left="1388" w:hanging="262"/>
      </w:pPr>
      <w:rPr>
        <w:rFonts w:hint="default"/>
      </w:rPr>
    </w:lvl>
    <w:lvl w:ilvl="4">
      <w:start w:val="0"/>
      <w:numFmt w:val="bullet"/>
      <w:lvlText w:val="•"/>
      <w:lvlJc w:val="left"/>
      <w:pPr>
        <w:ind w:left="1738" w:hanging="262"/>
      </w:pPr>
      <w:rPr>
        <w:rFonts w:hint="default"/>
      </w:rPr>
    </w:lvl>
    <w:lvl w:ilvl="5">
      <w:start w:val="0"/>
      <w:numFmt w:val="bullet"/>
      <w:lvlText w:val="•"/>
      <w:lvlJc w:val="left"/>
      <w:pPr>
        <w:ind w:left="2087" w:hanging="262"/>
      </w:pPr>
      <w:rPr>
        <w:rFonts w:hint="default"/>
      </w:rPr>
    </w:lvl>
    <w:lvl w:ilvl="6">
      <w:start w:val="0"/>
      <w:numFmt w:val="bullet"/>
      <w:lvlText w:val="•"/>
      <w:lvlJc w:val="left"/>
      <w:pPr>
        <w:ind w:left="2437" w:hanging="262"/>
      </w:pPr>
      <w:rPr>
        <w:rFonts w:hint="default"/>
      </w:rPr>
    </w:lvl>
    <w:lvl w:ilvl="7">
      <w:start w:val="0"/>
      <w:numFmt w:val="bullet"/>
      <w:lvlText w:val="•"/>
      <w:lvlJc w:val="left"/>
      <w:pPr>
        <w:ind w:left="2786" w:hanging="262"/>
      </w:pPr>
      <w:rPr>
        <w:rFonts w:hint="default"/>
      </w:rPr>
    </w:lvl>
    <w:lvl w:ilvl="8">
      <w:start w:val="0"/>
      <w:numFmt w:val="bullet"/>
      <w:lvlText w:val="•"/>
      <w:lvlJc w:val="left"/>
      <w:pPr>
        <w:ind w:left="3136" w:hanging="262"/>
      </w:pPr>
      <w:rPr>
        <w:rFonts w:hint="default"/>
      </w:rPr>
    </w:lvl>
  </w:abstractNum>
  <w:abstractNum w:abstractNumId="299">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61" w:hanging="255"/>
      </w:pPr>
      <w:rPr>
        <w:rFonts w:hint="default"/>
      </w:rPr>
    </w:lvl>
    <w:lvl w:ilvl="2">
      <w:start w:val="0"/>
      <w:numFmt w:val="bullet"/>
      <w:lvlText w:val="•"/>
      <w:lvlJc w:val="left"/>
      <w:pPr>
        <w:ind w:left="1183" w:hanging="255"/>
      </w:pPr>
      <w:rPr>
        <w:rFonts w:hint="default"/>
      </w:rPr>
    </w:lvl>
    <w:lvl w:ilvl="3">
      <w:start w:val="0"/>
      <w:numFmt w:val="bullet"/>
      <w:lvlText w:val="•"/>
      <w:lvlJc w:val="left"/>
      <w:pPr>
        <w:ind w:left="1605" w:hanging="255"/>
      </w:pPr>
      <w:rPr>
        <w:rFonts w:hint="default"/>
      </w:rPr>
    </w:lvl>
    <w:lvl w:ilvl="4">
      <w:start w:val="0"/>
      <w:numFmt w:val="bullet"/>
      <w:lvlText w:val="•"/>
      <w:lvlJc w:val="left"/>
      <w:pPr>
        <w:ind w:left="2027" w:hanging="255"/>
      </w:pPr>
      <w:rPr>
        <w:rFonts w:hint="default"/>
      </w:rPr>
    </w:lvl>
    <w:lvl w:ilvl="5">
      <w:start w:val="0"/>
      <w:numFmt w:val="bullet"/>
      <w:lvlText w:val="•"/>
      <w:lvlJc w:val="left"/>
      <w:pPr>
        <w:ind w:left="2449" w:hanging="255"/>
      </w:pPr>
      <w:rPr>
        <w:rFonts w:hint="default"/>
      </w:rPr>
    </w:lvl>
    <w:lvl w:ilvl="6">
      <w:start w:val="0"/>
      <w:numFmt w:val="bullet"/>
      <w:lvlText w:val="•"/>
      <w:lvlJc w:val="left"/>
      <w:pPr>
        <w:ind w:left="2871" w:hanging="255"/>
      </w:pPr>
      <w:rPr>
        <w:rFonts w:hint="default"/>
      </w:rPr>
    </w:lvl>
    <w:lvl w:ilvl="7">
      <w:start w:val="0"/>
      <w:numFmt w:val="bullet"/>
      <w:lvlText w:val="•"/>
      <w:lvlJc w:val="left"/>
      <w:pPr>
        <w:ind w:left="3293" w:hanging="255"/>
      </w:pPr>
      <w:rPr>
        <w:rFonts w:hint="default"/>
      </w:rPr>
    </w:lvl>
    <w:lvl w:ilvl="8">
      <w:start w:val="0"/>
      <w:numFmt w:val="bullet"/>
      <w:lvlText w:val="•"/>
      <w:lvlJc w:val="left"/>
      <w:pPr>
        <w:ind w:left="3715" w:hanging="255"/>
      </w:pPr>
      <w:rPr>
        <w:rFonts w:hint="default"/>
      </w:rPr>
    </w:lvl>
  </w:abstractNum>
  <w:abstractNum w:abstractNumId="298">
    <w:multiLevelType w:val="hybridMultilevel"/>
    <w:lvl w:ilvl="0">
      <w:start w:val="1"/>
      <w:numFmt w:val="decimal"/>
      <w:lvlText w:val="%1."/>
      <w:lvlJc w:val="left"/>
      <w:pPr>
        <w:ind w:left="1352" w:hanging="257"/>
        <w:jc w:val="left"/>
      </w:pPr>
      <w:rPr>
        <w:rFonts w:hint="default" w:ascii="Arial Unicode MS" w:hAnsi="Arial Unicode MS" w:eastAsia="Arial Unicode MS" w:cs="Arial Unicode MS"/>
        <w:color w:val="231F20"/>
        <w:spacing w:val="0"/>
        <w:w w:val="97"/>
        <w:sz w:val="24"/>
        <w:szCs w:val="24"/>
      </w:rPr>
    </w:lvl>
    <w:lvl w:ilvl="1">
      <w:start w:val="0"/>
      <w:numFmt w:val="bullet"/>
      <w:lvlText w:val="•"/>
      <w:lvlJc w:val="left"/>
      <w:pPr>
        <w:ind w:left="2316" w:hanging="257"/>
      </w:pPr>
      <w:rPr>
        <w:rFonts w:hint="default"/>
      </w:rPr>
    </w:lvl>
    <w:lvl w:ilvl="2">
      <w:start w:val="0"/>
      <w:numFmt w:val="bullet"/>
      <w:lvlText w:val="•"/>
      <w:lvlJc w:val="left"/>
      <w:pPr>
        <w:ind w:left="3272" w:hanging="257"/>
      </w:pPr>
      <w:rPr>
        <w:rFonts w:hint="default"/>
      </w:rPr>
    </w:lvl>
    <w:lvl w:ilvl="3">
      <w:start w:val="0"/>
      <w:numFmt w:val="bullet"/>
      <w:lvlText w:val="•"/>
      <w:lvlJc w:val="left"/>
      <w:pPr>
        <w:ind w:left="4229" w:hanging="257"/>
      </w:pPr>
      <w:rPr>
        <w:rFonts w:hint="default"/>
      </w:rPr>
    </w:lvl>
    <w:lvl w:ilvl="4">
      <w:start w:val="0"/>
      <w:numFmt w:val="bullet"/>
      <w:lvlText w:val="•"/>
      <w:lvlJc w:val="left"/>
      <w:pPr>
        <w:ind w:left="5185" w:hanging="257"/>
      </w:pPr>
      <w:rPr>
        <w:rFonts w:hint="default"/>
      </w:rPr>
    </w:lvl>
    <w:lvl w:ilvl="5">
      <w:start w:val="0"/>
      <w:numFmt w:val="bullet"/>
      <w:lvlText w:val="•"/>
      <w:lvlJc w:val="left"/>
      <w:pPr>
        <w:ind w:left="6142" w:hanging="257"/>
      </w:pPr>
      <w:rPr>
        <w:rFonts w:hint="default"/>
      </w:rPr>
    </w:lvl>
    <w:lvl w:ilvl="6">
      <w:start w:val="0"/>
      <w:numFmt w:val="bullet"/>
      <w:lvlText w:val="•"/>
      <w:lvlJc w:val="left"/>
      <w:pPr>
        <w:ind w:left="7098" w:hanging="257"/>
      </w:pPr>
      <w:rPr>
        <w:rFonts w:hint="default"/>
      </w:rPr>
    </w:lvl>
    <w:lvl w:ilvl="7">
      <w:start w:val="0"/>
      <w:numFmt w:val="bullet"/>
      <w:lvlText w:val="•"/>
      <w:lvlJc w:val="left"/>
      <w:pPr>
        <w:ind w:left="8055" w:hanging="257"/>
      </w:pPr>
      <w:rPr>
        <w:rFonts w:hint="default"/>
      </w:rPr>
    </w:lvl>
    <w:lvl w:ilvl="8">
      <w:start w:val="0"/>
      <w:numFmt w:val="bullet"/>
      <w:lvlText w:val="•"/>
      <w:lvlJc w:val="left"/>
      <w:pPr>
        <w:ind w:left="9011" w:hanging="257"/>
      </w:pPr>
      <w:rPr>
        <w:rFonts w:hint="default"/>
      </w:rPr>
    </w:lvl>
  </w:abstractNum>
  <w:abstractNum w:abstractNumId="296">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911" w:hanging="255"/>
      </w:pPr>
      <w:rPr>
        <w:rFonts w:hint="default"/>
      </w:rPr>
    </w:lvl>
    <w:lvl w:ilvl="2">
      <w:start w:val="0"/>
      <w:numFmt w:val="bullet"/>
      <w:lvlText w:val="•"/>
      <w:lvlJc w:val="left"/>
      <w:pPr>
        <w:ind w:left="1482" w:hanging="255"/>
      </w:pPr>
      <w:rPr>
        <w:rFonts w:hint="default"/>
      </w:rPr>
    </w:lvl>
    <w:lvl w:ilvl="3">
      <w:start w:val="0"/>
      <w:numFmt w:val="bullet"/>
      <w:lvlText w:val="•"/>
      <w:lvlJc w:val="left"/>
      <w:pPr>
        <w:ind w:left="2053" w:hanging="255"/>
      </w:pPr>
      <w:rPr>
        <w:rFonts w:hint="default"/>
      </w:rPr>
    </w:lvl>
    <w:lvl w:ilvl="4">
      <w:start w:val="0"/>
      <w:numFmt w:val="bullet"/>
      <w:lvlText w:val="•"/>
      <w:lvlJc w:val="left"/>
      <w:pPr>
        <w:ind w:left="2624" w:hanging="255"/>
      </w:pPr>
      <w:rPr>
        <w:rFonts w:hint="default"/>
      </w:rPr>
    </w:lvl>
    <w:lvl w:ilvl="5">
      <w:start w:val="0"/>
      <w:numFmt w:val="bullet"/>
      <w:lvlText w:val="•"/>
      <w:lvlJc w:val="left"/>
      <w:pPr>
        <w:ind w:left="3195" w:hanging="255"/>
      </w:pPr>
      <w:rPr>
        <w:rFonts w:hint="default"/>
      </w:rPr>
    </w:lvl>
    <w:lvl w:ilvl="6">
      <w:start w:val="0"/>
      <w:numFmt w:val="bullet"/>
      <w:lvlText w:val="•"/>
      <w:lvlJc w:val="left"/>
      <w:pPr>
        <w:ind w:left="3766" w:hanging="255"/>
      </w:pPr>
      <w:rPr>
        <w:rFonts w:hint="default"/>
      </w:rPr>
    </w:lvl>
    <w:lvl w:ilvl="7">
      <w:start w:val="0"/>
      <w:numFmt w:val="bullet"/>
      <w:lvlText w:val="•"/>
      <w:lvlJc w:val="left"/>
      <w:pPr>
        <w:ind w:left="4337" w:hanging="255"/>
      </w:pPr>
      <w:rPr>
        <w:rFonts w:hint="default"/>
      </w:rPr>
    </w:lvl>
    <w:lvl w:ilvl="8">
      <w:start w:val="0"/>
      <w:numFmt w:val="bullet"/>
      <w:lvlText w:val="•"/>
      <w:lvlJc w:val="left"/>
      <w:pPr>
        <w:ind w:left="4908" w:hanging="255"/>
      </w:pPr>
      <w:rPr>
        <w:rFonts w:hint="default"/>
      </w:rPr>
    </w:lvl>
  </w:abstractNum>
  <w:abstractNum w:abstractNumId="297">
    <w:multiLevelType w:val="hybridMultilevel"/>
    <w:lvl w:ilvl="0">
      <w:start w:val="1"/>
      <w:numFmt w:val="decimal"/>
      <w:lvlText w:val="%1."/>
      <w:lvlJc w:val="left"/>
      <w:pPr>
        <w:ind w:left="1349" w:hanging="257"/>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7"/>
      </w:pPr>
      <w:rPr>
        <w:rFonts w:hint="default"/>
      </w:rPr>
    </w:lvl>
    <w:lvl w:ilvl="2">
      <w:start w:val="0"/>
      <w:numFmt w:val="bullet"/>
      <w:lvlText w:val="•"/>
      <w:lvlJc w:val="left"/>
      <w:pPr>
        <w:ind w:left="3256" w:hanging="257"/>
      </w:pPr>
      <w:rPr>
        <w:rFonts w:hint="default"/>
      </w:rPr>
    </w:lvl>
    <w:lvl w:ilvl="3">
      <w:start w:val="0"/>
      <w:numFmt w:val="bullet"/>
      <w:lvlText w:val="•"/>
      <w:lvlJc w:val="left"/>
      <w:pPr>
        <w:ind w:left="4215" w:hanging="257"/>
      </w:pPr>
      <w:rPr>
        <w:rFonts w:hint="default"/>
      </w:rPr>
    </w:lvl>
    <w:lvl w:ilvl="4">
      <w:start w:val="0"/>
      <w:numFmt w:val="bullet"/>
      <w:lvlText w:val="•"/>
      <w:lvlJc w:val="left"/>
      <w:pPr>
        <w:ind w:left="5173" w:hanging="257"/>
      </w:pPr>
      <w:rPr>
        <w:rFonts w:hint="default"/>
      </w:rPr>
    </w:lvl>
    <w:lvl w:ilvl="5">
      <w:start w:val="0"/>
      <w:numFmt w:val="bullet"/>
      <w:lvlText w:val="•"/>
      <w:lvlJc w:val="left"/>
      <w:pPr>
        <w:ind w:left="6132" w:hanging="257"/>
      </w:pPr>
      <w:rPr>
        <w:rFonts w:hint="default"/>
      </w:rPr>
    </w:lvl>
    <w:lvl w:ilvl="6">
      <w:start w:val="0"/>
      <w:numFmt w:val="bullet"/>
      <w:lvlText w:val="•"/>
      <w:lvlJc w:val="left"/>
      <w:pPr>
        <w:ind w:left="7090" w:hanging="257"/>
      </w:pPr>
      <w:rPr>
        <w:rFonts w:hint="default"/>
      </w:rPr>
    </w:lvl>
    <w:lvl w:ilvl="7">
      <w:start w:val="0"/>
      <w:numFmt w:val="bullet"/>
      <w:lvlText w:val="•"/>
      <w:lvlJc w:val="left"/>
      <w:pPr>
        <w:ind w:left="8049" w:hanging="257"/>
      </w:pPr>
      <w:rPr>
        <w:rFonts w:hint="default"/>
      </w:rPr>
    </w:lvl>
    <w:lvl w:ilvl="8">
      <w:start w:val="0"/>
      <w:numFmt w:val="bullet"/>
      <w:lvlText w:val="•"/>
      <w:lvlJc w:val="left"/>
      <w:pPr>
        <w:ind w:left="9007" w:hanging="257"/>
      </w:pPr>
      <w:rPr>
        <w:rFonts w:hint="default"/>
      </w:rPr>
    </w:lvl>
  </w:abstractNum>
  <w:abstractNum w:abstractNumId="295">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94">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44" w:hanging="255"/>
      </w:pPr>
      <w:rPr>
        <w:rFonts w:hint="default"/>
      </w:rPr>
    </w:lvl>
    <w:lvl w:ilvl="2">
      <w:start w:val="0"/>
      <w:numFmt w:val="bullet"/>
      <w:lvlText w:val="•"/>
      <w:lvlJc w:val="left"/>
      <w:pPr>
        <w:ind w:left="1148" w:hanging="255"/>
      </w:pPr>
      <w:rPr>
        <w:rFonts w:hint="default"/>
      </w:rPr>
    </w:lvl>
    <w:lvl w:ilvl="3">
      <w:start w:val="0"/>
      <w:numFmt w:val="bullet"/>
      <w:lvlText w:val="•"/>
      <w:lvlJc w:val="left"/>
      <w:pPr>
        <w:ind w:left="1552" w:hanging="255"/>
      </w:pPr>
      <w:rPr>
        <w:rFonts w:hint="default"/>
      </w:rPr>
    </w:lvl>
    <w:lvl w:ilvl="4">
      <w:start w:val="0"/>
      <w:numFmt w:val="bullet"/>
      <w:lvlText w:val="•"/>
      <w:lvlJc w:val="left"/>
      <w:pPr>
        <w:ind w:left="1956" w:hanging="255"/>
      </w:pPr>
      <w:rPr>
        <w:rFonts w:hint="default"/>
      </w:rPr>
    </w:lvl>
    <w:lvl w:ilvl="5">
      <w:start w:val="0"/>
      <w:numFmt w:val="bullet"/>
      <w:lvlText w:val="•"/>
      <w:lvlJc w:val="left"/>
      <w:pPr>
        <w:ind w:left="2360" w:hanging="255"/>
      </w:pPr>
      <w:rPr>
        <w:rFonts w:hint="default"/>
      </w:rPr>
    </w:lvl>
    <w:lvl w:ilvl="6">
      <w:start w:val="0"/>
      <w:numFmt w:val="bullet"/>
      <w:lvlText w:val="•"/>
      <w:lvlJc w:val="left"/>
      <w:pPr>
        <w:ind w:left="2764" w:hanging="255"/>
      </w:pPr>
      <w:rPr>
        <w:rFonts w:hint="default"/>
      </w:rPr>
    </w:lvl>
    <w:lvl w:ilvl="7">
      <w:start w:val="0"/>
      <w:numFmt w:val="bullet"/>
      <w:lvlText w:val="•"/>
      <w:lvlJc w:val="left"/>
      <w:pPr>
        <w:ind w:left="3168" w:hanging="255"/>
      </w:pPr>
      <w:rPr>
        <w:rFonts w:hint="default"/>
      </w:rPr>
    </w:lvl>
    <w:lvl w:ilvl="8">
      <w:start w:val="0"/>
      <w:numFmt w:val="bullet"/>
      <w:lvlText w:val="•"/>
      <w:lvlJc w:val="left"/>
      <w:pPr>
        <w:ind w:left="3572" w:hanging="255"/>
      </w:pPr>
      <w:rPr>
        <w:rFonts w:hint="default"/>
      </w:rPr>
    </w:lvl>
  </w:abstractNum>
  <w:abstractNum w:abstractNumId="293">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44" w:hanging="255"/>
      </w:pPr>
      <w:rPr>
        <w:rFonts w:hint="default"/>
      </w:rPr>
    </w:lvl>
    <w:lvl w:ilvl="2">
      <w:start w:val="0"/>
      <w:numFmt w:val="bullet"/>
      <w:lvlText w:val="•"/>
      <w:lvlJc w:val="left"/>
      <w:pPr>
        <w:ind w:left="1148" w:hanging="255"/>
      </w:pPr>
      <w:rPr>
        <w:rFonts w:hint="default"/>
      </w:rPr>
    </w:lvl>
    <w:lvl w:ilvl="3">
      <w:start w:val="0"/>
      <w:numFmt w:val="bullet"/>
      <w:lvlText w:val="•"/>
      <w:lvlJc w:val="left"/>
      <w:pPr>
        <w:ind w:left="1552" w:hanging="255"/>
      </w:pPr>
      <w:rPr>
        <w:rFonts w:hint="default"/>
      </w:rPr>
    </w:lvl>
    <w:lvl w:ilvl="4">
      <w:start w:val="0"/>
      <w:numFmt w:val="bullet"/>
      <w:lvlText w:val="•"/>
      <w:lvlJc w:val="left"/>
      <w:pPr>
        <w:ind w:left="1956" w:hanging="255"/>
      </w:pPr>
      <w:rPr>
        <w:rFonts w:hint="default"/>
      </w:rPr>
    </w:lvl>
    <w:lvl w:ilvl="5">
      <w:start w:val="0"/>
      <w:numFmt w:val="bullet"/>
      <w:lvlText w:val="•"/>
      <w:lvlJc w:val="left"/>
      <w:pPr>
        <w:ind w:left="2360" w:hanging="255"/>
      </w:pPr>
      <w:rPr>
        <w:rFonts w:hint="default"/>
      </w:rPr>
    </w:lvl>
    <w:lvl w:ilvl="6">
      <w:start w:val="0"/>
      <w:numFmt w:val="bullet"/>
      <w:lvlText w:val="•"/>
      <w:lvlJc w:val="left"/>
      <w:pPr>
        <w:ind w:left="2764" w:hanging="255"/>
      </w:pPr>
      <w:rPr>
        <w:rFonts w:hint="default"/>
      </w:rPr>
    </w:lvl>
    <w:lvl w:ilvl="7">
      <w:start w:val="0"/>
      <w:numFmt w:val="bullet"/>
      <w:lvlText w:val="•"/>
      <w:lvlJc w:val="left"/>
      <w:pPr>
        <w:ind w:left="3168" w:hanging="255"/>
      </w:pPr>
      <w:rPr>
        <w:rFonts w:hint="default"/>
      </w:rPr>
    </w:lvl>
    <w:lvl w:ilvl="8">
      <w:start w:val="0"/>
      <w:numFmt w:val="bullet"/>
      <w:lvlText w:val="•"/>
      <w:lvlJc w:val="left"/>
      <w:pPr>
        <w:ind w:left="3572" w:hanging="255"/>
      </w:pPr>
      <w:rPr>
        <w:rFonts w:hint="default"/>
      </w:rPr>
    </w:lvl>
  </w:abstractNum>
  <w:abstractNum w:abstractNumId="292">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09" w:hanging="255"/>
      </w:pPr>
      <w:rPr>
        <w:rFonts w:hint="default"/>
      </w:rPr>
    </w:lvl>
    <w:lvl w:ilvl="2">
      <w:start w:val="0"/>
      <w:numFmt w:val="bullet"/>
      <w:lvlText w:val="•"/>
      <w:lvlJc w:val="left"/>
      <w:pPr>
        <w:ind w:left="1078" w:hanging="255"/>
      </w:pPr>
      <w:rPr>
        <w:rFonts w:hint="default"/>
      </w:rPr>
    </w:lvl>
    <w:lvl w:ilvl="3">
      <w:start w:val="0"/>
      <w:numFmt w:val="bullet"/>
      <w:lvlText w:val="•"/>
      <w:lvlJc w:val="left"/>
      <w:pPr>
        <w:ind w:left="1447" w:hanging="255"/>
      </w:pPr>
      <w:rPr>
        <w:rFonts w:hint="default"/>
      </w:rPr>
    </w:lvl>
    <w:lvl w:ilvl="4">
      <w:start w:val="0"/>
      <w:numFmt w:val="bullet"/>
      <w:lvlText w:val="•"/>
      <w:lvlJc w:val="left"/>
      <w:pPr>
        <w:ind w:left="1816" w:hanging="255"/>
      </w:pPr>
      <w:rPr>
        <w:rFonts w:hint="default"/>
      </w:rPr>
    </w:lvl>
    <w:lvl w:ilvl="5">
      <w:start w:val="0"/>
      <w:numFmt w:val="bullet"/>
      <w:lvlText w:val="•"/>
      <w:lvlJc w:val="left"/>
      <w:pPr>
        <w:ind w:left="2185" w:hanging="255"/>
      </w:pPr>
      <w:rPr>
        <w:rFonts w:hint="default"/>
      </w:rPr>
    </w:lvl>
    <w:lvl w:ilvl="6">
      <w:start w:val="0"/>
      <w:numFmt w:val="bullet"/>
      <w:lvlText w:val="•"/>
      <w:lvlJc w:val="left"/>
      <w:pPr>
        <w:ind w:left="2554" w:hanging="255"/>
      </w:pPr>
      <w:rPr>
        <w:rFonts w:hint="default"/>
      </w:rPr>
    </w:lvl>
    <w:lvl w:ilvl="7">
      <w:start w:val="0"/>
      <w:numFmt w:val="bullet"/>
      <w:lvlText w:val="•"/>
      <w:lvlJc w:val="left"/>
      <w:pPr>
        <w:ind w:left="2923" w:hanging="255"/>
      </w:pPr>
      <w:rPr>
        <w:rFonts w:hint="default"/>
      </w:rPr>
    </w:lvl>
    <w:lvl w:ilvl="8">
      <w:start w:val="0"/>
      <w:numFmt w:val="bullet"/>
      <w:lvlText w:val="•"/>
      <w:lvlJc w:val="left"/>
      <w:pPr>
        <w:ind w:left="3292" w:hanging="255"/>
      </w:pPr>
      <w:rPr>
        <w:rFonts w:hint="default"/>
      </w:rPr>
    </w:lvl>
  </w:abstractNum>
  <w:abstractNum w:abstractNumId="291">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44" w:hanging="255"/>
      </w:pPr>
      <w:rPr>
        <w:rFonts w:hint="default"/>
      </w:rPr>
    </w:lvl>
    <w:lvl w:ilvl="2">
      <w:start w:val="0"/>
      <w:numFmt w:val="bullet"/>
      <w:lvlText w:val="•"/>
      <w:lvlJc w:val="left"/>
      <w:pPr>
        <w:ind w:left="1148" w:hanging="255"/>
      </w:pPr>
      <w:rPr>
        <w:rFonts w:hint="default"/>
      </w:rPr>
    </w:lvl>
    <w:lvl w:ilvl="3">
      <w:start w:val="0"/>
      <w:numFmt w:val="bullet"/>
      <w:lvlText w:val="•"/>
      <w:lvlJc w:val="left"/>
      <w:pPr>
        <w:ind w:left="1552" w:hanging="255"/>
      </w:pPr>
      <w:rPr>
        <w:rFonts w:hint="default"/>
      </w:rPr>
    </w:lvl>
    <w:lvl w:ilvl="4">
      <w:start w:val="0"/>
      <w:numFmt w:val="bullet"/>
      <w:lvlText w:val="•"/>
      <w:lvlJc w:val="left"/>
      <w:pPr>
        <w:ind w:left="1956" w:hanging="255"/>
      </w:pPr>
      <w:rPr>
        <w:rFonts w:hint="default"/>
      </w:rPr>
    </w:lvl>
    <w:lvl w:ilvl="5">
      <w:start w:val="0"/>
      <w:numFmt w:val="bullet"/>
      <w:lvlText w:val="•"/>
      <w:lvlJc w:val="left"/>
      <w:pPr>
        <w:ind w:left="2360" w:hanging="255"/>
      </w:pPr>
      <w:rPr>
        <w:rFonts w:hint="default"/>
      </w:rPr>
    </w:lvl>
    <w:lvl w:ilvl="6">
      <w:start w:val="0"/>
      <w:numFmt w:val="bullet"/>
      <w:lvlText w:val="•"/>
      <w:lvlJc w:val="left"/>
      <w:pPr>
        <w:ind w:left="2764" w:hanging="255"/>
      </w:pPr>
      <w:rPr>
        <w:rFonts w:hint="default"/>
      </w:rPr>
    </w:lvl>
    <w:lvl w:ilvl="7">
      <w:start w:val="0"/>
      <w:numFmt w:val="bullet"/>
      <w:lvlText w:val="•"/>
      <w:lvlJc w:val="left"/>
      <w:pPr>
        <w:ind w:left="3168" w:hanging="255"/>
      </w:pPr>
      <w:rPr>
        <w:rFonts w:hint="default"/>
      </w:rPr>
    </w:lvl>
    <w:lvl w:ilvl="8">
      <w:start w:val="0"/>
      <w:numFmt w:val="bullet"/>
      <w:lvlText w:val="•"/>
      <w:lvlJc w:val="left"/>
      <w:pPr>
        <w:ind w:left="3572" w:hanging="255"/>
      </w:pPr>
      <w:rPr>
        <w:rFonts w:hint="default"/>
      </w:rPr>
    </w:lvl>
  </w:abstractNum>
  <w:abstractNum w:abstractNumId="290">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09" w:hanging="255"/>
      </w:pPr>
      <w:rPr>
        <w:rFonts w:hint="default"/>
      </w:rPr>
    </w:lvl>
    <w:lvl w:ilvl="2">
      <w:start w:val="0"/>
      <w:numFmt w:val="bullet"/>
      <w:lvlText w:val="•"/>
      <w:lvlJc w:val="left"/>
      <w:pPr>
        <w:ind w:left="1078" w:hanging="255"/>
      </w:pPr>
      <w:rPr>
        <w:rFonts w:hint="default"/>
      </w:rPr>
    </w:lvl>
    <w:lvl w:ilvl="3">
      <w:start w:val="0"/>
      <w:numFmt w:val="bullet"/>
      <w:lvlText w:val="•"/>
      <w:lvlJc w:val="left"/>
      <w:pPr>
        <w:ind w:left="1447" w:hanging="255"/>
      </w:pPr>
      <w:rPr>
        <w:rFonts w:hint="default"/>
      </w:rPr>
    </w:lvl>
    <w:lvl w:ilvl="4">
      <w:start w:val="0"/>
      <w:numFmt w:val="bullet"/>
      <w:lvlText w:val="•"/>
      <w:lvlJc w:val="left"/>
      <w:pPr>
        <w:ind w:left="1816" w:hanging="255"/>
      </w:pPr>
      <w:rPr>
        <w:rFonts w:hint="default"/>
      </w:rPr>
    </w:lvl>
    <w:lvl w:ilvl="5">
      <w:start w:val="0"/>
      <w:numFmt w:val="bullet"/>
      <w:lvlText w:val="•"/>
      <w:lvlJc w:val="left"/>
      <w:pPr>
        <w:ind w:left="2185" w:hanging="255"/>
      </w:pPr>
      <w:rPr>
        <w:rFonts w:hint="default"/>
      </w:rPr>
    </w:lvl>
    <w:lvl w:ilvl="6">
      <w:start w:val="0"/>
      <w:numFmt w:val="bullet"/>
      <w:lvlText w:val="•"/>
      <w:lvlJc w:val="left"/>
      <w:pPr>
        <w:ind w:left="2554" w:hanging="255"/>
      </w:pPr>
      <w:rPr>
        <w:rFonts w:hint="default"/>
      </w:rPr>
    </w:lvl>
    <w:lvl w:ilvl="7">
      <w:start w:val="0"/>
      <w:numFmt w:val="bullet"/>
      <w:lvlText w:val="•"/>
      <w:lvlJc w:val="left"/>
      <w:pPr>
        <w:ind w:left="2923" w:hanging="255"/>
      </w:pPr>
      <w:rPr>
        <w:rFonts w:hint="default"/>
      </w:rPr>
    </w:lvl>
    <w:lvl w:ilvl="8">
      <w:start w:val="0"/>
      <w:numFmt w:val="bullet"/>
      <w:lvlText w:val="•"/>
      <w:lvlJc w:val="left"/>
      <w:pPr>
        <w:ind w:left="3292" w:hanging="255"/>
      </w:pPr>
      <w:rPr>
        <w:rFonts w:hint="default"/>
      </w:rPr>
    </w:lvl>
  </w:abstractNum>
  <w:abstractNum w:abstractNumId="289">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44" w:hanging="255"/>
      </w:pPr>
      <w:rPr>
        <w:rFonts w:hint="default"/>
      </w:rPr>
    </w:lvl>
    <w:lvl w:ilvl="2">
      <w:start w:val="0"/>
      <w:numFmt w:val="bullet"/>
      <w:lvlText w:val="•"/>
      <w:lvlJc w:val="left"/>
      <w:pPr>
        <w:ind w:left="1148" w:hanging="255"/>
      </w:pPr>
      <w:rPr>
        <w:rFonts w:hint="default"/>
      </w:rPr>
    </w:lvl>
    <w:lvl w:ilvl="3">
      <w:start w:val="0"/>
      <w:numFmt w:val="bullet"/>
      <w:lvlText w:val="•"/>
      <w:lvlJc w:val="left"/>
      <w:pPr>
        <w:ind w:left="1552" w:hanging="255"/>
      </w:pPr>
      <w:rPr>
        <w:rFonts w:hint="default"/>
      </w:rPr>
    </w:lvl>
    <w:lvl w:ilvl="4">
      <w:start w:val="0"/>
      <w:numFmt w:val="bullet"/>
      <w:lvlText w:val="•"/>
      <w:lvlJc w:val="left"/>
      <w:pPr>
        <w:ind w:left="1956" w:hanging="255"/>
      </w:pPr>
      <w:rPr>
        <w:rFonts w:hint="default"/>
      </w:rPr>
    </w:lvl>
    <w:lvl w:ilvl="5">
      <w:start w:val="0"/>
      <w:numFmt w:val="bullet"/>
      <w:lvlText w:val="•"/>
      <w:lvlJc w:val="left"/>
      <w:pPr>
        <w:ind w:left="2360" w:hanging="255"/>
      </w:pPr>
      <w:rPr>
        <w:rFonts w:hint="default"/>
      </w:rPr>
    </w:lvl>
    <w:lvl w:ilvl="6">
      <w:start w:val="0"/>
      <w:numFmt w:val="bullet"/>
      <w:lvlText w:val="•"/>
      <w:lvlJc w:val="left"/>
      <w:pPr>
        <w:ind w:left="2764" w:hanging="255"/>
      </w:pPr>
      <w:rPr>
        <w:rFonts w:hint="default"/>
      </w:rPr>
    </w:lvl>
    <w:lvl w:ilvl="7">
      <w:start w:val="0"/>
      <w:numFmt w:val="bullet"/>
      <w:lvlText w:val="•"/>
      <w:lvlJc w:val="left"/>
      <w:pPr>
        <w:ind w:left="3168" w:hanging="255"/>
      </w:pPr>
      <w:rPr>
        <w:rFonts w:hint="default"/>
      </w:rPr>
    </w:lvl>
    <w:lvl w:ilvl="8">
      <w:start w:val="0"/>
      <w:numFmt w:val="bullet"/>
      <w:lvlText w:val="•"/>
      <w:lvlJc w:val="left"/>
      <w:pPr>
        <w:ind w:left="3572" w:hanging="255"/>
      </w:pPr>
      <w:rPr>
        <w:rFonts w:hint="default"/>
      </w:rPr>
    </w:lvl>
  </w:abstractNum>
  <w:abstractNum w:abstractNumId="288">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09" w:hanging="255"/>
      </w:pPr>
      <w:rPr>
        <w:rFonts w:hint="default"/>
      </w:rPr>
    </w:lvl>
    <w:lvl w:ilvl="2">
      <w:start w:val="0"/>
      <w:numFmt w:val="bullet"/>
      <w:lvlText w:val="•"/>
      <w:lvlJc w:val="left"/>
      <w:pPr>
        <w:ind w:left="1078" w:hanging="255"/>
      </w:pPr>
      <w:rPr>
        <w:rFonts w:hint="default"/>
      </w:rPr>
    </w:lvl>
    <w:lvl w:ilvl="3">
      <w:start w:val="0"/>
      <w:numFmt w:val="bullet"/>
      <w:lvlText w:val="•"/>
      <w:lvlJc w:val="left"/>
      <w:pPr>
        <w:ind w:left="1447" w:hanging="255"/>
      </w:pPr>
      <w:rPr>
        <w:rFonts w:hint="default"/>
      </w:rPr>
    </w:lvl>
    <w:lvl w:ilvl="4">
      <w:start w:val="0"/>
      <w:numFmt w:val="bullet"/>
      <w:lvlText w:val="•"/>
      <w:lvlJc w:val="left"/>
      <w:pPr>
        <w:ind w:left="1816" w:hanging="255"/>
      </w:pPr>
      <w:rPr>
        <w:rFonts w:hint="default"/>
      </w:rPr>
    </w:lvl>
    <w:lvl w:ilvl="5">
      <w:start w:val="0"/>
      <w:numFmt w:val="bullet"/>
      <w:lvlText w:val="•"/>
      <w:lvlJc w:val="left"/>
      <w:pPr>
        <w:ind w:left="2185" w:hanging="255"/>
      </w:pPr>
      <w:rPr>
        <w:rFonts w:hint="default"/>
      </w:rPr>
    </w:lvl>
    <w:lvl w:ilvl="6">
      <w:start w:val="0"/>
      <w:numFmt w:val="bullet"/>
      <w:lvlText w:val="•"/>
      <w:lvlJc w:val="left"/>
      <w:pPr>
        <w:ind w:left="2554" w:hanging="255"/>
      </w:pPr>
      <w:rPr>
        <w:rFonts w:hint="default"/>
      </w:rPr>
    </w:lvl>
    <w:lvl w:ilvl="7">
      <w:start w:val="0"/>
      <w:numFmt w:val="bullet"/>
      <w:lvlText w:val="•"/>
      <w:lvlJc w:val="left"/>
      <w:pPr>
        <w:ind w:left="2923" w:hanging="255"/>
      </w:pPr>
      <w:rPr>
        <w:rFonts w:hint="default"/>
      </w:rPr>
    </w:lvl>
    <w:lvl w:ilvl="8">
      <w:start w:val="0"/>
      <w:numFmt w:val="bullet"/>
      <w:lvlText w:val="•"/>
      <w:lvlJc w:val="left"/>
      <w:pPr>
        <w:ind w:left="3292" w:hanging="255"/>
      </w:pPr>
      <w:rPr>
        <w:rFonts w:hint="default"/>
      </w:rPr>
    </w:lvl>
  </w:abstractNum>
  <w:abstractNum w:abstractNumId="287">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44" w:hanging="255"/>
      </w:pPr>
      <w:rPr>
        <w:rFonts w:hint="default"/>
      </w:rPr>
    </w:lvl>
    <w:lvl w:ilvl="2">
      <w:start w:val="0"/>
      <w:numFmt w:val="bullet"/>
      <w:lvlText w:val="•"/>
      <w:lvlJc w:val="left"/>
      <w:pPr>
        <w:ind w:left="1148" w:hanging="255"/>
      </w:pPr>
      <w:rPr>
        <w:rFonts w:hint="default"/>
      </w:rPr>
    </w:lvl>
    <w:lvl w:ilvl="3">
      <w:start w:val="0"/>
      <w:numFmt w:val="bullet"/>
      <w:lvlText w:val="•"/>
      <w:lvlJc w:val="left"/>
      <w:pPr>
        <w:ind w:left="1552" w:hanging="255"/>
      </w:pPr>
      <w:rPr>
        <w:rFonts w:hint="default"/>
      </w:rPr>
    </w:lvl>
    <w:lvl w:ilvl="4">
      <w:start w:val="0"/>
      <w:numFmt w:val="bullet"/>
      <w:lvlText w:val="•"/>
      <w:lvlJc w:val="left"/>
      <w:pPr>
        <w:ind w:left="1956" w:hanging="255"/>
      </w:pPr>
      <w:rPr>
        <w:rFonts w:hint="default"/>
      </w:rPr>
    </w:lvl>
    <w:lvl w:ilvl="5">
      <w:start w:val="0"/>
      <w:numFmt w:val="bullet"/>
      <w:lvlText w:val="•"/>
      <w:lvlJc w:val="left"/>
      <w:pPr>
        <w:ind w:left="2360" w:hanging="255"/>
      </w:pPr>
      <w:rPr>
        <w:rFonts w:hint="default"/>
      </w:rPr>
    </w:lvl>
    <w:lvl w:ilvl="6">
      <w:start w:val="0"/>
      <w:numFmt w:val="bullet"/>
      <w:lvlText w:val="•"/>
      <w:lvlJc w:val="left"/>
      <w:pPr>
        <w:ind w:left="2764" w:hanging="255"/>
      </w:pPr>
      <w:rPr>
        <w:rFonts w:hint="default"/>
      </w:rPr>
    </w:lvl>
    <w:lvl w:ilvl="7">
      <w:start w:val="0"/>
      <w:numFmt w:val="bullet"/>
      <w:lvlText w:val="•"/>
      <w:lvlJc w:val="left"/>
      <w:pPr>
        <w:ind w:left="3168" w:hanging="255"/>
      </w:pPr>
      <w:rPr>
        <w:rFonts w:hint="default"/>
      </w:rPr>
    </w:lvl>
    <w:lvl w:ilvl="8">
      <w:start w:val="0"/>
      <w:numFmt w:val="bullet"/>
      <w:lvlText w:val="•"/>
      <w:lvlJc w:val="left"/>
      <w:pPr>
        <w:ind w:left="3572" w:hanging="255"/>
      </w:pPr>
      <w:rPr>
        <w:rFonts w:hint="default"/>
      </w:rPr>
    </w:lvl>
  </w:abstractNum>
  <w:abstractNum w:abstractNumId="286">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09" w:hanging="255"/>
      </w:pPr>
      <w:rPr>
        <w:rFonts w:hint="default"/>
      </w:rPr>
    </w:lvl>
    <w:lvl w:ilvl="2">
      <w:start w:val="0"/>
      <w:numFmt w:val="bullet"/>
      <w:lvlText w:val="•"/>
      <w:lvlJc w:val="left"/>
      <w:pPr>
        <w:ind w:left="1078" w:hanging="255"/>
      </w:pPr>
      <w:rPr>
        <w:rFonts w:hint="default"/>
      </w:rPr>
    </w:lvl>
    <w:lvl w:ilvl="3">
      <w:start w:val="0"/>
      <w:numFmt w:val="bullet"/>
      <w:lvlText w:val="•"/>
      <w:lvlJc w:val="left"/>
      <w:pPr>
        <w:ind w:left="1447" w:hanging="255"/>
      </w:pPr>
      <w:rPr>
        <w:rFonts w:hint="default"/>
      </w:rPr>
    </w:lvl>
    <w:lvl w:ilvl="4">
      <w:start w:val="0"/>
      <w:numFmt w:val="bullet"/>
      <w:lvlText w:val="•"/>
      <w:lvlJc w:val="left"/>
      <w:pPr>
        <w:ind w:left="1816" w:hanging="255"/>
      </w:pPr>
      <w:rPr>
        <w:rFonts w:hint="default"/>
      </w:rPr>
    </w:lvl>
    <w:lvl w:ilvl="5">
      <w:start w:val="0"/>
      <w:numFmt w:val="bullet"/>
      <w:lvlText w:val="•"/>
      <w:lvlJc w:val="left"/>
      <w:pPr>
        <w:ind w:left="2185" w:hanging="255"/>
      </w:pPr>
      <w:rPr>
        <w:rFonts w:hint="default"/>
      </w:rPr>
    </w:lvl>
    <w:lvl w:ilvl="6">
      <w:start w:val="0"/>
      <w:numFmt w:val="bullet"/>
      <w:lvlText w:val="•"/>
      <w:lvlJc w:val="left"/>
      <w:pPr>
        <w:ind w:left="2554" w:hanging="255"/>
      </w:pPr>
      <w:rPr>
        <w:rFonts w:hint="default"/>
      </w:rPr>
    </w:lvl>
    <w:lvl w:ilvl="7">
      <w:start w:val="0"/>
      <w:numFmt w:val="bullet"/>
      <w:lvlText w:val="•"/>
      <w:lvlJc w:val="left"/>
      <w:pPr>
        <w:ind w:left="2923" w:hanging="255"/>
      </w:pPr>
      <w:rPr>
        <w:rFonts w:hint="default"/>
      </w:rPr>
    </w:lvl>
    <w:lvl w:ilvl="8">
      <w:start w:val="0"/>
      <w:numFmt w:val="bullet"/>
      <w:lvlText w:val="•"/>
      <w:lvlJc w:val="left"/>
      <w:pPr>
        <w:ind w:left="3292" w:hanging="255"/>
      </w:pPr>
      <w:rPr>
        <w:rFonts w:hint="default"/>
      </w:rPr>
    </w:lvl>
  </w:abstractNum>
  <w:abstractNum w:abstractNumId="285">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44" w:hanging="255"/>
      </w:pPr>
      <w:rPr>
        <w:rFonts w:hint="default"/>
      </w:rPr>
    </w:lvl>
    <w:lvl w:ilvl="2">
      <w:start w:val="0"/>
      <w:numFmt w:val="bullet"/>
      <w:lvlText w:val="•"/>
      <w:lvlJc w:val="left"/>
      <w:pPr>
        <w:ind w:left="1148" w:hanging="255"/>
      </w:pPr>
      <w:rPr>
        <w:rFonts w:hint="default"/>
      </w:rPr>
    </w:lvl>
    <w:lvl w:ilvl="3">
      <w:start w:val="0"/>
      <w:numFmt w:val="bullet"/>
      <w:lvlText w:val="•"/>
      <w:lvlJc w:val="left"/>
      <w:pPr>
        <w:ind w:left="1552" w:hanging="255"/>
      </w:pPr>
      <w:rPr>
        <w:rFonts w:hint="default"/>
      </w:rPr>
    </w:lvl>
    <w:lvl w:ilvl="4">
      <w:start w:val="0"/>
      <w:numFmt w:val="bullet"/>
      <w:lvlText w:val="•"/>
      <w:lvlJc w:val="left"/>
      <w:pPr>
        <w:ind w:left="1956" w:hanging="255"/>
      </w:pPr>
      <w:rPr>
        <w:rFonts w:hint="default"/>
      </w:rPr>
    </w:lvl>
    <w:lvl w:ilvl="5">
      <w:start w:val="0"/>
      <w:numFmt w:val="bullet"/>
      <w:lvlText w:val="•"/>
      <w:lvlJc w:val="left"/>
      <w:pPr>
        <w:ind w:left="2360" w:hanging="255"/>
      </w:pPr>
      <w:rPr>
        <w:rFonts w:hint="default"/>
      </w:rPr>
    </w:lvl>
    <w:lvl w:ilvl="6">
      <w:start w:val="0"/>
      <w:numFmt w:val="bullet"/>
      <w:lvlText w:val="•"/>
      <w:lvlJc w:val="left"/>
      <w:pPr>
        <w:ind w:left="2764" w:hanging="255"/>
      </w:pPr>
      <w:rPr>
        <w:rFonts w:hint="default"/>
      </w:rPr>
    </w:lvl>
    <w:lvl w:ilvl="7">
      <w:start w:val="0"/>
      <w:numFmt w:val="bullet"/>
      <w:lvlText w:val="•"/>
      <w:lvlJc w:val="left"/>
      <w:pPr>
        <w:ind w:left="3168" w:hanging="255"/>
      </w:pPr>
      <w:rPr>
        <w:rFonts w:hint="default"/>
      </w:rPr>
    </w:lvl>
    <w:lvl w:ilvl="8">
      <w:start w:val="0"/>
      <w:numFmt w:val="bullet"/>
      <w:lvlText w:val="•"/>
      <w:lvlJc w:val="left"/>
      <w:pPr>
        <w:ind w:left="3572" w:hanging="255"/>
      </w:pPr>
      <w:rPr>
        <w:rFonts w:hint="default"/>
      </w:rPr>
    </w:lvl>
  </w:abstractNum>
  <w:abstractNum w:abstractNumId="284">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09" w:hanging="255"/>
      </w:pPr>
      <w:rPr>
        <w:rFonts w:hint="default"/>
      </w:rPr>
    </w:lvl>
    <w:lvl w:ilvl="2">
      <w:start w:val="0"/>
      <w:numFmt w:val="bullet"/>
      <w:lvlText w:val="•"/>
      <w:lvlJc w:val="left"/>
      <w:pPr>
        <w:ind w:left="1078" w:hanging="255"/>
      </w:pPr>
      <w:rPr>
        <w:rFonts w:hint="default"/>
      </w:rPr>
    </w:lvl>
    <w:lvl w:ilvl="3">
      <w:start w:val="0"/>
      <w:numFmt w:val="bullet"/>
      <w:lvlText w:val="•"/>
      <w:lvlJc w:val="left"/>
      <w:pPr>
        <w:ind w:left="1447" w:hanging="255"/>
      </w:pPr>
      <w:rPr>
        <w:rFonts w:hint="default"/>
      </w:rPr>
    </w:lvl>
    <w:lvl w:ilvl="4">
      <w:start w:val="0"/>
      <w:numFmt w:val="bullet"/>
      <w:lvlText w:val="•"/>
      <w:lvlJc w:val="left"/>
      <w:pPr>
        <w:ind w:left="1816" w:hanging="255"/>
      </w:pPr>
      <w:rPr>
        <w:rFonts w:hint="default"/>
      </w:rPr>
    </w:lvl>
    <w:lvl w:ilvl="5">
      <w:start w:val="0"/>
      <w:numFmt w:val="bullet"/>
      <w:lvlText w:val="•"/>
      <w:lvlJc w:val="left"/>
      <w:pPr>
        <w:ind w:left="2185" w:hanging="255"/>
      </w:pPr>
      <w:rPr>
        <w:rFonts w:hint="default"/>
      </w:rPr>
    </w:lvl>
    <w:lvl w:ilvl="6">
      <w:start w:val="0"/>
      <w:numFmt w:val="bullet"/>
      <w:lvlText w:val="•"/>
      <w:lvlJc w:val="left"/>
      <w:pPr>
        <w:ind w:left="2554" w:hanging="255"/>
      </w:pPr>
      <w:rPr>
        <w:rFonts w:hint="default"/>
      </w:rPr>
    </w:lvl>
    <w:lvl w:ilvl="7">
      <w:start w:val="0"/>
      <w:numFmt w:val="bullet"/>
      <w:lvlText w:val="•"/>
      <w:lvlJc w:val="left"/>
      <w:pPr>
        <w:ind w:left="2923" w:hanging="255"/>
      </w:pPr>
      <w:rPr>
        <w:rFonts w:hint="default"/>
      </w:rPr>
    </w:lvl>
    <w:lvl w:ilvl="8">
      <w:start w:val="0"/>
      <w:numFmt w:val="bullet"/>
      <w:lvlText w:val="•"/>
      <w:lvlJc w:val="left"/>
      <w:pPr>
        <w:ind w:left="3292" w:hanging="255"/>
      </w:pPr>
      <w:rPr>
        <w:rFonts w:hint="default"/>
      </w:rPr>
    </w:lvl>
  </w:abstractNum>
  <w:abstractNum w:abstractNumId="283">
    <w:multiLevelType w:val="hybridMultilevel"/>
    <w:lvl w:ilvl="0">
      <w:start w:val="1"/>
      <w:numFmt w:val="decimal"/>
      <w:lvlText w:val="%1."/>
      <w:lvlJc w:val="left"/>
      <w:pPr>
        <w:ind w:left="33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744" w:hanging="255"/>
      </w:pPr>
      <w:rPr>
        <w:rFonts w:hint="default"/>
      </w:rPr>
    </w:lvl>
    <w:lvl w:ilvl="2">
      <w:start w:val="0"/>
      <w:numFmt w:val="bullet"/>
      <w:lvlText w:val="•"/>
      <w:lvlJc w:val="left"/>
      <w:pPr>
        <w:ind w:left="1148" w:hanging="255"/>
      </w:pPr>
      <w:rPr>
        <w:rFonts w:hint="default"/>
      </w:rPr>
    </w:lvl>
    <w:lvl w:ilvl="3">
      <w:start w:val="0"/>
      <w:numFmt w:val="bullet"/>
      <w:lvlText w:val="•"/>
      <w:lvlJc w:val="left"/>
      <w:pPr>
        <w:ind w:left="1552" w:hanging="255"/>
      </w:pPr>
      <w:rPr>
        <w:rFonts w:hint="default"/>
      </w:rPr>
    </w:lvl>
    <w:lvl w:ilvl="4">
      <w:start w:val="0"/>
      <w:numFmt w:val="bullet"/>
      <w:lvlText w:val="•"/>
      <w:lvlJc w:val="left"/>
      <w:pPr>
        <w:ind w:left="1956" w:hanging="255"/>
      </w:pPr>
      <w:rPr>
        <w:rFonts w:hint="default"/>
      </w:rPr>
    </w:lvl>
    <w:lvl w:ilvl="5">
      <w:start w:val="0"/>
      <w:numFmt w:val="bullet"/>
      <w:lvlText w:val="•"/>
      <w:lvlJc w:val="left"/>
      <w:pPr>
        <w:ind w:left="2360" w:hanging="255"/>
      </w:pPr>
      <w:rPr>
        <w:rFonts w:hint="default"/>
      </w:rPr>
    </w:lvl>
    <w:lvl w:ilvl="6">
      <w:start w:val="0"/>
      <w:numFmt w:val="bullet"/>
      <w:lvlText w:val="•"/>
      <w:lvlJc w:val="left"/>
      <w:pPr>
        <w:ind w:left="2764" w:hanging="255"/>
      </w:pPr>
      <w:rPr>
        <w:rFonts w:hint="default"/>
      </w:rPr>
    </w:lvl>
    <w:lvl w:ilvl="7">
      <w:start w:val="0"/>
      <w:numFmt w:val="bullet"/>
      <w:lvlText w:val="•"/>
      <w:lvlJc w:val="left"/>
      <w:pPr>
        <w:ind w:left="3168" w:hanging="255"/>
      </w:pPr>
      <w:rPr>
        <w:rFonts w:hint="default"/>
      </w:rPr>
    </w:lvl>
    <w:lvl w:ilvl="8">
      <w:start w:val="0"/>
      <w:numFmt w:val="bullet"/>
      <w:lvlText w:val="•"/>
      <w:lvlJc w:val="left"/>
      <w:pPr>
        <w:ind w:left="3572" w:hanging="255"/>
      </w:pPr>
      <w:rPr>
        <w:rFonts w:hint="default"/>
      </w:rPr>
    </w:lvl>
  </w:abstractNum>
  <w:abstractNum w:abstractNumId="282">
    <w:multiLevelType w:val="hybridMultilevel"/>
    <w:lvl w:ilvl="0">
      <w:start w:val="1"/>
      <w:numFmt w:val="decimal"/>
      <w:lvlText w:val="%1."/>
      <w:lvlJc w:val="left"/>
      <w:pPr>
        <w:ind w:left="339" w:hanging="256"/>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09" w:hanging="256"/>
      </w:pPr>
      <w:rPr>
        <w:rFonts w:hint="default"/>
      </w:rPr>
    </w:lvl>
    <w:lvl w:ilvl="2">
      <w:start w:val="0"/>
      <w:numFmt w:val="bullet"/>
      <w:lvlText w:val="•"/>
      <w:lvlJc w:val="left"/>
      <w:pPr>
        <w:ind w:left="1078" w:hanging="256"/>
      </w:pPr>
      <w:rPr>
        <w:rFonts w:hint="default"/>
      </w:rPr>
    </w:lvl>
    <w:lvl w:ilvl="3">
      <w:start w:val="0"/>
      <w:numFmt w:val="bullet"/>
      <w:lvlText w:val="•"/>
      <w:lvlJc w:val="left"/>
      <w:pPr>
        <w:ind w:left="1447" w:hanging="256"/>
      </w:pPr>
      <w:rPr>
        <w:rFonts w:hint="default"/>
      </w:rPr>
    </w:lvl>
    <w:lvl w:ilvl="4">
      <w:start w:val="0"/>
      <w:numFmt w:val="bullet"/>
      <w:lvlText w:val="•"/>
      <w:lvlJc w:val="left"/>
      <w:pPr>
        <w:ind w:left="1816" w:hanging="256"/>
      </w:pPr>
      <w:rPr>
        <w:rFonts w:hint="default"/>
      </w:rPr>
    </w:lvl>
    <w:lvl w:ilvl="5">
      <w:start w:val="0"/>
      <w:numFmt w:val="bullet"/>
      <w:lvlText w:val="•"/>
      <w:lvlJc w:val="left"/>
      <w:pPr>
        <w:ind w:left="2185" w:hanging="256"/>
      </w:pPr>
      <w:rPr>
        <w:rFonts w:hint="default"/>
      </w:rPr>
    </w:lvl>
    <w:lvl w:ilvl="6">
      <w:start w:val="0"/>
      <w:numFmt w:val="bullet"/>
      <w:lvlText w:val="•"/>
      <w:lvlJc w:val="left"/>
      <w:pPr>
        <w:ind w:left="2554" w:hanging="256"/>
      </w:pPr>
      <w:rPr>
        <w:rFonts w:hint="default"/>
      </w:rPr>
    </w:lvl>
    <w:lvl w:ilvl="7">
      <w:start w:val="0"/>
      <w:numFmt w:val="bullet"/>
      <w:lvlText w:val="•"/>
      <w:lvlJc w:val="left"/>
      <w:pPr>
        <w:ind w:left="2923" w:hanging="256"/>
      </w:pPr>
      <w:rPr>
        <w:rFonts w:hint="default"/>
      </w:rPr>
    </w:lvl>
    <w:lvl w:ilvl="8">
      <w:start w:val="0"/>
      <w:numFmt w:val="bullet"/>
      <w:lvlText w:val="•"/>
      <w:lvlJc w:val="left"/>
      <w:pPr>
        <w:ind w:left="3292" w:hanging="256"/>
      </w:pPr>
      <w:rPr>
        <w:rFonts w:hint="default"/>
      </w:rPr>
    </w:lvl>
  </w:abstractNum>
  <w:abstractNum w:abstractNumId="281">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858" w:hanging="244"/>
      </w:pPr>
      <w:rPr>
        <w:rFonts w:hint="default"/>
      </w:rPr>
    </w:lvl>
    <w:lvl w:ilvl="2">
      <w:start w:val="0"/>
      <w:numFmt w:val="bullet"/>
      <w:lvlText w:val="•"/>
      <w:lvlJc w:val="left"/>
      <w:pPr>
        <w:ind w:left="1356" w:hanging="244"/>
      </w:pPr>
      <w:rPr>
        <w:rFonts w:hint="default"/>
      </w:rPr>
    </w:lvl>
    <w:lvl w:ilvl="3">
      <w:start w:val="0"/>
      <w:numFmt w:val="bullet"/>
      <w:lvlText w:val="•"/>
      <w:lvlJc w:val="left"/>
      <w:pPr>
        <w:ind w:left="1854" w:hanging="244"/>
      </w:pPr>
      <w:rPr>
        <w:rFonts w:hint="default"/>
      </w:rPr>
    </w:lvl>
    <w:lvl w:ilvl="4">
      <w:start w:val="0"/>
      <w:numFmt w:val="bullet"/>
      <w:lvlText w:val="•"/>
      <w:lvlJc w:val="left"/>
      <w:pPr>
        <w:ind w:left="2353" w:hanging="244"/>
      </w:pPr>
      <w:rPr>
        <w:rFonts w:hint="default"/>
      </w:rPr>
    </w:lvl>
    <w:lvl w:ilvl="5">
      <w:start w:val="0"/>
      <w:numFmt w:val="bullet"/>
      <w:lvlText w:val="•"/>
      <w:lvlJc w:val="left"/>
      <w:pPr>
        <w:ind w:left="2851" w:hanging="244"/>
      </w:pPr>
      <w:rPr>
        <w:rFonts w:hint="default"/>
      </w:rPr>
    </w:lvl>
    <w:lvl w:ilvl="6">
      <w:start w:val="0"/>
      <w:numFmt w:val="bullet"/>
      <w:lvlText w:val="•"/>
      <w:lvlJc w:val="left"/>
      <w:pPr>
        <w:ind w:left="3349" w:hanging="244"/>
      </w:pPr>
      <w:rPr>
        <w:rFonts w:hint="default"/>
      </w:rPr>
    </w:lvl>
    <w:lvl w:ilvl="7">
      <w:start w:val="0"/>
      <w:numFmt w:val="bullet"/>
      <w:lvlText w:val="•"/>
      <w:lvlJc w:val="left"/>
      <w:pPr>
        <w:ind w:left="3848" w:hanging="244"/>
      </w:pPr>
      <w:rPr>
        <w:rFonts w:hint="default"/>
      </w:rPr>
    </w:lvl>
    <w:lvl w:ilvl="8">
      <w:start w:val="0"/>
      <w:numFmt w:val="bullet"/>
      <w:lvlText w:val="•"/>
      <w:lvlJc w:val="left"/>
      <w:pPr>
        <w:ind w:left="4346" w:hanging="244"/>
      </w:pPr>
      <w:rPr>
        <w:rFonts w:hint="default"/>
      </w:rPr>
    </w:lvl>
  </w:abstractNum>
  <w:abstractNum w:abstractNumId="280">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858" w:hanging="244"/>
      </w:pPr>
      <w:rPr>
        <w:rFonts w:hint="default"/>
      </w:rPr>
    </w:lvl>
    <w:lvl w:ilvl="2">
      <w:start w:val="0"/>
      <w:numFmt w:val="bullet"/>
      <w:lvlText w:val="•"/>
      <w:lvlJc w:val="left"/>
      <w:pPr>
        <w:ind w:left="1356" w:hanging="244"/>
      </w:pPr>
      <w:rPr>
        <w:rFonts w:hint="default"/>
      </w:rPr>
    </w:lvl>
    <w:lvl w:ilvl="3">
      <w:start w:val="0"/>
      <w:numFmt w:val="bullet"/>
      <w:lvlText w:val="•"/>
      <w:lvlJc w:val="left"/>
      <w:pPr>
        <w:ind w:left="1854" w:hanging="244"/>
      </w:pPr>
      <w:rPr>
        <w:rFonts w:hint="default"/>
      </w:rPr>
    </w:lvl>
    <w:lvl w:ilvl="4">
      <w:start w:val="0"/>
      <w:numFmt w:val="bullet"/>
      <w:lvlText w:val="•"/>
      <w:lvlJc w:val="left"/>
      <w:pPr>
        <w:ind w:left="2353" w:hanging="244"/>
      </w:pPr>
      <w:rPr>
        <w:rFonts w:hint="default"/>
      </w:rPr>
    </w:lvl>
    <w:lvl w:ilvl="5">
      <w:start w:val="0"/>
      <w:numFmt w:val="bullet"/>
      <w:lvlText w:val="•"/>
      <w:lvlJc w:val="left"/>
      <w:pPr>
        <w:ind w:left="2851" w:hanging="244"/>
      </w:pPr>
      <w:rPr>
        <w:rFonts w:hint="default"/>
      </w:rPr>
    </w:lvl>
    <w:lvl w:ilvl="6">
      <w:start w:val="0"/>
      <w:numFmt w:val="bullet"/>
      <w:lvlText w:val="•"/>
      <w:lvlJc w:val="left"/>
      <w:pPr>
        <w:ind w:left="3349" w:hanging="244"/>
      </w:pPr>
      <w:rPr>
        <w:rFonts w:hint="default"/>
      </w:rPr>
    </w:lvl>
    <w:lvl w:ilvl="7">
      <w:start w:val="0"/>
      <w:numFmt w:val="bullet"/>
      <w:lvlText w:val="•"/>
      <w:lvlJc w:val="left"/>
      <w:pPr>
        <w:ind w:left="3848" w:hanging="244"/>
      </w:pPr>
      <w:rPr>
        <w:rFonts w:hint="default"/>
      </w:rPr>
    </w:lvl>
    <w:lvl w:ilvl="8">
      <w:start w:val="0"/>
      <w:numFmt w:val="bullet"/>
      <w:lvlText w:val="•"/>
      <w:lvlJc w:val="left"/>
      <w:pPr>
        <w:ind w:left="4346" w:hanging="244"/>
      </w:pPr>
      <w:rPr>
        <w:rFonts w:hint="default"/>
      </w:rPr>
    </w:lvl>
  </w:abstractNum>
  <w:abstractNum w:abstractNumId="279">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1593" w:hanging="245"/>
        <w:jc w:val="left"/>
      </w:pPr>
      <w:rPr>
        <w:rFonts w:hint="default" w:ascii="Arial Unicode MS" w:hAnsi="Arial Unicode MS" w:eastAsia="Arial Unicode MS" w:cs="Arial Unicode MS"/>
        <w:color w:val="231F20"/>
        <w:w w:val="97"/>
        <w:sz w:val="24"/>
        <w:szCs w:val="24"/>
      </w:rPr>
    </w:lvl>
    <w:lvl w:ilvl="2">
      <w:start w:val="0"/>
      <w:numFmt w:val="bullet"/>
      <w:lvlText w:val="•"/>
      <w:lvlJc w:val="left"/>
      <w:pPr>
        <w:ind w:left="2636" w:hanging="245"/>
      </w:pPr>
      <w:rPr>
        <w:rFonts w:hint="default"/>
      </w:rPr>
    </w:lvl>
    <w:lvl w:ilvl="3">
      <w:start w:val="0"/>
      <w:numFmt w:val="bullet"/>
      <w:lvlText w:val="•"/>
      <w:lvlJc w:val="left"/>
      <w:pPr>
        <w:ind w:left="3672" w:hanging="245"/>
      </w:pPr>
      <w:rPr>
        <w:rFonts w:hint="default"/>
      </w:rPr>
    </w:lvl>
    <w:lvl w:ilvl="4">
      <w:start w:val="0"/>
      <w:numFmt w:val="bullet"/>
      <w:lvlText w:val="•"/>
      <w:lvlJc w:val="left"/>
      <w:pPr>
        <w:ind w:left="4708" w:hanging="245"/>
      </w:pPr>
      <w:rPr>
        <w:rFonts w:hint="default"/>
      </w:rPr>
    </w:lvl>
    <w:lvl w:ilvl="5">
      <w:start w:val="0"/>
      <w:numFmt w:val="bullet"/>
      <w:lvlText w:val="•"/>
      <w:lvlJc w:val="left"/>
      <w:pPr>
        <w:ind w:left="5744" w:hanging="245"/>
      </w:pPr>
      <w:rPr>
        <w:rFonts w:hint="default"/>
      </w:rPr>
    </w:lvl>
    <w:lvl w:ilvl="6">
      <w:start w:val="0"/>
      <w:numFmt w:val="bullet"/>
      <w:lvlText w:val="•"/>
      <w:lvlJc w:val="left"/>
      <w:pPr>
        <w:ind w:left="6780" w:hanging="245"/>
      </w:pPr>
      <w:rPr>
        <w:rFonts w:hint="default"/>
      </w:rPr>
    </w:lvl>
    <w:lvl w:ilvl="7">
      <w:start w:val="0"/>
      <w:numFmt w:val="bullet"/>
      <w:lvlText w:val="•"/>
      <w:lvlJc w:val="left"/>
      <w:pPr>
        <w:ind w:left="7816" w:hanging="245"/>
      </w:pPr>
      <w:rPr>
        <w:rFonts w:hint="default"/>
      </w:rPr>
    </w:lvl>
    <w:lvl w:ilvl="8">
      <w:start w:val="0"/>
      <w:numFmt w:val="bullet"/>
      <w:lvlText w:val="•"/>
      <w:lvlJc w:val="left"/>
      <w:pPr>
        <w:ind w:left="8852" w:hanging="245"/>
      </w:pPr>
      <w:rPr>
        <w:rFonts w:hint="default"/>
      </w:rPr>
    </w:lvl>
  </w:abstractNum>
  <w:abstractNum w:abstractNumId="278">
    <w:multiLevelType w:val="hybridMultilevel"/>
    <w:lvl w:ilvl="0">
      <w:start w:val="1"/>
      <w:numFmt w:val="decimal"/>
      <w:lvlText w:val="%1."/>
      <w:lvlJc w:val="left"/>
      <w:pPr>
        <w:ind w:left="380" w:hanging="228"/>
        <w:jc w:val="left"/>
      </w:pPr>
      <w:rPr>
        <w:rFonts w:hint="default" w:ascii="Arial Unicode MS" w:hAnsi="Arial Unicode MS" w:eastAsia="Arial Unicode MS" w:cs="Arial Unicode MS"/>
        <w:color w:val="231F20"/>
        <w:spacing w:val="0"/>
        <w:w w:val="97"/>
        <w:sz w:val="20"/>
        <w:szCs w:val="20"/>
      </w:rPr>
    </w:lvl>
    <w:lvl w:ilvl="1">
      <w:start w:val="1"/>
      <w:numFmt w:val="decimal"/>
      <w:lvlText w:val="%2."/>
      <w:lvlJc w:val="left"/>
      <w:pPr>
        <w:ind w:left="1348" w:hanging="255"/>
        <w:jc w:val="left"/>
      </w:pPr>
      <w:rPr>
        <w:rFonts w:hint="default" w:ascii="Arial Unicode MS" w:hAnsi="Arial Unicode MS" w:eastAsia="Arial Unicode MS" w:cs="Arial Unicode MS"/>
        <w:color w:val="231F20"/>
        <w:w w:val="97"/>
        <w:sz w:val="24"/>
        <w:szCs w:val="24"/>
      </w:rPr>
    </w:lvl>
    <w:lvl w:ilvl="2">
      <w:start w:val="1"/>
      <w:numFmt w:val="upperLetter"/>
      <w:lvlText w:val="%3."/>
      <w:lvlJc w:val="left"/>
      <w:pPr>
        <w:ind w:left="1591" w:hanging="284"/>
        <w:jc w:val="left"/>
      </w:pPr>
      <w:rPr>
        <w:rFonts w:hint="default" w:ascii="Arial Unicode MS" w:hAnsi="Arial Unicode MS" w:eastAsia="Arial Unicode MS" w:cs="Arial Unicode MS"/>
        <w:color w:val="231F20"/>
        <w:w w:val="97"/>
        <w:sz w:val="24"/>
        <w:szCs w:val="24"/>
      </w:rPr>
    </w:lvl>
    <w:lvl w:ilvl="3">
      <w:start w:val="0"/>
      <w:numFmt w:val="bullet"/>
      <w:lvlText w:val="•"/>
      <w:lvlJc w:val="left"/>
      <w:pPr>
        <w:ind w:left="2765" w:hanging="284"/>
      </w:pPr>
      <w:rPr>
        <w:rFonts w:hint="default"/>
      </w:rPr>
    </w:lvl>
    <w:lvl w:ilvl="4">
      <w:start w:val="0"/>
      <w:numFmt w:val="bullet"/>
      <w:lvlText w:val="•"/>
      <w:lvlJc w:val="left"/>
      <w:pPr>
        <w:ind w:left="3931" w:hanging="284"/>
      </w:pPr>
      <w:rPr>
        <w:rFonts w:hint="default"/>
      </w:rPr>
    </w:lvl>
    <w:lvl w:ilvl="5">
      <w:start w:val="0"/>
      <w:numFmt w:val="bullet"/>
      <w:lvlText w:val="•"/>
      <w:lvlJc w:val="left"/>
      <w:pPr>
        <w:ind w:left="5096" w:hanging="284"/>
      </w:pPr>
      <w:rPr>
        <w:rFonts w:hint="default"/>
      </w:rPr>
    </w:lvl>
    <w:lvl w:ilvl="6">
      <w:start w:val="0"/>
      <w:numFmt w:val="bullet"/>
      <w:lvlText w:val="•"/>
      <w:lvlJc w:val="left"/>
      <w:pPr>
        <w:ind w:left="6262" w:hanging="284"/>
      </w:pPr>
      <w:rPr>
        <w:rFonts w:hint="default"/>
      </w:rPr>
    </w:lvl>
    <w:lvl w:ilvl="7">
      <w:start w:val="0"/>
      <w:numFmt w:val="bullet"/>
      <w:lvlText w:val="•"/>
      <w:lvlJc w:val="left"/>
      <w:pPr>
        <w:ind w:left="7427" w:hanging="284"/>
      </w:pPr>
      <w:rPr>
        <w:rFonts w:hint="default"/>
      </w:rPr>
    </w:lvl>
    <w:lvl w:ilvl="8">
      <w:start w:val="0"/>
      <w:numFmt w:val="bullet"/>
      <w:lvlText w:val="•"/>
      <w:lvlJc w:val="left"/>
      <w:pPr>
        <w:ind w:left="8593" w:hanging="284"/>
      </w:pPr>
      <w:rPr>
        <w:rFonts w:hint="default"/>
      </w:rPr>
    </w:lvl>
  </w:abstractNum>
  <w:abstractNum w:abstractNumId="275">
    <w:multiLevelType w:val="hybridMultilevel"/>
    <w:lvl w:ilvl="0">
      <w:start w:val="1"/>
      <w:numFmt w:val="decimal"/>
      <w:lvlText w:val="%1."/>
      <w:lvlJc w:val="left"/>
      <w:pPr>
        <w:ind w:left="283" w:hanging="285"/>
        <w:jc w:val="left"/>
      </w:pPr>
      <w:rPr>
        <w:rFonts w:hint="default"/>
        <w:w w:val="108"/>
      </w:rPr>
    </w:lvl>
    <w:lvl w:ilvl="1">
      <w:start w:val="0"/>
      <w:numFmt w:val="bullet"/>
      <w:lvlText w:val="•"/>
      <w:lvlJc w:val="left"/>
      <w:pPr>
        <w:ind w:left="439" w:hanging="285"/>
      </w:pPr>
      <w:rPr>
        <w:rFonts w:hint="default"/>
      </w:rPr>
    </w:lvl>
    <w:lvl w:ilvl="2">
      <w:start w:val="0"/>
      <w:numFmt w:val="bullet"/>
      <w:lvlText w:val="•"/>
      <w:lvlJc w:val="left"/>
      <w:pPr>
        <w:ind w:left="598" w:hanging="285"/>
      </w:pPr>
      <w:rPr>
        <w:rFonts w:hint="default"/>
      </w:rPr>
    </w:lvl>
    <w:lvl w:ilvl="3">
      <w:start w:val="0"/>
      <w:numFmt w:val="bullet"/>
      <w:lvlText w:val="•"/>
      <w:lvlJc w:val="left"/>
      <w:pPr>
        <w:ind w:left="757" w:hanging="285"/>
      </w:pPr>
      <w:rPr>
        <w:rFonts w:hint="default"/>
      </w:rPr>
    </w:lvl>
    <w:lvl w:ilvl="4">
      <w:start w:val="0"/>
      <w:numFmt w:val="bullet"/>
      <w:lvlText w:val="•"/>
      <w:lvlJc w:val="left"/>
      <w:pPr>
        <w:ind w:left="916" w:hanging="285"/>
      </w:pPr>
      <w:rPr>
        <w:rFonts w:hint="default"/>
      </w:rPr>
    </w:lvl>
    <w:lvl w:ilvl="5">
      <w:start w:val="0"/>
      <w:numFmt w:val="bullet"/>
      <w:lvlText w:val="•"/>
      <w:lvlJc w:val="left"/>
      <w:pPr>
        <w:ind w:left="1075" w:hanging="285"/>
      </w:pPr>
      <w:rPr>
        <w:rFonts w:hint="default"/>
      </w:rPr>
    </w:lvl>
    <w:lvl w:ilvl="6">
      <w:start w:val="0"/>
      <w:numFmt w:val="bullet"/>
      <w:lvlText w:val="•"/>
      <w:lvlJc w:val="left"/>
      <w:pPr>
        <w:ind w:left="1234" w:hanging="285"/>
      </w:pPr>
      <w:rPr>
        <w:rFonts w:hint="default"/>
      </w:rPr>
    </w:lvl>
    <w:lvl w:ilvl="7">
      <w:start w:val="0"/>
      <w:numFmt w:val="bullet"/>
      <w:lvlText w:val="•"/>
      <w:lvlJc w:val="left"/>
      <w:pPr>
        <w:ind w:left="1394" w:hanging="285"/>
      </w:pPr>
      <w:rPr>
        <w:rFonts w:hint="default"/>
      </w:rPr>
    </w:lvl>
    <w:lvl w:ilvl="8">
      <w:start w:val="0"/>
      <w:numFmt w:val="bullet"/>
      <w:lvlText w:val="•"/>
      <w:lvlJc w:val="left"/>
      <w:pPr>
        <w:ind w:left="1553" w:hanging="285"/>
      </w:pPr>
      <w:rPr>
        <w:rFonts w:hint="default"/>
      </w:rPr>
    </w:lvl>
  </w:abstractNum>
  <w:abstractNum w:abstractNumId="277">
    <w:multiLevelType w:val="hybridMultilevel"/>
    <w:lvl w:ilvl="0">
      <w:start w:val="1"/>
      <w:numFmt w:val="decimal"/>
      <w:lvlText w:val="%1."/>
      <w:lvlJc w:val="left"/>
      <w:pPr>
        <w:ind w:left="237" w:hanging="242"/>
        <w:jc w:val="left"/>
      </w:pPr>
      <w:rPr>
        <w:rFonts w:hint="default"/>
        <w:w w:val="108"/>
      </w:rPr>
    </w:lvl>
    <w:lvl w:ilvl="1">
      <w:start w:val="0"/>
      <w:numFmt w:val="bullet"/>
      <w:lvlText w:val="•"/>
      <w:lvlJc w:val="left"/>
      <w:pPr>
        <w:ind w:left="501" w:hanging="242"/>
      </w:pPr>
      <w:rPr>
        <w:rFonts w:hint="default"/>
      </w:rPr>
    </w:lvl>
    <w:lvl w:ilvl="2">
      <w:start w:val="0"/>
      <w:numFmt w:val="bullet"/>
      <w:lvlText w:val="•"/>
      <w:lvlJc w:val="left"/>
      <w:pPr>
        <w:ind w:left="762" w:hanging="242"/>
      </w:pPr>
      <w:rPr>
        <w:rFonts w:hint="default"/>
      </w:rPr>
    </w:lvl>
    <w:lvl w:ilvl="3">
      <w:start w:val="0"/>
      <w:numFmt w:val="bullet"/>
      <w:lvlText w:val="•"/>
      <w:lvlJc w:val="left"/>
      <w:pPr>
        <w:ind w:left="1024" w:hanging="242"/>
      </w:pPr>
      <w:rPr>
        <w:rFonts w:hint="default"/>
      </w:rPr>
    </w:lvl>
    <w:lvl w:ilvl="4">
      <w:start w:val="0"/>
      <w:numFmt w:val="bullet"/>
      <w:lvlText w:val="•"/>
      <w:lvlJc w:val="left"/>
      <w:pPr>
        <w:ind w:left="1285" w:hanging="242"/>
      </w:pPr>
      <w:rPr>
        <w:rFonts w:hint="default"/>
      </w:rPr>
    </w:lvl>
    <w:lvl w:ilvl="5">
      <w:start w:val="0"/>
      <w:numFmt w:val="bullet"/>
      <w:lvlText w:val="•"/>
      <w:lvlJc w:val="left"/>
      <w:pPr>
        <w:ind w:left="1546" w:hanging="242"/>
      </w:pPr>
      <w:rPr>
        <w:rFonts w:hint="default"/>
      </w:rPr>
    </w:lvl>
    <w:lvl w:ilvl="6">
      <w:start w:val="0"/>
      <w:numFmt w:val="bullet"/>
      <w:lvlText w:val="•"/>
      <w:lvlJc w:val="left"/>
      <w:pPr>
        <w:ind w:left="1808" w:hanging="242"/>
      </w:pPr>
      <w:rPr>
        <w:rFonts w:hint="default"/>
      </w:rPr>
    </w:lvl>
    <w:lvl w:ilvl="7">
      <w:start w:val="0"/>
      <w:numFmt w:val="bullet"/>
      <w:lvlText w:val="•"/>
      <w:lvlJc w:val="left"/>
      <w:pPr>
        <w:ind w:left="2069" w:hanging="242"/>
      </w:pPr>
      <w:rPr>
        <w:rFonts w:hint="default"/>
      </w:rPr>
    </w:lvl>
    <w:lvl w:ilvl="8">
      <w:start w:val="0"/>
      <w:numFmt w:val="bullet"/>
      <w:lvlText w:val="•"/>
      <w:lvlJc w:val="left"/>
      <w:pPr>
        <w:ind w:left="2331" w:hanging="242"/>
      </w:pPr>
      <w:rPr>
        <w:rFonts w:hint="default"/>
      </w:rPr>
    </w:lvl>
  </w:abstractNum>
  <w:abstractNum w:abstractNumId="276">
    <w:multiLevelType w:val="hybridMultilevel"/>
    <w:lvl w:ilvl="0">
      <w:start w:val="1"/>
      <w:numFmt w:val="decimal"/>
      <w:lvlText w:val="%1."/>
      <w:lvlJc w:val="left"/>
      <w:pPr>
        <w:ind w:left="435" w:hanging="281"/>
        <w:jc w:val="left"/>
      </w:pPr>
      <w:rPr>
        <w:rFonts w:hint="default" w:ascii="Times New Roman" w:hAnsi="Times New Roman" w:eastAsia="Times New Roman" w:cs="Times New Roman"/>
        <w:color w:val="343133"/>
        <w:w w:val="108"/>
        <w:sz w:val="21"/>
        <w:szCs w:val="21"/>
      </w:rPr>
    </w:lvl>
    <w:lvl w:ilvl="1">
      <w:start w:val="0"/>
      <w:numFmt w:val="bullet"/>
      <w:lvlText w:val="•"/>
      <w:lvlJc w:val="left"/>
      <w:pPr>
        <w:ind w:left="613" w:hanging="281"/>
      </w:pPr>
      <w:rPr>
        <w:rFonts w:hint="default"/>
      </w:rPr>
    </w:lvl>
    <w:lvl w:ilvl="2">
      <w:start w:val="0"/>
      <w:numFmt w:val="bullet"/>
      <w:lvlText w:val="•"/>
      <w:lvlJc w:val="left"/>
      <w:pPr>
        <w:ind w:left="787" w:hanging="281"/>
      </w:pPr>
      <w:rPr>
        <w:rFonts w:hint="default"/>
      </w:rPr>
    </w:lvl>
    <w:lvl w:ilvl="3">
      <w:start w:val="0"/>
      <w:numFmt w:val="bullet"/>
      <w:lvlText w:val="•"/>
      <w:lvlJc w:val="left"/>
      <w:pPr>
        <w:ind w:left="960" w:hanging="281"/>
      </w:pPr>
      <w:rPr>
        <w:rFonts w:hint="default"/>
      </w:rPr>
    </w:lvl>
    <w:lvl w:ilvl="4">
      <w:start w:val="0"/>
      <w:numFmt w:val="bullet"/>
      <w:lvlText w:val="•"/>
      <w:lvlJc w:val="left"/>
      <w:pPr>
        <w:ind w:left="1134" w:hanging="281"/>
      </w:pPr>
      <w:rPr>
        <w:rFonts w:hint="default"/>
      </w:rPr>
    </w:lvl>
    <w:lvl w:ilvl="5">
      <w:start w:val="0"/>
      <w:numFmt w:val="bullet"/>
      <w:lvlText w:val="•"/>
      <w:lvlJc w:val="left"/>
      <w:pPr>
        <w:ind w:left="1307" w:hanging="281"/>
      </w:pPr>
      <w:rPr>
        <w:rFonts w:hint="default"/>
      </w:rPr>
    </w:lvl>
    <w:lvl w:ilvl="6">
      <w:start w:val="0"/>
      <w:numFmt w:val="bullet"/>
      <w:lvlText w:val="•"/>
      <w:lvlJc w:val="left"/>
      <w:pPr>
        <w:ind w:left="1480" w:hanging="281"/>
      </w:pPr>
      <w:rPr>
        <w:rFonts w:hint="default"/>
      </w:rPr>
    </w:lvl>
    <w:lvl w:ilvl="7">
      <w:start w:val="0"/>
      <w:numFmt w:val="bullet"/>
      <w:lvlText w:val="•"/>
      <w:lvlJc w:val="left"/>
      <w:pPr>
        <w:ind w:left="1654" w:hanging="281"/>
      </w:pPr>
      <w:rPr>
        <w:rFonts w:hint="default"/>
      </w:rPr>
    </w:lvl>
    <w:lvl w:ilvl="8">
      <w:start w:val="0"/>
      <w:numFmt w:val="bullet"/>
      <w:lvlText w:val="•"/>
      <w:lvlJc w:val="left"/>
      <w:pPr>
        <w:ind w:left="1827" w:hanging="281"/>
      </w:pPr>
      <w:rPr>
        <w:rFonts w:hint="default"/>
      </w:rPr>
    </w:lvl>
  </w:abstractNum>
  <w:abstractNum w:abstractNumId="274">
    <w:multiLevelType w:val="hybridMultilevel"/>
    <w:lvl w:ilvl="0">
      <w:start w:val="0"/>
      <w:numFmt w:val="bullet"/>
      <w:lvlText w:val="•"/>
      <w:lvlJc w:val="left"/>
      <w:pPr>
        <w:ind w:left="355"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037" w:hanging="244"/>
      </w:pPr>
      <w:rPr>
        <w:rFonts w:hint="default"/>
      </w:rPr>
    </w:lvl>
    <w:lvl w:ilvl="2">
      <w:start w:val="0"/>
      <w:numFmt w:val="bullet"/>
      <w:lvlText w:val="•"/>
      <w:lvlJc w:val="left"/>
      <w:pPr>
        <w:ind w:left="1714" w:hanging="244"/>
      </w:pPr>
      <w:rPr>
        <w:rFonts w:hint="default"/>
      </w:rPr>
    </w:lvl>
    <w:lvl w:ilvl="3">
      <w:start w:val="0"/>
      <w:numFmt w:val="bullet"/>
      <w:lvlText w:val="•"/>
      <w:lvlJc w:val="left"/>
      <w:pPr>
        <w:ind w:left="2391" w:hanging="244"/>
      </w:pPr>
      <w:rPr>
        <w:rFonts w:hint="default"/>
      </w:rPr>
    </w:lvl>
    <w:lvl w:ilvl="4">
      <w:start w:val="0"/>
      <w:numFmt w:val="bullet"/>
      <w:lvlText w:val="•"/>
      <w:lvlJc w:val="left"/>
      <w:pPr>
        <w:ind w:left="3069" w:hanging="244"/>
      </w:pPr>
      <w:rPr>
        <w:rFonts w:hint="default"/>
      </w:rPr>
    </w:lvl>
    <w:lvl w:ilvl="5">
      <w:start w:val="0"/>
      <w:numFmt w:val="bullet"/>
      <w:lvlText w:val="•"/>
      <w:lvlJc w:val="left"/>
      <w:pPr>
        <w:ind w:left="3746" w:hanging="244"/>
      </w:pPr>
      <w:rPr>
        <w:rFonts w:hint="default"/>
      </w:rPr>
    </w:lvl>
    <w:lvl w:ilvl="6">
      <w:start w:val="0"/>
      <w:numFmt w:val="bullet"/>
      <w:lvlText w:val="•"/>
      <w:lvlJc w:val="left"/>
      <w:pPr>
        <w:ind w:left="4423" w:hanging="244"/>
      </w:pPr>
      <w:rPr>
        <w:rFonts w:hint="default"/>
      </w:rPr>
    </w:lvl>
    <w:lvl w:ilvl="7">
      <w:start w:val="0"/>
      <w:numFmt w:val="bullet"/>
      <w:lvlText w:val="•"/>
      <w:lvlJc w:val="left"/>
      <w:pPr>
        <w:ind w:left="5101" w:hanging="244"/>
      </w:pPr>
      <w:rPr>
        <w:rFonts w:hint="default"/>
      </w:rPr>
    </w:lvl>
    <w:lvl w:ilvl="8">
      <w:start w:val="0"/>
      <w:numFmt w:val="bullet"/>
      <w:lvlText w:val="•"/>
      <w:lvlJc w:val="left"/>
      <w:pPr>
        <w:ind w:left="5778" w:hanging="244"/>
      </w:pPr>
      <w:rPr>
        <w:rFonts w:hint="default"/>
      </w:rPr>
    </w:lvl>
  </w:abstractNum>
  <w:abstractNum w:abstractNumId="273">
    <w:multiLevelType w:val="hybridMultilevel"/>
    <w:lvl w:ilvl="0">
      <w:start w:val="0"/>
      <w:numFmt w:val="bullet"/>
      <w:lvlText w:val="•"/>
      <w:lvlJc w:val="left"/>
      <w:pPr>
        <w:ind w:left="355" w:hanging="244"/>
      </w:pPr>
      <w:rPr>
        <w:rFonts w:hint="default" w:ascii="Arial Unicode MS" w:hAnsi="Arial Unicode MS" w:eastAsia="Arial Unicode MS" w:cs="Arial Unicode MS"/>
        <w:color w:val="231F20"/>
        <w:w w:val="299"/>
        <w:sz w:val="16"/>
        <w:szCs w:val="16"/>
      </w:rPr>
    </w:lvl>
    <w:lvl w:ilvl="1">
      <w:start w:val="0"/>
      <w:numFmt w:val="bullet"/>
      <w:lvlText w:val="•"/>
      <w:lvlJc w:val="left"/>
      <w:pPr>
        <w:ind w:left="1037" w:hanging="244"/>
      </w:pPr>
      <w:rPr>
        <w:rFonts w:hint="default"/>
      </w:rPr>
    </w:lvl>
    <w:lvl w:ilvl="2">
      <w:start w:val="0"/>
      <w:numFmt w:val="bullet"/>
      <w:lvlText w:val="•"/>
      <w:lvlJc w:val="left"/>
      <w:pPr>
        <w:ind w:left="1714" w:hanging="244"/>
      </w:pPr>
      <w:rPr>
        <w:rFonts w:hint="default"/>
      </w:rPr>
    </w:lvl>
    <w:lvl w:ilvl="3">
      <w:start w:val="0"/>
      <w:numFmt w:val="bullet"/>
      <w:lvlText w:val="•"/>
      <w:lvlJc w:val="left"/>
      <w:pPr>
        <w:ind w:left="2391" w:hanging="244"/>
      </w:pPr>
      <w:rPr>
        <w:rFonts w:hint="default"/>
      </w:rPr>
    </w:lvl>
    <w:lvl w:ilvl="4">
      <w:start w:val="0"/>
      <w:numFmt w:val="bullet"/>
      <w:lvlText w:val="•"/>
      <w:lvlJc w:val="left"/>
      <w:pPr>
        <w:ind w:left="3069" w:hanging="244"/>
      </w:pPr>
      <w:rPr>
        <w:rFonts w:hint="default"/>
      </w:rPr>
    </w:lvl>
    <w:lvl w:ilvl="5">
      <w:start w:val="0"/>
      <w:numFmt w:val="bullet"/>
      <w:lvlText w:val="•"/>
      <w:lvlJc w:val="left"/>
      <w:pPr>
        <w:ind w:left="3746" w:hanging="244"/>
      </w:pPr>
      <w:rPr>
        <w:rFonts w:hint="default"/>
      </w:rPr>
    </w:lvl>
    <w:lvl w:ilvl="6">
      <w:start w:val="0"/>
      <w:numFmt w:val="bullet"/>
      <w:lvlText w:val="•"/>
      <w:lvlJc w:val="left"/>
      <w:pPr>
        <w:ind w:left="4423" w:hanging="244"/>
      </w:pPr>
      <w:rPr>
        <w:rFonts w:hint="default"/>
      </w:rPr>
    </w:lvl>
    <w:lvl w:ilvl="7">
      <w:start w:val="0"/>
      <w:numFmt w:val="bullet"/>
      <w:lvlText w:val="•"/>
      <w:lvlJc w:val="left"/>
      <w:pPr>
        <w:ind w:left="5101" w:hanging="244"/>
      </w:pPr>
      <w:rPr>
        <w:rFonts w:hint="default"/>
      </w:rPr>
    </w:lvl>
    <w:lvl w:ilvl="8">
      <w:start w:val="0"/>
      <w:numFmt w:val="bullet"/>
      <w:lvlText w:val="•"/>
      <w:lvlJc w:val="left"/>
      <w:pPr>
        <w:ind w:left="5778" w:hanging="244"/>
      </w:pPr>
      <w:rPr>
        <w:rFonts w:hint="default"/>
      </w:rPr>
    </w:lvl>
  </w:abstractNum>
  <w:abstractNum w:abstractNumId="272">
    <w:multiLevelType w:val="hybridMultilevel"/>
    <w:lvl w:ilvl="0">
      <w:start w:val="0"/>
      <w:numFmt w:val="bullet"/>
      <w:lvlText w:val="•"/>
      <w:lvlJc w:val="left"/>
      <w:pPr>
        <w:ind w:left="350" w:hanging="238"/>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037" w:hanging="238"/>
      </w:pPr>
      <w:rPr>
        <w:rFonts w:hint="default"/>
      </w:rPr>
    </w:lvl>
    <w:lvl w:ilvl="2">
      <w:start w:val="0"/>
      <w:numFmt w:val="bullet"/>
      <w:lvlText w:val="•"/>
      <w:lvlJc w:val="left"/>
      <w:pPr>
        <w:ind w:left="1714" w:hanging="238"/>
      </w:pPr>
      <w:rPr>
        <w:rFonts w:hint="default"/>
      </w:rPr>
    </w:lvl>
    <w:lvl w:ilvl="3">
      <w:start w:val="0"/>
      <w:numFmt w:val="bullet"/>
      <w:lvlText w:val="•"/>
      <w:lvlJc w:val="left"/>
      <w:pPr>
        <w:ind w:left="2391" w:hanging="238"/>
      </w:pPr>
      <w:rPr>
        <w:rFonts w:hint="default"/>
      </w:rPr>
    </w:lvl>
    <w:lvl w:ilvl="4">
      <w:start w:val="0"/>
      <w:numFmt w:val="bullet"/>
      <w:lvlText w:val="•"/>
      <w:lvlJc w:val="left"/>
      <w:pPr>
        <w:ind w:left="3069" w:hanging="238"/>
      </w:pPr>
      <w:rPr>
        <w:rFonts w:hint="default"/>
      </w:rPr>
    </w:lvl>
    <w:lvl w:ilvl="5">
      <w:start w:val="0"/>
      <w:numFmt w:val="bullet"/>
      <w:lvlText w:val="•"/>
      <w:lvlJc w:val="left"/>
      <w:pPr>
        <w:ind w:left="3746" w:hanging="238"/>
      </w:pPr>
      <w:rPr>
        <w:rFonts w:hint="default"/>
      </w:rPr>
    </w:lvl>
    <w:lvl w:ilvl="6">
      <w:start w:val="0"/>
      <w:numFmt w:val="bullet"/>
      <w:lvlText w:val="•"/>
      <w:lvlJc w:val="left"/>
      <w:pPr>
        <w:ind w:left="4423" w:hanging="238"/>
      </w:pPr>
      <w:rPr>
        <w:rFonts w:hint="default"/>
      </w:rPr>
    </w:lvl>
    <w:lvl w:ilvl="7">
      <w:start w:val="0"/>
      <w:numFmt w:val="bullet"/>
      <w:lvlText w:val="•"/>
      <w:lvlJc w:val="left"/>
      <w:pPr>
        <w:ind w:left="5101" w:hanging="238"/>
      </w:pPr>
      <w:rPr>
        <w:rFonts w:hint="default"/>
      </w:rPr>
    </w:lvl>
    <w:lvl w:ilvl="8">
      <w:start w:val="0"/>
      <w:numFmt w:val="bullet"/>
      <w:lvlText w:val="•"/>
      <w:lvlJc w:val="left"/>
      <w:pPr>
        <w:ind w:left="5778" w:hanging="238"/>
      </w:pPr>
      <w:rPr>
        <w:rFonts w:hint="default"/>
      </w:rPr>
    </w:lvl>
  </w:abstractNum>
  <w:abstractNum w:abstractNumId="271">
    <w:multiLevelType w:val="hybridMultilevel"/>
    <w:lvl w:ilvl="0">
      <w:start w:val="0"/>
      <w:numFmt w:val="bullet"/>
      <w:lvlText w:val="•"/>
      <w:lvlJc w:val="left"/>
      <w:pPr>
        <w:ind w:left="326" w:hanging="227"/>
      </w:pPr>
      <w:rPr>
        <w:rFonts w:hint="default" w:ascii="Arial Unicode MS" w:hAnsi="Arial Unicode MS" w:eastAsia="Arial Unicode MS" w:cs="Arial Unicode MS"/>
        <w:color w:val="231F20"/>
        <w:w w:val="125"/>
        <w:sz w:val="18"/>
        <w:szCs w:val="18"/>
      </w:rPr>
    </w:lvl>
    <w:lvl w:ilvl="1">
      <w:start w:val="0"/>
      <w:numFmt w:val="bullet"/>
      <w:lvlText w:val="•"/>
      <w:lvlJc w:val="left"/>
      <w:pPr>
        <w:ind w:left="697" w:hanging="227"/>
      </w:pPr>
      <w:rPr>
        <w:rFonts w:hint="default"/>
      </w:rPr>
    </w:lvl>
    <w:lvl w:ilvl="2">
      <w:start w:val="0"/>
      <w:numFmt w:val="bullet"/>
      <w:lvlText w:val="•"/>
      <w:lvlJc w:val="left"/>
      <w:pPr>
        <w:ind w:left="1075" w:hanging="227"/>
      </w:pPr>
      <w:rPr>
        <w:rFonts w:hint="default"/>
      </w:rPr>
    </w:lvl>
    <w:lvl w:ilvl="3">
      <w:start w:val="0"/>
      <w:numFmt w:val="bullet"/>
      <w:lvlText w:val="•"/>
      <w:lvlJc w:val="left"/>
      <w:pPr>
        <w:ind w:left="1452" w:hanging="227"/>
      </w:pPr>
      <w:rPr>
        <w:rFonts w:hint="default"/>
      </w:rPr>
    </w:lvl>
    <w:lvl w:ilvl="4">
      <w:start w:val="0"/>
      <w:numFmt w:val="bullet"/>
      <w:lvlText w:val="•"/>
      <w:lvlJc w:val="left"/>
      <w:pPr>
        <w:ind w:left="1830" w:hanging="227"/>
      </w:pPr>
      <w:rPr>
        <w:rFonts w:hint="default"/>
      </w:rPr>
    </w:lvl>
    <w:lvl w:ilvl="5">
      <w:start w:val="0"/>
      <w:numFmt w:val="bullet"/>
      <w:lvlText w:val="•"/>
      <w:lvlJc w:val="left"/>
      <w:pPr>
        <w:ind w:left="2207" w:hanging="227"/>
      </w:pPr>
      <w:rPr>
        <w:rFonts w:hint="default"/>
      </w:rPr>
    </w:lvl>
    <w:lvl w:ilvl="6">
      <w:start w:val="0"/>
      <w:numFmt w:val="bullet"/>
      <w:lvlText w:val="•"/>
      <w:lvlJc w:val="left"/>
      <w:pPr>
        <w:ind w:left="2585" w:hanging="227"/>
      </w:pPr>
      <w:rPr>
        <w:rFonts w:hint="default"/>
      </w:rPr>
    </w:lvl>
    <w:lvl w:ilvl="7">
      <w:start w:val="0"/>
      <w:numFmt w:val="bullet"/>
      <w:lvlText w:val="•"/>
      <w:lvlJc w:val="left"/>
      <w:pPr>
        <w:ind w:left="2962" w:hanging="227"/>
      </w:pPr>
      <w:rPr>
        <w:rFonts w:hint="default"/>
      </w:rPr>
    </w:lvl>
    <w:lvl w:ilvl="8">
      <w:start w:val="0"/>
      <w:numFmt w:val="bullet"/>
      <w:lvlText w:val="•"/>
      <w:lvlJc w:val="left"/>
      <w:pPr>
        <w:ind w:left="3340" w:hanging="227"/>
      </w:pPr>
      <w:rPr>
        <w:rFonts w:hint="default"/>
      </w:rPr>
    </w:lvl>
  </w:abstractNum>
  <w:abstractNum w:abstractNumId="270">
    <w:multiLevelType w:val="hybridMultilevel"/>
    <w:lvl w:ilvl="0">
      <w:start w:val="1"/>
      <w:numFmt w:val="decimal"/>
      <w:lvlText w:val="%1."/>
      <w:lvlJc w:val="left"/>
      <w:pPr>
        <w:ind w:left="571" w:hanging="229"/>
        <w:jc w:val="left"/>
      </w:pPr>
      <w:rPr>
        <w:rFonts w:hint="default" w:ascii="Arial Unicode MS" w:hAnsi="Arial Unicode MS" w:eastAsia="Arial Unicode MS" w:cs="Arial Unicode MS"/>
        <w:color w:val="231F20"/>
        <w:spacing w:val="0"/>
        <w:w w:val="82"/>
        <w:sz w:val="18"/>
        <w:szCs w:val="18"/>
      </w:rPr>
    </w:lvl>
    <w:lvl w:ilvl="1">
      <w:start w:val="0"/>
      <w:numFmt w:val="bullet"/>
      <w:lvlText w:val="•"/>
      <w:lvlJc w:val="left"/>
      <w:pPr>
        <w:ind w:left="998" w:hanging="229"/>
      </w:pPr>
      <w:rPr>
        <w:rFonts w:hint="default"/>
      </w:rPr>
    </w:lvl>
    <w:lvl w:ilvl="2">
      <w:start w:val="0"/>
      <w:numFmt w:val="bullet"/>
      <w:lvlText w:val="•"/>
      <w:lvlJc w:val="left"/>
      <w:pPr>
        <w:ind w:left="1417" w:hanging="229"/>
      </w:pPr>
      <w:rPr>
        <w:rFonts w:hint="default"/>
      </w:rPr>
    </w:lvl>
    <w:lvl w:ilvl="3">
      <w:start w:val="0"/>
      <w:numFmt w:val="bullet"/>
      <w:lvlText w:val="•"/>
      <w:lvlJc w:val="left"/>
      <w:pPr>
        <w:ind w:left="1836" w:hanging="229"/>
      </w:pPr>
      <w:rPr>
        <w:rFonts w:hint="default"/>
      </w:rPr>
    </w:lvl>
    <w:lvl w:ilvl="4">
      <w:start w:val="0"/>
      <w:numFmt w:val="bullet"/>
      <w:lvlText w:val="•"/>
      <w:lvlJc w:val="left"/>
      <w:pPr>
        <w:ind w:left="2254" w:hanging="229"/>
      </w:pPr>
      <w:rPr>
        <w:rFonts w:hint="default"/>
      </w:rPr>
    </w:lvl>
    <w:lvl w:ilvl="5">
      <w:start w:val="0"/>
      <w:numFmt w:val="bullet"/>
      <w:lvlText w:val="•"/>
      <w:lvlJc w:val="left"/>
      <w:pPr>
        <w:ind w:left="2673" w:hanging="229"/>
      </w:pPr>
      <w:rPr>
        <w:rFonts w:hint="default"/>
      </w:rPr>
    </w:lvl>
    <w:lvl w:ilvl="6">
      <w:start w:val="0"/>
      <w:numFmt w:val="bullet"/>
      <w:lvlText w:val="•"/>
      <w:lvlJc w:val="left"/>
      <w:pPr>
        <w:ind w:left="3092" w:hanging="229"/>
      </w:pPr>
      <w:rPr>
        <w:rFonts w:hint="default"/>
      </w:rPr>
    </w:lvl>
    <w:lvl w:ilvl="7">
      <w:start w:val="0"/>
      <w:numFmt w:val="bullet"/>
      <w:lvlText w:val="•"/>
      <w:lvlJc w:val="left"/>
      <w:pPr>
        <w:ind w:left="3510" w:hanging="229"/>
      </w:pPr>
      <w:rPr>
        <w:rFonts w:hint="default"/>
      </w:rPr>
    </w:lvl>
    <w:lvl w:ilvl="8">
      <w:start w:val="0"/>
      <w:numFmt w:val="bullet"/>
      <w:lvlText w:val="•"/>
      <w:lvlJc w:val="left"/>
      <w:pPr>
        <w:ind w:left="3929" w:hanging="229"/>
      </w:pPr>
      <w:rPr>
        <w:rFonts w:hint="default"/>
      </w:rPr>
    </w:lvl>
  </w:abstractNum>
  <w:abstractNum w:abstractNumId="269">
    <w:multiLevelType w:val="hybridMultilevel"/>
    <w:lvl w:ilvl="0">
      <w:start w:val="1"/>
      <w:numFmt w:val="decimal"/>
      <w:lvlText w:val="%1."/>
      <w:lvlJc w:val="left"/>
      <w:pPr>
        <w:ind w:left="627" w:hanging="294"/>
        <w:jc w:val="left"/>
      </w:pPr>
      <w:rPr>
        <w:rFonts w:hint="default" w:ascii="Arial Unicode MS" w:hAnsi="Arial Unicode MS" w:eastAsia="Arial Unicode MS" w:cs="Arial Unicode MS"/>
        <w:color w:val="231F20"/>
        <w:spacing w:val="0"/>
        <w:w w:val="97"/>
        <w:sz w:val="18"/>
        <w:szCs w:val="18"/>
      </w:rPr>
    </w:lvl>
    <w:lvl w:ilvl="1">
      <w:start w:val="0"/>
      <w:numFmt w:val="bullet"/>
      <w:lvlText w:val="•"/>
      <w:lvlJc w:val="left"/>
      <w:pPr>
        <w:ind w:left="1034" w:hanging="294"/>
      </w:pPr>
      <w:rPr>
        <w:rFonts w:hint="default"/>
      </w:rPr>
    </w:lvl>
    <w:lvl w:ilvl="2">
      <w:start w:val="0"/>
      <w:numFmt w:val="bullet"/>
      <w:lvlText w:val="•"/>
      <w:lvlJc w:val="left"/>
      <w:pPr>
        <w:ind w:left="1449" w:hanging="294"/>
      </w:pPr>
      <w:rPr>
        <w:rFonts w:hint="default"/>
      </w:rPr>
    </w:lvl>
    <w:lvl w:ilvl="3">
      <w:start w:val="0"/>
      <w:numFmt w:val="bullet"/>
      <w:lvlText w:val="•"/>
      <w:lvlJc w:val="left"/>
      <w:pPr>
        <w:ind w:left="1864" w:hanging="294"/>
      </w:pPr>
      <w:rPr>
        <w:rFonts w:hint="default"/>
      </w:rPr>
    </w:lvl>
    <w:lvl w:ilvl="4">
      <w:start w:val="0"/>
      <w:numFmt w:val="bullet"/>
      <w:lvlText w:val="•"/>
      <w:lvlJc w:val="left"/>
      <w:pPr>
        <w:ind w:left="2278" w:hanging="294"/>
      </w:pPr>
      <w:rPr>
        <w:rFonts w:hint="default"/>
      </w:rPr>
    </w:lvl>
    <w:lvl w:ilvl="5">
      <w:start w:val="0"/>
      <w:numFmt w:val="bullet"/>
      <w:lvlText w:val="•"/>
      <w:lvlJc w:val="left"/>
      <w:pPr>
        <w:ind w:left="2693" w:hanging="294"/>
      </w:pPr>
      <w:rPr>
        <w:rFonts w:hint="default"/>
      </w:rPr>
    </w:lvl>
    <w:lvl w:ilvl="6">
      <w:start w:val="0"/>
      <w:numFmt w:val="bullet"/>
      <w:lvlText w:val="•"/>
      <w:lvlJc w:val="left"/>
      <w:pPr>
        <w:ind w:left="3108" w:hanging="294"/>
      </w:pPr>
      <w:rPr>
        <w:rFonts w:hint="default"/>
      </w:rPr>
    </w:lvl>
    <w:lvl w:ilvl="7">
      <w:start w:val="0"/>
      <w:numFmt w:val="bullet"/>
      <w:lvlText w:val="•"/>
      <w:lvlJc w:val="left"/>
      <w:pPr>
        <w:ind w:left="3522" w:hanging="294"/>
      </w:pPr>
      <w:rPr>
        <w:rFonts w:hint="default"/>
      </w:rPr>
    </w:lvl>
    <w:lvl w:ilvl="8">
      <w:start w:val="0"/>
      <w:numFmt w:val="bullet"/>
      <w:lvlText w:val="•"/>
      <w:lvlJc w:val="left"/>
      <w:pPr>
        <w:ind w:left="3937" w:hanging="294"/>
      </w:pPr>
      <w:rPr>
        <w:rFonts w:hint="default"/>
      </w:rPr>
    </w:lvl>
  </w:abstractNum>
  <w:abstractNum w:abstractNumId="268">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67">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66">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65">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039" w:hanging="244"/>
      </w:pPr>
      <w:rPr>
        <w:rFonts w:hint="default"/>
      </w:rPr>
    </w:lvl>
    <w:lvl w:ilvl="2">
      <w:start w:val="0"/>
      <w:numFmt w:val="bullet"/>
      <w:lvlText w:val="•"/>
      <w:lvlJc w:val="left"/>
      <w:pPr>
        <w:ind w:left="1719" w:hanging="244"/>
      </w:pPr>
      <w:rPr>
        <w:rFonts w:hint="default"/>
      </w:rPr>
    </w:lvl>
    <w:lvl w:ilvl="3">
      <w:start w:val="0"/>
      <w:numFmt w:val="bullet"/>
      <w:lvlText w:val="•"/>
      <w:lvlJc w:val="left"/>
      <w:pPr>
        <w:ind w:left="2398" w:hanging="244"/>
      </w:pPr>
      <w:rPr>
        <w:rFonts w:hint="default"/>
      </w:rPr>
    </w:lvl>
    <w:lvl w:ilvl="4">
      <w:start w:val="0"/>
      <w:numFmt w:val="bullet"/>
      <w:lvlText w:val="•"/>
      <w:lvlJc w:val="left"/>
      <w:pPr>
        <w:ind w:left="3078" w:hanging="244"/>
      </w:pPr>
      <w:rPr>
        <w:rFonts w:hint="default"/>
      </w:rPr>
    </w:lvl>
    <w:lvl w:ilvl="5">
      <w:start w:val="0"/>
      <w:numFmt w:val="bullet"/>
      <w:lvlText w:val="•"/>
      <w:lvlJc w:val="left"/>
      <w:pPr>
        <w:ind w:left="3758" w:hanging="244"/>
      </w:pPr>
      <w:rPr>
        <w:rFonts w:hint="default"/>
      </w:rPr>
    </w:lvl>
    <w:lvl w:ilvl="6">
      <w:start w:val="0"/>
      <w:numFmt w:val="bullet"/>
      <w:lvlText w:val="•"/>
      <w:lvlJc w:val="left"/>
      <w:pPr>
        <w:ind w:left="4437" w:hanging="244"/>
      </w:pPr>
      <w:rPr>
        <w:rFonts w:hint="default"/>
      </w:rPr>
    </w:lvl>
    <w:lvl w:ilvl="7">
      <w:start w:val="0"/>
      <w:numFmt w:val="bullet"/>
      <w:lvlText w:val="•"/>
      <w:lvlJc w:val="left"/>
      <w:pPr>
        <w:ind w:left="5117" w:hanging="244"/>
      </w:pPr>
      <w:rPr>
        <w:rFonts w:hint="default"/>
      </w:rPr>
    </w:lvl>
    <w:lvl w:ilvl="8">
      <w:start w:val="0"/>
      <w:numFmt w:val="bullet"/>
      <w:lvlText w:val="•"/>
      <w:lvlJc w:val="left"/>
      <w:pPr>
        <w:ind w:left="5796" w:hanging="244"/>
      </w:pPr>
      <w:rPr>
        <w:rFonts w:hint="default"/>
      </w:rPr>
    </w:lvl>
  </w:abstractNum>
  <w:abstractNum w:abstractNumId="264">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039" w:hanging="244"/>
      </w:pPr>
      <w:rPr>
        <w:rFonts w:hint="default"/>
      </w:rPr>
    </w:lvl>
    <w:lvl w:ilvl="2">
      <w:start w:val="0"/>
      <w:numFmt w:val="bullet"/>
      <w:lvlText w:val="•"/>
      <w:lvlJc w:val="left"/>
      <w:pPr>
        <w:ind w:left="1719" w:hanging="244"/>
      </w:pPr>
      <w:rPr>
        <w:rFonts w:hint="default"/>
      </w:rPr>
    </w:lvl>
    <w:lvl w:ilvl="3">
      <w:start w:val="0"/>
      <w:numFmt w:val="bullet"/>
      <w:lvlText w:val="•"/>
      <w:lvlJc w:val="left"/>
      <w:pPr>
        <w:ind w:left="2398" w:hanging="244"/>
      </w:pPr>
      <w:rPr>
        <w:rFonts w:hint="default"/>
      </w:rPr>
    </w:lvl>
    <w:lvl w:ilvl="4">
      <w:start w:val="0"/>
      <w:numFmt w:val="bullet"/>
      <w:lvlText w:val="•"/>
      <w:lvlJc w:val="left"/>
      <w:pPr>
        <w:ind w:left="3078" w:hanging="244"/>
      </w:pPr>
      <w:rPr>
        <w:rFonts w:hint="default"/>
      </w:rPr>
    </w:lvl>
    <w:lvl w:ilvl="5">
      <w:start w:val="0"/>
      <w:numFmt w:val="bullet"/>
      <w:lvlText w:val="•"/>
      <w:lvlJc w:val="left"/>
      <w:pPr>
        <w:ind w:left="3758" w:hanging="244"/>
      </w:pPr>
      <w:rPr>
        <w:rFonts w:hint="default"/>
      </w:rPr>
    </w:lvl>
    <w:lvl w:ilvl="6">
      <w:start w:val="0"/>
      <w:numFmt w:val="bullet"/>
      <w:lvlText w:val="•"/>
      <w:lvlJc w:val="left"/>
      <w:pPr>
        <w:ind w:left="4437" w:hanging="244"/>
      </w:pPr>
      <w:rPr>
        <w:rFonts w:hint="default"/>
      </w:rPr>
    </w:lvl>
    <w:lvl w:ilvl="7">
      <w:start w:val="0"/>
      <w:numFmt w:val="bullet"/>
      <w:lvlText w:val="•"/>
      <w:lvlJc w:val="left"/>
      <w:pPr>
        <w:ind w:left="5117" w:hanging="244"/>
      </w:pPr>
      <w:rPr>
        <w:rFonts w:hint="default"/>
      </w:rPr>
    </w:lvl>
    <w:lvl w:ilvl="8">
      <w:start w:val="0"/>
      <w:numFmt w:val="bullet"/>
      <w:lvlText w:val="•"/>
      <w:lvlJc w:val="left"/>
      <w:pPr>
        <w:ind w:left="5796" w:hanging="244"/>
      </w:pPr>
      <w:rPr>
        <w:rFonts w:hint="default"/>
      </w:rPr>
    </w:lvl>
  </w:abstractNum>
  <w:abstractNum w:abstractNumId="263">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039" w:hanging="244"/>
      </w:pPr>
      <w:rPr>
        <w:rFonts w:hint="default"/>
      </w:rPr>
    </w:lvl>
    <w:lvl w:ilvl="2">
      <w:start w:val="0"/>
      <w:numFmt w:val="bullet"/>
      <w:lvlText w:val="•"/>
      <w:lvlJc w:val="left"/>
      <w:pPr>
        <w:ind w:left="1719" w:hanging="244"/>
      </w:pPr>
      <w:rPr>
        <w:rFonts w:hint="default"/>
      </w:rPr>
    </w:lvl>
    <w:lvl w:ilvl="3">
      <w:start w:val="0"/>
      <w:numFmt w:val="bullet"/>
      <w:lvlText w:val="•"/>
      <w:lvlJc w:val="left"/>
      <w:pPr>
        <w:ind w:left="2398" w:hanging="244"/>
      </w:pPr>
      <w:rPr>
        <w:rFonts w:hint="default"/>
      </w:rPr>
    </w:lvl>
    <w:lvl w:ilvl="4">
      <w:start w:val="0"/>
      <w:numFmt w:val="bullet"/>
      <w:lvlText w:val="•"/>
      <w:lvlJc w:val="left"/>
      <w:pPr>
        <w:ind w:left="3078" w:hanging="244"/>
      </w:pPr>
      <w:rPr>
        <w:rFonts w:hint="default"/>
      </w:rPr>
    </w:lvl>
    <w:lvl w:ilvl="5">
      <w:start w:val="0"/>
      <w:numFmt w:val="bullet"/>
      <w:lvlText w:val="•"/>
      <w:lvlJc w:val="left"/>
      <w:pPr>
        <w:ind w:left="3758" w:hanging="244"/>
      </w:pPr>
      <w:rPr>
        <w:rFonts w:hint="default"/>
      </w:rPr>
    </w:lvl>
    <w:lvl w:ilvl="6">
      <w:start w:val="0"/>
      <w:numFmt w:val="bullet"/>
      <w:lvlText w:val="•"/>
      <w:lvlJc w:val="left"/>
      <w:pPr>
        <w:ind w:left="4437" w:hanging="244"/>
      </w:pPr>
      <w:rPr>
        <w:rFonts w:hint="default"/>
      </w:rPr>
    </w:lvl>
    <w:lvl w:ilvl="7">
      <w:start w:val="0"/>
      <w:numFmt w:val="bullet"/>
      <w:lvlText w:val="•"/>
      <w:lvlJc w:val="left"/>
      <w:pPr>
        <w:ind w:left="5117" w:hanging="244"/>
      </w:pPr>
      <w:rPr>
        <w:rFonts w:hint="default"/>
      </w:rPr>
    </w:lvl>
    <w:lvl w:ilvl="8">
      <w:start w:val="0"/>
      <w:numFmt w:val="bullet"/>
      <w:lvlText w:val="•"/>
      <w:lvlJc w:val="left"/>
      <w:pPr>
        <w:ind w:left="5796" w:hanging="244"/>
      </w:pPr>
      <w:rPr>
        <w:rFonts w:hint="default"/>
      </w:rPr>
    </w:lvl>
  </w:abstractNum>
  <w:abstractNum w:abstractNumId="262">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039" w:hanging="244"/>
      </w:pPr>
      <w:rPr>
        <w:rFonts w:hint="default"/>
      </w:rPr>
    </w:lvl>
    <w:lvl w:ilvl="2">
      <w:start w:val="0"/>
      <w:numFmt w:val="bullet"/>
      <w:lvlText w:val="•"/>
      <w:lvlJc w:val="left"/>
      <w:pPr>
        <w:ind w:left="1719" w:hanging="244"/>
      </w:pPr>
      <w:rPr>
        <w:rFonts w:hint="default"/>
      </w:rPr>
    </w:lvl>
    <w:lvl w:ilvl="3">
      <w:start w:val="0"/>
      <w:numFmt w:val="bullet"/>
      <w:lvlText w:val="•"/>
      <w:lvlJc w:val="left"/>
      <w:pPr>
        <w:ind w:left="2398" w:hanging="244"/>
      </w:pPr>
      <w:rPr>
        <w:rFonts w:hint="default"/>
      </w:rPr>
    </w:lvl>
    <w:lvl w:ilvl="4">
      <w:start w:val="0"/>
      <w:numFmt w:val="bullet"/>
      <w:lvlText w:val="•"/>
      <w:lvlJc w:val="left"/>
      <w:pPr>
        <w:ind w:left="3078" w:hanging="244"/>
      </w:pPr>
      <w:rPr>
        <w:rFonts w:hint="default"/>
      </w:rPr>
    </w:lvl>
    <w:lvl w:ilvl="5">
      <w:start w:val="0"/>
      <w:numFmt w:val="bullet"/>
      <w:lvlText w:val="•"/>
      <w:lvlJc w:val="left"/>
      <w:pPr>
        <w:ind w:left="3758" w:hanging="244"/>
      </w:pPr>
      <w:rPr>
        <w:rFonts w:hint="default"/>
      </w:rPr>
    </w:lvl>
    <w:lvl w:ilvl="6">
      <w:start w:val="0"/>
      <w:numFmt w:val="bullet"/>
      <w:lvlText w:val="•"/>
      <w:lvlJc w:val="left"/>
      <w:pPr>
        <w:ind w:left="4437" w:hanging="244"/>
      </w:pPr>
      <w:rPr>
        <w:rFonts w:hint="default"/>
      </w:rPr>
    </w:lvl>
    <w:lvl w:ilvl="7">
      <w:start w:val="0"/>
      <w:numFmt w:val="bullet"/>
      <w:lvlText w:val="•"/>
      <w:lvlJc w:val="left"/>
      <w:pPr>
        <w:ind w:left="5117" w:hanging="244"/>
      </w:pPr>
      <w:rPr>
        <w:rFonts w:hint="default"/>
      </w:rPr>
    </w:lvl>
    <w:lvl w:ilvl="8">
      <w:start w:val="0"/>
      <w:numFmt w:val="bullet"/>
      <w:lvlText w:val="•"/>
      <w:lvlJc w:val="left"/>
      <w:pPr>
        <w:ind w:left="5796" w:hanging="244"/>
      </w:pPr>
      <w:rPr>
        <w:rFonts w:hint="default"/>
      </w:rPr>
    </w:lvl>
  </w:abstractNum>
  <w:abstractNum w:abstractNumId="261">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039" w:hanging="244"/>
      </w:pPr>
      <w:rPr>
        <w:rFonts w:hint="default"/>
      </w:rPr>
    </w:lvl>
    <w:lvl w:ilvl="2">
      <w:start w:val="0"/>
      <w:numFmt w:val="bullet"/>
      <w:lvlText w:val="•"/>
      <w:lvlJc w:val="left"/>
      <w:pPr>
        <w:ind w:left="1719" w:hanging="244"/>
      </w:pPr>
      <w:rPr>
        <w:rFonts w:hint="default"/>
      </w:rPr>
    </w:lvl>
    <w:lvl w:ilvl="3">
      <w:start w:val="0"/>
      <w:numFmt w:val="bullet"/>
      <w:lvlText w:val="•"/>
      <w:lvlJc w:val="left"/>
      <w:pPr>
        <w:ind w:left="2398" w:hanging="244"/>
      </w:pPr>
      <w:rPr>
        <w:rFonts w:hint="default"/>
      </w:rPr>
    </w:lvl>
    <w:lvl w:ilvl="4">
      <w:start w:val="0"/>
      <w:numFmt w:val="bullet"/>
      <w:lvlText w:val="•"/>
      <w:lvlJc w:val="left"/>
      <w:pPr>
        <w:ind w:left="3078" w:hanging="244"/>
      </w:pPr>
      <w:rPr>
        <w:rFonts w:hint="default"/>
      </w:rPr>
    </w:lvl>
    <w:lvl w:ilvl="5">
      <w:start w:val="0"/>
      <w:numFmt w:val="bullet"/>
      <w:lvlText w:val="•"/>
      <w:lvlJc w:val="left"/>
      <w:pPr>
        <w:ind w:left="3758" w:hanging="244"/>
      </w:pPr>
      <w:rPr>
        <w:rFonts w:hint="default"/>
      </w:rPr>
    </w:lvl>
    <w:lvl w:ilvl="6">
      <w:start w:val="0"/>
      <w:numFmt w:val="bullet"/>
      <w:lvlText w:val="•"/>
      <w:lvlJc w:val="left"/>
      <w:pPr>
        <w:ind w:left="4437" w:hanging="244"/>
      </w:pPr>
      <w:rPr>
        <w:rFonts w:hint="default"/>
      </w:rPr>
    </w:lvl>
    <w:lvl w:ilvl="7">
      <w:start w:val="0"/>
      <w:numFmt w:val="bullet"/>
      <w:lvlText w:val="•"/>
      <w:lvlJc w:val="left"/>
      <w:pPr>
        <w:ind w:left="5117" w:hanging="244"/>
      </w:pPr>
      <w:rPr>
        <w:rFonts w:hint="default"/>
      </w:rPr>
    </w:lvl>
    <w:lvl w:ilvl="8">
      <w:start w:val="0"/>
      <w:numFmt w:val="bullet"/>
      <w:lvlText w:val="•"/>
      <w:lvlJc w:val="left"/>
      <w:pPr>
        <w:ind w:left="5796" w:hanging="244"/>
      </w:pPr>
      <w:rPr>
        <w:rFonts w:hint="default"/>
      </w:rPr>
    </w:lvl>
  </w:abstractNum>
  <w:abstractNum w:abstractNumId="260">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039" w:hanging="244"/>
      </w:pPr>
      <w:rPr>
        <w:rFonts w:hint="default"/>
      </w:rPr>
    </w:lvl>
    <w:lvl w:ilvl="2">
      <w:start w:val="0"/>
      <w:numFmt w:val="bullet"/>
      <w:lvlText w:val="•"/>
      <w:lvlJc w:val="left"/>
      <w:pPr>
        <w:ind w:left="1719" w:hanging="244"/>
      </w:pPr>
      <w:rPr>
        <w:rFonts w:hint="default"/>
      </w:rPr>
    </w:lvl>
    <w:lvl w:ilvl="3">
      <w:start w:val="0"/>
      <w:numFmt w:val="bullet"/>
      <w:lvlText w:val="•"/>
      <w:lvlJc w:val="left"/>
      <w:pPr>
        <w:ind w:left="2398" w:hanging="244"/>
      </w:pPr>
      <w:rPr>
        <w:rFonts w:hint="default"/>
      </w:rPr>
    </w:lvl>
    <w:lvl w:ilvl="4">
      <w:start w:val="0"/>
      <w:numFmt w:val="bullet"/>
      <w:lvlText w:val="•"/>
      <w:lvlJc w:val="left"/>
      <w:pPr>
        <w:ind w:left="3078" w:hanging="244"/>
      </w:pPr>
      <w:rPr>
        <w:rFonts w:hint="default"/>
      </w:rPr>
    </w:lvl>
    <w:lvl w:ilvl="5">
      <w:start w:val="0"/>
      <w:numFmt w:val="bullet"/>
      <w:lvlText w:val="•"/>
      <w:lvlJc w:val="left"/>
      <w:pPr>
        <w:ind w:left="3758" w:hanging="244"/>
      </w:pPr>
      <w:rPr>
        <w:rFonts w:hint="default"/>
      </w:rPr>
    </w:lvl>
    <w:lvl w:ilvl="6">
      <w:start w:val="0"/>
      <w:numFmt w:val="bullet"/>
      <w:lvlText w:val="•"/>
      <w:lvlJc w:val="left"/>
      <w:pPr>
        <w:ind w:left="4437" w:hanging="244"/>
      </w:pPr>
      <w:rPr>
        <w:rFonts w:hint="default"/>
      </w:rPr>
    </w:lvl>
    <w:lvl w:ilvl="7">
      <w:start w:val="0"/>
      <w:numFmt w:val="bullet"/>
      <w:lvlText w:val="•"/>
      <w:lvlJc w:val="left"/>
      <w:pPr>
        <w:ind w:left="5117" w:hanging="244"/>
      </w:pPr>
      <w:rPr>
        <w:rFonts w:hint="default"/>
      </w:rPr>
    </w:lvl>
    <w:lvl w:ilvl="8">
      <w:start w:val="0"/>
      <w:numFmt w:val="bullet"/>
      <w:lvlText w:val="•"/>
      <w:lvlJc w:val="left"/>
      <w:pPr>
        <w:ind w:left="5796" w:hanging="244"/>
      </w:pPr>
      <w:rPr>
        <w:rFonts w:hint="default"/>
      </w:rPr>
    </w:lvl>
  </w:abstractNum>
  <w:abstractNum w:abstractNumId="259">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1"/>
      <w:numFmt w:val="decimal"/>
      <w:lvlText w:val="%2."/>
      <w:lvlJc w:val="left"/>
      <w:pPr>
        <w:ind w:left="594" w:hanging="255"/>
        <w:jc w:val="left"/>
      </w:pPr>
      <w:rPr>
        <w:rFonts w:hint="default" w:ascii="Arial Unicode MS" w:hAnsi="Arial Unicode MS" w:eastAsia="Arial Unicode MS" w:cs="Arial Unicode MS"/>
        <w:color w:val="231F20"/>
        <w:w w:val="97"/>
        <w:sz w:val="24"/>
        <w:szCs w:val="24"/>
      </w:rPr>
    </w:lvl>
    <w:lvl w:ilvl="2">
      <w:start w:val="0"/>
      <w:numFmt w:val="bullet"/>
      <w:lvlText w:val="•"/>
      <w:lvlJc w:val="left"/>
      <w:pPr>
        <w:ind w:left="1328" w:hanging="255"/>
      </w:pPr>
      <w:rPr>
        <w:rFonts w:hint="default"/>
      </w:rPr>
    </w:lvl>
    <w:lvl w:ilvl="3">
      <w:start w:val="0"/>
      <w:numFmt w:val="bullet"/>
      <w:lvlText w:val="•"/>
      <w:lvlJc w:val="left"/>
      <w:pPr>
        <w:ind w:left="2056" w:hanging="255"/>
      </w:pPr>
      <w:rPr>
        <w:rFonts w:hint="default"/>
      </w:rPr>
    </w:lvl>
    <w:lvl w:ilvl="4">
      <w:start w:val="0"/>
      <w:numFmt w:val="bullet"/>
      <w:lvlText w:val="•"/>
      <w:lvlJc w:val="left"/>
      <w:pPr>
        <w:ind w:left="2785" w:hanging="255"/>
      </w:pPr>
      <w:rPr>
        <w:rFonts w:hint="default"/>
      </w:rPr>
    </w:lvl>
    <w:lvl w:ilvl="5">
      <w:start w:val="0"/>
      <w:numFmt w:val="bullet"/>
      <w:lvlText w:val="•"/>
      <w:lvlJc w:val="left"/>
      <w:pPr>
        <w:ind w:left="3513" w:hanging="255"/>
      </w:pPr>
      <w:rPr>
        <w:rFonts w:hint="default"/>
      </w:rPr>
    </w:lvl>
    <w:lvl w:ilvl="6">
      <w:start w:val="0"/>
      <w:numFmt w:val="bullet"/>
      <w:lvlText w:val="•"/>
      <w:lvlJc w:val="left"/>
      <w:pPr>
        <w:ind w:left="4242" w:hanging="255"/>
      </w:pPr>
      <w:rPr>
        <w:rFonts w:hint="default"/>
      </w:rPr>
    </w:lvl>
    <w:lvl w:ilvl="7">
      <w:start w:val="0"/>
      <w:numFmt w:val="bullet"/>
      <w:lvlText w:val="•"/>
      <w:lvlJc w:val="left"/>
      <w:pPr>
        <w:ind w:left="4970" w:hanging="255"/>
      </w:pPr>
      <w:rPr>
        <w:rFonts w:hint="default"/>
      </w:rPr>
    </w:lvl>
    <w:lvl w:ilvl="8">
      <w:start w:val="0"/>
      <w:numFmt w:val="bullet"/>
      <w:lvlText w:val="•"/>
      <w:lvlJc w:val="left"/>
      <w:pPr>
        <w:ind w:left="5699" w:hanging="255"/>
      </w:pPr>
      <w:rPr>
        <w:rFonts w:hint="default"/>
      </w:rPr>
    </w:lvl>
  </w:abstractNum>
  <w:abstractNum w:abstractNumId="258">
    <w:multiLevelType w:val="hybridMultilevel"/>
    <w:lvl w:ilvl="0">
      <w:start w:val="0"/>
      <w:numFmt w:val="bullet"/>
      <w:lvlText w:val="•"/>
      <w:lvlJc w:val="left"/>
      <w:pPr>
        <w:ind w:left="355"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12" w:hanging="244"/>
      </w:pPr>
      <w:rPr>
        <w:rFonts w:hint="default"/>
      </w:rPr>
    </w:lvl>
    <w:lvl w:ilvl="2">
      <w:start w:val="0"/>
      <w:numFmt w:val="bullet"/>
      <w:lvlText w:val="•"/>
      <w:lvlJc w:val="left"/>
      <w:pPr>
        <w:ind w:left="865" w:hanging="244"/>
      </w:pPr>
      <w:rPr>
        <w:rFonts w:hint="default"/>
      </w:rPr>
    </w:lvl>
    <w:lvl w:ilvl="3">
      <w:start w:val="0"/>
      <w:numFmt w:val="bullet"/>
      <w:lvlText w:val="•"/>
      <w:lvlJc w:val="left"/>
      <w:pPr>
        <w:ind w:left="1118" w:hanging="244"/>
      </w:pPr>
      <w:rPr>
        <w:rFonts w:hint="default"/>
      </w:rPr>
    </w:lvl>
    <w:lvl w:ilvl="4">
      <w:start w:val="0"/>
      <w:numFmt w:val="bullet"/>
      <w:lvlText w:val="•"/>
      <w:lvlJc w:val="left"/>
      <w:pPr>
        <w:ind w:left="1371" w:hanging="244"/>
      </w:pPr>
      <w:rPr>
        <w:rFonts w:hint="default"/>
      </w:rPr>
    </w:lvl>
    <w:lvl w:ilvl="5">
      <w:start w:val="0"/>
      <w:numFmt w:val="bullet"/>
      <w:lvlText w:val="•"/>
      <w:lvlJc w:val="left"/>
      <w:pPr>
        <w:ind w:left="1624" w:hanging="244"/>
      </w:pPr>
      <w:rPr>
        <w:rFonts w:hint="default"/>
      </w:rPr>
    </w:lvl>
    <w:lvl w:ilvl="6">
      <w:start w:val="0"/>
      <w:numFmt w:val="bullet"/>
      <w:lvlText w:val="•"/>
      <w:lvlJc w:val="left"/>
      <w:pPr>
        <w:ind w:left="1876" w:hanging="244"/>
      </w:pPr>
      <w:rPr>
        <w:rFonts w:hint="default"/>
      </w:rPr>
    </w:lvl>
    <w:lvl w:ilvl="7">
      <w:start w:val="0"/>
      <w:numFmt w:val="bullet"/>
      <w:lvlText w:val="•"/>
      <w:lvlJc w:val="left"/>
      <w:pPr>
        <w:ind w:left="2129" w:hanging="244"/>
      </w:pPr>
      <w:rPr>
        <w:rFonts w:hint="default"/>
      </w:rPr>
    </w:lvl>
    <w:lvl w:ilvl="8">
      <w:start w:val="0"/>
      <w:numFmt w:val="bullet"/>
      <w:lvlText w:val="•"/>
      <w:lvlJc w:val="left"/>
      <w:pPr>
        <w:ind w:left="2382" w:hanging="244"/>
      </w:pPr>
      <w:rPr>
        <w:rFonts w:hint="default"/>
      </w:rPr>
    </w:lvl>
  </w:abstractNum>
  <w:abstractNum w:abstractNumId="257">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36" w:hanging="244"/>
      </w:pPr>
      <w:rPr>
        <w:rFonts w:hint="default"/>
      </w:rPr>
    </w:lvl>
    <w:lvl w:ilvl="2">
      <w:start w:val="0"/>
      <w:numFmt w:val="bullet"/>
      <w:lvlText w:val="•"/>
      <w:lvlJc w:val="left"/>
      <w:pPr>
        <w:ind w:left="912" w:hanging="244"/>
      </w:pPr>
      <w:rPr>
        <w:rFonts w:hint="default"/>
      </w:rPr>
    </w:lvl>
    <w:lvl w:ilvl="3">
      <w:start w:val="0"/>
      <w:numFmt w:val="bullet"/>
      <w:lvlText w:val="•"/>
      <w:lvlJc w:val="left"/>
      <w:pPr>
        <w:ind w:left="1188" w:hanging="244"/>
      </w:pPr>
      <w:rPr>
        <w:rFonts w:hint="default"/>
      </w:rPr>
    </w:lvl>
    <w:lvl w:ilvl="4">
      <w:start w:val="0"/>
      <w:numFmt w:val="bullet"/>
      <w:lvlText w:val="•"/>
      <w:lvlJc w:val="left"/>
      <w:pPr>
        <w:ind w:left="1464" w:hanging="244"/>
      </w:pPr>
      <w:rPr>
        <w:rFonts w:hint="default"/>
      </w:rPr>
    </w:lvl>
    <w:lvl w:ilvl="5">
      <w:start w:val="0"/>
      <w:numFmt w:val="bullet"/>
      <w:lvlText w:val="•"/>
      <w:lvlJc w:val="left"/>
      <w:pPr>
        <w:ind w:left="1740" w:hanging="244"/>
      </w:pPr>
      <w:rPr>
        <w:rFonts w:hint="default"/>
      </w:rPr>
    </w:lvl>
    <w:lvl w:ilvl="6">
      <w:start w:val="0"/>
      <w:numFmt w:val="bullet"/>
      <w:lvlText w:val="•"/>
      <w:lvlJc w:val="left"/>
      <w:pPr>
        <w:ind w:left="2016" w:hanging="244"/>
      </w:pPr>
      <w:rPr>
        <w:rFonts w:hint="default"/>
      </w:rPr>
    </w:lvl>
    <w:lvl w:ilvl="7">
      <w:start w:val="0"/>
      <w:numFmt w:val="bullet"/>
      <w:lvlText w:val="•"/>
      <w:lvlJc w:val="left"/>
      <w:pPr>
        <w:ind w:left="2292" w:hanging="244"/>
      </w:pPr>
      <w:rPr>
        <w:rFonts w:hint="default"/>
      </w:rPr>
    </w:lvl>
    <w:lvl w:ilvl="8">
      <w:start w:val="0"/>
      <w:numFmt w:val="bullet"/>
      <w:lvlText w:val="•"/>
      <w:lvlJc w:val="left"/>
      <w:pPr>
        <w:ind w:left="2568" w:hanging="244"/>
      </w:pPr>
      <w:rPr>
        <w:rFonts w:hint="default"/>
      </w:rPr>
    </w:lvl>
  </w:abstractNum>
  <w:abstractNum w:abstractNumId="256">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55">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54">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950" w:hanging="255"/>
      </w:pPr>
      <w:rPr>
        <w:rFonts w:hint="default"/>
      </w:rPr>
    </w:lvl>
    <w:lvl w:ilvl="2">
      <w:start w:val="0"/>
      <w:numFmt w:val="bullet"/>
      <w:lvlText w:val="•"/>
      <w:lvlJc w:val="left"/>
      <w:pPr>
        <w:ind w:left="1541" w:hanging="255"/>
      </w:pPr>
      <w:rPr>
        <w:rFonts w:hint="default"/>
      </w:rPr>
    </w:lvl>
    <w:lvl w:ilvl="3">
      <w:start w:val="0"/>
      <w:numFmt w:val="bullet"/>
      <w:lvlText w:val="•"/>
      <w:lvlJc w:val="left"/>
      <w:pPr>
        <w:ind w:left="2132" w:hanging="255"/>
      </w:pPr>
      <w:rPr>
        <w:rFonts w:hint="default"/>
      </w:rPr>
    </w:lvl>
    <w:lvl w:ilvl="4">
      <w:start w:val="0"/>
      <w:numFmt w:val="bullet"/>
      <w:lvlText w:val="•"/>
      <w:lvlJc w:val="left"/>
      <w:pPr>
        <w:ind w:left="2723" w:hanging="255"/>
      </w:pPr>
      <w:rPr>
        <w:rFonts w:hint="default"/>
      </w:rPr>
    </w:lvl>
    <w:lvl w:ilvl="5">
      <w:start w:val="0"/>
      <w:numFmt w:val="bullet"/>
      <w:lvlText w:val="•"/>
      <w:lvlJc w:val="left"/>
      <w:pPr>
        <w:ind w:left="3314" w:hanging="255"/>
      </w:pPr>
      <w:rPr>
        <w:rFonts w:hint="default"/>
      </w:rPr>
    </w:lvl>
    <w:lvl w:ilvl="6">
      <w:start w:val="0"/>
      <w:numFmt w:val="bullet"/>
      <w:lvlText w:val="•"/>
      <w:lvlJc w:val="left"/>
      <w:pPr>
        <w:ind w:left="3904" w:hanging="255"/>
      </w:pPr>
      <w:rPr>
        <w:rFonts w:hint="default"/>
      </w:rPr>
    </w:lvl>
    <w:lvl w:ilvl="7">
      <w:start w:val="0"/>
      <w:numFmt w:val="bullet"/>
      <w:lvlText w:val="•"/>
      <w:lvlJc w:val="left"/>
      <w:pPr>
        <w:ind w:left="4495" w:hanging="255"/>
      </w:pPr>
      <w:rPr>
        <w:rFonts w:hint="default"/>
      </w:rPr>
    </w:lvl>
    <w:lvl w:ilvl="8">
      <w:start w:val="0"/>
      <w:numFmt w:val="bullet"/>
      <w:lvlText w:val="•"/>
      <w:lvlJc w:val="left"/>
      <w:pPr>
        <w:ind w:left="5086" w:hanging="255"/>
      </w:pPr>
      <w:rPr>
        <w:rFonts w:hint="default"/>
      </w:rPr>
    </w:lvl>
  </w:abstractNum>
  <w:abstractNum w:abstractNumId="253">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950" w:hanging="255"/>
      </w:pPr>
      <w:rPr>
        <w:rFonts w:hint="default"/>
      </w:rPr>
    </w:lvl>
    <w:lvl w:ilvl="2">
      <w:start w:val="0"/>
      <w:numFmt w:val="bullet"/>
      <w:lvlText w:val="•"/>
      <w:lvlJc w:val="left"/>
      <w:pPr>
        <w:ind w:left="1541" w:hanging="255"/>
      </w:pPr>
      <w:rPr>
        <w:rFonts w:hint="default"/>
      </w:rPr>
    </w:lvl>
    <w:lvl w:ilvl="3">
      <w:start w:val="0"/>
      <w:numFmt w:val="bullet"/>
      <w:lvlText w:val="•"/>
      <w:lvlJc w:val="left"/>
      <w:pPr>
        <w:ind w:left="2132" w:hanging="255"/>
      </w:pPr>
      <w:rPr>
        <w:rFonts w:hint="default"/>
      </w:rPr>
    </w:lvl>
    <w:lvl w:ilvl="4">
      <w:start w:val="0"/>
      <w:numFmt w:val="bullet"/>
      <w:lvlText w:val="•"/>
      <w:lvlJc w:val="left"/>
      <w:pPr>
        <w:ind w:left="2723" w:hanging="255"/>
      </w:pPr>
      <w:rPr>
        <w:rFonts w:hint="default"/>
      </w:rPr>
    </w:lvl>
    <w:lvl w:ilvl="5">
      <w:start w:val="0"/>
      <w:numFmt w:val="bullet"/>
      <w:lvlText w:val="•"/>
      <w:lvlJc w:val="left"/>
      <w:pPr>
        <w:ind w:left="3314" w:hanging="255"/>
      </w:pPr>
      <w:rPr>
        <w:rFonts w:hint="default"/>
      </w:rPr>
    </w:lvl>
    <w:lvl w:ilvl="6">
      <w:start w:val="0"/>
      <w:numFmt w:val="bullet"/>
      <w:lvlText w:val="•"/>
      <w:lvlJc w:val="left"/>
      <w:pPr>
        <w:ind w:left="3904" w:hanging="255"/>
      </w:pPr>
      <w:rPr>
        <w:rFonts w:hint="default"/>
      </w:rPr>
    </w:lvl>
    <w:lvl w:ilvl="7">
      <w:start w:val="0"/>
      <w:numFmt w:val="bullet"/>
      <w:lvlText w:val="•"/>
      <w:lvlJc w:val="left"/>
      <w:pPr>
        <w:ind w:left="4495" w:hanging="255"/>
      </w:pPr>
      <w:rPr>
        <w:rFonts w:hint="default"/>
      </w:rPr>
    </w:lvl>
    <w:lvl w:ilvl="8">
      <w:start w:val="0"/>
      <w:numFmt w:val="bullet"/>
      <w:lvlText w:val="•"/>
      <w:lvlJc w:val="left"/>
      <w:pPr>
        <w:ind w:left="5086" w:hanging="255"/>
      </w:pPr>
      <w:rPr>
        <w:rFonts w:hint="default"/>
      </w:rPr>
    </w:lvl>
  </w:abstractNum>
  <w:abstractNum w:abstractNumId="252">
    <w:multiLevelType w:val="hybridMultilevel"/>
    <w:lvl w:ilvl="0">
      <w:start w:val="1"/>
      <w:numFmt w:val="decimal"/>
      <w:lvlText w:val="%1."/>
      <w:lvlJc w:val="left"/>
      <w:pPr>
        <w:ind w:left="367" w:hanging="257"/>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950" w:hanging="257"/>
      </w:pPr>
      <w:rPr>
        <w:rFonts w:hint="default"/>
      </w:rPr>
    </w:lvl>
    <w:lvl w:ilvl="2">
      <w:start w:val="0"/>
      <w:numFmt w:val="bullet"/>
      <w:lvlText w:val="•"/>
      <w:lvlJc w:val="left"/>
      <w:pPr>
        <w:ind w:left="1541" w:hanging="257"/>
      </w:pPr>
      <w:rPr>
        <w:rFonts w:hint="default"/>
      </w:rPr>
    </w:lvl>
    <w:lvl w:ilvl="3">
      <w:start w:val="0"/>
      <w:numFmt w:val="bullet"/>
      <w:lvlText w:val="•"/>
      <w:lvlJc w:val="left"/>
      <w:pPr>
        <w:ind w:left="2132" w:hanging="257"/>
      </w:pPr>
      <w:rPr>
        <w:rFonts w:hint="default"/>
      </w:rPr>
    </w:lvl>
    <w:lvl w:ilvl="4">
      <w:start w:val="0"/>
      <w:numFmt w:val="bullet"/>
      <w:lvlText w:val="•"/>
      <w:lvlJc w:val="left"/>
      <w:pPr>
        <w:ind w:left="2723" w:hanging="257"/>
      </w:pPr>
      <w:rPr>
        <w:rFonts w:hint="default"/>
      </w:rPr>
    </w:lvl>
    <w:lvl w:ilvl="5">
      <w:start w:val="0"/>
      <w:numFmt w:val="bullet"/>
      <w:lvlText w:val="•"/>
      <w:lvlJc w:val="left"/>
      <w:pPr>
        <w:ind w:left="3314" w:hanging="257"/>
      </w:pPr>
      <w:rPr>
        <w:rFonts w:hint="default"/>
      </w:rPr>
    </w:lvl>
    <w:lvl w:ilvl="6">
      <w:start w:val="0"/>
      <w:numFmt w:val="bullet"/>
      <w:lvlText w:val="•"/>
      <w:lvlJc w:val="left"/>
      <w:pPr>
        <w:ind w:left="3904" w:hanging="257"/>
      </w:pPr>
      <w:rPr>
        <w:rFonts w:hint="default"/>
      </w:rPr>
    </w:lvl>
    <w:lvl w:ilvl="7">
      <w:start w:val="0"/>
      <w:numFmt w:val="bullet"/>
      <w:lvlText w:val="•"/>
      <w:lvlJc w:val="left"/>
      <w:pPr>
        <w:ind w:left="4495" w:hanging="257"/>
      </w:pPr>
      <w:rPr>
        <w:rFonts w:hint="default"/>
      </w:rPr>
    </w:lvl>
    <w:lvl w:ilvl="8">
      <w:start w:val="0"/>
      <w:numFmt w:val="bullet"/>
      <w:lvlText w:val="•"/>
      <w:lvlJc w:val="left"/>
      <w:pPr>
        <w:ind w:left="5086" w:hanging="257"/>
      </w:pPr>
      <w:rPr>
        <w:rFonts w:hint="default"/>
      </w:rPr>
    </w:lvl>
  </w:abstractNum>
  <w:abstractNum w:abstractNumId="251">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950" w:hanging="255"/>
      </w:pPr>
      <w:rPr>
        <w:rFonts w:hint="default"/>
      </w:rPr>
    </w:lvl>
    <w:lvl w:ilvl="2">
      <w:start w:val="0"/>
      <w:numFmt w:val="bullet"/>
      <w:lvlText w:val="•"/>
      <w:lvlJc w:val="left"/>
      <w:pPr>
        <w:ind w:left="1541" w:hanging="255"/>
      </w:pPr>
      <w:rPr>
        <w:rFonts w:hint="default"/>
      </w:rPr>
    </w:lvl>
    <w:lvl w:ilvl="3">
      <w:start w:val="0"/>
      <w:numFmt w:val="bullet"/>
      <w:lvlText w:val="•"/>
      <w:lvlJc w:val="left"/>
      <w:pPr>
        <w:ind w:left="2132" w:hanging="255"/>
      </w:pPr>
      <w:rPr>
        <w:rFonts w:hint="default"/>
      </w:rPr>
    </w:lvl>
    <w:lvl w:ilvl="4">
      <w:start w:val="0"/>
      <w:numFmt w:val="bullet"/>
      <w:lvlText w:val="•"/>
      <w:lvlJc w:val="left"/>
      <w:pPr>
        <w:ind w:left="2723" w:hanging="255"/>
      </w:pPr>
      <w:rPr>
        <w:rFonts w:hint="default"/>
      </w:rPr>
    </w:lvl>
    <w:lvl w:ilvl="5">
      <w:start w:val="0"/>
      <w:numFmt w:val="bullet"/>
      <w:lvlText w:val="•"/>
      <w:lvlJc w:val="left"/>
      <w:pPr>
        <w:ind w:left="3314" w:hanging="255"/>
      </w:pPr>
      <w:rPr>
        <w:rFonts w:hint="default"/>
      </w:rPr>
    </w:lvl>
    <w:lvl w:ilvl="6">
      <w:start w:val="0"/>
      <w:numFmt w:val="bullet"/>
      <w:lvlText w:val="•"/>
      <w:lvlJc w:val="left"/>
      <w:pPr>
        <w:ind w:left="3904" w:hanging="255"/>
      </w:pPr>
      <w:rPr>
        <w:rFonts w:hint="default"/>
      </w:rPr>
    </w:lvl>
    <w:lvl w:ilvl="7">
      <w:start w:val="0"/>
      <w:numFmt w:val="bullet"/>
      <w:lvlText w:val="•"/>
      <w:lvlJc w:val="left"/>
      <w:pPr>
        <w:ind w:left="4495" w:hanging="255"/>
      </w:pPr>
      <w:rPr>
        <w:rFonts w:hint="default"/>
      </w:rPr>
    </w:lvl>
    <w:lvl w:ilvl="8">
      <w:start w:val="0"/>
      <w:numFmt w:val="bullet"/>
      <w:lvlText w:val="•"/>
      <w:lvlJc w:val="left"/>
      <w:pPr>
        <w:ind w:left="5086" w:hanging="255"/>
      </w:pPr>
      <w:rPr>
        <w:rFonts w:hint="default"/>
      </w:rPr>
    </w:lvl>
  </w:abstractNum>
  <w:abstractNum w:abstractNumId="250">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950" w:hanging="255"/>
      </w:pPr>
      <w:rPr>
        <w:rFonts w:hint="default"/>
      </w:rPr>
    </w:lvl>
    <w:lvl w:ilvl="2">
      <w:start w:val="0"/>
      <w:numFmt w:val="bullet"/>
      <w:lvlText w:val="•"/>
      <w:lvlJc w:val="left"/>
      <w:pPr>
        <w:ind w:left="1541" w:hanging="255"/>
      </w:pPr>
      <w:rPr>
        <w:rFonts w:hint="default"/>
      </w:rPr>
    </w:lvl>
    <w:lvl w:ilvl="3">
      <w:start w:val="0"/>
      <w:numFmt w:val="bullet"/>
      <w:lvlText w:val="•"/>
      <w:lvlJc w:val="left"/>
      <w:pPr>
        <w:ind w:left="2132" w:hanging="255"/>
      </w:pPr>
      <w:rPr>
        <w:rFonts w:hint="default"/>
      </w:rPr>
    </w:lvl>
    <w:lvl w:ilvl="4">
      <w:start w:val="0"/>
      <w:numFmt w:val="bullet"/>
      <w:lvlText w:val="•"/>
      <w:lvlJc w:val="left"/>
      <w:pPr>
        <w:ind w:left="2723" w:hanging="255"/>
      </w:pPr>
      <w:rPr>
        <w:rFonts w:hint="default"/>
      </w:rPr>
    </w:lvl>
    <w:lvl w:ilvl="5">
      <w:start w:val="0"/>
      <w:numFmt w:val="bullet"/>
      <w:lvlText w:val="•"/>
      <w:lvlJc w:val="left"/>
      <w:pPr>
        <w:ind w:left="3314" w:hanging="255"/>
      </w:pPr>
      <w:rPr>
        <w:rFonts w:hint="default"/>
      </w:rPr>
    </w:lvl>
    <w:lvl w:ilvl="6">
      <w:start w:val="0"/>
      <w:numFmt w:val="bullet"/>
      <w:lvlText w:val="•"/>
      <w:lvlJc w:val="left"/>
      <w:pPr>
        <w:ind w:left="3904" w:hanging="255"/>
      </w:pPr>
      <w:rPr>
        <w:rFonts w:hint="default"/>
      </w:rPr>
    </w:lvl>
    <w:lvl w:ilvl="7">
      <w:start w:val="0"/>
      <w:numFmt w:val="bullet"/>
      <w:lvlText w:val="•"/>
      <w:lvlJc w:val="left"/>
      <w:pPr>
        <w:ind w:left="4495" w:hanging="255"/>
      </w:pPr>
      <w:rPr>
        <w:rFonts w:hint="default"/>
      </w:rPr>
    </w:lvl>
    <w:lvl w:ilvl="8">
      <w:start w:val="0"/>
      <w:numFmt w:val="bullet"/>
      <w:lvlText w:val="•"/>
      <w:lvlJc w:val="left"/>
      <w:pPr>
        <w:ind w:left="5086" w:hanging="255"/>
      </w:pPr>
      <w:rPr>
        <w:rFonts w:hint="default"/>
      </w:rPr>
    </w:lvl>
  </w:abstractNum>
  <w:abstractNum w:abstractNumId="249">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950" w:hanging="255"/>
      </w:pPr>
      <w:rPr>
        <w:rFonts w:hint="default"/>
      </w:rPr>
    </w:lvl>
    <w:lvl w:ilvl="2">
      <w:start w:val="0"/>
      <w:numFmt w:val="bullet"/>
      <w:lvlText w:val="•"/>
      <w:lvlJc w:val="left"/>
      <w:pPr>
        <w:ind w:left="1541" w:hanging="255"/>
      </w:pPr>
      <w:rPr>
        <w:rFonts w:hint="default"/>
      </w:rPr>
    </w:lvl>
    <w:lvl w:ilvl="3">
      <w:start w:val="0"/>
      <w:numFmt w:val="bullet"/>
      <w:lvlText w:val="•"/>
      <w:lvlJc w:val="left"/>
      <w:pPr>
        <w:ind w:left="2132" w:hanging="255"/>
      </w:pPr>
      <w:rPr>
        <w:rFonts w:hint="default"/>
      </w:rPr>
    </w:lvl>
    <w:lvl w:ilvl="4">
      <w:start w:val="0"/>
      <w:numFmt w:val="bullet"/>
      <w:lvlText w:val="•"/>
      <w:lvlJc w:val="left"/>
      <w:pPr>
        <w:ind w:left="2723" w:hanging="255"/>
      </w:pPr>
      <w:rPr>
        <w:rFonts w:hint="default"/>
      </w:rPr>
    </w:lvl>
    <w:lvl w:ilvl="5">
      <w:start w:val="0"/>
      <w:numFmt w:val="bullet"/>
      <w:lvlText w:val="•"/>
      <w:lvlJc w:val="left"/>
      <w:pPr>
        <w:ind w:left="3314" w:hanging="255"/>
      </w:pPr>
      <w:rPr>
        <w:rFonts w:hint="default"/>
      </w:rPr>
    </w:lvl>
    <w:lvl w:ilvl="6">
      <w:start w:val="0"/>
      <w:numFmt w:val="bullet"/>
      <w:lvlText w:val="•"/>
      <w:lvlJc w:val="left"/>
      <w:pPr>
        <w:ind w:left="3904" w:hanging="255"/>
      </w:pPr>
      <w:rPr>
        <w:rFonts w:hint="default"/>
      </w:rPr>
    </w:lvl>
    <w:lvl w:ilvl="7">
      <w:start w:val="0"/>
      <w:numFmt w:val="bullet"/>
      <w:lvlText w:val="•"/>
      <w:lvlJc w:val="left"/>
      <w:pPr>
        <w:ind w:left="4495" w:hanging="255"/>
      </w:pPr>
      <w:rPr>
        <w:rFonts w:hint="default"/>
      </w:rPr>
    </w:lvl>
    <w:lvl w:ilvl="8">
      <w:start w:val="0"/>
      <w:numFmt w:val="bullet"/>
      <w:lvlText w:val="•"/>
      <w:lvlJc w:val="left"/>
      <w:pPr>
        <w:ind w:left="5086" w:hanging="255"/>
      </w:pPr>
      <w:rPr>
        <w:rFonts w:hint="default"/>
      </w:rPr>
    </w:lvl>
  </w:abstractNum>
  <w:abstractNum w:abstractNumId="248">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950" w:hanging="255"/>
      </w:pPr>
      <w:rPr>
        <w:rFonts w:hint="default"/>
      </w:rPr>
    </w:lvl>
    <w:lvl w:ilvl="2">
      <w:start w:val="0"/>
      <w:numFmt w:val="bullet"/>
      <w:lvlText w:val="•"/>
      <w:lvlJc w:val="left"/>
      <w:pPr>
        <w:ind w:left="1541" w:hanging="255"/>
      </w:pPr>
      <w:rPr>
        <w:rFonts w:hint="default"/>
      </w:rPr>
    </w:lvl>
    <w:lvl w:ilvl="3">
      <w:start w:val="0"/>
      <w:numFmt w:val="bullet"/>
      <w:lvlText w:val="•"/>
      <w:lvlJc w:val="left"/>
      <w:pPr>
        <w:ind w:left="2132" w:hanging="255"/>
      </w:pPr>
      <w:rPr>
        <w:rFonts w:hint="default"/>
      </w:rPr>
    </w:lvl>
    <w:lvl w:ilvl="4">
      <w:start w:val="0"/>
      <w:numFmt w:val="bullet"/>
      <w:lvlText w:val="•"/>
      <w:lvlJc w:val="left"/>
      <w:pPr>
        <w:ind w:left="2723" w:hanging="255"/>
      </w:pPr>
      <w:rPr>
        <w:rFonts w:hint="default"/>
      </w:rPr>
    </w:lvl>
    <w:lvl w:ilvl="5">
      <w:start w:val="0"/>
      <w:numFmt w:val="bullet"/>
      <w:lvlText w:val="•"/>
      <w:lvlJc w:val="left"/>
      <w:pPr>
        <w:ind w:left="3314" w:hanging="255"/>
      </w:pPr>
      <w:rPr>
        <w:rFonts w:hint="default"/>
      </w:rPr>
    </w:lvl>
    <w:lvl w:ilvl="6">
      <w:start w:val="0"/>
      <w:numFmt w:val="bullet"/>
      <w:lvlText w:val="•"/>
      <w:lvlJc w:val="left"/>
      <w:pPr>
        <w:ind w:left="3904" w:hanging="255"/>
      </w:pPr>
      <w:rPr>
        <w:rFonts w:hint="default"/>
      </w:rPr>
    </w:lvl>
    <w:lvl w:ilvl="7">
      <w:start w:val="0"/>
      <w:numFmt w:val="bullet"/>
      <w:lvlText w:val="•"/>
      <w:lvlJc w:val="left"/>
      <w:pPr>
        <w:ind w:left="4495" w:hanging="255"/>
      </w:pPr>
      <w:rPr>
        <w:rFonts w:hint="default"/>
      </w:rPr>
    </w:lvl>
    <w:lvl w:ilvl="8">
      <w:start w:val="0"/>
      <w:numFmt w:val="bullet"/>
      <w:lvlText w:val="•"/>
      <w:lvlJc w:val="left"/>
      <w:pPr>
        <w:ind w:left="5086" w:hanging="255"/>
      </w:pPr>
      <w:rPr>
        <w:rFonts w:hint="default"/>
      </w:rPr>
    </w:lvl>
  </w:abstractNum>
  <w:abstractNum w:abstractNumId="247">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517" w:hanging="255"/>
      </w:pPr>
      <w:rPr>
        <w:rFonts w:hint="default"/>
      </w:rPr>
    </w:lvl>
    <w:lvl w:ilvl="2">
      <w:start w:val="0"/>
      <w:numFmt w:val="bullet"/>
      <w:lvlText w:val="•"/>
      <w:lvlJc w:val="left"/>
      <w:pPr>
        <w:ind w:left="674" w:hanging="255"/>
      </w:pPr>
      <w:rPr>
        <w:rFonts w:hint="default"/>
      </w:rPr>
    </w:lvl>
    <w:lvl w:ilvl="3">
      <w:start w:val="0"/>
      <w:numFmt w:val="bullet"/>
      <w:lvlText w:val="•"/>
      <w:lvlJc w:val="left"/>
      <w:pPr>
        <w:ind w:left="831" w:hanging="255"/>
      </w:pPr>
      <w:rPr>
        <w:rFonts w:hint="default"/>
      </w:rPr>
    </w:lvl>
    <w:lvl w:ilvl="4">
      <w:start w:val="0"/>
      <w:numFmt w:val="bullet"/>
      <w:lvlText w:val="•"/>
      <w:lvlJc w:val="left"/>
      <w:pPr>
        <w:ind w:left="988" w:hanging="255"/>
      </w:pPr>
      <w:rPr>
        <w:rFonts w:hint="default"/>
      </w:rPr>
    </w:lvl>
    <w:lvl w:ilvl="5">
      <w:start w:val="0"/>
      <w:numFmt w:val="bullet"/>
      <w:lvlText w:val="•"/>
      <w:lvlJc w:val="left"/>
      <w:pPr>
        <w:ind w:left="1145" w:hanging="255"/>
      </w:pPr>
      <w:rPr>
        <w:rFonts w:hint="default"/>
      </w:rPr>
    </w:lvl>
    <w:lvl w:ilvl="6">
      <w:start w:val="0"/>
      <w:numFmt w:val="bullet"/>
      <w:lvlText w:val="•"/>
      <w:lvlJc w:val="left"/>
      <w:pPr>
        <w:ind w:left="1302" w:hanging="255"/>
      </w:pPr>
      <w:rPr>
        <w:rFonts w:hint="default"/>
      </w:rPr>
    </w:lvl>
    <w:lvl w:ilvl="7">
      <w:start w:val="0"/>
      <w:numFmt w:val="bullet"/>
      <w:lvlText w:val="•"/>
      <w:lvlJc w:val="left"/>
      <w:pPr>
        <w:ind w:left="1459" w:hanging="255"/>
      </w:pPr>
      <w:rPr>
        <w:rFonts w:hint="default"/>
      </w:rPr>
    </w:lvl>
    <w:lvl w:ilvl="8">
      <w:start w:val="0"/>
      <w:numFmt w:val="bullet"/>
      <w:lvlText w:val="•"/>
      <w:lvlJc w:val="left"/>
      <w:pPr>
        <w:ind w:left="1616" w:hanging="255"/>
      </w:pPr>
      <w:rPr>
        <w:rFonts w:hint="default"/>
      </w:rPr>
    </w:lvl>
  </w:abstractNum>
  <w:abstractNum w:abstractNumId="246">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468" w:hanging="255"/>
      </w:pPr>
      <w:rPr>
        <w:rFonts w:hint="default"/>
      </w:rPr>
    </w:lvl>
    <w:lvl w:ilvl="2">
      <w:start w:val="0"/>
      <w:numFmt w:val="bullet"/>
      <w:lvlText w:val="•"/>
      <w:lvlJc w:val="left"/>
      <w:pPr>
        <w:ind w:left="576" w:hanging="255"/>
      </w:pPr>
      <w:rPr>
        <w:rFonts w:hint="default"/>
      </w:rPr>
    </w:lvl>
    <w:lvl w:ilvl="3">
      <w:start w:val="0"/>
      <w:numFmt w:val="bullet"/>
      <w:lvlText w:val="•"/>
      <w:lvlJc w:val="left"/>
      <w:pPr>
        <w:ind w:left="684" w:hanging="255"/>
      </w:pPr>
      <w:rPr>
        <w:rFonts w:hint="default"/>
      </w:rPr>
    </w:lvl>
    <w:lvl w:ilvl="4">
      <w:start w:val="0"/>
      <w:numFmt w:val="bullet"/>
      <w:lvlText w:val="•"/>
      <w:lvlJc w:val="left"/>
      <w:pPr>
        <w:ind w:left="792" w:hanging="255"/>
      </w:pPr>
      <w:rPr>
        <w:rFonts w:hint="default"/>
      </w:rPr>
    </w:lvl>
    <w:lvl w:ilvl="5">
      <w:start w:val="0"/>
      <w:numFmt w:val="bullet"/>
      <w:lvlText w:val="•"/>
      <w:lvlJc w:val="left"/>
      <w:pPr>
        <w:ind w:left="900" w:hanging="255"/>
      </w:pPr>
      <w:rPr>
        <w:rFonts w:hint="default"/>
      </w:rPr>
    </w:lvl>
    <w:lvl w:ilvl="6">
      <w:start w:val="0"/>
      <w:numFmt w:val="bullet"/>
      <w:lvlText w:val="•"/>
      <w:lvlJc w:val="left"/>
      <w:pPr>
        <w:ind w:left="1008" w:hanging="255"/>
      </w:pPr>
      <w:rPr>
        <w:rFonts w:hint="default"/>
      </w:rPr>
    </w:lvl>
    <w:lvl w:ilvl="7">
      <w:start w:val="0"/>
      <w:numFmt w:val="bullet"/>
      <w:lvlText w:val="•"/>
      <w:lvlJc w:val="left"/>
      <w:pPr>
        <w:ind w:left="1116" w:hanging="255"/>
      </w:pPr>
      <w:rPr>
        <w:rFonts w:hint="default"/>
      </w:rPr>
    </w:lvl>
    <w:lvl w:ilvl="8">
      <w:start w:val="0"/>
      <w:numFmt w:val="bullet"/>
      <w:lvlText w:val="•"/>
      <w:lvlJc w:val="left"/>
      <w:pPr>
        <w:ind w:left="1224" w:hanging="255"/>
      </w:pPr>
      <w:rPr>
        <w:rFonts w:hint="default"/>
      </w:rPr>
    </w:lvl>
  </w:abstractNum>
  <w:abstractNum w:abstractNumId="245">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517" w:hanging="255"/>
      </w:pPr>
      <w:rPr>
        <w:rFonts w:hint="default"/>
      </w:rPr>
    </w:lvl>
    <w:lvl w:ilvl="2">
      <w:start w:val="0"/>
      <w:numFmt w:val="bullet"/>
      <w:lvlText w:val="•"/>
      <w:lvlJc w:val="left"/>
      <w:pPr>
        <w:ind w:left="674" w:hanging="255"/>
      </w:pPr>
      <w:rPr>
        <w:rFonts w:hint="default"/>
      </w:rPr>
    </w:lvl>
    <w:lvl w:ilvl="3">
      <w:start w:val="0"/>
      <w:numFmt w:val="bullet"/>
      <w:lvlText w:val="•"/>
      <w:lvlJc w:val="left"/>
      <w:pPr>
        <w:ind w:left="831" w:hanging="255"/>
      </w:pPr>
      <w:rPr>
        <w:rFonts w:hint="default"/>
      </w:rPr>
    </w:lvl>
    <w:lvl w:ilvl="4">
      <w:start w:val="0"/>
      <w:numFmt w:val="bullet"/>
      <w:lvlText w:val="•"/>
      <w:lvlJc w:val="left"/>
      <w:pPr>
        <w:ind w:left="988" w:hanging="255"/>
      </w:pPr>
      <w:rPr>
        <w:rFonts w:hint="default"/>
      </w:rPr>
    </w:lvl>
    <w:lvl w:ilvl="5">
      <w:start w:val="0"/>
      <w:numFmt w:val="bullet"/>
      <w:lvlText w:val="•"/>
      <w:lvlJc w:val="left"/>
      <w:pPr>
        <w:ind w:left="1145" w:hanging="255"/>
      </w:pPr>
      <w:rPr>
        <w:rFonts w:hint="default"/>
      </w:rPr>
    </w:lvl>
    <w:lvl w:ilvl="6">
      <w:start w:val="0"/>
      <w:numFmt w:val="bullet"/>
      <w:lvlText w:val="•"/>
      <w:lvlJc w:val="left"/>
      <w:pPr>
        <w:ind w:left="1302" w:hanging="255"/>
      </w:pPr>
      <w:rPr>
        <w:rFonts w:hint="default"/>
      </w:rPr>
    </w:lvl>
    <w:lvl w:ilvl="7">
      <w:start w:val="0"/>
      <w:numFmt w:val="bullet"/>
      <w:lvlText w:val="•"/>
      <w:lvlJc w:val="left"/>
      <w:pPr>
        <w:ind w:left="1459" w:hanging="255"/>
      </w:pPr>
      <w:rPr>
        <w:rFonts w:hint="default"/>
      </w:rPr>
    </w:lvl>
    <w:lvl w:ilvl="8">
      <w:start w:val="0"/>
      <w:numFmt w:val="bullet"/>
      <w:lvlText w:val="•"/>
      <w:lvlJc w:val="left"/>
      <w:pPr>
        <w:ind w:left="1616" w:hanging="255"/>
      </w:pPr>
      <w:rPr>
        <w:rFonts w:hint="default"/>
      </w:rPr>
    </w:lvl>
  </w:abstractNum>
  <w:abstractNum w:abstractNumId="244">
    <w:multiLevelType w:val="hybridMultilevel"/>
    <w:lvl w:ilvl="0">
      <w:start w:val="1"/>
      <w:numFmt w:val="decimal"/>
      <w:lvlText w:val="%1."/>
      <w:lvlJc w:val="left"/>
      <w:pPr>
        <w:ind w:left="367" w:hanging="257"/>
        <w:jc w:val="left"/>
      </w:pPr>
      <w:rPr>
        <w:rFonts w:hint="default" w:ascii="Arial Unicode MS" w:hAnsi="Arial Unicode MS" w:eastAsia="Arial Unicode MS" w:cs="Arial Unicode MS"/>
        <w:color w:val="231F20"/>
        <w:spacing w:val="0"/>
        <w:w w:val="97"/>
        <w:sz w:val="24"/>
        <w:szCs w:val="24"/>
      </w:rPr>
    </w:lvl>
    <w:lvl w:ilvl="1">
      <w:start w:val="0"/>
      <w:numFmt w:val="bullet"/>
      <w:lvlText w:val="•"/>
      <w:lvlJc w:val="left"/>
      <w:pPr>
        <w:ind w:left="515" w:hanging="257"/>
      </w:pPr>
      <w:rPr>
        <w:rFonts w:hint="default"/>
      </w:rPr>
    </w:lvl>
    <w:lvl w:ilvl="2">
      <w:start w:val="0"/>
      <w:numFmt w:val="bullet"/>
      <w:lvlText w:val="•"/>
      <w:lvlJc w:val="left"/>
      <w:pPr>
        <w:ind w:left="670" w:hanging="257"/>
      </w:pPr>
      <w:rPr>
        <w:rFonts w:hint="default"/>
      </w:rPr>
    </w:lvl>
    <w:lvl w:ilvl="3">
      <w:start w:val="0"/>
      <w:numFmt w:val="bullet"/>
      <w:lvlText w:val="•"/>
      <w:lvlJc w:val="left"/>
      <w:pPr>
        <w:ind w:left="825" w:hanging="257"/>
      </w:pPr>
      <w:rPr>
        <w:rFonts w:hint="default"/>
      </w:rPr>
    </w:lvl>
    <w:lvl w:ilvl="4">
      <w:start w:val="0"/>
      <w:numFmt w:val="bullet"/>
      <w:lvlText w:val="•"/>
      <w:lvlJc w:val="left"/>
      <w:pPr>
        <w:ind w:left="980" w:hanging="257"/>
      </w:pPr>
      <w:rPr>
        <w:rFonts w:hint="default"/>
      </w:rPr>
    </w:lvl>
    <w:lvl w:ilvl="5">
      <w:start w:val="0"/>
      <w:numFmt w:val="bullet"/>
      <w:lvlText w:val="•"/>
      <w:lvlJc w:val="left"/>
      <w:pPr>
        <w:ind w:left="1136" w:hanging="257"/>
      </w:pPr>
      <w:rPr>
        <w:rFonts w:hint="default"/>
      </w:rPr>
    </w:lvl>
    <w:lvl w:ilvl="6">
      <w:start w:val="0"/>
      <w:numFmt w:val="bullet"/>
      <w:lvlText w:val="•"/>
      <w:lvlJc w:val="left"/>
      <w:pPr>
        <w:ind w:left="1291" w:hanging="257"/>
      </w:pPr>
      <w:rPr>
        <w:rFonts w:hint="default"/>
      </w:rPr>
    </w:lvl>
    <w:lvl w:ilvl="7">
      <w:start w:val="0"/>
      <w:numFmt w:val="bullet"/>
      <w:lvlText w:val="•"/>
      <w:lvlJc w:val="left"/>
      <w:pPr>
        <w:ind w:left="1446" w:hanging="257"/>
      </w:pPr>
      <w:rPr>
        <w:rFonts w:hint="default"/>
      </w:rPr>
    </w:lvl>
    <w:lvl w:ilvl="8">
      <w:start w:val="0"/>
      <w:numFmt w:val="bullet"/>
      <w:lvlText w:val="•"/>
      <w:lvlJc w:val="left"/>
      <w:pPr>
        <w:ind w:left="1601" w:hanging="257"/>
      </w:pPr>
      <w:rPr>
        <w:rFonts w:hint="default"/>
      </w:rPr>
    </w:lvl>
  </w:abstractNum>
  <w:abstractNum w:abstractNumId="243">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58" w:hanging="244"/>
      </w:pPr>
      <w:rPr>
        <w:rFonts w:hint="default"/>
      </w:rPr>
    </w:lvl>
    <w:lvl w:ilvl="2">
      <w:start w:val="0"/>
      <w:numFmt w:val="bullet"/>
      <w:lvlText w:val="•"/>
      <w:lvlJc w:val="left"/>
      <w:pPr>
        <w:ind w:left="956" w:hanging="244"/>
      </w:pPr>
      <w:rPr>
        <w:rFonts w:hint="default"/>
      </w:rPr>
    </w:lvl>
    <w:lvl w:ilvl="3">
      <w:start w:val="0"/>
      <w:numFmt w:val="bullet"/>
      <w:lvlText w:val="•"/>
      <w:lvlJc w:val="left"/>
      <w:pPr>
        <w:ind w:left="1254" w:hanging="244"/>
      </w:pPr>
      <w:rPr>
        <w:rFonts w:hint="default"/>
      </w:rPr>
    </w:lvl>
    <w:lvl w:ilvl="4">
      <w:start w:val="0"/>
      <w:numFmt w:val="bullet"/>
      <w:lvlText w:val="•"/>
      <w:lvlJc w:val="left"/>
      <w:pPr>
        <w:ind w:left="1552" w:hanging="244"/>
      </w:pPr>
      <w:rPr>
        <w:rFonts w:hint="default"/>
      </w:rPr>
    </w:lvl>
    <w:lvl w:ilvl="5">
      <w:start w:val="0"/>
      <w:numFmt w:val="bullet"/>
      <w:lvlText w:val="•"/>
      <w:lvlJc w:val="left"/>
      <w:pPr>
        <w:ind w:left="1850" w:hanging="244"/>
      </w:pPr>
      <w:rPr>
        <w:rFonts w:hint="default"/>
      </w:rPr>
    </w:lvl>
    <w:lvl w:ilvl="6">
      <w:start w:val="0"/>
      <w:numFmt w:val="bullet"/>
      <w:lvlText w:val="•"/>
      <w:lvlJc w:val="left"/>
      <w:pPr>
        <w:ind w:left="2148" w:hanging="244"/>
      </w:pPr>
      <w:rPr>
        <w:rFonts w:hint="default"/>
      </w:rPr>
    </w:lvl>
    <w:lvl w:ilvl="7">
      <w:start w:val="0"/>
      <w:numFmt w:val="bullet"/>
      <w:lvlText w:val="•"/>
      <w:lvlJc w:val="left"/>
      <w:pPr>
        <w:ind w:left="2446" w:hanging="244"/>
      </w:pPr>
      <w:rPr>
        <w:rFonts w:hint="default"/>
      </w:rPr>
    </w:lvl>
    <w:lvl w:ilvl="8">
      <w:start w:val="0"/>
      <w:numFmt w:val="bullet"/>
      <w:lvlText w:val="•"/>
      <w:lvlJc w:val="left"/>
      <w:pPr>
        <w:ind w:left="2744" w:hanging="244"/>
      </w:pPr>
      <w:rPr>
        <w:rFonts w:hint="default"/>
      </w:rPr>
    </w:lvl>
  </w:abstractNum>
  <w:abstractNum w:abstractNumId="242">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02" w:hanging="244"/>
      </w:pPr>
      <w:rPr>
        <w:rFonts w:hint="default"/>
      </w:rPr>
    </w:lvl>
    <w:lvl w:ilvl="2">
      <w:start w:val="0"/>
      <w:numFmt w:val="bullet"/>
      <w:lvlText w:val="•"/>
      <w:lvlJc w:val="left"/>
      <w:pPr>
        <w:ind w:left="844" w:hanging="244"/>
      </w:pPr>
      <w:rPr>
        <w:rFonts w:hint="default"/>
      </w:rPr>
    </w:lvl>
    <w:lvl w:ilvl="3">
      <w:start w:val="0"/>
      <w:numFmt w:val="bullet"/>
      <w:lvlText w:val="•"/>
      <w:lvlJc w:val="left"/>
      <w:pPr>
        <w:ind w:left="1086" w:hanging="244"/>
      </w:pPr>
      <w:rPr>
        <w:rFonts w:hint="default"/>
      </w:rPr>
    </w:lvl>
    <w:lvl w:ilvl="4">
      <w:start w:val="0"/>
      <w:numFmt w:val="bullet"/>
      <w:lvlText w:val="•"/>
      <w:lvlJc w:val="left"/>
      <w:pPr>
        <w:ind w:left="1328" w:hanging="244"/>
      </w:pPr>
      <w:rPr>
        <w:rFonts w:hint="default"/>
      </w:rPr>
    </w:lvl>
    <w:lvl w:ilvl="5">
      <w:start w:val="0"/>
      <w:numFmt w:val="bullet"/>
      <w:lvlText w:val="•"/>
      <w:lvlJc w:val="left"/>
      <w:pPr>
        <w:ind w:left="1570" w:hanging="244"/>
      </w:pPr>
      <w:rPr>
        <w:rFonts w:hint="default"/>
      </w:rPr>
    </w:lvl>
    <w:lvl w:ilvl="6">
      <w:start w:val="0"/>
      <w:numFmt w:val="bullet"/>
      <w:lvlText w:val="•"/>
      <w:lvlJc w:val="left"/>
      <w:pPr>
        <w:ind w:left="1812" w:hanging="244"/>
      </w:pPr>
      <w:rPr>
        <w:rFonts w:hint="default"/>
      </w:rPr>
    </w:lvl>
    <w:lvl w:ilvl="7">
      <w:start w:val="0"/>
      <w:numFmt w:val="bullet"/>
      <w:lvlText w:val="•"/>
      <w:lvlJc w:val="left"/>
      <w:pPr>
        <w:ind w:left="2054" w:hanging="244"/>
      </w:pPr>
      <w:rPr>
        <w:rFonts w:hint="default"/>
      </w:rPr>
    </w:lvl>
    <w:lvl w:ilvl="8">
      <w:start w:val="0"/>
      <w:numFmt w:val="bullet"/>
      <w:lvlText w:val="•"/>
      <w:lvlJc w:val="left"/>
      <w:pPr>
        <w:ind w:left="2296" w:hanging="244"/>
      </w:pPr>
      <w:rPr>
        <w:rFonts w:hint="default"/>
      </w:rPr>
    </w:lvl>
  </w:abstractNum>
  <w:abstractNum w:abstractNumId="241">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586" w:hanging="244"/>
      </w:pPr>
      <w:rPr>
        <w:rFonts w:hint="default"/>
      </w:rPr>
    </w:lvl>
    <w:lvl w:ilvl="2">
      <w:start w:val="0"/>
      <w:numFmt w:val="bullet"/>
      <w:lvlText w:val="•"/>
      <w:lvlJc w:val="left"/>
      <w:pPr>
        <w:ind w:left="813" w:hanging="244"/>
      </w:pPr>
      <w:rPr>
        <w:rFonts w:hint="default"/>
      </w:rPr>
    </w:lvl>
    <w:lvl w:ilvl="3">
      <w:start w:val="0"/>
      <w:numFmt w:val="bullet"/>
      <w:lvlText w:val="•"/>
      <w:lvlJc w:val="left"/>
      <w:pPr>
        <w:ind w:left="1040" w:hanging="244"/>
      </w:pPr>
      <w:rPr>
        <w:rFonts w:hint="default"/>
      </w:rPr>
    </w:lvl>
    <w:lvl w:ilvl="4">
      <w:start w:val="0"/>
      <w:numFmt w:val="bullet"/>
      <w:lvlText w:val="•"/>
      <w:lvlJc w:val="left"/>
      <w:pPr>
        <w:ind w:left="1267" w:hanging="244"/>
      </w:pPr>
      <w:rPr>
        <w:rFonts w:hint="default"/>
      </w:rPr>
    </w:lvl>
    <w:lvl w:ilvl="5">
      <w:start w:val="0"/>
      <w:numFmt w:val="bullet"/>
      <w:lvlText w:val="•"/>
      <w:lvlJc w:val="left"/>
      <w:pPr>
        <w:ind w:left="1494" w:hanging="244"/>
      </w:pPr>
      <w:rPr>
        <w:rFonts w:hint="default"/>
      </w:rPr>
    </w:lvl>
    <w:lvl w:ilvl="6">
      <w:start w:val="0"/>
      <w:numFmt w:val="bullet"/>
      <w:lvlText w:val="•"/>
      <w:lvlJc w:val="left"/>
      <w:pPr>
        <w:ind w:left="1721" w:hanging="244"/>
      </w:pPr>
      <w:rPr>
        <w:rFonts w:hint="default"/>
      </w:rPr>
    </w:lvl>
    <w:lvl w:ilvl="7">
      <w:start w:val="0"/>
      <w:numFmt w:val="bullet"/>
      <w:lvlText w:val="•"/>
      <w:lvlJc w:val="left"/>
      <w:pPr>
        <w:ind w:left="1948" w:hanging="244"/>
      </w:pPr>
      <w:rPr>
        <w:rFonts w:hint="default"/>
      </w:rPr>
    </w:lvl>
    <w:lvl w:ilvl="8">
      <w:start w:val="0"/>
      <w:numFmt w:val="bullet"/>
      <w:lvlText w:val="•"/>
      <w:lvlJc w:val="left"/>
      <w:pPr>
        <w:ind w:left="2175" w:hanging="244"/>
      </w:pPr>
      <w:rPr>
        <w:rFonts w:hint="default"/>
      </w:rPr>
    </w:lvl>
  </w:abstractNum>
  <w:abstractNum w:abstractNumId="240">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937" w:hanging="244"/>
      </w:pPr>
      <w:rPr>
        <w:rFonts w:hint="default"/>
      </w:rPr>
    </w:lvl>
    <w:lvl w:ilvl="2">
      <w:start w:val="0"/>
      <w:numFmt w:val="bullet"/>
      <w:lvlText w:val="•"/>
      <w:lvlJc w:val="left"/>
      <w:pPr>
        <w:ind w:left="1515" w:hanging="244"/>
      </w:pPr>
      <w:rPr>
        <w:rFonts w:hint="default"/>
      </w:rPr>
    </w:lvl>
    <w:lvl w:ilvl="3">
      <w:start w:val="0"/>
      <w:numFmt w:val="bullet"/>
      <w:lvlText w:val="•"/>
      <w:lvlJc w:val="left"/>
      <w:pPr>
        <w:ind w:left="2092" w:hanging="244"/>
      </w:pPr>
      <w:rPr>
        <w:rFonts w:hint="default"/>
      </w:rPr>
    </w:lvl>
    <w:lvl w:ilvl="4">
      <w:start w:val="0"/>
      <w:numFmt w:val="bullet"/>
      <w:lvlText w:val="•"/>
      <w:lvlJc w:val="left"/>
      <w:pPr>
        <w:ind w:left="2670" w:hanging="244"/>
      </w:pPr>
      <w:rPr>
        <w:rFonts w:hint="default"/>
      </w:rPr>
    </w:lvl>
    <w:lvl w:ilvl="5">
      <w:start w:val="0"/>
      <w:numFmt w:val="bullet"/>
      <w:lvlText w:val="•"/>
      <w:lvlJc w:val="left"/>
      <w:pPr>
        <w:ind w:left="3247" w:hanging="244"/>
      </w:pPr>
      <w:rPr>
        <w:rFonts w:hint="default"/>
      </w:rPr>
    </w:lvl>
    <w:lvl w:ilvl="6">
      <w:start w:val="0"/>
      <w:numFmt w:val="bullet"/>
      <w:lvlText w:val="•"/>
      <w:lvlJc w:val="left"/>
      <w:pPr>
        <w:ind w:left="3825" w:hanging="244"/>
      </w:pPr>
      <w:rPr>
        <w:rFonts w:hint="default"/>
      </w:rPr>
    </w:lvl>
    <w:lvl w:ilvl="7">
      <w:start w:val="0"/>
      <w:numFmt w:val="bullet"/>
      <w:lvlText w:val="•"/>
      <w:lvlJc w:val="left"/>
      <w:pPr>
        <w:ind w:left="4402" w:hanging="244"/>
      </w:pPr>
      <w:rPr>
        <w:rFonts w:hint="default"/>
      </w:rPr>
    </w:lvl>
    <w:lvl w:ilvl="8">
      <w:start w:val="0"/>
      <w:numFmt w:val="bullet"/>
      <w:lvlText w:val="•"/>
      <w:lvlJc w:val="left"/>
      <w:pPr>
        <w:ind w:left="4980" w:hanging="244"/>
      </w:pPr>
      <w:rPr>
        <w:rFonts w:hint="default"/>
      </w:rPr>
    </w:lvl>
  </w:abstractNum>
  <w:abstractNum w:abstractNumId="239">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586" w:hanging="244"/>
      </w:pPr>
      <w:rPr>
        <w:rFonts w:hint="default"/>
      </w:rPr>
    </w:lvl>
    <w:lvl w:ilvl="2">
      <w:start w:val="0"/>
      <w:numFmt w:val="bullet"/>
      <w:lvlText w:val="•"/>
      <w:lvlJc w:val="left"/>
      <w:pPr>
        <w:ind w:left="813" w:hanging="244"/>
      </w:pPr>
      <w:rPr>
        <w:rFonts w:hint="default"/>
      </w:rPr>
    </w:lvl>
    <w:lvl w:ilvl="3">
      <w:start w:val="0"/>
      <w:numFmt w:val="bullet"/>
      <w:lvlText w:val="•"/>
      <w:lvlJc w:val="left"/>
      <w:pPr>
        <w:ind w:left="1040" w:hanging="244"/>
      </w:pPr>
      <w:rPr>
        <w:rFonts w:hint="default"/>
      </w:rPr>
    </w:lvl>
    <w:lvl w:ilvl="4">
      <w:start w:val="0"/>
      <w:numFmt w:val="bullet"/>
      <w:lvlText w:val="•"/>
      <w:lvlJc w:val="left"/>
      <w:pPr>
        <w:ind w:left="1267" w:hanging="244"/>
      </w:pPr>
      <w:rPr>
        <w:rFonts w:hint="default"/>
      </w:rPr>
    </w:lvl>
    <w:lvl w:ilvl="5">
      <w:start w:val="0"/>
      <w:numFmt w:val="bullet"/>
      <w:lvlText w:val="•"/>
      <w:lvlJc w:val="left"/>
      <w:pPr>
        <w:ind w:left="1494" w:hanging="244"/>
      </w:pPr>
      <w:rPr>
        <w:rFonts w:hint="default"/>
      </w:rPr>
    </w:lvl>
    <w:lvl w:ilvl="6">
      <w:start w:val="0"/>
      <w:numFmt w:val="bullet"/>
      <w:lvlText w:val="•"/>
      <w:lvlJc w:val="left"/>
      <w:pPr>
        <w:ind w:left="1721" w:hanging="244"/>
      </w:pPr>
      <w:rPr>
        <w:rFonts w:hint="default"/>
      </w:rPr>
    </w:lvl>
    <w:lvl w:ilvl="7">
      <w:start w:val="0"/>
      <w:numFmt w:val="bullet"/>
      <w:lvlText w:val="•"/>
      <w:lvlJc w:val="left"/>
      <w:pPr>
        <w:ind w:left="1948" w:hanging="244"/>
      </w:pPr>
      <w:rPr>
        <w:rFonts w:hint="default"/>
      </w:rPr>
    </w:lvl>
    <w:lvl w:ilvl="8">
      <w:start w:val="0"/>
      <w:numFmt w:val="bullet"/>
      <w:lvlText w:val="•"/>
      <w:lvlJc w:val="left"/>
      <w:pPr>
        <w:ind w:left="2175" w:hanging="244"/>
      </w:pPr>
      <w:rPr>
        <w:rFonts w:hint="default"/>
      </w:rPr>
    </w:lvl>
  </w:abstractNum>
  <w:abstractNum w:abstractNumId="238">
    <w:multiLevelType w:val="hybridMultilevel"/>
    <w:lvl w:ilvl="0">
      <w:start w:val="0"/>
      <w:numFmt w:val="bullet"/>
      <w:lvlText w:val="•"/>
      <w:lvlJc w:val="left"/>
      <w:pPr>
        <w:ind w:left="1825" w:hanging="340"/>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2730" w:hanging="340"/>
      </w:pPr>
      <w:rPr>
        <w:rFonts w:hint="default"/>
      </w:rPr>
    </w:lvl>
    <w:lvl w:ilvl="2">
      <w:start w:val="0"/>
      <w:numFmt w:val="bullet"/>
      <w:lvlText w:val="•"/>
      <w:lvlJc w:val="left"/>
      <w:pPr>
        <w:ind w:left="3640" w:hanging="340"/>
      </w:pPr>
      <w:rPr>
        <w:rFonts w:hint="default"/>
      </w:rPr>
    </w:lvl>
    <w:lvl w:ilvl="3">
      <w:start w:val="0"/>
      <w:numFmt w:val="bullet"/>
      <w:lvlText w:val="•"/>
      <w:lvlJc w:val="left"/>
      <w:pPr>
        <w:ind w:left="4551" w:hanging="340"/>
      </w:pPr>
      <w:rPr>
        <w:rFonts w:hint="default"/>
      </w:rPr>
    </w:lvl>
    <w:lvl w:ilvl="4">
      <w:start w:val="0"/>
      <w:numFmt w:val="bullet"/>
      <w:lvlText w:val="•"/>
      <w:lvlJc w:val="left"/>
      <w:pPr>
        <w:ind w:left="5461" w:hanging="340"/>
      </w:pPr>
      <w:rPr>
        <w:rFonts w:hint="default"/>
      </w:rPr>
    </w:lvl>
    <w:lvl w:ilvl="5">
      <w:start w:val="0"/>
      <w:numFmt w:val="bullet"/>
      <w:lvlText w:val="•"/>
      <w:lvlJc w:val="left"/>
      <w:pPr>
        <w:ind w:left="6372" w:hanging="340"/>
      </w:pPr>
      <w:rPr>
        <w:rFonts w:hint="default"/>
      </w:rPr>
    </w:lvl>
    <w:lvl w:ilvl="6">
      <w:start w:val="0"/>
      <w:numFmt w:val="bullet"/>
      <w:lvlText w:val="•"/>
      <w:lvlJc w:val="left"/>
      <w:pPr>
        <w:ind w:left="7282" w:hanging="340"/>
      </w:pPr>
      <w:rPr>
        <w:rFonts w:hint="default"/>
      </w:rPr>
    </w:lvl>
    <w:lvl w:ilvl="7">
      <w:start w:val="0"/>
      <w:numFmt w:val="bullet"/>
      <w:lvlText w:val="•"/>
      <w:lvlJc w:val="left"/>
      <w:pPr>
        <w:ind w:left="8193" w:hanging="340"/>
      </w:pPr>
      <w:rPr>
        <w:rFonts w:hint="default"/>
      </w:rPr>
    </w:lvl>
    <w:lvl w:ilvl="8">
      <w:start w:val="0"/>
      <w:numFmt w:val="bullet"/>
      <w:lvlText w:val="•"/>
      <w:lvlJc w:val="left"/>
      <w:pPr>
        <w:ind w:left="9103" w:hanging="340"/>
      </w:pPr>
      <w:rPr>
        <w:rFonts w:hint="default"/>
      </w:rPr>
    </w:lvl>
  </w:abstractNum>
  <w:abstractNum w:abstractNumId="237">
    <w:multiLevelType w:val="hybridMultilevel"/>
    <w:lvl w:ilvl="0">
      <w:start w:val="1"/>
      <w:numFmt w:val="upperLetter"/>
      <w:lvlText w:val="%1."/>
      <w:lvlJc w:val="left"/>
      <w:pPr>
        <w:ind w:left="2068" w:hanging="341"/>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946" w:hanging="341"/>
      </w:pPr>
      <w:rPr>
        <w:rFonts w:hint="default"/>
      </w:rPr>
    </w:lvl>
    <w:lvl w:ilvl="2">
      <w:start w:val="0"/>
      <w:numFmt w:val="bullet"/>
      <w:lvlText w:val="•"/>
      <w:lvlJc w:val="left"/>
      <w:pPr>
        <w:ind w:left="3832" w:hanging="341"/>
      </w:pPr>
      <w:rPr>
        <w:rFonts w:hint="default"/>
      </w:rPr>
    </w:lvl>
    <w:lvl w:ilvl="3">
      <w:start w:val="0"/>
      <w:numFmt w:val="bullet"/>
      <w:lvlText w:val="•"/>
      <w:lvlJc w:val="left"/>
      <w:pPr>
        <w:ind w:left="4719" w:hanging="341"/>
      </w:pPr>
      <w:rPr>
        <w:rFonts w:hint="default"/>
      </w:rPr>
    </w:lvl>
    <w:lvl w:ilvl="4">
      <w:start w:val="0"/>
      <w:numFmt w:val="bullet"/>
      <w:lvlText w:val="•"/>
      <w:lvlJc w:val="left"/>
      <w:pPr>
        <w:ind w:left="5605" w:hanging="341"/>
      </w:pPr>
      <w:rPr>
        <w:rFonts w:hint="default"/>
      </w:rPr>
    </w:lvl>
    <w:lvl w:ilvl="5">
      <w:start w:val="0"/>
      <w:numFmt w:val="bullet"/>
      <w:lvlText w:val="•"/>
      <w:lvlJc w:val="left"/>
      <w:pPr>
        <w:ind w:left="6492" w:hanging="341"/>
      </w:pPr>
      <w:rPr>
        <w:rFonts w:hint="default"/>
      </w:rPr>
    </w:lvl>
    <w:lvl w:ilvl="6">
      <w:start w:val="0"/>
      <w:numFmt w:val="bullet"/>
      <w:lvlText w:val="•"/>
      <w:lvlJc w:val="left"/>
      <w:pPr>
        <w:ind w:left="7378" w:hanging="341"/>
      </w:pPr>
      <w:rPr>
        <w:rFonts w:hint="default"/>
      </w:rPr>
    </w:lvl>
    <w:lvl w:ilvl="7">
      <w:start w:val="0"/>
      <w:numFmt w:val="bullet"/>
      <w:lvlText w:val="•"/>
      <w:lvlJc w:val="left"/>
      <w:pPr>
        <w:ind w:left="8265" w:hanging="341"/>
      </w:pPr>
      <w:rPr>
        <w:rFonts w:hint="default"/>
      </w:rPr>
    </w:lvl>
    <w:lvl w:ilvl="8">
      <w:start w:val="0"/>
      <w:numFmt w:val="bullet"/>
      <w:lvlText w:val="•"/>
      <w:lvlJc w:val="left"/>
      <w:pPr>
        <w:ind w:left="9151" w:hanging="341"/>
      </w:pPr>
      <w:rPr>
        <w:rFonts w:hint="default"/>
      </w:rPr>
    </w:lvl>
  </w:abstractNum>
  <w:abstractNum w:abstractNumId="236">
    <w:multiLevelType w:val="hybridMultilevel"/>
    <w:lvl w:ilvl="0">
      <w:start w:val="1"/>
      <w:numFmt w:val="decimal"/>
      <w:lvlText w:val="%1."/>
      <w:lvlJc w:val="left"/>
      <w:pPr>
        <w:ind w:left="1593" w:hanging="245"/>
        <w:jc w:val="left"/>
      </w:pPr>
      <w:rPr>
        <w:rFonts w:hint="default" w:ascii="Arial Unicode MS" w:hAnsi="Arial Unicode MS" w:eastAsia="Arial Unicode MS" w:cs="Arial Unicode MS"/>
        <w:color w:val="231F20"/>
        <w:w w:val="97"/>
        <w:sz w:val="24"/>
        <w:szCs w:val="24"/>
      </w:rPr>
    </w:lvl>
    <w:lvl w:ilvl="1">
      <w:start w:val="1"/>
      <w:numFmt w:val="upperLetter"/>
      <w:lvlText w:val="%2."/>
      <w:lvlJc w:val="left"/>
      <w:pPr>
        <w:ind w:left="2068" w:hanging="341"/>
        <w:jc w:val="left"/>
      </w:pPr>
      <w:rPr>
        <w:rFonts w:hint="default" w:ascii="Arial Unicode MS" w:hAnsi="Arial Unicode MS" w:eastAsia="Arial Unicode MS" w:cs="Arial Unicode MS"/>
        <w:color w:val="231F20"/>
        <w:w w:val="97"/>
        <w:sz w:val="24"/>
        <w:szCs w:val="24"/>
      </w:rPr>
    </w:lvl>
    <w:lvl w:ilvl="2">
      <w:start w:val="0"/>
      <w:numFmt w:val="bullet"/>
      <w:lvlText w:val="•"/>
      <w:lvlJc w:val="left"/>
      <w:pPr>
        <w:ind w:left="3044" w:hanging="341"/>
      </w:pPr>
      <w:rPr>
        <w:rFonts w:hint="default"/>
      </w:rPr>
    </w:lvl>
    <w:lvl w:ilvl="3">
      <w:start w:val="0"/>
      <w:numFmt w:val="bullet"/>
      <w:lvlText w:val="•"/>
      <w:lvlJc w:val="left"/>
      <w:pPr>
        <w:ind w:left="4029" w:hanging="341"/>
      </w:pPr>
      <w:rPr>
        <w:rFonts w:hint="default"/>
      </w:rPr>
    </w:lvl>
    <w:lvl w:ilvl="4">
      <w:start w:val="0"/>
      <w:numFmt w:val="bullet"/>
      <w:lvlText w:val="•"/>
      <w:lvlJc w:val="left"/>
      <w:pPr>
        <w:ind w:left="5014" w:hanging="341"/>
      </w:pPr>
      <w:rPr>
        <w:rFonts w:hint="default"/>
      </w:rPr>
    </w:lvl>
    <w:lvl w:ilvl="5">
      <w:start w:val="0"/>
      <w:numFmt w:val="bullet"/>
      <w:lvlText w:val="•"/>
      <w:lvlJc w:val="left"/>
      <w:pPr>
        <w:ind w:left="5999" w:hanging="341"/>
      </w:pPr>
      <w:rPr>
        <w:rFonts w:hint="default"/>
      </w:rPr>
    </w:lvl>
    <w:lvl w:ilvl="6">
      <w:start w:val="0"/>
      <w:numFmt w:val="bullet"/>
      <w:lvlText w:val="•"/>
      <w:lvlJc w:val="left"/>
      <w:pPr>
        <w:ind w:left="6984" w:hanging="341"/>
      </w:pPr>
      <w:rPr>
        <w:rFonts w:hint="default"/>
      </w:rPr>
    </w:lvl>
    <w:lvl w:ilvl="7">
      <w:start w:val="0"/>
      <w:numFmt w:val="bullet"/>
      <w:lvlText w:val="•"/>
      <w:lvlJc w:val="left"/>
      <w:pPr>
        <w:ind w:left="7969" w:hanging="341"/>
      </w:pPr>
      <w:rPr>
        <w:rFonts w:hint="default"/>
      </w:rPr>
    </w:lvl>
    <w:lvl w:ilvl="8">
      <w:start w:val="0"/>
      <w:numFmt w:val="bullet"/>
      <w:lvlText w:val="•"/>
      <w:lvlJc w:val="left"/>
      <w:pPr>
        <w:ind w:left="8954" w:hanging="341"/>
      </w:pPr>
      <w:rPr>
        <w:rFonts w:hint="default"/>
      </w:rPr>
    </w:lvl>
  </w:abstractNum>
  <w:abstractNum w:abstractNumId="235">
    <w:multiLevelType w:val="hybridMultilevel"/>
    <w:lvl w:ilvl="0">
      <w:start w:val="1"/>
      <w:numFmt w:val="upperLetter"/>
      <w:lvlText w:val="%1."/>
      <w:lvlJc w:val="left"/>
      <w:pPr>
        <w:ind w:left="2068" w:hanging="341"/>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946" w:hanging="341"/>
      </w:pPr>
      <w:rPr>
        <w:rFonts w:hint="default"/>
      </w:rPr>
    </w:lvl>
    <w:lvl w:ilvl="2">
      <w:start w:val="0"/>
      <w:numFmt w:val="bullet"/>
      <w:lvlText w:val="•"/>
      <w:lvlJc w:val="left"/>
      <w:pPr>
        <w:ind w:left="3832" w:hanging="341"/>
      </w:pPr>
      <w:rPr>
        <w:rFonts w:hint="default"/>
      </w:rPr>
    </w:lvl>
    <w:lvl w:ilvl="3">
      <w:start w:val="0"/>
      <w:numFmt w:val="bullet"/>
      <w:lvlText w:val="•"/>
      <w:lvlJc w:val="left"/>
      <w:pPr>
        <w:ind w:left="4719" w:hanging="341"/>
      </w:pPr>
      <w:rPr>
        <w:rFonts w:hint="default"/>
      </w:rPr>
    </w:lvl>
    <w:lvl w:ilvl="4">
      <w:start w:val="0"/>
      <w:numFmt w:val="bullet"/>
      <w:lvlText w:val="•"/>
      <w:lvlJc w:val="left"/>
      <w:pPr>
        <w:ind w:left="5605" w:hanging="341"/>
      </w:pPr>
      <w:rPr>
        <w:rFonts w:hint="default"/>
      </w:rPr>
    </w:lvl>
    <w:lvl w:ilvl="5">
      <w:start w:val="0"/>
      <w:numFmt w:val="bullet"/>
      <w:lvlText w:val="•"/>
      <w:lvlJc w:val="left"/>
      <w:pPr>
        <w:ind w:left="6492" w:hanging="341"/>
      </w:pPr>
      <w:rPr>
        <w:rFonts w:hint="default"/>
      </w:rPr>
    </w:lvl>
    <w:lvl w:ilvl="6">
      <w:start w:val="0"/>
      <w:numFmt w:val="bullet"/>
      <w:lvlText w:val="•"/>
      <w:lvlJc w:val="left"/>
      <w:pPr>
        <w:ind w:left="7378" w:hanging="341"/>
      </w:pPr>
      <w:rPr>
        <w:rFonts w:hint="default"/>
      </w:rPr>
    </w:lvl>
    <w:lvl w:ilvl="7">
      <w:start w:val="0"/>
      <w:numFmt w:val="bullet"/>
      <w:lvlText w:val="•"/>
      <w:lvlJc w:val="left"/>
      <w:pPr>
        <w:ind w:left="8265" w:hanging="341"/>
      </w:pPr>
      <w:rPr>
        <w:rFonts w:hint="default"/>
      </w:rPr>
    </w:lvl>
    <w:lvl w:ilvl="8">
      <w:start w:val="0"/>
      <w:numFmt w:val="bullet"/>
      <w:lvlText w:val="•"/>
      <w:lvlJc w:val="left"/>
      <w:pPr>
        <w:ind w:left="9151" w:hanging="341"/>
      </w:pPr>
      <w:rPr>
        <w:rFonts w:hint="default"/>
      </w:rPr>
    </w:lvl>
  </w:abstractNum>
  <w:abstractNum w:abstractNumId="234">
    <w:multiLevelType w:val="hybridMultilevel"/>
    <w:lvl w:ilvl="0">
      <w:start w:val="1"/>
      <w:numFmt w:val="upperLetter"/>
      <w:lvlText w:val="%1."/>
      <w:lvlJc w:val="left"/>
      <w:pPr>
        <w:ind w:left="2068" w:hanging="341"/>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946" w:hanging="341"/>
      </w:pPr>
      <w:rPr>
        <w:rFonts w:hint="default"/>
      </w:rPr>
    </w:lvl>
    <w:lvl w:ilvl="2">
      <w:start w:val="0"/>
      <w:numFmt w:val="bullet"/>
      <w:lvlText w:val="•"/>
      <w:lvlJc w:val="left"/>
      <w:pPr>
        <w:ind w:left="3832" w:hanging="341"/>
      </w:pPr>
      <w:rPr>
        <w:rFonts w:hint="default"/>
      </w:rPr>
    </w:lvl>
    <w:lvl w:ilvl="3">
      <w:start w:val="0"/>
      <w:numFmt w:val="bullet"/>
      <w:lvlText w:val="•"/>
      <w:lvlJc w:val="left"/>
      <w:pPr>
        <w:ind w:left="4719" w:hanging="341"/>
      </w:pPr>
      <w:rPr>
        <w:rFonts w:hint="default"/>
      </w:rPr>
    </w:lvl>
    <w:lvl w:ilvl="4">
      <w:start w:val="0"/>
      <w:numFmt w:val="bullet"/>
      <w:lvlText w:val="•"/>
      <w:lvlJc w:val="left"/>
      <w:pPr>
        <w:ind w:left="5605" w:hanging="341"/>
      </w:pPr>
      <w:rPr>
        <w:rFonts w:hint="default"/>
      </w:rPr>
    </w:lvl>
    <w:lvl w:ilvl="5">
      <w:start w:val="0"/>
      <w:numFmt w:val="bullet"/>
      <w:lvlText w:val="•"/>
      <w:lvlJc w:val="left"/>
      <w:pPr>
        <w:ind w:left="6492" w:hanging="341"/>
      </w:pPr>
      <w:rPr>
        <w:rFonts w:hint="default"/>
      </w:rPr>
    </w:lvl>
    <w:lvl w:ilvl="6">
      <w:start w:val="0"/>
      <w:numFmt w:val="bullet"/>
      <w:lvlText w:val="•"/>
      <w:lvlJc w:val="left"/>
      <w:pPr>
        <w:ind w:left="7378" w:hanging="341"/>
      </w:pPr>
      <w:rPr>
        <w:rFonts w:hint="default"/>
      </w:rPr>
    </w:lvl>
    <w:lvl w:ilvl="7">
      <w:start w:val="0"/>
      <w:numFmt w:val="bullet"/>
      <w:lvlText w:val="•"/>
      <w:lvlJc w:val="left"/>
      <w:pPr>
        <w:ind w:left="8265" w:hanging="341"/>
      </w:pPr>
      <w:rPr>
        <w:rFonts w:hint="default"/>
      </w:rPr>
    </w:lvl>
    <w:lvl w:ilvl="8">
      <w:start w:val="0"/>
      <w:numFmt w:val="bullet"/>
      <w:lvlText w:val="•"/>
      <w:lvlJc w:val="left"/>
      <w:pPr>
        <w:ind w:left="9151" w:hanging="341"/>
      </w:pPr>
      <w:rPr>
        <w:rFonts w:hint="default"/>
      </w:rPr>
    </w:lvl>
  </w:abstractNum>
  <w:abstractNum w:abstractNumId="233">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1591" w:hanging="355"/>
        <w:jc w:val="left"/>
      </w:pPr>
      <w:rPr>
        <w:rFonts w:hint="default" w:ascii="Arial Unicode MS" w:hAnsi="Arial Unicode MS" w:eastAsia="Arial Unicode MS" w:cs="Arial Unicode MS"/>
        <w:color w:val="231F20"/>
        <w:w w:val="97"/>
        <w:sz w:val="24"/>
        <w:szCs w:val="24"/>
      </w:rPr>
    </w:lvl>
    <w:lvl w:ilvl="2">
      <w:start w:val="1"/>
      <w:numFmt w:val="upperLetter"/>
      <w:lvlText w:val="%3."/>
      <w:lvlJc w:val="left"/>
      <w:pPr>
        <w:ind w:left="2068" w:hanging="341"/>
        <w:jc w:val="left"/>
      </w:pPr>
      <w:rPr>
        <w:rFonts w:hint="default" w:ascii="Arial Unicode MS" w:hAnsi="Arial Unicode MS" w:eastAsia="Arial Unicode MS" w:cs="Arial Unicode MS"/>
        <w:color w:val="231F20"/>
        <w:w w:val="97"/>
        <w:sz w:val="24"/>
        <w:szCs w:val="24"/>
      </w:rPr>
    </w:lvl>
    <w:lvl w:ilvl="3">
      <w:start w:val="0"/>
      <w:numFmt w:val="bullet"/>
      <w:lvlText w:val="•"/>
      <w:lvlJc w:val="left"/>
      <w:pPr>
        <w:ind w:left="3168" w:hanging="341"/>
      </w:pPr>
      <w:rPr>
        <w:rFonts w:hint="default"/>
      </w:rPr>
    </w:lvl>
    <w:lvl w:ilvl="4">
      <w:start w:val="0"/>
      <w:numFmt w:val="bullet"/>
      <w:lvlText w:val="•"/>
      <w:lvlJc w:val="left"/>
      <w:pPr>
        <w:ind w:left="4276" w:hanging="341"/>
      </w:pPr>
      <w:rPr>
        <w:rFonts w:hint="default"/>
      </w:rPr>
    </w:lvl>
    <w:lvl w:ilvl="5">
      <w:start w:val="0"/>
      <w:numFmt w:val="bullet"/>
      <w:lvlText w:val="•"/>
      <w:lvlJc w:val="left"/>
      <w:pPr>
        <w:ind w:left="5384" w:hanging="341"/>
      </w:pPr>
      <w:rPr>
        <w:rFonts w:hint="default"/>
      </w:rPr>
    </w:lvl>
    <w:lvl w:ilvl="6">
      <w:start w:val="0"/>
      <w:numFmt w:val="bullet"/>
      <w:lvlText w:val="•"/>
      <w:lvlJc w:val="left"/>
      <w:pPr>
        <w:ind w:left="6492" w:hanging="341"/>
      </w:pPr>
      <w:rPr>
        <w:rFonts w:hint="default"/>
      </w:rPr>
    </w:lvl>
    <w:lvl w:ilvl="7">
      <w:start w:val="0"/>
      <w:numFmt w:val="bullet"/>
      <w:lvlText w:val="•"/>
      <w:lvlJc w:val="left"/>
      <w:pPr>
        <w:ind w:left="7600" w:hanging="341"/>
      </w:pPr>
      <w:rPr>
        <w:rFonts w:hint="default"/>
      </w:rPr>
    </w:lvl>
    <w:lvl w:ilvl="8">
      <w:start w:val="0"/>
      <w:numFmt w:val="bullet"/>
      <w:lvlText w:val="•"/>
      <w:lvlJc w:val="left"/>
      <w:pPr>
        <w:ind w:left="8708" w:hanging="341"/>
      </w:pPr>
      <w:rPr>
        <w:rFonts w:hint="default"/>
      </w:rPr>
    </w:lvl>
  </w:abstractNum>
  <w:abstractNum w:abstractNumId="232">
    <w:multiLevelType w:val="hybridMultilevel"/>
    <w:lvl w:ilvl="0">
      <w:start w:val="1"/>
      <w:numFmt w:val="decimal"/>
      <w:lvlText w:val="%1."/>
      <w:lvlJc w:val="left"/>
      <w:pPr>
        <w:ind w:left="1349" w:hanging="257"/>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7"/>
      </w:pPr>
      <w:rPr>
        <w:rFonts w:hint="default"/>
      </w:rPr>
    </w:lvl>
    <w:lvl w:ilvl="2">
      <w:start w:val="0"/>
      <w:numFmt w:val="bullet"/>
      <w:lvlText w:val="•"/>
      <w:lvlJc w:val="left"/>
      <w:pPr>
        <w:ind w:left="3256" w:hanging="257"/>
      </w:pPr>
      <w:rPr>
        <w:rFonts w:hint="default"/>
      </w:rPr>
    </w:lvl>
    <w:lvl w:ilvl="3">
      <w:start w:val="0"/>
      <w:numFmt w:val="bullet"/>
      <w:lvlText w:val="•"/>
      <w:lvlJc w:val="left"/>
      <w:pPr>
        <w:ind w:left="4215" w:hanging="257"/>
      </w:pPr>
      <w:rPr>
        <w:rFonts w:hint="default"/>
      </w:rPr>
    </w:lvl>
    <w:lvl w:ilvl="4">
      <w:start w:val="0"/>
      <w:numFmt w:val="bullet"/>
      <w:lvlText w:val="•"/>
      <w:lvlJc w:val="left"/>
      <w:pPr>
        <w:ind w:left="5173" w:hanging="257"/>
      </w:pPr>
      <w:rPr>
        <w:rFonts w:hint="default"/>
      </w:rPr>
    </w:lvl>
    <w:lvl w:ilvl="5">
      <w:start w:val="0"/>
      <w:numFmt w:val="bullet"/>
      <w:lvlText w:val="•"/>
      <w:lvlJc w:val="left"/>
      <w:pPr>
        <w:ind w:left="6132" w:hanging="257"/>
      </w:pPr>
      <w:rPr>
        <w:rFonts w:hint="default"/>
      </w:rPr>
    </w:lvl>
    <w:lvl w:ilvl="6">
      <w:start w:val="0"/>
      <w:numFmt w:val="bullet"/>
      <w:lvlText w:val="•"/>
      <w:lvlJc w:val="left"/>
      <w:pPr>
        <w:ind w:left="7090" w:hanging="257"/>
      </w:pPr>
      <w:rPr>
        <w:rFonts w:hint="default"/>
      </w:rPr>
    </w:lvl>
    <w:lvl w:ilvl="7">
      <w:start w:val="0"/>
      <w:numFmt w:val="bullet"/>
      <w:lvlText w:val="•"/>
      <w:lvlJc w:val="left"/>
      <w:pPr>
        <w:ind w:left="8049" w:hanging="257"/>
      </w:pPr>
      <w:rPr>
        <w:rFonts w:hint="default"/>
      </w:rPr>
    </w:lvl>
    <w:lvl w:ilvl="8">
      <w:start w:val="0"/>
      <w:numFmt w:val="bullet"/>
      <w:lvlText w:val="•"/>
      <w:lvlJc w:val="left"/>
      <w:pPr>
        <w:ind w:left="9007" w:hanging="257"/>
      </w:pPr>
      <w:rPr>
        <w:rFonts w:hint="default"/>
      </w:rPr>
    </w:lvl>
  </w:abstractNum>
  <w:abstractNum w:abstractNumId="231">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30">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29">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615" w:hanging="255"/>
      </w:pPr>
      <w:rPr>
        <w:rFonts w:hint="default"/>
      </w:rPr>
    </w:lvl>
    <w:lvl w:ilvl="2">
      <w:start w:val="0"/>
      <w:numFmt w:val="bullet"/>
      <w:lvlText w:val="•"/>
      <w:lvlJc w:val="left"/>
      <w:pPr>
        <w:ind w:left="870" w:hanging="255"/>
      </w:pPr>
      <w:rPr>
        <w:rFonts w:hint="default"/>
      </w:rPr>
    </w:lvl>
    <w:lvl w:ilvl="3">
      <w:start w:val="0"/>
      <w:numFmt w:val="bullet"/>
      <w:lvlText w:val="•"/>
      <w:lvlJc w:val="left"/>
      <w:pPr>
        <w:ind w:left="1125" w:hanging="255"/>
      </w:pPr>
      <w:rPr>
        <w:rFonts w:hint="default"/>
      </w:rPr>
    </w:lvl>
    <w:lvl w:ilvl="4">
      <w:start w:val="0"/>
      <w:numFmt w:val="bullet"/>
      <w:lvlText w:val="•"/>
      <w:lvlJc w:val="left"/>
      <w:pPr>
        <w:ind w:left="1381" w:hanging="255"/>
      </w:pPr>
      <w:rPr>
        <w:rFonts w:hint="default"/>
      </w:rPr>
    </w:lvl>
    <w:lvl w:ilvl="5">
      <w:start w:val="0"/>
      <w:numFmt w:val="bullet"/>
      <w:lvlText w:val="•"/>
      <w:lvlJc w:val="left"/>
      <w:pPr>
        <w:ind w:left="1636" w:hanging="255"/>
      </w:pPr>
      <w:rPr>
        <w:rFonts w:hint="default"/>
      </w:rPr>
    </w:lvl>
    <w:lvl w:ilvl="6">
      <w:start w:val="0"/>
      <w:numFmt w:val="bullet"/>
      <w:lvlText w:val="•"/>
      <w:lvlJc w:val="left"/>
      <w:pPr>
        <w:ind w:left="1891" w:hanging="255"/>
      </w:pPr>
      <w:rPr>
        <w:rFonts w:hint="default"/>
      </w:rPr>
    </w:lvl>
    <w:lvl w:ilvl="7">
      <w:start w:val="0"/>
      <w:numFmt w:val="bullet"/>
      <w:lvlText w:val="•"/>
      <w:lvlJc w:val="left"/>
      <w:pPr>
        <w:ind w:left="2147" w:hanging="255"/>
      </w:pPr>
      <w:rPr>
        <w:rFonts w:hint="default"/>
      </w:rPr>
    </w:lvl>
    <w:lvl w:ilvl="8">
      <w:start w:val="0"/>
      <w:numFmt w:val="bullet"/>
      <w:lvlText w:val="•"/>
      <w:lvlJc w:val="left"/>
      <w:pPr>
        <w:ind w:left="2402" w:hanging="255"/>
      </w:pPr>
      <w:rPr>
        <w:rFonts w:hint="default"/>
      </w:rPr>
    </w:lvl>
  </w:abstractNum>
  <w:abstractNum w:abstractNumId="228">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11" w:hanging="255"/>
      </w:pPr>
      <w:rPr>
        <w:rFonts w:hint="default"/>
      </w:rPr>
    </w:lvl>
    <w:lvl w:ilvl="2">
      <w:start w:val="0"/>
      <w:numFmt w:val="bullet"/>
      <w:lvlText w:val="•"/>
      <w:lvlJc w:val="left"/>
      <w:pPr>
        <w:ind w:left="863" w:hanging="255"/>
      </w:pPr>
      <w:rPr>
        <w:rFonts w:hint="default"/>
      </w:rPr>
    </w:lvl>
    <w:lvl w:ilvl="3">
      <w:start w:val="0"/>
      <w:numFmt w:val="bullet"/>
      <w:lvlText w:val="•"/>
      <w:lvlJc w:val="left"/>
      <w:pPr>
        <w:ind w:left="1114" w:hanging="255"/>
      </w:pPr>
      <w:rPr>
        <w:rFonts w:hint="default"/>
      </w:rPr>
    </w:lvl>
    <w:lvl w:ilvl="4">
      <w:start w:val="0"/>
      <w:numFmt w:val="bullet"/>
      <w:lvlText w:val="•"/>
      <w:lvlJc w:val="left"/>
      <w:pPr>
        <w:ind w:left="1366" w:hanging="255"/>
      </w:pPr>
      <w:rPr>
        <w:rFonts w:hint="default"/>
      </w:rPr>
    </w:lvl>
    <w:lvl w:ilvl="5">
      <w:start w:val="0"/>
      <w:numFmt w:val="bullet"/>
      <w:lvlText w:val="•"/>
      <w:lvlJc w:val="left"/>
      <w:pPr>
        <w:ind w:left="1617" w:hanging="255"/>
      </w:pPr>
      <w:rPr>
        <w:rFonts w:hint="default"/>
      </w:rPr>
    </w:lvl>
    <w:lvl w:ilvl="6">
      <w:start w:val="0"/>
      <w:numFmt w:val="bullet"/>
      <w:lvlText w:val="•"/>
      <w:lvlJc w:val="left"/>
      <w:pPr>
        <w:ind w:left="1869" w:hanging="255"/>
      </w:pPr>
      <w:rPr>
        <w:rFonts w:hint="default"/>
      </w:rPr>
    </w:lvl>
    <w:lvl w:ilvl="7">
      <w:start w:val="0"/>
      <w:numFmt w:val="bullet"/>
      <w:lvlText w:val="•"/>
      <w:lvlJc w:val="left"/>
      <w:pPr>
        <w:ind w:left="2120" w:hanging="255"/>
      </w:pPr>
      <w:rPr>
        <w:rFonts w:hint="default"/>
      </w:rPr>
    </w:lvl>
    <w:lvl w:ilvl="8">
      <w:start w:val="0"/>
      <w:numFmt w:val="bullet"/>
      <w:lvlText w:val="•"/>
      <w:lvlJc w:val="left"/>
      <w:pPr>
        <w:ind w:left="2372" w:hanging="255"/>
      </w:pPr>
      <w:rPr>
        <w:rFonts w:hint="default"/>
      </w:rPr>
    </w:lvl>
  </w:abstractNum>
  <w:abstractNum w:abstractNumId="227">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30" w:hanging="255"/>
      </w:pPr>
      <w:rPr>
        <w:rFonts w:hint="default"/>
      </w:rPr>
    </w:lvl>
    <w:lvl w:ilvl="2">
      <w:start w:val="0"/>
      <w:numFmt w:val="bullet"/>
      <w:lvlText w:val="•"/>
      <w:lvlJc w:val="left"/>
      <w:pPr>
        <w:ind w:left="900" w:hanging="255"/>
      </w:pPr>
      <w:rPr>
        <w:rFonts w:hint="default"/>
      </w:rPr>
    </w:lvl>
    <w:lvl w:ilvl="3">
      <w:start w:val="0"/>
      <w:numFmt w:val="bullet"/>
      <w:lvlText w:val="•"/>
      <w:lvlJc w:val="left"/>
      <w:pPr>
        <w:ind w:left="1170" w:hanging="255"/>
      </w:pPr>
      <w:rPr>
        <w:rFonts w:hint="default"/>
      </w:rPr>
    </w:lvl>
    <w:lvl w:ilvl="4">
      <w:start w:val="0"/>
      <w:numFmt w:val="bullet"/>
      <w:lvlText w:val="•"/>
      <w:lvlJc w:val="left"/>
      <w:pPr>
        <w:ind w:left="1440" w:hanging="255"/>
      </w:pPr>
      <w:rPr>
        <w:rFonts w:hint="default"/>
      </w:rPr>
    </w:lvl>
    <w:lvl w:ilvl="5">
      <w:start w:val="0"/>
      <w:numFmt w:val="bullet"/>
      <w:lvlText w:val="•"/>
      <w:lvlJc w:val="left"/>
      <w:pPr>
        <w:ind w:left="1710" w:hanging="255"/>
      </w:pPr>
      <w:rPr>
        <w:rFonts w:hint="default"/>
      </w:rPr>
    </w:lvl>
    <w:lvl w:ilvl="6">
      <w:start w:val="0"/>
      <w:numFmt w:val="bullet"/>
      <w:lvlText w:val="•"/>
      <w:lvlJc w:val="left"/>
      <w:pPr>
        <w:ind w:left="1980" w:hanging="255"/>
      </w:pPr>
      <w:rPr>
        <w:rFonts w:hint="default"/>
      </w:rPr>
    </w:lvl>
    <w:lvl w:ilvl="7">
      <w:start w:val="0"/>
      <w:numFmt w:val="bullet"/>
      <w:lvlText w:val="•"/>
      <w:lvlJc w:val="left"/>
      <w:pPr>
        <w:ind w:left="2250" w:hanging="255"/>
      </w:pPr>
      <w:rPr>
        <w:rFonts w:hint="default"/>
      </w:rPr>
    </w:lvl>
    <w:lvl w:ilvl="8">
      <w:start w:val="0"/>
      <w:numFmt w:val="bullet"/>
      <w:lvlText w:val="•"/>
      <w:lvlJc w:val="left"/>
      <w:pPr>
        <w:ind w:left="2520" w:hanging="255"/>
      </w:pPr>
      <w:rPr>
        <w:rFonts w:hint="default"/>
      </w:rPr>
    </w:lvl>
  </w:abstractNum>
  <w:abstractNum w:abstractNumId="226">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25">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spacing w:val="3"/>
        <w:w w:val="285"/>
        <w:sz w:val="22"/>
        <w:szCs w:val="22"/>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24">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spacing w:val="3"/>
        <w:w w:val="285"/>
        <w:sz w:val="22"/>
        <w:szCs w:val="22"/>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23">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spacing w:val="3"/>
        <w:w w:val="285"/>
        <w:sz w:val="22"/>
        <w:szCs w:val="22"/>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22">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spacing w:val="3"/>
        <w:w w:val="285"/>
        <w:sz w:val="22"/>
        <w:szCs w:val="22"/>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21">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spacing w:val="3"/>
        <w:w w:val="285"/>
        <w:sz w:val="22"/>
        <w:szCs w:val="22"/>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20">
    <w:multiLevelType w:val="hybridMultilevel"/>
    <w:lvl w:ilvl="0">
      <w:start w:val="0"/>
      <w:numFmt w:val="bullet"/>
      <w:lvlText w:val="•"/>
      <w:lvlJc w:val="left"/>
      <w:pPr>
        <w:ind w:left="357" w:hanging="244"/>
      </w:pPr>
      <w:rPr>
        <w:rFonts w:hint="default"/>
        <w:spacing w:val="3"/>
        <w:w w:val="285"/>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19">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spacing w:val="3"/>
        <w:w w:val="285"/>
        <w:sz w:val="22"/>
        <w:szCs w:val="22"/>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18">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spacing w:val="3"/>
        <w:w w:val="285"/>
        <w:sz w:val="22"/>
        <w:szCs w:val="22"/>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17">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spacing w:val="3"/>
        <w:w w:val="285"/>
        <w:sz w:val="22"/>
        <w:szCs w:val="22"/>
      </w:rPr>
    </w:lvl>
    <w:lvl w:ilvl="1">
      <w:start w:val="0"/>
      <w:numFmt w:val="bullet"/>
      <w:lvlText w:val="•"/>
      <w:lvlJc w:val="left"/>
      <w:pPr>
        <w:ind w:left="885" w:hanging="244"/>
      </w:pPr>
      <w:rPr>
        <w:rFonts w:hint="default"/>
      </w:rPr>
    </w:lvl>
    <w:lvl w:ilvl="2">
      <w:start w:val="0"/>
      <w:numFmt w:val="bullet"/>
      <w:lvlText w:val="•"/>
      <w:lvlJc w:val="left"/>
      <w:pPr>
        <w:ind w:left="1411" w:hanging="244"/>
      </w:pPr>
      <w:rPr>
        <w:rFonts w:hint="default"/>
      </w:rPr>
    </w:lvl>
    <w:lvl w:ilvl="3">
      <w:start w:val="0"/>
      <w:numFmt w:val="bullet"/>
      <w:lvlText w:val="•"/>
      <w:lvlJc w:val="left"/>
      <w:pPr>
        <w:ind w:left="1937" w:hanging="244"/>
      </w:pPr>
      <w:rPr>
        <w:rFonts w:hint="default"/>
      </w:rPr>
    </w:lvl>
    <w:lvl w:ilvl="4">
      <w:start w:val="0"/>
      <w:numFmt w:val="bullet"/>
      <w:lvlText w:val="•"/>
      <w:lvlJc w:val="left"/>
      <w:pPr>
        <w:ind w:left="2463" w:hanging="244"/>
      </w:pPr>
      <w:rPr>
        <w:rFonts w:hint="default"/>
      </w:rPr>
    </w:lvl>
    <w:lvl w:ilvl="5">
      <w:start w:val="0"/>
      <w:numFmt w:val="bullet"/>
      <w:lvlText w:val="•"/>
      <w:lvlJc w:val="left"/>
      <w:pPr>
        <w:ind w:left="2989" w:hanging="244"/>
      </w:pPr>
      <w:rPr>
        <w:rFonts w:hint="default"/>
      </w:rPr>
    </w:lvl>
    <w:lvl w:ilvl="6">
      <w:start w:val="0"/>
      <w:numFmt w:val="bullet"/>
      <w:lvlText w:val="•"/>
      <w:lvlJc w:val="left"/>
      <w:pPr>
        <w:ind w:left="3515" w:hanging="244"/>
      </w:pPr>
      <w:rPr>
        <w:rFonts w:hint="default"/>
      </w:rPr>
    </w:lvl>
    <w:lvl w:ilvl="7">
      <w:start w:val="0"/>
      <w:numFmt w:val="bullet"/>
      <w:lvlText w:val="•"/>
      <w:lvlJc w:val="left"/>
      <w:pPr>
        <w:ind w:left="4041" w:hanging="244"/>
      </w:pPr>
      <w:rPr>
        <w:rFonts w:hint="default"/>
      </w:rPr>
    </w:lvl>
    <w:lvl w:ilvl="8">
      <w:start w:val="0"/>
      <w:numFmt w:val="bullet"/>
      <w:lvlText w:val="•"/>
      <w:lvlJc w:val="left"/>
      <w:pPr>
        <w:ind w:left="4567" w:hanging="244"/>
      </w:pPr>
      <w:rPr>
        <w:rFonts w:hint="default"/>
      </w:rPr>
    </w:lvl>
  </w:abstractNum>
  <w:abstractNum w:abstractNumId="216">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15">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14">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13">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212">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11">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10">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09">
    <w:multiLevelType w:val="hybridMultilevel"/>
    <w:lvl w:ilvl="0">
      <w:start w:val="1"/>
      <w:numFmt w:val="decimal"/>
      <w:lvlText w:val="%1."/>
      <w:lvlJc w:val="left"/>
      <w:pPr>
        <w:ind w:left="366"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12" w:hanging="255"/>
      </w:pPr>
      <w:rPr>
        <w:rFonts w:hint="default"/>
      </w:rPr>
    </w:lvl>
    <w:lvl w:ilvl="2">
      <w:start w:val="0"/>
      <w:numFmt w:val="bullet"/>
      <w:lvlText w:val="•"/>
      <w:lvlJc w:val="left"/>
      <w:pPr>
        <w:ind w:left="864" w:hanging="255"/>
      </w:pPr>
      <w:rPr>
        <w:rFonts w:hint="default"/>
      </w:rPr>
    </w:lvl>
    <w:lvl w:ilvl="3">
      <w:start w:val="0"/>
      <w:numFmt w:val="bullet"/>
      <w:lvlText w:val="•"/>
      <w:lvlJc w:val="left"/>
      <w:pPr>
        <w:ind w:left="1117" w:hanging="255"/>
      </w:pPr>
      <w:rPr>
        <w:rFonts w:hint="default"/>
      </w:rPr>
    </w:lvl>
    <w:lvl w:ilvl="4">
      <w:start w:val="0"/>
      <w:numFmt w:val="bullet"/>
      <w:lvlText w:val="•"/>
      <w:lvlJc w:val="left"/>
      <w:pPr>
        <w:ind w:left="1369" w:hanging="255"/>
      </w:pPr>
      <w:rPr>
        <w:rFonts w:hint="default"/>
      </w:rPr>
    </w:lvl>
    <w:lvl w:ilvl="5">
      <w:start w:val="0"/>
      <w:numFmt w:val="bullet"/>
      <w:lvlText w:val="•"/>
      <w:lvlJc w:val="left"/>
      <w:pPr>
        <w:ind w:left="1622" w:hanging="255"/>
      </w:pPr>
      <w:rPr>
        <w:rFonts w:hint="default"/>
      </w:rPr>
    </w:lvl>
    <w:lvl w:ilvl="6">
      <w:start w:val="0"/>
      <w:numFmt w:val="bullet"/>
      <w:lvlText w:val="•"/>
      <w:lvlJc w:val="left"/>
      <w:pPr>
        <w:ind w:left="1874" w:hanging="255"/>
      </w:pPr>
      <w:rPr>
        <w:rFonts w:hint="default"/>
      </w:rPr>
    </w:lvl>
    <w:lvl w:ilvl="7">
      <w:start w:val="0"/>
      <w:numFmt w:val="bullet"/>
      <w:lvlText w:val="•"/>
      <w:lvlJc w:val="left"/>
      <w:pPr>
        <w:ind w:left="2126" w:hanging="255"/>
      </w:pPr>
      <w:rPr>
        <w:rFonts w:hint="default"/>
      </w:rPr>
    </w:lvl>
    <w:lvl w:ilvl="8">
      <w:start w:val="0"/>
      <w:numFmt w:val="bullet"/>
      <w:lvlText w:val="•"/>
      <w:lvlJc w:val="left"/>
      <w:pPr>
        <w:ind w:left="2379" w:hanging="255"/>
      </w:pPr>
      <w:rPr>
        <w:rFonts w:hint="default"/>
      </w:rPr>
    </w:lvl>
  </w:abstractNum>
  <w:abstractNum w:abstractNumId="208">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07">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06">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05">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04">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203">
    <w:multiLevelType w:val="hybridMultilevel"/>
    <w:lvl w:ilvl="0">
      <w:start w:val="1"/>
      <w:numFmt w:val="decimal"/>
      <w:lvlText w:val="%1."/>
      <w:lvlJc w:val="left"/>
      <w:pPr>
        <w:ind w:left="1116" w:hanging="235"/>
        <w:jc w:val="left"/>
      </w:pPr>
      <w:rPr>
        <w:rFonts w:hint="default" w:ascii="Arial Unicode MS" w:hAnsi="Arial Unicode MS" w:eastAsia="Arial Unicode MS" w:cs="Arial Unicode MS"/>
        <w:color w:val="231F20"/>
        <w:spacing w:val="0"/>
        <w:w w:val="97"/>
        <w:sz w:val="24"/>
        <w:szCs w:val="24"/>
      </w:rPr>
    </w:lvl>
    <w:lvl w:ilvl="1">
      <w:start w:val="1"/>
      <w:numFmt w:val="decimal"/>
      <w:lvlText w:val="%2."/>
      <w:lvlJc w:val="left"/>
      <w:pPr>
        <w:ind w:left="1349" w:hanging="255"/>
        <w:jc w:val="left"/>
      </w:pPr>
      <w:rPr>
        <w:rFonts w:hint="default" w:ascii="Arial Unicode MS" w:hAnsi="Arial Unicode MS" w:eastAsia="Arial Unicode MS" w:cs="Arial Unicode MS"/>
        <w:color w:val="231F20"/>
        <w:w w:val="97"/>
        <w:sz w:val="24"/>
        <w:szCs w:val="24"/>
      </w:rPr>
    </w:lvl>
    <w:lvl w:ilvl="2">
      <w:start w:val="0"/>
      <w:numFmt w:val="bullet"/>
      <w:lvlText w:val="•"/>
      <w:lvlJc w:val="left"/>
      <w:pPr>
        <w:ind w:left="2404" w:hanging="255"/>
      </w:pPr>
      <w:rPr>
        <w:rFonts w:hint="default"/>
      </w:rPr>
    </w:lvl>
    <w:lvl w:ilvl="3">
      <w:start w:val="0"/>
      <w:numFmt w:val="bullet"/>
      <w:lvlText w:val="•"/>
      <w:lvlJc w:val="left"/>
      <w:pPr>
        <w:ind w:left="3469" w:hanging="255"/>
      </w:pPr>
      <w:rPr>
        <w:rFonts w:hint="default"/>
      </w:rPr>
    </w:lvl>
    <w:lvl w:ilvl="4">
      <w:start w:val="0"/>
      <w:numFmt w:val="bullet"/>
      <w:lvlText w:val="•"/>
      <w:lvlJc w:val="left"/>
      <w:pPr>
        <w:ind w:left="4534" w:hanging="255"/>
      </w:pPr>
      <w:rPr>
        <w:rFonts w:hint="default"/>
      </w:rPr>
    </w:lvl>
    <w:lvl w:ilvl="5">
      <w:start w:val="0"/>
      <w:numFmt w:val="bullet"/>
      <w:lvlText w:val="•"/>
      <w:lvlJc w:val="left"/>
      <w:pPr>
        <w:ind w:left="5599" w:hanging="255"/>
      </w:pPr>
      <w:rPr>
        <w:rFonts w:hint="default"/>
      </w:rPr>
    </w:lvl>
    <w:lvl w:ilvl="6">
      <w:start w:val="0"/>
      <w:numFmt w:val="bullet"/>
      <w:lvlText w:val="•"/>
      <w:lvlJc w:val="left"/>
      <w:pPr>
        <w:ind w:left="6664" w:hanging="255"/>
      </w:pPr>
      <w:rPr>
        <w:rFonts w:hint="default"/>
      </w:rPr>
    </w:lvl>
    <w:lvl w:ilvl="7">
      <w:start w:val="0"/>
      <w:numFmt w:val="bullet"/>
      <w:lvlText w:val="•"/>
      <w:lvlJc w:val="left"/>
      <w:pPr>
        <w:ind w:left="7729" w:hanging="255"/>
      </w:pPr>
      <w:rPr>
        <w:rFonts w:hint="default"/>
      </w:rPr>
    </w:lvl>
    <w:lvl w:ilvl="8">
      <w:start w:val="0"/>
      <w:numFmt w:val="bullet"/>
      <w:lvlText w:val="•"/>
      <w:lvlJc w:val="left"/>
      <w:pPr>
        <w:ind w:left="8794" w:hanging="255"/>
      </w:pPr>
      <w:rPr>
        <w:rFonts w:hint="default"/>
      </w:rPr>
    </w:lvl>
  </w:abstractNum>
  <w:abstractNum w:abstractNumId="202">
    <w:multiLevelType w:val="hybridMultilevel"/>
    <w:lvl w:ilvl="0">
      <w:start w:val="0"/>
      <w:numFmt w:val="bullet"/>
      <w:lvlText w:val="•"/>
      <w:lvlJc w:val="left"/>
      <w:pPr>
        <w:ind w:left="299"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574" w:hanging="244"/>
      </w:pPr>
      <w:rPr>
        <w:rFonts w:hint="default"/>
      </w:rPr>
    </w:lvl>
    <w:lvl w:ilvl="2">
      <w:start w:val="0"/>
      <w:numFmt w:val="bullet"/>
      <w:lvlText w:val="•"/>
      <w:lvlJc w:val="left"/>
      <w:pPr>
        <w:ind w:left="849" w:hanging="244"/>
      </w:pPr>
      <w:rPr>
        <w:rFonts w:hint="default"/>
      </w:rPr>
    </w:lvl>
    <w:lvl w:ilvl="3">
      <w:start w:val="0"/>
      <w:numFmt w:val="bullet"/>
      <w:lvlText w:val="•"/>
      <w:lvlJc w:val="left"/>
      <w:pPr>
        <w:ind w:left="1124" w:hanging="244"/>
      </w:pPr>
      <w:rPr>
        <w:rFonts w:hint="default"/>
      </w:rPr>
    </w:lvl>
    <w:lvl w:ilvl="4">
      <w:start w:val="0"/>
      <w:numFmt w:val="bullet"/>
      <w:lvlText w:val="•"/>
      <w:lvlJc w:val="left"/>
      <w:pPr>
        <w:ind w:left="1399" w:hanging="244"/>
      </w:pPr>
      <w:rPr>
        <w:rFonts w:hint="default"/>
      </w:rPr>
    </w:lvl>
    <w:lvl w:ilvl="5">
      <w:start w:val="0"/>
      <w:numFmt w:val="bullet"/>
      <w:lvlText w:val="•"/>
      <w:lvlJc w:val="left"/>
      <w:pPr>
        <w:ind w:left="1674" w:hanging="244"/>
      </w:pPr>
      <w:rPr>
        <w:rFonts w:hint="default"/>
      </w:rPr>
    </w:lvl>
    <w:lvl w:ilvl="6">
      <w:start w:val="0"/>
      <w:numFmt w:val="bullet"/>
      <w:lvlText w:val="•"/>
      <w:lvlJc w:val="left"/>
      <w:pPr>
        <w:ind w:left="1948" w:hanging="244"/>
      </w:pPr>
      <w:rPr>
        <w:rFonts w:hint="default"/>
      </w:rPr>
    </w:lvl>
    <w:lvl w:ilvl="7">
      <w:start w:val="0"/>
      <w:numFmt w:val="bullet"/>
      <w:lvlText w:val="•"/>
      <w:lvlJc w:val="left"/>
      <w:pPr>
        <w:ind w:left="2223" w:hanging="244"/>
      </w:pPr>
      <w:rPr>
        <w:rFonts w:hint="default"/>
      </w:rPr>
    </w:lvl>
    <w:lvl w:ilvl="8">
      <w:start w:val="0"/>
      <w:numFmt w:val="bullet"/>
      <w:lvlText w:val="•"/>
      <w:lvlJc w:val="left"/>
      <w:pPr>
        <w:ind w:left="2498" w:hanging="244"/>
      </w:pPr>
      <w:rPr>
        <w:rFonts w:hint="default"/>
      </w:rPr>
    </w:lvl>
  </w:abstractNum>
  <w:abstractNum w:abstractNumId="201">
    <w:multiLevelType w:val="hybridMultilevel"/>
    <w:lvl w:ilvl="0">
      <w:start w:val="0"/>
      <w:numFmt w:val="bullet"/>
      <w:lvlText w:val="•"/>
      <w:lvlJc w:val="left"/>
      <w:pPr>
        <w:ind w:left="299"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574" w:hanging="244"/>
      </w:pPr>
      <w:rPr>
        <w:rFonts w:hint="default"/>
      </w:rPr>
    </w:lvl>
    <w:lvl w:ilvl="2">
      <w:start w:val="0"/>
      <w:numFmt w:val="bullet"/>
      <w:lvlText w:val="•"/>
      <w:lvlJc w:val="left"/>
      <w:pPr>
        <w:ind w:left="849" w:hanging="244"/>
      </w:pPr>
      <w:rPr>
        <w:rFonts w:hint="default"/>
      </w:rPr>
    </w:lvl>
    <w:lvl w:ilvl="3">
      <w:start w:val="0"/>
      <w:numFmt w:val="bullet"/>
      <w:lvlText w:val="•"/>
      <w:lvlJc w:val="left"/>
      <w:pPr>
        <w:ind w:left="1124" w:hanging="244"/>
      </w:pPr>
      <w:rPr>
        <w:rFonts w:hint="default"/>
      </w:rPr>
    </w:lvl>
    <w:lvl w:ilvl="4">
      <w:start w:val="0"/>
      <w:numFmt w:val="bullet"/>
      <w:lvlText w:val="•"/>
      <w:lvlJc w:val="left"/>
      <w:pPr>
        <w:ind w:left="1399" w:hanging="244"/>
      </w:pPr>
      <w:rPr>
        <w:rFonts w:hint="default"/>
      </w:rPr>
    </w:lvl>
    <w:lvl w:ilvl="5">
      <w:start w:val="0"/>
      <w:numFmt w:val="bullet"/>
      <w:lvlText w:val="•"/>
      <w:lvlJc w:val="left"/>
      <w:pPr>
        <w:ind w:left="1674" w:hanging="244"/>
      </w:pPr>
      <w:rPr>
        <w:rFonts w:hint="default"/>
      </w:rPr>
    </w:lvl>
    <w:lvl w:ilvl="6">
      <w:start w:val="0"/>
      <w:numFmt w:val="bullet"/>
      <w:lvlText w:val="•"/>
      <w:lvlJc w:val="left"/>
      <w:pPr>
        <w:ind w:left="1948" w:hanging="244"/>
      </w:pPr>
      <w:rPr>
        <w:rFonts w:hint="default"/>
      </w:rPr>
    </w:lvl>
    <w:lvl w:ilvl="7">
      <w:start w:val="0"/>
      <w:numFmt w:val="bullet"/>
      <w:lvlText w:val="•"/>
      <w:lvlJc w:val="left"/>
      <w:pPr>
        <w:ind w:left="2223" w:hanging="244"/>
      </w:pPr>
      <w:rPr>
        <w:rFonts w:hint="default"/>
      </w:rPr>
    </w:lvl>
    <w:lvl w:ilvl="8">
      <w:start w:val="0"/>
      <w:numFmt w:val="bullet"/>
      <w:lvlText w:val="•"/>
      <w:lvlJc w:val="left"/>
      <w:pPr>
        <w:ind w:left="2498" w:hanging="244"/>
      </w:pPr>
      <w:rPr>
        <w:rFonts w:hint="default"/>
      </w:rPr>
    </w:lvl>
  </w:abstractNum>
  <w:abstractNum w:abstractNumId="200">
    <w:multiLevelType w:val="hybridMultilevel"/>
    <w:lvl w:ilvl="0">
      <w:start w:val="0"/>
      <w:numFmt w:val="bullet"/>
      <w:lvlText w:val="•"/>
      <w:lvlJc w:val="left"/>
      <w:pPr>
        <w:ind w:left="299"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574" w:hanging="244"/>
      </w:pPr>
      <w:rPr>
        <w:rFonts w:hint="default"/>
      </w:rPr>
    </w:lvl>
    <w:lvl w:ilvl="2">
      <w:start w:val="0"/>
      <w:numFmt w:val="bullet"/>
      <w:lvlText w:val="•"/>
      <w:lvlJc w:val="left"/>
      <w:pPr>
        <w:ind w:left="849" w:hanging="244"/>
      </w:pPr>
      <w:rPr>
        <w:rFonts w:hint="default"/>
      </w:rPr>
    </w:lvl>
    <w:lvl w:ilvl="3">
      <w:start w:val="0"/>
      <w:numFmt w:val="bullet"/>
      <w:lvlText w:val="•"/>
      <w:lvlJc w:val="left"/>
      <w:pPr>
        <w:ind w:left="1124" w:hanging="244"/>
      </w:pPr>
      <w:rPr>
        <w:rFonts w:hint="default"/>
      </w:rPr>
    </w:lvl>
    <w:lvl w:ilvl="4">
      <w:start w:val="0"/>
      <w:numFmt w:val="bullet"/>
      <w:lvlText w:val="•"/>
      <w:lvlJc w:val="left"/>
      <w:pPr>
        <w:ind w:left="1399" w:hanging="244"/>
      </w:pPr>
      <w:rPr>
        <w:rFonts w:hint="default"/>
      </w:rPr>
    </w:lvl>
    <w:lvl w:ilvl="5">
      <w:start w:val="0"/>
      <w:numFmt w:val="bullet"/>
      <w:lvlText w:val="•"/>
      <w:lvlJc w:val="left"/>
      <w:pPr>
        <w:ind w:left="1674" w:hanging="244"/>
      </w:pPr>
      <w:rPr>
        <w:rFonts w:hint="default"/>
      </w:rPr>
    </w:lvl>
    <w:lvl w:ilvl="6">
      <w:start w:val="0"/>
      <w:numFmt w:val="bullet"/>
      <w:lvlText w:val="•"/>
      <w:lvlJc w:val="left"/>
      <w:pPr>
        <w:ind w:left="1948" w:hanging="244"/>
      </w:pPr>
      <w:rPr>
        <w:rFonts w:hint="default"/>
      </w:rPr>
    </w:lvl>
    <w:lvl w:ilvl="7">
      <w:start w:val="0"/>
      <w:numFmt w:val="bullet"/>
      <w:lvlText w:val="•"/>
      <w:lvlJc w:val="left"/>
      <w:pPr>
        <w:ind w:left="2223" w:hanging="244"/>
      </w:pPr>
      <w:rPr>
        <w:rFonts w:hint="default"/>
      </w:rPr>
    </w:lvl>
    <w:lvl w:ilvl="8">
      <w:start w:val="0"/>
      <w:numFmt w:val="bullet"/>
      <w:lvlText w:val="•"/>
      <w:lvlJc w:val="left"/>
      <w:pPr>
        <w:ind w:left="2498" w:hanging="244"/>
      </w:pPr>
      <w:rPr>
        <w:rFonts w:hint="default"/>
      </w:rPr>
    </w:lvl>
  </w:abstractNum>
  <w:abstractNum w:abstractNumId="199">
    <w:multiLevelType w:val="hybridMultilevel"/>
    <w:lvl w:ilvl="0">
      <w:start w:val="1"/>
      <w:numFmt w:val="decimal"/>
      <w:lvlText w:val="%1."/>
      <w:lvlJc w:val="left"/>
      <w:pPr>
        <w:ind w:left="1116" w:hanging="233"/>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100" w:hanging="233"/>
      </w:pPr>
      <w:rPr>
        <w:rFonts w:hint="default"/>
      </w:rPr>
    </w:lvl>
    <w:lvl w:ilvl="2">
      <w:start w:val="0"/>
      <w:numFmt w:val="bullet"/>
      <w:lvlText w:val="•"/>
      <w:lvlJc w:val="left"/>
      <w:pPr>
        <w:ind w:left="3080" w:hanging="233"/>
      </w:pPr>
      <w:rPr>
        <w:rFonts w:hint="default"/>
      </w:rPr>
    </w:lvl>
    <w:lvl w:ilvl="3">
      <w:start w:val="0"/>
      <w:numFmt w:val="bullet"/>
      <w:lvlText w:val="•"/>
      <w:lvlJc w:val="left"/>
      <w:pPr>
        <w:ind w:left="4061" w:hanging="233"/>
      </w:pPr>
      <w:rPr>
        <w:rFonts w:hint="default"/>
      </w:rPr>
    </w:lvl>
    <w:lvl w:ilvl="4">
      <w:start w:val="0"/>
      <w:numFmt w:val="bullet"/>
      <w:lvlText w:val="•"/>
      <w:lvlJc w:val="left"/>
      <w:pPr>
        <w:ind w:left="5041" w:hanging="233"/>
      </w:pPr>
      <w:rPr>
        <w:rFonts w:hint="default"/>
      </w:rPr>
    </w:lvl>
    <w:lvl w:ilvl="5">
      <w:start w:val="0"/>
      <w:numFmt w:val="bullet"/>
      <w:lvlText w:val="•"/>
      <w:lvlJc w:val="left"/>
      <w:pPr>
        <w:ind w:left="6022" w:hanging="233"/>
      </w:pPr>
      <w:rPr>
        <w:rFonts w:hint="default"/>
      </w:rPr>
    </w:lvl>
    <w:lvl w:ilvl="6">
      <w:start w:val="0"/>
      <w:numFmt w:val="bullet"/>
      <w:lvlText w:val="•"/>
      <w:lvlJc w:val="left"/>
      <w:pPr>
        <w:ind w:left="7002" w:hanging="233"/>
      </w:pPr>
      <w:rPr>
        <w:rFonts w:hint="default"/>
      </w:rPr>
    </w:lvl>
    <w:lvl w:ilvl="7">
      <w:start w:val="0"/>
      <w:numFmt w:val="bullet"/>
      <w:lvlText w:val="•"/>
      <w:lvlJc w:val="left"/>
      <w:pPr>
        <w:ind w:left="7983" w:hanging="233"/>
      </w:pPr>
      <w:rPr>
        <w:rFonts w:hint="default"/>
      </w:rPr>
    </w:lvl>
    <w:lvl w:ilvl="8">
      <w:start w:val="0"/>
      <w:numFmt w:val="bullet"/>
      <w:lvlText w:val="•"/>
      <w:lvlJc w:val="left"/>
      <w:pPr>
        <w:ind w:left="8963" w:hanging="233"/>
      </w:pPr>
      <w:rPr>
        <w:rFonts w:hint="default"/>
      </w:rPr>
    </w:lvl>
  </w:abstractNum>
  <w:abstractNum w:abstractNumId="198">
    <w:multiLevelType w:val="hybridMultilevel"/>
    <w:lvl w:ilvl="0">
      <w:start w:val="1"/>
      <w:numFmt w:val="decimal"/>
      <w:lvlText w:val="%1."/>
      <w:lvlJc w:val="left"/>
      <w:pPr>
        <w:ind w:left="1116" w:hanging="233"/>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100" w:hanging="233"/>
      </w:pPr>
      <w:rPr>
        <w:rFonts w:hint="default"/>
      </w:rPr>
    </w:lvl>
    <w:lvl w:ilvl="2">
      <w:start w:val="0"/>
      <w:numFmt w:val="bullet"/>
      <w:lvlText w:val="•"/>
      <w:lvlJc w:val="left"/>
      <w:pPr>
        <w:ind w:left="3080" w:hanging="233"/>
      </w:pPr>
      <w:rPr>
        <w:rFonts w:hint="default"/>
      </w:rPr>
    </w:lvl>
    <w:lvl w:ilvl="3">
      <w:start w:val="0"/>
      <w:numFmt w:val="bullet"/>
      <w:lvlText w:val="•"/>
      <w:lvlJc w:val="left"/>
      <w:pPr>
        <w:ind w:left="4061" w:hanging="233"/>
      </w:pPr>
      <w:rPr>
        <w:rFonts w:hint="default"/>
      </w:rPr>
    </w:lvl>
    <w:lvl w:ilvl="4">
      <w:start w:val="0"/>
      <w:numFmt w:val="bullet"/>
      <w:lvlText w:val="•"/>
      <w:lvlJc w:val="left"/>
      <w:pPr>
        <w:ind w:left="5041" w:hanging="233"/>
      </w:pPr>
      <w:rPr>
        <w:rFonts w:hint="default"/>
      </w:rPr>
    </w:lvl>
    <w:lvl w:ilvl="5">
      <w:start w:val="0"/>
      <w:numFmt w:val="bullet"/>
      <w:lvlText w:val="•"/>
      <w:lvlJc w:val="left"/>
      <w:pPr>
        <w:ind w:left="6022" w:hanging="233"/>
      </w:pPr>
      <w:rPr>
        <w:rFonts w:hint="default"/>
      </w:rPr>
    </w:lvl>
    <w:lvl w:ilvl="6">
      <w:start w:val="0"/>
      <w:numFmt w:val="bullet"/>
      <w:lvlText w:val="•"/>
      <w:lvlJc w:val="left"/>
      <w:pPr>
        <w:ind w:left="7002" w:hanging="233"/>
      </w:pPr>
      <w:rPr>
        <w:rFonts w:hint="default"/>
      </w:rPr>
    </w:lvl>
    <w:lvl w:ilvl="7">
      <w:start w:val="0"/>
      <w:numFmt w:val="bullet"/>
      <w:lvlText w:val="•"/>
      <w:lvlJc w:val="left"/>
      <w:pPr>
        <w:ind w:left="7983" w:hanging="233"/>
      </w:pPr>
      <w:rPr>
        <w:rFonts w:hint="default"/>
      </w:rPr>
    </w:lvl>
    <w:lvl w:ilvl="8">
      <w:start w:val="0"/>
      <w:numFmt w:val="bullet"/>
      <w:lvlText w:val="•"/>
      <w:lvlJc w:val="left"/>
      <w:pPr>
        <w:ind w:left="8963" w:hanging="233"/>
      </w:pPr>
      <w:rPr>
        <w:rFonts w:hint="default"/>
      </w:rPr>
    </w:lvl>
  </w:abstractNum>
  <w:abstractNum w:abstractNumId="197">
    <w:multiLevelType w:val="hybridMultilevel"/>
    <w:lvl w:ilvl="0">
      <w:start w:val="1"/>
      <w:numFmt w:val="decimal"/>
      <w:lvlText w:val="%1."/>
      <w:lvlJc w:val="left"/>
      <w:pPr>
        <w:ind w:left="1302" w:hanging="279"/>
        <w:jc w:val="left"/>
      </w:pPr>
      <w:rPr>
        <w:rFonts w:hint="default" w:ascii="Arial Unicode MS" w:hAnsi="Arial Unicode MS" w:eastAsia="Arial Unicode MS" w:cs="Arial Unicode MS"/>
        <w:color w:val="231F20"/>
        <w:w w:val="84"/>
        <w:sz w:val="23"/>
        <w:szCs w:val="23"/>
      </w:rPr>
    </w:lvl>
    <w:lvl w:ilvl="1">
      <w:start w:val="0"/>
      <w:numFmt w:val="bullet"/>
      <w:lvlText w:val="•"/>
      <w:lvlJc w:val="left"/>
      <w:pPr>
        <w:ind w:left="2262" w:hanging="279"/>
      </w:pPr>
      <w:rPr>
        <w:rFonts w:hint="default"/>
      </w:rPr>
    </w:lvl>
    <w:lvl w:ilvl="2">
      <w:start w:val="0"/>
      <w:numFmt w:val="bullet"/>
      <w:lvlText w:val="•"/>
      <w:lvlJc w:val="left"/>
      <w:pPr>
        <w:ind w:left="3224" w:hanging="279"/>
      </w:pPr>
      <w:rPr>
        <w:rFonts w:hint="default"/>
      </w:rPr>
    </w:lvl>
    <w:lvl w:ilvl="3">
      <w:start w:val="0"/>
      <w:numFmt w:val="bullet"/>
      <w:lvlText w:val="•"/>
      <w:lvlJc w:val="left"/>
      <w:pPr>
        <w:ind w:left="4187" w:hanging="279"/>
      </w:pPr>
      <w:rPr>
        <w:rFonts w:hint="default"/>
      </w:rPr>
    </w:lvl>
    <w:lvl w:ilvl="4">
      <w:start w:val="0"/>
      <w:numFmt w:val="bullet"/>
      <w:lvlText w:val="•"/>
      <w:lvlJc w:val="left"/>
      <w:pPr>
        <w:ind w:left="5149" w:hanging="279"/>
      </w:pPr>
      <w:rPr>
        <w:rFonts w:hint="default"/>
      </w:rPr>
    </w:lvl>
    <w:lvl w:ilvl="5">
      <w:start w:val="0"/>
      <w:numFmt w:val="bullet"/>
      <w:lvlText w:val="•"/>
      <w:lvlJc w:val="left"/>
      <w:pPr>
        <w:ind w:left="6112" w:hanging="279"/>
      </w:pPr>
      <w:rPr>
        <w:rFonts w:hint="default"/>
      </w:rPr>
    </w:lvl>
    <w:lvl w:ilvl="6">
      <w:start w:val="0"/>
      <w:numFmt w:val="bullet"/>
      <w:lvlText w:val="•"/>
      <w:lvlJc w:val="left"/>
      <w:pPr>
        <w:ind w:left="7074" w:hanging="279"/>
      </w:pPr>
      <w:rPr>
        <w:rFonts w:hint="default"/>
      </w:rPr>
    </w:lvl>
    <w:lvl w:ilvl="7">
      <w:start w:val="0"/>
      <w:numFmt w:val="bullet"/>
      <w:lvlText w:val="•"/>
      <w:lvlJc w:val="left"/>
      <w:pPr>
        <w:ind w:left="8037" w:hanging="279"/>
      </w:pPr>
      <w:rPr>
        <w:rFonts w:hint="default"/>
      </w:rPr>
    </w:lvl>
    <w:lvl w:ilvl="8">
      <w:start w:val="0"/>
      <w:numFmt w:val="bullet"/>
      <w:lvlText w:val="•"/>
      <w:lvlJc w:val="left"/>
      <w:pPr>
        <w:ind w:left="8999" w:hanging="279"/>
      </w:pPr>
      <w:rPr>
        <w:rFonts w:hint="default"/>
      </w:rPr>
    </w:lvl>
  </w:abstractNum>
  <w:abstractNum w:abstractNumId="196">
    <w:multiLevelType w:val="hybridMultilevel"/>
    <w:lvl w:ilvl="0">
      <w:start w:val="1"/>
      <w:numFmt w:val="decimal"/>
      <w:lvlText w:val="%1."/>
      <w:lvlJc w:val="left"/>
      <w:pPr>
        <w:ind w:left="367" w:hanging="256"/>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65" w:hanging="256"/>
      </w:pPr>
      <w:rPr>
        <w:rFonts w:hint="default"/>
      </w:rPr>
    </w:lvl>
    <w:lvl w:ilvl="2">
      <w:start w:val="0"/>
      <w:numFmt w:val="bullet"/>
      <w:lvlText w:val="•"/>
      <w:lvlJc w:val="left"/>
      <w:pPr>
        <w:ind w:left="970" w:hanging="256"/>
      </w:pPr>
      <w:rPr>
        <w:rFonts w:hint="default"/>
      </w:rPr>
    </w:lvl>
    <w:lvl w:ilvl="3">
      <w:start w:val="0"/>
      <w:numFmt w:val="bullet"/>
      <w:lvlText w:val="•"/>
      <w:lvlJc w:val="left"/>
      <w:pPr>
        <w:ind w:left="1275" w:hanging="256"/>
      </w:pPr>
      <w:rPr>
        <w:rFonts w:hint="default"/>
      </w:rPr>
    </w:lvl>
    <w:lvl w:ilvl="4">
      <w:start w:val="0"/>
      <w:numFmt w:val="bullet"/>
      <w:lvlText w:val="•"/>
      <w:lvlJc w:val="left"/>
      <w:pPr>
        <w:ind w:left="1580" w:hanging="256"/>
      </w:pPr>
      <w:rPr>
        <w:rFonts w:hint="default"/>
      </w:rPr>
    </w:lvl>
    <w:lvl w:ilvl="5">
      <w:start w:val="0"/>
      <w:numFmt w:val="bullet"/>
      <w:lvlText w:val="•"/>
      <w:lvlJc w:val="left"/>
      <w:pPr>
        <w:ind w:left="1886" w:hanging="256"/>
      </w:pPr>
      <w:rPr>
        <w:rFonts w:hint="default"/>
      </w:rPr>
    </w:lvl>
    <w:lvl w:ilvl="6">
      <w:start w:val="0"/>
      <w:numFmt w:val="bullet"/>
      <w:lvlText w:val="•"/>
      <w:lvlJc w:val="left"/>
      <w:pPr>
        <w:ind w:left="2191" w:hanging="256"/>
      </w:pPr>
      <w:rPr>
        <w:rFonts w:hint="default"/>
      </w:rPr>
    </w:lvl>
    <w:lvl w:ilvl="7">
      <w:start w:val="0"/>
      <w:numFmt w:val="bullet"/>
      <w:lvlText w:val="•"/>
      <w:lvlJc w:val="left"/>
      <w:pPr>
        <w:ind w:left="2496" w:hanging="256"/>
      </w:pPr>
      <w:rPr>
        <w:rFonts w:hint="default"/>
      </w:rPr>
    </w:lvl>
    <w:lvl w:ilvl="8">
      <w:start w:val="0"/>
      <w:numFmt w:val="bullet"/>
      <w:lvlText w:val="•"/>
      <w:lvlJc w:val="left"/>
      <w:pPr>
        <w:ind w:left="2801" w:hanging="256"/>
      </w:pPr>
      <w:rPr>
        <w:rFonts w:hint="default"/>
      </w:rPr>
    </w:lvl>
  </w:abstractNum>
  <w:abstractNum w:abstractNumId="195">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665" w:hanging="255"/>
      </w:pPr>
      <w:rPr>
        <w:rFonts w:hint="default"/>
      </w:rPr>
    </w:lvl>
    <w:lvl w:ilvl="2">
      <w:start w:val="0"/>
      <w:numFmt w:val="bullet"/>
      <w:lvlText w:val="•"/>
      <w:lvlJc w:val="left"/>
      <w:pPr>
        <w:ind w:left="970" w:hanging="255"/>
      </w:pPr>
      <w:rPr>
        <w:rFonts w:hint="default"/>
      </w:rPr>
    </w:lvl>
    <w:lvl w:ilvl="3">
      <w:start w:val="0"/>
      <w:numFmt w:val="bullet"/>
      <w:lvlText w:val="•"/>
      <w:lvlJc w:val="left"/>
      <w:pPr>
        <w:ind w:left="1275" w:hanging="255"/>
      </w:pPr>
      <w:rPr>
        <w:rFonts w:hint="default"/>
      </w:rPr>
    </w:lvl>
    <w:lvl w:ilvl="4">
      <w:start w:val="0"/>
      <w:numFmt w:val="bullet"/>
      <w:lvlText w:val="•"/>
      <w:lvlJc w:val="left"/>
      <w:pPr>
        <w:ind w:left="1580" w:hanging="255"/>
      </w:pPr>
      <w:rPr>
        <w:rFonts w:hint="default"/>
      </w:rPr>
    </w:lvl>
    <w:lvl w:ilvl="5">
      <w:start w:val="0"/>
      <w:numFmt w:val="bullet"/>
      <w:lvlText w:val="•"/>
      <w:lvlJc w:val="left"/>
      <w:pPr>
        <w:ind w:left="1886" w:hanging="255"/>
      </w:pPr>
      <w:rPr>
        <w:rFonts w:hint="default"/>
      </w:rPr>
    </w:lvl>
    <w:lvl w:ilvl="6">
      <w:start w:val="0"/>
      <w:numFmt w:val="bullet"/>
      <w:lvlText w:val="•"/>
      <w:lvlJc w:val="left"/>
      <w:pPr>
        <w:ind w:left="2191" w:hanging="255"/>
      </w:pPr>
      <w:rPr>
        <w:rFonts w:hint="default"/>
      </w:rPr>
    </w:lvl>
    <w:lvl w:ilvl="7">
      <w:start w:val="0"/>
      <w:numFmt w:val="bullet"/>
      <w:lvlText w:val="•"/>
      <w:lvlJc w:val="left"/>
      <w:pPr>
        <w:ind w:left="2496" w:hanging="255"/>
      </w:pPr>
      <w:rPr>
        <w:rFonts w:hint="default"/>
      </w:rPr>
    </w:lvl>
    <w:lvl w:ilvl="8">
      <w:start w:val="0"/>
      <w:numFmt w:val="bullet"/>
      <w:lvlText w:val="•"/>
      <w:lvlJc w:val="left"/>
      <w:pPr>
        <w:ind w:left="2801" w:hanging="255"/>
      </w:pPr>
      <w:rPr>
        <w:rFonts w:hint="default"/>
      </w:rPr>
    </w:lvl>
  </w:abstractNum>
  <w:abstractNum w:abstractNumId="194">
    <w:multiLevelType w:val="hybridMultilevel"/>
    <w:lvl w:ilvl="0">
      <w:start w:val="1"/>
      <w:numFmt w:val="decimal"/>
      <w:lvlText w:val="%1."/>
      <w:lvlJc w:val="left"/>
      <w:pPr>
        <w:ind w:left="323" w:hanging="323"/>
        <w:jc w:val="left"/>
      </w:pPr>
      <w:rPr>
        <w:rFonts w:hint="default" w:ascii="Arial Unicode MS" w:hAnsi="Arial Unicode MS" w:eastAsia="Arial Unicode MS" w:cs="Arial Unicode MS"/>
        <w:color w:val="231F20"/>
        <w:spacing w:val="0"/>
        <w:w w:val="97"/>
        <w:sz w:val="20"/>
        <w:szCs w:val="20"/>
      </w:rPr>
    </w:lvl>
    <w:lvl w:ilvl="1">
      <w:start w:val="0"/>
      <w:numFmt w:val="bullet"/>
      <w:lvlText w:val="•"/>
      <w:lvlJc w:val="left"/>
      <w:pPr>
        <w:ind w:left="634" w:hanging="323"/>
      </w:pPr>
      <w:rPr>
        <w:rFonts w:hint="default"/>
      </w:rPr>
    </w:lvl>
    <w:lvl w:ilvl="2">
      <w:start w:val="0"/>
      <w:numFmt w:val="bullet"/>
      <w:lvlText w:val="•"/>
      <w:lvlJc w:val="left"/>
      <w:pPr>
        <w:ind w:left="949" w:hanging="323"/>
      </w:pPr>
      <w:rPr>
        <w:rFonts w:hint="default"/>
      </w:rPr>
    </w:lvl>
    <w:lvl w:ilvl="3">
      <w:start w:val="0"/>
      <w:numFmt w:val="bullet"/>
      <w:lvlText w:val="•"/>
      <w:lvlJc w:val="left"/>
      <w:pPr>
        <w:ind w:left="1264" w:hanging="323"/>
      </w:pPr>
      <w:rPr>
        <w:rFonts w:hint="default"/>
      </w:rPr>
    </w:lvl>
    <w:lvl w:ilvl="4">
      <w:start w:val="0"/>
      <w:numFmt w:val="bullet"/>
      <w:lvlText w:val="•"/>
      <w:lvlJc w:val="left"/>
      <w:pPr>
        <w:ind w:left="1579" w:hanging="323"/>
      </w:pPr>
      <w:rPr>
        <w:rFonts w:hint="default"/>
      </w:rPr>
    </w:lvl>
    <w:lvl w:ilvl="5">
      <w:start w:val="0"/>
      <w:numFmt w:val="bullet"/>
      <w:lvlText w:val="•"/>
      <w:lvlJc w:val="left"/>
      <w:pPr>
        <w:ind w:left="1894" w:hanging="323"/>
      </w:pPr>
      <w:rPr>
        <w:rFonts w:hint="default"/>
      </w:rPr>
    </w:lvl>
    <w:lvl w:ilvl="6">
      <w:start w:val="0"/>
      <w:numFmt w:val="bullet"/>
      <w:lvlText w:val="•"/>
      <w:lvlJc w:val="left"/>
      <w:pPr>
        <w:ind w:left="2208" w:hanging="323"/>
      </w:pPr>
      <w:rPr>
        <w:rFonts w:hint="default"/>
      </w:rPr>
    </w:lvl>
    <w:lvl w:ilvl="7">
      <w:start w:val="0"/>
      <w:numFmt w:val="bullet"/>
      <w:lvlText w:val="•"/>
      <w:lvlJc w:val="left"/>
      <w:pPr>
        <w:ind w:left="2523" w:hanging="323"/>
      </w:pPr>
      <w:rPr>
        <w:rFonts w:hint="default"/>
      </w:rPr>
    </w:lvl>
    <w:lvl w:ilvl="8">
      <w:start w:val="0"/>
      <w:numFmt w:val="bullet"/>
      <w:lvlText w:val="•"/>
      <w:lvlJc w:val="left"/>
      <w:pPr>
        <w:ind w:left="2838" w:hanging="323"/>
      </w:pPr>
      <w:rPr>
        <w:rFonts w:hint="default"/>
      </w:rPr>
    </w:lvl>
  </w:abstractNum>
  <w:abstractNum w:abstractNumId="193">
    <w:multiLevelType w:val="hybridMultilevel"/>
    <w:lvl w:ilvl="0">
      <w:start w:val="1"/>
      <w:numFmt w:val="decimal"/>
      <w:lvlText w:val="%1."/>
      <w:lvlJc w:val="left"/>
      <w:pPr>
        <w:ind w:left="318" w:hanging="319"/>
        <w:jc w:val="left"/>
      </w:pPr>
      <w:rPr>
        <w:rFonts w:hint="default" w:ascii="Arial Unicode MS" w:hAnsi="Arial Unicode MS" w:eastAsia="Arial Unicode MS" w:cs="Arial Unicode MS"/>
        <w:color w:val="231F20"/>
        <w:spacing w:val="0"/>
        <w:w w:val="97"/>
        <w:sz w:val="20"/>
        <w:szCs w:val="20"/>
      </w:rPr>
    </w:lvl>
    <w:lvl w:ilvl="1">
      <w:start w:val="0"/>
      <w:numFmt w:val="bullet"/>
      <w:lvlText w:val="•"/>
      <w:lvlJc w:val="left"/>
      <w:pPr>
        <w:ind w:left="671" w:hanging="319"/>
      </w:pPr>
      <w:rPr>
        <w:rFonts w:hint="default"/>
      </w:rPr>
    </w:lvl>
    <w:lvl w:ilvl="2">
      <w:start w:val="0"/>
      <w:numFmt w:val="bullet"/>
      <w:lvlText w:val="•"/>
      <w:lvlJc w:val="left"/>
      <w:pPr>
        <w:ind w:left="1023" w:hanging="319"/>
      </w:pPr>
      <w:rPr>
        <w:rFonts w:hint="default"/>
      </w:rPr>
    </w:lvl>
    <w:lvl w:ilvl="3">
      <w:start w:val="0"/>
      <w:numFmt w:val="bullet"/>
      <w:lvlText w:val="•"/>
      <w:lvlJc w:val="left"/>
      <w:pPr>
        <w:ind w:left="1375" w:hanging="319"/>
      </w:pPr>
      <w:rPr>
        <w:rFonts w:hint="default"/>
      </w:rPr>
    </w:lvl>
    <w:lvl w:ilvl="4">
      <w:start w:val="0"/>
      <w:numFmt w:val="bullet"/>
      <w:lvlText w:val="•"/>
      <w:lvlJc w:val="left"/>
      <w:pPr>
        <w:ind w:left="1727" w:hanging="319"/>
      </w:pPr>
      <w:rPr>
        <w:rFonts w:hint="default"/>
      </w:rPr>
    </w:lvl>
    <w:lvl w:ilvl="5">
      <w:start w:val="0"/>
      <w:numFmt w:val="bullet"/>
      <w:lvlText w:val="•"/>
      <w:lvlJc w:val="left"/>
      <w:pPr>
        <w:ind w:left="2079" w:hanging="319"/>
      </w:pPr>
      <w:rPr>
        <w:rFonts w:hint="default"/>
      </w:rPr>
    </w:lvl>
    <w:lvl w:ilvl="6">
      <w:start w:val="0"/>
      <w:numFmt w:val="bullet"/>
      <w:lvlText w:val="•"/>
      <w:lvlJc w:val="left"/>
      <w:pPr>
        <w:ind w:left="2431" w:hanging="319"/>
      </w:pPr>
      <w:rPr>
        <w:rFonts w:hint="default"/>
      </w:rPr>
    </w:lvl>
    <w:lvl w:ilvl="7">
      <w:start w:val="0"/>
      <w:numFmt w:val="bullet"/>
      <w:lvlText w:val="•"/>
      <w:lvlJc w:val="left"/>
      <w:pPr>
        <w:ind w:left="2783" w:hanging="319"/>
      </w:pPr>
      <w:rPr>
        <w:rFonts w:hint="default"/>
      </w:rPr>
    </w:lvl>
    <w:lvl w:ilvl="8">
      <w:start w:val="0"/>
      <w:numFmt w:val="bullet"/>
      <w:lvlText w:val="•"/>
      <w:lvlJc w:val="left"/>
      <w:pPr>
        <w:ind w:left="3134" w:hanging="319"/>
      </w:pPr>
      <w:rPr>
        <w:rFonts w:hint="default"/>
      </w:rPr>
    </w:lvl>
  </w:abstractNum>
  <w:abstractNum w:abstractNumId="192">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116" w:hanging="244"/>
      </w:pPr>
      <w:rPr>
        <w:rFonts w:hint="default"/>
      </w:rPr>
    </w:lvl>
    <w:lvl w:ilvl="2">
      <w:start w:val="0"/>
      <w:numFmt w:val="bullet"/>
      <w:lvlText w:val="•"/>
      <w:lvlJc w:val="left"/>
      <w:pPr>
        <w:ind w:left="1873" w:hanging="244"/>
      </w:pPr>
      <w:rPr>
        <w:rFonts w:hint="default"/>
      </w:rPr>
    </w:lvl>
    <w:lvl w:ilvl="3">
      <w:start w:val="0"/>
      <w:numFmt w:val="bullet"/>
      <w:lvlText w:val="•"/>
      <w:lvlJc w:val="left"/>
      <w:pPr>
        <w:ind w:left="2629" w:hanging="244"/>
      </w:pPr>
      <w:rPr>
        <w:rFonts w:hint="default"/>
      </w:rPr>
    </w:lvl>
    <w:lvl w:ilvl="4">
      <w:start w:val="0"/>
      <w:numFmt w:val="bullet"/>
      <w:lvlText w:val="•"/>
      <w:lvlJc w:val="left"/>
      <w:pPr>
        <w:ind w:left="3386" w:hanging="244"/>
      </w:pPr>
      <w:rPr>
        <w:rFonts w:hint="default"/>
      </w:rPr>
    </w:lvl>
    <w:lvl w:ilvl="5">
      <w:start w:val="0"/>
      <w:numFmt w:val="bullet"/>
      <w:lvlText w:val="•"/>
      <w:lvlJc w:val="left"/>
      <w:pPr>
        <w:ind w:left="4143" w:hanging="244"/>
      </w:pPr>
      <w:rPr>
        <w:rFonts w:hint="default"/>
      </w:rPr>
    </w:lvl>
    <w:lvl w:ilvl="6">
      <w:start w:val="0"/>
      <w:numFmt w:val="bullet"/>
      <w:lvlText w:val="•"/>
      <w:lvlJc w:val="left"/>
      <w:pPr>
        <w:ind w:left="4899" w:hanging="244"/>
      </w:pPr>
      <w:rPr>
        <w:rFonts w:hint="default"/>
      </w:rPr>
    </w:lvl>
    <w:lvl w:ilvl="7">
      <w:start w:val="0"/>
      <w:numFmt w:val="bullet"/>
      <w:lvlText w:val="•"/>
      <w:lvlJc w:val="left"/>
      <w:pPr>
        <w:ind w:left="5656" w:hanging="244"/>
      </w:pPr>
      <w:rPr>
        <w:rFonts w:hint="default"/>
      </w:rPr>
    </w:lvl>
    <w:lvl w:ilvl="8">
      <w:start w:val="0"/>
      <w:numFmt w:val="bullet"/>
      <w:lvlText w:val="•"/>
      <w:lvlJc w:val="left"/>
      <w:pPr>
        <w:ind w:left="6412" w:hanging="244"/>
      </w:pPr>
      <w:rPr>
        <w:rFonts w:hint="default"/>
      </w:rPr>
    </w:lvl>
  </w:abstractNum>
  <w:abstractNum w:abstractNumId="191">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116" w:hanging="244"/>
      </w:pPr>
      <w:rPr>
        <w:rFonts w:hint="default"/>
      </w:rPr>
    </w:lvl>
    <w:lvl w:ilvl="2">
      <w:start w:val="0"/>
      <w:numFmt w:val="bullet"/>
      <w:lvlText w:val="•"/>
      <w:lvlJc w:val="left"/>
      <w:pPr>
        <w:ind w:left="1873" w:hanging="244"/>
      </w:pPr>
      <w:rPr>
        <w:rFonts w:hint="default"/>
      </w:rPr>
    </w:lvl>
    <w:lvl w:ilvl="3">
      <w:start w:val="0"/>
      <w:numFmt w:val="bullet"/>
      <w:lvlText w:val="•"/>
      <w:lvlJc w:val="left"/>
      <w:pPr>
        <w:ind w:left="2629" w:hanging="244"/>
      </w:pPr>
      <w:rPr>
        <w:rFonts w:hint="default"/>
      </w:rPr>
    </w:lvl>
    <w:lvl w:ilvl="4">
      <w:start w:val="0"/>
      <w:numFmt w:val="bullet"/>
      <w:lvlText w:val="•"/>
      <w:lvlJc w:val="left"/>
      <w:pPr>
        <w:ind w:left="3386" w:hanging="244"/>
      </w:pPr>
      <w:rPr>
        <w:rFonts w:hint="default"/>
      </w:rPr>
    </w:lvl>
    <w:lvl w:ilvl="5">
      <w:start w:val="0"/>
      <w:numFmt w:val="bullet"/>
      <w:lvlText w:val="•"/>
      <w:lvlJc w:val="left"/>
      <w:pPr>
        <w:ind w:left="4143" w:hanging="244"/>
      </w:pPr>
      <w:rPr>
        <w:rFonts w:hint="default"/>
      </w:rPr>
    </w:lvl>
    <w:lvl w:ilvl="6">
      <w:start w:val="0"/>
      <w:numFmt w:val="bullet"/>
      <w:lvlText w:val="•"/>
      <w:lvlJc w:val="left"/>
      <w:pPr>
        <w:ind w:left="4899" w:hanging="244"/>
      </w:pPr>
      <w:rPr>
        <w:rFonts w:hint="default"/>
      </w:rPr>
    </w:lvl>
    <w:lvl w:ilvl="7">
      <w:start w:val="0"/>
      <w:numFmt w:val="bullet"/>
      <w:lvlText w:val="•"/>
      <w:lvlJc w:val="left"/>
      <w:pPr>
        <w:ind w:left="5656" w:hanging="244"/>
      </w:pPr>
      <w:rPr>
        <w:rFonts w:hint="default"/>
      </w:rPr>
    </w:lvl>
    <w:lvl w:ilvl="8">
      <w:start w:val="0"/>
      <w:numFmt w:val="bullet"/>
      <w:lvlText w:val="•"/>
      <w:lvlJc w:val="left"/>
      <w:pPr>
        <w:ind w:left="6412" w:hanging="244"/>
      </w:pPr>
      <w:rPr>
        <w:rFonts w:hint="default"/>
      </w:rPr>
    </w:lvl>
  </w:abstractNum>
  <w:abstractNum w:abstractNumId="190">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sz w:val="16"/>
        <w:szCs w:val="16"/>
      </w:rPr>
    </w:lvl>
    <w:lvl w:ilvl="1">
      <w:start w:val="0"/>
      <w:numFmt w:val="bullet"/>
      <w:lvlText w:val="•"/>
      <w:lvlJc w:val="left"/>
      <w:pPr>
        <w:ind w:left="1116" w:hanging="244"/>
      </w:pPr>
      <w:rPr>
        <w:rFonts w:hint="default"/>
      </w:rPr>
    </w:lvl>
    <w:lvl w:ilvl="2">
      <w:start w:val="0"/>
      <w:numFmt w:val="bullet"/>
      <w:lvlText w:val="•"/>
      <w:lvlJc w:val="left"/>
      <w:pPr>
        <w:ind w:left="1873" w:hanging="244"/>
      </w:pPr>
      <w:rPr>
        <w:rFonts w:hint="default"/>
      </w:rPr>
    </w:lvl>
    <w:lvl w:ilvl="3">
      <w:start w:val="0"/>
      <w:numFmt w:val="bullet"/>
      <w:lvlText w:val="•"/>
      <w:lvlJc w:val="left"/>
      <w:pPr>
        <w:ind w:left="2629" w:hanging="244"/>
      </w:pPr>
      <w:rPr>
        <w:rFonts w:hint="default"/>
      </w:rPr>
    </w:lvl>
    <w:lvl w:ilvl="4">
      <w:start w:val="0"/>
      <w:numFmt w:val="bullet"/>
      <w:lvlText w:val="•"/>
      <w:lvlJc w:val="left"/>
      <w:pPr>
        <w:ind w:left="3386" w:hanging="244"/>
      </w:pPr>
      <w:rPr>
        <w:rFonts w:hint="default"/>
      </w:rPr>
    </w:lvl>
    <w:lvl w:ilvl="5">
      <w:start w:val="0"/>
      <w:numFmt w:val="bullet"/>
      <w:lvlText w:val="•"/>
      <w:lvlJc w:val="left"/>
      <w:pPr>
        <w:ind w:left="4143" w:hanging="244"/>
      </w:pPr>
      <w:rPr>
        <w:rFonts w:hint="default"/>
      </w:rPr>
    </w:lvl>
    <w:lvl w:ilvl="6">
      <w:start w:val="0"/>
      <w:numFmt w:val="bullet"/>
      <w:lvlText w:val="•"/>
      <w:lvlJc w:val="left"/>
      <w:pPr>
        <w:ind w:left="4899" w:hanging="244"/>
      </w:pPr>
      <w:rPr>
        <w:rFonts w:hint="default"/>
      </w:rPr>
    </w:lvl>
    <w:lvl w:ilvl="7">
      <w:start w:val="0"/>
      <w:numFmt w:val="bullet"/>
      <w:lvlText w:val="•"/>
      <w:lvlJc w:val="left"/>
      <w:pPr>
        <w:ind w:left="5656" w:hanging="244"/>
      </w:pPr>
      <w:rPr>
        <w:rFonts w:hint="default"/>
      </w:rPr>
    </w:lvl>
    <w:lvl w:ilvl="8">
      <w:start w:val="0"/>
      <w:numFmt w:val="bullet"/>
      <w:lvlText w:val="•"/>
      <w:lvlJc w:val="left"/>
      <w:pPr>
        <w:ind w:left="6412" w:hanging="244"/>
      </w:pPr>
      <w:rPr>
        <w:rFonts w:hint="default"/>
      </w:rPr>
    </w:lvl>
  </w:abstractNum>
  <w:abstractNum w:abstractNumId="189">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1116" w:hanging="244"/>
      </w:pPr>
      <w:rPr>
        <w:rFonts w:hint="default"/>
      </w:rPr>
    </w:lvl>
    <w:lvl w:ilvl="2">
      <w:start w:val="0"/>
      <w:numFmt w:val="bullet"/>
      <w:lvlText w:val="•"/>
      <w:lvlJc w:val="left"/>
      <w:pPr>
        <w:ind w:left="1873" w:hanging="244"/>
      </w:pPr>
      <w:rPr>
        <w:rFonts w:hint="default"/>
      </w:rPr>
    </w:lvl>
    <w:lvl w:ilvl="3">
      <w:start w:val="0"/>
      <w:numFmt w:val="bullet"/>
      <w:lvlText w:val="•"/>
      <w:lvlJc w:val="left"/>
      <w:pPr>
        <w:ind w:left="2629" w:hanging="244"/>
      </w:pPr>
      <w:rPr>
        <w:rFonts w:hint="default"/>
      </w:rPr>
    </w:lvl>
    <w:lvl w:ilvl="4">
      <w:start w:val="0"/>
      <w:numFmt w:val="bullet"/>
      <w:lvlText w:val="•"/>
      <w:lvlJc w:val="left"/>
      <w:pPr>
        <w:ind w:left="3386" w:hanging="244"/>
      </w:pPr>
      <w:rPr>
        <w:rFonts w:hint="default"/>
      </w:rPr>
    </w:lvl>
    <w:lvl w:ilvl="5">
      <w:start w:val="0"/>
      <w:numFmt w:val="bullet"/>
      <w:lvlText w:val="•"/>
      <w:lvlJc w:val="left"/>
      <w:pPr>
        <w:ind w:left="4143" w:hanging="244"/>
      </w:pPr>
      <w:rPr>
        <w:rFonts w:hint="default"/>
      </w:rPr>
    </w:lvl>
    <w:lvl w:ilvl="6">
      <w:start w:val="0"/>
      <w:numFmt w:val="bullet"/>
      <w:lvlText w:val="•"/>
      <w:lvlJc w:val="left"/>
      <w:pPr>
        <w:ind w:left="4899" w:hanging="244"/>
      </w:pPr>
      <w:rPr>
        <w:rFonts w:hint="default"/>
      </w:rPr>
    </w:lvl>
    <w:lvl w:ilvl="7">
      <w:start w:val="0"/>
      <w:numFmt w:val="bullet"/>
      <w:lvlText w:val="•"/>
      <w:lvlJc w:val="left"/>
      <w:pPr>
        <w:ind w:left="5656" w:hanging="244"/>
      </w:pPr>
      <w:rPr>
        <w:rFonts w:hint="default"/>
      </w:rPr>
    </w:lvl>
    <w:lvl w:ilvl="8">
      <w:start w:val="0"/>
      <w:numFmt w:val="bullet"/>
      <w:lvlText w:val="•"/>
      <w:lvlJc w:val="left"/>
      <w:pPr>
        <w:ind w:left="6412" w:hanging="244"/>
      </w:pPr>
      <w:rPr>
        <w:rFonts w:hint="default"/>
      </w:rPr>
    </w:lvl>
  </w:abstractNum>
  <w:abstractNum w:abstractNumId="188">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4242" w:hanging="279"/>
      </w:pPr>
      <w:rPr>
        <w:rFonts w:hint="default" w:ascii="Wingdings" w:hAnsi="Wingdings" w:eastAsia="Wingdings" w:cs="Wingdings"/>
        <w:color w:val="231F20"/>
        <w:w w:val="102"/>
        <w:sz w:val="23"/>
        <w:szCs w:val="23"/>
      </w:rPr>
    </w:lvl>
    <w:lvl w:ilvl="2">
      <w:start w:val="0"/>
      <w:numFmt w:val="bullet"/>
      <w:lvlText w:val=""/>
      <w:lvlJc w:val="left"/>
      <w:pPr>
        <w:ind w:left="4658" w:hanging="278"/>
      </w:pPr>
      <w:rPr>
        <w:rFonts w:hint="default" w:ascii="Wingdings" w:hAnsi="Wingdings" w:eastAsia="Wingdings" w:cs="Wingdings"/>
        <w:color w:val="231F20"/>
        <w:w w:val="102"/>
        <w:sz w:val="23"/>
        <w:szCs w:val="23"/>
      </w:rPr>
    </w:lvl>
    <w:lvl w:ilvl="3">
      <w:start w:val="0"/>
      <w:numFmt w:val="bullet"/>
      <w:lvlText w:val="•"/>
      <w:lvlJc w:val="left"/>
      <w:pPr>
        <w:ind w:left="5443" w:hanging="278"/>
      </w:pPr>
      <w:rPr>
        <w:rFonts w:hint="default"/>
      </w:rPr>
    </w:lvl>
    <w:lvl w:ilvl="4">
      <w:start w:val="0"/>
      <w:numFmt w:val="bullet"/>
      <w:lvlText w:val="•"/>
      <w:lvlJc w:val="left"/>
      <w:pPr>
        <w:ind w:left="6226" w:hanging="278"/>
      </w:pPr>
      <w:rPr>
        <w:rFonts w:hint="default"/>
      </w:rPr>
    </w:lvl>
    <w:lvl w:ilvl="5">
      <w:start w:val="0"/>
      <w:numFmt w:val="bullet"/>
      <w:lvlText w:val="•"/>
      <w:lvlJc w:val="left"/>
      <w:pPr>
        <w:ind w:left="7009" w:hanging="278"/>
      </w:pPr>
      <w:rPr>
        <w:rFonts w:hint="default"/>
      </w:rPr>
    </w:lvl>
    <w:lvl w:ilvl="6">
      <w:start w:val="0"/>
      <w:numFmt w:val="bullet"/>
      <w:lvlText w:val="•"/>
      <w:lvlJc w:val="left"/>
      <w:pPr>
        <w:ind w:left="7792" w:hanging="278"/>
      </w:pPr>
      <w:rPr>
        <w:rFonts w:hint="default"/>
      </w:rPr>
    </w:lvl>
    <w:lvl w:ilvl="7">
      <w:start w:val="0"/>
      <w:numFmt w:val="bullet"/>
      <w:lvlText w:val="•"/>
      <w:lvlJc w:val="left"/>
      <w:pPr>
        <w:ind w:left="8575" w:hanging="278"/>
      </w:pPr>
      <w:rPr>
        <w:rFonts w:hint="default"/>
      </w:rPr>
    </w:lvl>
    <w:lvl w:ilvl="8">
      <w:start w:val="0"/>
      <w:numFmt w:val="bullet"/>
      <w:lvlText w:val="•"/>
      <w:lvlJc w:val="left"/>
      <w:pPr>
        <w:ind w:left="9358" w:hanging="278"/>
      </w:pPr>
      <w:rPr>
        <w:rFonts w:hint="default"/>
      </w:rPr>
    </w:lvl>
  </w:abstractNum>
  <w:abstractNum w:abstractNumId="186">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27" w:hanging="244"/>
      </w:pPr>
      <w:rPr>
        <w:rFonts w:hint="default"/>
      </w:rPr>
    </w:lvl>
    <w:lvl w:ilvl="2">
      <w:start w:val="0"/>
      <w:numFmt w:val="bullet"/>
      <w:lvlText w:val="•"/>
      <w:lvlJc w:val="left"/>
      <w:pPr>
        <w:ind w:left="895" w:hanging="244"/>
      </w:pPr>
      <w:rPr>
        <w:rFonts w:hint="default"/>
      </w:rPr>
    </w:lvl>
    <w:lvl w:ilvl="3">
      <w:start w:val="0"/>
      <w:numFmt w:val="bullet"/>
      <w:lvlText w:val="•"/>
      <w:lvlJc w:val="left"/>
      <w:pPr>
        <w:ind w:left="1163" w:hanging="244"/>
      </w:pPr>
      <w:rPr>
        <w:rFonts w:hint="default"/>
      </w:rPr>
    </w:lvl>
    <w:lvl w:ilvl="4">
      <w:start w:val="0"/>
      <w:numFmt w:val="bullet"/>
      <w:lvlText w:val="•"/>
      <w:lvlJc w:val="left"/>
      <w:pPr>
        <w:ind w:left="1431" w:hanging="244"/>
      </w:pPr>
      <w:rPr>
        <w:rFonts w:hint="default"/>
      </w:rPr>
    </w:lvl>
    <w:lvl w:ilvl="5">
      <w:start w:val="0"/>
      <w:numFmt w:val="bullet"/>
      <w:lvlText w:val="•"/>
      <w:lvlJc w:val="left"/>
      <w:pPr>
        <w:ind w:left="1699" w:hanging="244"/>
      </w:pPr>
      <w:rPr>
        <w:rFonts w:hint="default"/>
      </w:rPr>
    </w:lvl>
    <w:lvl w:ilvl="6">
      <w:start w:val="0"/>
      <w:numFmt w:val="bullet"/>
      <w:lvlText w:val="•"/>
      <w:lvlJc w:val="left"/>
      <w:pPr>
        <w:ind w:left="1966" w:hanging="244"/>
      </w:pPr>
      <w:rPr>
        <w:rFonts w:hint="default"/>
      </w:rPr>
    </w:lvl>
    <w:lvl w:ilvl="7">
      <w:start w:val="0"/>
      <w:numFmt w:val="bullet"/>
      <w:lvlText w:val="•"/>
      <w:lvlJc w:val="left"/>
      <w:pPr>
        <w:ind w:left="2234" w:hanging="244"/>
      </w:pPr>
      <w:rPr>
        <w:rFonts w:hint="default"/>
      </w:rPr>
    </w:lvl>
    <w:lvl w:ilvl="8">
      <w:start w:val="0"/>
      <w:numFmt w:val="bullet"/>
      <w:lvlText w:val="•"/>
      <w:lvlJc w:val="left"/>
      <w:pPr>
        <w:ind w:left="2502" w:hanging="244"/>
      </w:pPr>
      <w:rPr>
        <w:rFonts w:hint="default"/>
      </w:rPr>
    </w:lvl>
  </w:abstractNum>
  <w:abstractNum w:abstractNumId="185">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27" w:hanging="244"/>
      </w:pPr>
      <w:rPr>
        <w:rFonts w:hint="default"/>
      </w:rPr>
    </w:lvl>
    <w:lvl w:ilvl="2">
      <w:start w:val="0"/>
      <w:numFmt w:val="bullet"/>
      <w:lvlText w:val="•"/>
      <w:lvlJc w:val="left"/>
      <w:pPr>
        <w:ind w:left="895" w:hanging="244"/>
      </w:pPr>
      <w:rPr>
        <w:rFonts w:hint="default"/>
      </w:rPr>
    </w:lvl>
    <w:lvl w:ilvl="3">
      <w:start w:val="0"/>
      <w:numFmt w:val="bullet"/>
      <w:lvlText w:val="•"/>
      <w:lvlJc w:val="left"/>
      <w:pPr>
        <w:ind w:left="1163" w:hanging="244"/>
      </w:pPr>
      <w:rPr>
        <w:rFonts w:hint="default"/>
      </w:rPr>
    </w:lvl>
    <w:lvl w:ilvl="4">
      <w:start w:val="0"/>
      <w:numFmt w:val="bullet"/>
      <w:lvlText w:val="•"/>
      <w:lvlJc w:val="left"/>
      <w:pPr>
        <w:ind w:left="1431" w:hanging="244"/>
      </w:pPr>
      <w:rPr>
        <w:rFonts w:hint="default"/>
      </w:rPr>
    </w:lvl>
    <w:lvl w:ilvl="5">
      <w:start w:val="0"/>
      <w:numFmt w:val="bullet"/>
      <w:lvlText w:val="•"/>
      <w:lvlJc w:val="left"/>
      <w:pPr>
        <w:ind w:left="1699" w:hanging="244"/>
      </w:pPr>
      <w:rPr>
        <w:rFonts w:hint="default"/>
      </w:rPr>
    </w:lvl>
    <w:lvl w:ilvl="6">
      <w:start w:val="0"/>
      <w:numFmt w:val="bullet"/>
      <w:lvlText w:val="•"/>
      <w:lvlJc w:val="left"/>
      <w:pPr>
        <w:ind w:left="1966" w:hanging="244"/>
      </w:pPr>
      <w:rPr>
        <w:rFonts w:hint="default"/>
      </w:rPr>
    </w:lvl>
    <w:lvl w:ilvl="7">
      <w:start w:val="0"/>
      <w:numFmt w:val="bullet"/>
      <w:lvlText w:val="•"/>
      <w:lvlJc w:val="left"/>
      <w:pPr>
        <w:ind w:left="2234" w:hanging="244"/>
      </w:pPr>
      <w:rPr>
        <w:rFonts w:hint="default"/>
      </w:rPr>
    </w:lvl>
    <w:lvl w:ilvl="8">
      <w:start w:val="0"/>
      <w:numFmt w:val="bullet"/>
      <w:lvlText w:val="•"/>
      <w:lvlJc w:val="left"/>
      <w:pPr>
        <w:ind w:left="2502" w:hanging="244"/>
      </w:pPr>
      <w:rPr>
        <w:rFonts w:hint="default"/>
      </w:rPr>
    </w:lvl>
  </w:abstractNum>
  <w:abstractNum w:abstractNumId="184">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27" w:hanging="244"/>
      </w:pPr>
      <w:rPr>
        <w:rFonts w:hint="default"/>
      </w:rPr>
    </w:lvl>
    <w:lvl w:ilvl="2">
      <w:start w:val="0"/>
      <w:numFmt w:val="bullet"/>
      <w:lvlText w:val="•"/>
      <w:lvlJc w:val="left"/>
      <w:pPr>
        <w:ind w:left="895" w:hanging="244"/>
      </w:pPr>
      <w:rPr>
        <w:rFonts w:hint="default"/>
      </w:rPr>
    </w:lvl>
    <w:lvl w:ilvl="3">
      <w:start w:val="0"/>
      <w:numFmt w:val="bullet"/>
      <w:lvlText w:val="•"/>
      <w:lvlJc w:val="left"/>
      <w:pPr>
        <w:ind w:left="1163" w:hanging="244"/>
      </w:pPr>
      <w:rPr>
        <w:rFonts w:hint="default"/>
      </w:rPr>
    </w:lvl>
    <w:lvl w:ilvl="4">
      <w:start w:val="0"/>
      <w:numFmt w:val="bullet"/>
      <w:lvlText w:val="•"/>
      <w:lvlJc w:val="left"/>
      <w:pPr>
        <w:ind w:left="1431" w:hanging="244"/>
      </w:pPr>
      <w:rPr>
        <w:rFonts w:hint="default"/>
      </w:rPr>
    </w:lvl>
    <w:lvl w:ilvl="5">
      <w:start w:val="0"/>
      <w:numFmt w:val="bullet"/>
      <w:lvlText w:val="•"/>
      <w:lvlJc w:val="left"/>
      <w:pPr>
        <w:ind w:left="1699" w:hanging="244"/>
      </w:pPr>
      <w:rPr>
        <w:rFonts w:hint="default"/>
      </w:rPr>
    </w:lvl>
    <w:lvl w:ilvl="6">
      <w:start w:val="0"/>
      <w:numFmt w:val="bullet"/>
      <w:lvlText w:val="•"/>
      <w:lvlJc w:val="left"/>
      <w:pPr>
        <w:ind w:left="1966" w:hanging="244"/>
      </w:pPr>
      <w:rPr>
        <w:rFonts w:hint="default"/>
      </w:rPr>
    </w:lvl>
    <w:lvl w:ilvl="7">
      <w:start w:val="0"/>
      <w:numFmt w:val="bullet"/>
      <w:lvlText w:val="•"/>
      <w:lvlJc w:val="left"/>
      <w:pPr>
        <w:ind w:left="2234" w:hanging="244"/>
      </w:pPr>
      <w:rPr>
        <w:rFonts w:hint="default"/>
      </w:rPr>
    </w:lvl>
    <w:lvl w:ilvl="8">
      <w:start w:val="0"/>
      <w:numFmt w:val="bullet"/>
      <w:lvlText w:val="•"/>
      <w:lvlJc w:val="left"/>
      <w:pPr>
        <w:ind w:left="2502" w:hanging="244"/>
      </w:pPr>
      <w:rPr>
        <w:rFonts w:hint="default"/>
      </w:rPr>
    </w:lvl>
  </w:abstractNum>
  <w:abstractNum w:abstractNumId="183">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27" w:hanging="244"/>
      </w:pPr>
      <w:rPr>
        <w:rFonts w:hint="default"/>
      </w:rPr>
    </w:lvl>
    <w:lvl w:ilvl="2">
      <w:start w:val="0"/>
      <w:numFmt w:val="bullet"/>
      <w:lvlText w:val="•"/>
      <w:lvlJc w:val="left"/>
      <w:pPr>
        <w:ind w:left="895" w:hanging="244"/>
      </w:pPr>
      <w:rPr>
        <w:rFonts w:hint="default"/>
      </w:rPr>
    </w:lvl>
    <w:lvl w:ilvl="3">
      <w:start w:val="0"/>
      <w:numFmt w:val="bullet"/>
      <w:lvlText w:val="•"/>
      <w:lvlJc w:val="left"/>
      <w:pPr>
        <w:ind w:left="1163" w:hanging="244"/>
      </w:pPr>
      <w:rPr>
        <w:rFonts w:hint="default"/>
      </w:rPr>
    </w:lvl>
    <w:lvl w:ilvl="4">
      <w:start w:val="0"/>
      <w:numFmt w:val="bullet"/>
      <w:lvlText w:val="•"/>
      <w:lvlJc w:val="left"/>
      <w:pPr>
        <w:ind w:left="1431" w:hanging="244"/>
      </w:pPr>
      <w:rPr>
        <w:rFonts w:hint="default"/>
      </w:rPr>
    </w:lvl>
    <w:lvl w:ilvl="5">
      <w:start w:val="0"/>
      <w:numFmt w:val="bullet"/>
      <w:lvlText w:val="•"/>
      <w:lvlJc w:val="left"/>
      <w:pPr>
        <w:ind w:left="1699" w:hanging="244"/>
      </w:pPr>
      <w:rPr>
        <w:rFonts w:hint="default"/>
      </w:rPr>
    </w:lvl>
    <w:lvl w:ilvl="6">
      <w:start w:val="0"/>
      <w:numFmt w:val="bullet"/>
      <w:lvlText w:val="•"/>
      <w:lvlJc w:val="left"/>
      <w:pPr>
        <w:ind w:left="1966" w:hanging="244"/>
      </w:pPr>
      <w:rPr>
        <w:rFonts w:hint="default"/>
      </w:rPr>
    </w:lvl>
    <w:lvl w:ilvl="7">
      <w:start w:val="0"/>
      <w:numFmt w:val="bullet"/>
      <w:lvlText w:val="•"/>
      <w:lvlJc w:val="left"/>
      <w:pPr>
        <w:ind w:left="2234" w:hanging="244"/>
      </w:pPr>
      <w:rPr>
        <w:rFonts w:hint="default"/>
      </w:rPr>
    </w:lvl>
    <w:lvl w:ilvl="8">
      <w:start w:val="0"/>
      <w:numFmt w:val="bullet"/>
      <w:lvlText w:val="•"/>
      <w:lvlJc w:val="left"/>
      <w:pPr>
        <w:ind w:left="2502" w:hanging="244"/>
      </w:pPr>
      <w:rPr>
        <w:rFonts w:hint="default"/>
      </w:rPr>
    </w:lvl>
  </w:abstractNum>
  <w:abstractNum w:abstractNumId="182">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27" w:hanging="244"/>
      </w:pPr>
      <w:rPr>
        <w:rFonts w:hint="default"/>
      </w:rPr>
    </w:lvl>
    <w:lvl w:ilvl="2">
      <w:start w:val="0"/>
      <w:numFmt w:val="bullet"/>
      <w:lvlText w:val="•"/>
      <w:lvlJc w:val="left"/>
      <w:pPr>
        <w:ind w:left="895" w:hanging="244"/>
      </w:pPr>
      <w:rPr>
        <w:rFonts w:hint="default"/>
      </w:rPr>
    </w:lvl>
    <w:lvl w:ilvl="3">
      <w:start w:val="0"/>
      <w:numFmt w:val="bullet"/>
      <w:lvlText w:val="•"/>
      <w:lvlJc w:val="left"/>
      <w:pPr>
        <w:ind w:left="1163" w:hanging="244"/>
      </w:pPr>
      <w:rPr>
        <w:rFonts w:hint="default"/>
      </w:rPr>
    </w:lvl>
    <w:lvl w:ilvl="4">
      <w:start w:val="0"/>
      <w:numFmt w:val="bullet"/>
      <w:lvlText w:val="•"/>
      <w:lvlJc w:val="left"/>
      <w:pPr>
        <w:ind w:left="1431" w:hanging="244"/>
      </w:pPr>
      <w:rPr>
        <w:rFonts w:hint="default"/>
      </w:rPr>
    </w:lvl>
    <w:lvl w:ilvl="5">
      <w:start w:val="0"/>
      <w:numFmt w:val="bullet"/>
      <w:lvlText w:val="•"/>
      <w:lvlJc w:val="left"/>
      <w:pPr>
        <w:ind w:left="1699" w:hanging="244"/>
      </w:pPr>
      <w:rPr>
        <w:rFonts w:hint="default"/>
      </w:rPr>
    </w:lvl>
    <w:lvl w:ilvl="6">
      <w:start w:val="0"/>
      <w:numFmt w:val="bullet"/>
      <w:lvlText w:val="•"/>
      <w:lvlJc w:val="left"/>
      <w:pPr>
        <w:ind w:left="1966" w:hanging="244"/>
      </w:pPr>
      <w:rPr>
        <w:rFonts w:hint="default"/>
      </w:rPr>
    </w:lvl>
    <w:lvl w:ilvl="7">
      <w:start w:val="0"/>
      <w:numFmt w:val="bullet"/>
      <w:lvlText w:val="•"/>
      <w:lvlJc w:val="left"/>
      <w:pPr>
        <w:ind w:left="2234" w:hanging="244"/>
      </w:pPr>
      <w:rPr>
        <w:rFonts w:hint="default"/>
      </w:rPr>
    </w:lvl>
    <w:lvl w:ilvl="8">
      <w:start w:val="0"/>
      <w:numFmt w:val="bullet"/>
      <w:lvlText w:val="•"/>
      <w:lvlJc w:val="left"/>
      <w:pPr>
        <w:ind w:left="2502" w:hanging="244"/>
      </w:pPr>
      <w:rPr>
        <w:rFonts w:hint="default"/>
      </w:rPr>
    </w:lvl>
  </w:abstractNum>
  <w:abstractNum w:abstractNumId="181">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27" w:hanging="244"/>
      </w:pPr>
      <w:rPr>
        <w:rFonts w:hint="default"/>
      </w:rPr>
    </w:lvl>
    <w:lvl w:ilvl="2">
      <w:start w:val="0"/>
      <w:numFmt w:val="bullet"/>
      <w:lvlText w:val="•"/>
      <w:lvlJc w:val="left"/>
      <w:pPr>
        <w:ind w:left="895" w:hanging="244"/>
      </w:pPr>
      <w:rPr>
        <w:rFonts w:hint="default"/>
      </w:rPr>
    </w:lvl>
    <w:lvl w:ilvl="3">
      <w:start w:val="0"/>
      <w:numFmt w:val="bullet"/>
      <w:lvlText w:val="•"/>
      <w:lvlJc w:val="left"/>
      <w:pPr>
        <w:ind w:left="1163" w:hanging="244"/>
      </w:pPr>
      <w:rPr>
        <w:rFonts w:hint="default"/>
      </w:rPr>
    </w:lvl>
    <w:lvl w:ilvl="4">
      <w:start w:val="0"/>
      <w:numFmt w:val="bullet"/>
      <w:lvlText w:val="•"/>
      <w:lvlJc w:val="left"/>
      <w:pPr>
        <w:ind w:left="1431" w:hanging="244"/>
      </w:pPr>
      <w:rPr>
        <w:rFonts w:hint="default"/>
      </w:rPr>
    </w:lvl>
    <w:lvl w:ilvl="5">
      <w:start w:val="0"/>
      <w:numFmt w:val="bullet"/>
      <w:lvlText w:val="•"/>
      <w:lvlJc w:val="left"/>
      <w:pPr>
        <w:ind w:left="1699" w:hanging="244"/>
      </w:pPr>
      <w:rPr>
        <w:rFonts w:hint="default"/>
      </w:rPr>
    </w:lvl>
    <w:lvl w:ilvl="6">
      <w:start w:val="0"/>
      <w:numFmt w:val="bullet"/>
      <w:lvlText w:val="•"/>
      <w:lvlJc w:val="left"/>
      <w:pPr>
        <w:ind w:left="1966" w:hanging="244"/>
      </w:pPr>
      <w:rPr>
        <w:rFonts w:hint="default"/>
      </w:rPr>
    </w:lvl>
    <w:lvl w:ilvl="7">
      <w:start w:val="0"/>
      <w:numFmt w:val="bullet"/>
      <w:lvlText w:val="•"/>
      <w:lvlJc w:val="left"/>
      <w:pPr>
        <w:ind w:left="2234" w:hanging="244"/>
      </w:pPr>
      <w:rPr>
        <w:rFonts w:hint="default"/>
      </w:rPr>
    </w:lvl>
    <w:lvl w:ilvl="8">
      <w:start w:val="0"/>
      <w:numFmt w:val="bullet"/>
      <w:lvlText w:val="•"/>
      <w:lvlJc w:val="left"/>
      <w:pPr>
        <w:ind w:left="2502" w:hanging="244"/>
      </w:pPr>
      <w:rPr>
        <w:rFonts w:hint="default"/>
      </w:rPr>
    </w:lvl>
  </w:abstractNum>
  <w:abstractNum w:abstractNumId="180">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627" w:hanging="244"/>
      </w:pPr>
      <w:rPr>
        <w:rFonts w:hint="default"/>
      </w:rPr>
    </w:lvl>
    <w:lvl w:ilvl="2">
      <w:start w:val="0"/>
      <w:numFmt w:val="bullet"/>
      <w:lvlText w:val="•"/>
      <w:lvlJc w:val="left"/>
      <w:pPr>
        <w:ind w:left="895" w:hanging="244"/>
      </w:pPr>
      <w:rPr>
        <w:rFonts w:hint="default"/>
      </w:rPr>
    </w:lvl>
    <w:lvl w:ilvl="3">
      <w:start w:val="0"/>
      <w:numFmt w:val="bullet"/>
      <w:lvlText w:val="•"/>
      <w:lvlJc w:val="left"/>
      <w:pPr>
        <w:ind w:left="1163" w:hanging="244"/>
      </w:pPr>
      <w:rPr>
        <w:rFonts w:hint="default"/>
      </w:rPr>
    </w:lvl>
    <w:lvl w:ilvl="4">
      <w:start w:val="0"/>
      <w:numFmt w:val="bullet"/>
      <w:lvlText w:val="•"/>
      <w:lvlJc w:val="left"/>
      <w:pPr>
        <w:ind w:left="1431" w:hanging="244"/>
      </w:pPr>
      <w:rPr>
        <w:rFonts w:hint="default"/>
      </w:rPr>
    </w:lvl>
    <w:lvl w:ilvl="5">
      <w:start w:val="0"/>
      <w:numFmt w:val="bullet"/>
      <w:lvlText w:val="•"/>
      <w:lvlJc w:val="left"/>
      <w:pPr>
        <w:ind w:left="1699" w:hanging="244"/>
      </w:pPr>
      <w:rPr>
        <w:rFonts w:hint="default"/>
      </w:rPr>
    </w:lvl>
    <w:lvl w:ilvl="6">
      <w:start w:val="0"/>
      <w:numFmt w:val="bullet"/>
      <w:lvlText w:val="•"/>
      <w:lvlJc w:val="left"/>
      <w:pPr>
        <w:ind w:left="1966" w:hanging="244"/>
      </w:pPr>
      <w:rPr>
        <w:rFonts w:hint="default"/>
      </w:rPr>
    </w:lvl>
    <w:lvl w:ilvl="7">
      <w:start w:val="0"/>
      <w:numFmt w:val="bullet"/>
      <w:lvlText w:val="•"/>
      <w:lvlJc w:val="left"/>
      <w:pPr>
        <w:ind w:left="2234" w:hanging="244"/>
      </w:pPr>
      <w:rPr>
        <w:rFonts w:hint="default"/>
      </w:rPr>
    </w:lvl>
    <w:lvl w:ilvl="8">
      <w:start w:val="0"/>
      <w:numFmt w:val="bullet"/>
      <w:lvlText w:val="•"/>
      <w:lvlJc w:val="left"/>
      <w:pPr>
        <w:ind w:left="2502" w:hanging="244"/>
      </w:pPr>
      <w:rPr>
        <w:rFonts w:hint="default"/>
      </w:rPr>
    </w:lvl>
  </w:abstractNum>
  <w:abstractNum w:abstractNumId="179">
    <w:multiLevelType w:val="hybridMultilevel"/>
    <w:lvl w:ilvl="0">
      <w:start w:val="0"/>
      <w:numFmt w:val="bullet"/>
      <w:lvlText w:val="•"/>
      <w:lvlJc w:val="left"/>
      <w:pPr>
        <w:ind w:left="358"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964" w:hanging="244"/>
      </w:pPr>
      <w:rPr>
        <w:rFonts w:hint="default"/>
      </w:rPr>
    </w:lvl>
    <w:lvl w:ilvl="2">
      <w:start w:val="0"/>
      <w:numFmt w:val="bullet"/>
      <w:lvlText w:val="•"/>
      <w:lvlJc w:val="left"/>
      <w:pPr>
        <w:ind w:left="1568" w:hanging="244"/>
      </w:pPr>
      <w:rPr>
        <w:rFonts w:hint="default"/>
      </w:rPr>
    </w:lvl>
    <w:lvl w:ilvl="3">
      <w:start w:val="0"/>
      <w:numFmt w:val="bullet"/>
      <w:lvlText w:val="•"/>
      <w:lvlJc w:val="left"/>
      <w:pPr>
        <w:ind w:left="2173" w:hanging="244"/>
      </w:pPr>
      <w:rPr>
        <w:rFonts w:hint="default"/>
      </w:rPr>
    </w:lvl>
    <w:lvl w:ilvl="4">
      <w:start w:val="0"/>
      <w:numFmt w:val="bullet"/>
      <w:lvlText w:val="•"/>
      <w:lvlJc w:val="left"/>
      <w:pPr>
        <w:ind w:left="2777" w:hanging="244"/>
      </w:pPr>
      <w:rPr>
        <w:rFonts w:hint="default"/>
      </w:rPr>
    </w:lvl>
    <w:lvl w:ilvl="5">
      <w:start w:val="0"/>
      <w:numFmt w:val="bullet"/>
      <w:lvlText w:val="•"/>
      <w:lvlJc w:val="left"/>
      <w:pPr>
        <w:ind w:left="3382" w:hanging="244"/>
      </w:pPr>
      <w:rPr>
        <w:rFonts w:hint="default"/>
      </w:rPr>
    </w:lvl>
    <w:lvl w:ilvl="6">
      <w:start w:val="0"/>
      <w:numFmt w:val="bullet"/>
      <w:lvlText w:val="•"/>
      <w:lvlJc w:val="left"/>
      <w:pPr>
        <w:ind w:left="3986" w:hanging="244"/>
      </w:pPr>
      <w:rPr>
        <w:rFonts w:hint="default"/>
      </w:rPr>
    </w:lvl>
    <w:lvl w:ilvl="7">
      <w:start w:val="0"/>
      <w:numFmt w:val="bullet"/>
      <w:lvlText w:val="•"/>
      <w:lvlJc w:val="left"/>
      <w:pPr>
        <w:ind w:left="4590" w:hanging="244"/>
      </w:pPr>
      <w:rPr>
        <w:rFonts w:hint="default"/>
      </w:rPr>
    </w:lvl>
    <w:lvl w:ilvl="8">
      <w:start w:val="0"/>
      <w:numFmt w:val="bullet"/>
      <w:lvlText w:val="•"/>
      <w:lvlJc w:val="left"/>
      <w:pPr>
        <w:ind w:left="5195" w:hanging="244"/>
      </w:pPr>
      <w:rPr>
        <w:rFonts w:hint="default"/>
      </w:rPr>
    </w:lvl>
  </w:abstractNum>
  <w:abstractNum w:abstractNumId="178">
    <w:multiLevelType w:val="hybridMultilevel"/>
    <w:lvl w:ilvl="0">
      <w:start w:val="0"/>
      <w:numFmt w:val="bullet"/>
      <w:lvlText w:val="•"/>
      <w:lvlJc w:val="left"/>
      <w:pPr>
        <w:ind w:left="358" w:hanging="244"/>
      </w:pPr>
      <w:rPr>
        <w:rFonts w:hint="default" w:ascii="Arial Unicode MS" w:hAnsi="Arial Unicode MS" w:eastAsia="Arial Unicode MS" w:cs="Arial Unicode MS"/>
        <w:color w:val="231F20"/>
        <w:w w:val="299"/>
        <w:position w:val="3"/>
        <w:sz w:val="16"/>
        <w:szCs w:val="16"/>
      </w:rPr>
    </w:lvl>
    <w:lvl w:ilvl="1">
      <w:start w:val="0"/>
      <w:numFmt w:val="bullet"/>
      <w:lvlText w:val="•"/>
      <w:lvlJc w:val="left"/>
      <w:pPr>
        <w:ind w:left="964" w:hanging="244"/>
      </w:pPr>
      <w:rPr>
        <w:rFonts w:hint="default"/>
      </w:rPr>
    </w:lvl>
    <w:lvl w:ilvl="2">
      <w:start w:val="0"/>
      <w:numFmt w:val="bullet"/>
      <w:lvlText w:val="•"/>
      <w:lvlJc w:val="left"/>
      <w:pPr>
        <w:ind w:left="1568" w:hanging="244"/>
      </w:pPr>
      <w:rPr>
        <w:rFonts w:hint="default"/>
      </w:rPr>
    </w:lvl>
    <w:lvl w:ilvl="3">
      <w:start w:val="0"/>
      <w:numFmt w:val="bullet"/>
      <w:lvlText w:val="•"/>
      <w:lvlJc w:val="left"/>
      <w:pPr>
        <w:ind w:left="2173" w:hanging="244"/>
      </w:pPr>
      <w:rPr>
        <w:rFonts w:hint="default"/>
      </w:rPr>
    </w:lvl>
    <w:lvl w:ilvl="4">
      <w:start w:val="0"/>
      <w:numFmt w:val="bullet"/>
      <w:lvlText w:val="•"/>
      <w:lvlJc w:val="left"/>
      <w:pPr>
        <w:ind w:left="2777" w:hanging="244"/>
      </w:pPr>
      <w:rPr>
        <w:rFonts w:hint="default"/>
      </w:rPr>
    </w:lvl>
    <w:lvl w:ilvl="5">
      <w:start w:val="0"/>
      <w:numFmt w:val="bullet"/>
      <w:lvlText w:val="•"/>
      <w:lvlJc w:val="left"/>
      <w:pPr>
        <w:ind w:left="3382" w:hanging="244"/>
      </w:pPr>
      <w:rPr>
        <w:rFonts w:hint="default"/>
      </w:rPr>
    </w:lvl>
    <w:lvl w:ilvl="6">
      <w:start w:val="0"/>
      <w:numFmt w:val="bullet"/>
      <w:lvlText w:val="•"/>
      <w:lvlJc w:val="left"/>
      <w:pPr>
        <w:ind w:left="3986" w:hanging="244"/>
      </w:pPr>
      <w:rPr>
        <w:rFonts w:hint="default"/>
      </w:rPr>
    </w:lvl>
    <w:lvl w:ilvl="7">
      <w:start w:val="0"/>
      <w:numFmt w:val="bullet"/>
      <w:lvlText w:val="•"/>
      <w:lvlJc w:val="left"/>
      <w:pPr>
        <w:ind w:left="4590" w:hanging="244"/>
      </w:pPr>
      <w:rPr>
        <w:rFonts w:hint="default"/>
      </w:rPr>
    </w:lvl>
    <w:lvl w:ilvl="8">
      <w:start w:val="0"/>
      <w:numFmt w:val="bullet"/>
      <w:lvlText w:val="•"/>
      <w:lvlJc w:val="left"/>
      <w:pPr>
        <w:ind w:left="5195" w:hanging="244"/>
      </w:pPr>
      <w:rPr>
        <w:rFonts w:hint="default"/>
      </w:rPr>
    </w:lvl>
  </w:abstractNum>
  <w:abstractNum w:abstractNumId="177">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176">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75">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174">
    <w:multiLevelType w:val="hybridMultilevel"/>
    <w:lvl w:ilvl="0">
      <w:start w:val="1"/>
      <w:numFmt w:val="decimal"/>
      <w:lvlText w:val="%1."/>
      <w:lvlJc w:val="left"/>
      <w:pPr>
        <w:ind w:left="1349" w:hanging="257"/>
        <w:jc w:val="left"/>
      </w:pPr>
      <w:rPr>
        <w:rFonts w:hint="default" w:ascii="Arial Unicode MS" w:hAnsi="Arial Unicode MS" w:eastAsia="Arial Unicode MS" w:cs="Arial Unicode MS"/>
        <w:color w:val="231F20"/>
        <w:spacing w:val="0"/>
        <w:w w:val="97"/>
        <w:sz w:val="24"/>
        <w:szCs w:val="24"/>
      </w:rPr>
    </w:lvl>
    <w:lvl w:ilvl="1">
      <w:start w:val="0"/>
      <w:numFmt w:val="bullet"/>
      <w:lvlText w:val="•"/>
      <w:lvlJc w:val="left"/>
      <w:pPr>
        <w:ind w:left="2298" w:hanging="257"/>
      </w:pPr>
      <w:rPr>
        <w:rFonts w:hint="default"/>
      </w:rPr>
    </w:lvl>
    <w:lvl w:ilvl="2">
      <w:start w:val="0"/>
      <w:numFmt w:val="bullet"/>
      <w:lvlText w:val="•"/>
      <w:lvlJc w:val="left"/>
      <w:pPr>
        <w:ind w:left="3256" w:hanging="257"/>
      </w:pPr>
      <w:rPr>
        <w:rFonts w:hint="default"/>
      </w:rPr>
    </w:lvl>
    <w:lvl w:ilvl="3">
      <w:start w:val="0"/>
      <w:numFmt w:val="bullet"/>
      <w:lvlText w:val="•"/>
      <w:lvlJc w:val="left"/>
      <w:pPr>
        <w:ind w:left="4215" w:hanging="257"/>
      </w:pPr>
      <w:rPr>
        <w:rFonts w:hint="default"/>
      </w:rPr>
    </w:lvl>
    <w:lvl w:ilvl="4">
      <w:start w:val="0"/>
      <w:numFmt w:val="bullet"/>
      <w:lvlText w:val="•"/>
      <w:lvlJc w:val="left"/>
      <w:pPr>
        <w:ind w:left="5173" w:hanging="257"/>
      </w:pPr>
      <w:rPr>
        <w:rFonts w:hint="default"/>
      </w:rPr>
    </w:lvl>
    <w:lvl w:ilvl="5">
      <w:start w:val="0"/>
      <w:numFmt w:val="bullet"/>
      <w:lvlText w:val="•"/>
      <w:lvlJc w:val="left"/>
      <w:pPr>
        <w:ind w:left="6132" w:hanging="257"/>
      </w:pPr>
      <w:rPr>
        <w:rFonts w:hint="default"/>
      </w:rPr>
    </w:lvl>
    <w:lvl w:ilvl="6">
      <w:start w:val="0"/>
      <w:numFmt w:val="bullet"/>
      <w:lvlText w:val="•"/>
      <w:lvlJc w:val="left"/>
      <w:pPr>
        <w:ind w:left="7090" w:hanging="257"/>
      </w:pPr>
      <w:rPr>
        <w:rFonts w:hint="default"/>
      </w:rPr>
    </w:lvl>
    <w:lvl w:ilvl="7">
      <w:start w:val="0"/>
      <w:numFmt w:val="bullet"/>
      <w:lvlText w:val="•"/>
      <w:lvlJc w:val="left"/>
      <w:pPr>
        <w:ind w:left="8049" w:hanging="257"/>
      </w:pPr>
      <w:rPr>
        <w:rFonts w:hint="default"/>
      </w:rPr>
    </w:lvl>
    <w:lvl w:ilvl="8">
      <w:start w:val="0"/>
      <w:numFmt w:val="bullet"/>
      <w:lvlText w:val="•"/>
      <w:lvlJc w:val="left"/>
      <w:pPr>
        <w:ind w:left="9007" w:hanging="257"/>
      </w:pPr>
      <w:rPr>
        <w:rFonts w:hint="default"/>
      </w:rPr>
    </w:lvl>
  </w:abstractNum>
  <w:abstractNum w:abstractNumId="173">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72">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71">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170">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69">
    <w:multiLevelType w:val="hybridMultilevel"/>
    <w:lvl w:ilvl="0">
      <w:start w:val="1"/>
      <w:numFmt w:val="decimal"/>
      <w:lvlText w:val="%1."/>
      <w:lvlJc w:val="left"/>
      <w:pPr>
        <w:ind w:left="1349" w:hanging="257"/>
        <w:jc w:val="left"/>
      </w:pPr>
      <w:rPr>
        <w:rFonts w:hint="default" w:ascii="Arial Unicode MS" w:hAnsi="Arial Unicode MS" w:eastAsia="Arial Unicode MS" w:cs="Arial Unicode MS"/>
        <w:color w:val="231F20"/>
        <w:spacing w:val="0"/>
        <w:w w:val="97"/>
        <w:sz w:val="24"/>
        <w:szCs w:val="24"/>
      </w:rPr>
    </w:lvl>
    <w:lvl w:ilvl="1">
      <w:start w:val="0"/>
      <w:numFmt w:val="bullet"/>
      <w:lvlText w:val="•"/>
      <w:lvlJc w:val="left"/>
      <w:pPr>
        <w:ind w:left="2298" w:hanging="257"/>
      </w:pPr>
      <w:rPr>
        <w:rFonts w:hint="default"/>
      </w:rPr>
    </w:lvl>
    <w:lvl w:ilvl="2">
      <w:start w:val="0"/>
      <w:numFmt w:val="bullet"/>
      <w:lvlText w:val="•"/>
      <w:lvlJc w:val="left"/>
      <w:pPr>
        <w:ind w:left="3256" w:hanging="257"/>
      </w:pPr>
      <w:rPr>
        <w:rFonts w:hint="default"/>
      </w:rPr>
    </w:lvl>
    <w:lvl w:ilvl="3">
      <w:start w:val="0"/>
      <w:numFmt w:val="bullet"/>
      <w:lvlText w:val="•"/>
      <w:lvlJc w:val="left"/>
      <w:pPr>
        <w:ind w:left="4215" w:hanging="257"/>
      </w:pPr>
      <w:rPr>
        <w:rFonts w:hint="default"/>
      </w:rPr>
    </w:lvl>
    <w:lvl w:ilvl="4">
      <w:start w:val="0"/>
      <w:numFmt w:val="bullet"/>
      <w:lvlText w:val="•"/>
      <w:lvlJc w:val="left"/>
      <w:pPr>
        <w:ind w:left="5173" w:hanging="257"/>
      </w:pPr>
      <w:rPr>
        <w:rFonts w:hint="default"/>
      </w:rPr>
    </w:lvl>
    <w:lvl w:ilvl="5">
      <w:start w:val="0"/>
      <w:numFmt w:val="bullet"/>
      <w:lvlText w:val="•"/>
      <w:lvlJc w:val="left"/>
      <w:pPr>
        <w:ind w:left="6132" w:hanging="257"/>
      </w:pPr>
      <w:rPr>
        <w:rFonts w:hint="default"/>
      </w:rPr>
    </w:lvl>
    <w:lvl w:ilvl="6">
      <w:start w:val="0"/>
      <w:numFmt w:val="bullet"/>
      <w:lvlText w:val="•"/>
      <w:lvlJc w:val="left"/>
      <w:pPr>
        <w:ind w:left="7090" w:hanging="257"/>
      </w:pPr>
      <w:rPr>
        <w:rFonts w:hint="default"/>
      </w:rPr>
    </w:lvl>
    <w:lvl w:ilvl="7">
      <w:start w:val="0"/>
      <w:numFmt w:val="bullet"/>
      <w:lvlText w:val="•"/>
      <w:lvlJc w:val="left"/>
      <w:pPr>
        <w:ind w:left="8049" w:hanging="257"/>
      </w:pPr>
      <w:rPr>
        <w:rFonts w:hint="default"/>
      </w:rPr>
    </w:lvl>
    <w:lvl w:ilvl="8">
      <w:start w:val="0"/>
      <w:numFmt w:val="bullet"/>
      <w:lvlText w:val="•"/>
      <w:lvlJc w:val="left"/>
      <w:pPr>
        <w:ind w:left="9007" w:hanging="257"/>
      </w:pPr>
      <w:rPr>
        <w:rFonts w:hint="default"/>
      </w:rPr>
    </w:lvl>
  </w:abstractNum>
  <w:abstractNum w:abstractNumId="168">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67">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66">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65">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64">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163">
    <w:multiLevelType w:val="hybridMultilevel"/>
    <w:lvl w:ilvl="0">
      <w:start w:val="5"/>
      <w:numFmt w:val="decimal"/>
      <w:lvlText w:val="%1."/>
      <w:lvlJc w:val="left"/>
      <w:pPr>
        <w:ind w:left="394" w:hanging="180"/>
        <w:jc w:val="left"/>
      </w:pPr>
      <w:rPr>
        <w:rFonts w:hint="default" w:ascii="微軟正黑體" w:hAnsi="微軟正黑體" w:eastAsia="微軟正黑體" w:cs="微軟正黑體"/>
        <w:color w:val="221F1F"/>
        <w:spacing w:val="-1"/>
        <w:w w:val="100"/>
        <w:sz w:val="20"/>
        <w:szCs w:val="20"/>
      </w:rPr>
    </w:lvl>
    <w:lvl w:ilvl="1">
      <w:start w:val="0"/>
      <w:numFmt w:val="bullet"/>
      <w:lvlText w:val="•"/>
      <w:lvlJc w:val="left"/>
      <w:pPr>
        <w:ind w:left="1067" w:hanging="180"/>
      </w:pPr>
      <w:rPr>
        <w:rFonts w:hint="default"/>
      </w:rPr>
    </w:lvl>
    <w:lvl w:ilvl="2">
      <w:start w:val="0"/>
      <w:numFmt w:val="bullet"/>
      <w:lvlText w:val="•"/>
      <w:lvlJc w:val="left"/>
      <w:pPr>
        <w:ind w:left="1734" w:hanging="180"/>
      </w:pPr>
      <w:rPr>
        <w:rFonts w:hint="default"/>
      </w:rPr>
    </w:lvl>
    <w:lvl w:ilvl="3">
      <w:start w:val="0"/>
      <w:numFmt w:val="bullet"/>
      <w:lvlText w:val="•"/>
      <w:lvlJc w:val="left"/>
      <w:pPr>
        <w:ind w:left="2401" w:hanging="180"/>
      </w:pPr>
      <w:rPr>
        <w:rFonts w:hint="default"/>
      </w:rPr>
    </w:lvl>
    <w:lvl w:ilvl="4">
      <w:start w:val="0"/>
      <w:numFmt w:val="bullet"/>
      <w:lvlText w:val="•"/>
      <w:lvlJc w:val="left"/>
      <w:pPr>
        <w:ind w:left="3068" w:hanging="180"/>
      </w:pPr>
      <w:rPr>
        <w:rFonts w:hint="default"/>
      </w:rPr>
    </w:lvl>
    <w:lvl w:ilvl="5">
      <w:start w:val="0"/>
      <w:numFmt w:val="bullet"/>
      <w:lvlText w:val="•"/>
      <w:lvlJc w:val="left"/>
      <w:pPr>
        <w:ind w:left="3735" w:hanging="180"/>
      </w:pPr>
      <w:rPr>
        <w:rFonts w:hint="default"/>
      </w:rPr>
    </w:lvl>
    <w:lvl w:ilvl="6">
      <w:start w:val="0"/>
      <w:numFmt w:val="bullet"/>
      <w:lvlText w:val="•"/>
      <w:lvlJc w:val="left"/>
      <w:pPr>
        <w:ind w:left="4402" w:hanging="180"/>
      </w:pPr>
      <w:rPr>
        <w:rFonts w:hint="default"/>
      </w:rPr>
    </w:lvl>
    <w:lvl w:ilvl="7">
      <w:start w:val="0"/>
      <w:numFmt w:val="bullet"/>
      <w:lvlText w:val="•"/>
      <w:lvlJc w:val="left"/>
      <w:pPr>
        <w:ind w:left="5070" w:hanging="180"/>
      </w:pPr>
      <w:rPr>
        <w:rFonts w:hint="default"/>
      </w:rPr>
    </w:lvl>
    <w:lvl w:ilvl="8">
      <w:start w:val="0"/>
      <w:numFmt w:val="bullet"/>
      <w:lvlText w:val="•"/>
      <w:lvlJc w:val="left"/>
      <w:pPr>
        <w:ind w:left="5737" w:hanging="180"/>
      </w:pPr>
      <w:rPr>
        <w:rFonts w:hint="default"/>
      </w:rPr>
    </w:lvl>
  </w:abstractNum>
  <w:abstractNum w:abstractNumId="162">
    <w:multiLevelType w:val="hybridMultilevel"/>
    <w:lvl w:ilvl="0">
      <w:start w:val="1"/>
      <w:numFmt w:val="decimal"/>
      <w:lvlText w:val="%1."/>
      <w:lvlJc w:val="left"/>
      <w:pPr>
        <w:ind w:left="289" w:hanging="180"/>
        <w:jc w:val="left"/>
      </w:pPr>
      <w:rPr>
        <w:rFonts w:hint="default" w:ascii="微軟正黑體" w:hAnsi="微軟正黑體" w:eastAsia="微軟正黑體" w:cs="微軟正黑體"/>
        <w:spacing w:val="-1"/>
        <w:w w:val="100"/>
        <w:sz w:val="20"/>
        <w:szCs w:val="20"/>
      </w:rPr>
    </w:lvl>
    <w:lvl w:ilvl="1">
      <w:start w:val="0"/>
      <w:numFmt w:val="bullet"/>
      <w:lvlText w:val="•"/>
      <w:lvlJc w:val="left"/>
      <w:pPr>
        <w:ind w:left="959" w:hanging="180"/>
      </w:pPr>
      <w:rPr>
        <w:rFonts w:hint="default"/>
      </w:rPr>
    </w:lvl>
    <w:lvl w:ilvl="2">
      <w:start w:val="0"/>
      <w:numFmt w:val="bullet"/>
      <w:lvlText w:val="•"/>
      <w:lvlJc w:val="left"/>
      <w:pPr>
        <w:ind w:left="1638" w:hanging="180"/>
      </w:pPr>
      <w:rPr>
        <w:rFonts w:hint="default"/>
      </w:rPr>
    </w:lvl>
    <w:lvl w:ilvl="3">
      <w:start w:val="0"/>
      <w:numFmt w:val="bullet"/>
      <w:lvlText w:val="•"/>
      <w:lvlJc w:val="left"/>
      <w:pPr>
        <w:ind w:left="2317" w:hanging="180"/>
      </w:pPr>
      <w:rPr>
        <w:rFonts w:hint="default"/>
      </w:rPr>
    </w:lvl>
    <w:lvl w:ilvl="4">
      <w:start w:val="0"/>
      <w:numFmt w:val="bullet"/>
      <w:lvlText w:val="•"/>
      <w:lvlJc w:val="left"/>
      <w:pPr>
        <w:ind w:left="2996" w:hanging="180"/>
      </w:pPr>
      <w:rPr>
        <w:rFonts w:hint="default"/>
      </w:rPr>
    </w:lvl>
    <w:lvl w:ilvl="5">
      <w:start w:val="0"/>
      <w:numFmt w:val="bullet"/>
      <w:lvlText w:val="•"/>
      <w:lvlJc w:val="left"/>
      <w:pPr>
        <w:ind w:left="3675" w:hanging="180"/>
      </w:pPr>
      <w:rPr>
        <w:rFonts w:hint="default"/>
      </w:rPr>
    </w:lvl>
    <w:lvl w:ilvl="6">
      <w:start w:val="0"/>
      <w:numFmt w:val="bullet"/>
      <w:lvlText w:val="•"/>
      <w:lvlJc w:val="left"/>
      <w:pPr>
        <w:ind w:left="4354" w:hanging="180"/>
      </w:pPr>
      <w:rPr>
        <w:rFonts w:hint="default"/>
      </w:rPr>
    </w:lvl>
    <w:lvl w:ilvl="7">
      <w:start w:val="0"/>
      <w:numFmt w:val="bullet"/>
      <w:lvlText w:val="•"/>
      <w:lvlJc w:val="left"/>
      <w:pPr>
        <w:ind w:left="5034" w:hanging="180"/>
      </w:pPr>
      <w:rPr>
        <w:rFonts w:hint="default"/>
      </w:rPr>
    </w:lvl>
    <w:lvl w:ilvl="8">
      <w:start w:val="0"/>
      <w:numFmt w:val="bullet"/>
      <w:lvlText w:val="•"/>
      <w:lvlJc w:val="left"/>
      <w:pPr>
        <w:ind w:left="5713" w:hanging="180"/>
      </w:pPr>
      <w:rPr>
        <w:rFonts w:hint="default"/>
      </w:rPr>
    </w:lvl>
  </w:abstractNum>
  <w:abstractNum w:abstractNumId="161">
    <w:multiLevelType w:val="hybridMultilevel"/>
    <w:lvl w:ilvl="0">
      <w:start w:val="4"/>
      <w:numFmt w:val="decimal"/>
      <w:lvlText w:val="%1."/>
      <w:lvlJc w:val="left"/>
      <w:pPr>
        <w:ind w:left="289" w:hanging="180"/>
        <w:jc w:val="left"/>
      </w:pPr>
      <w:rPr>
        <w:rFonts w:hint="default" w:ascii="微軟正黑體" w:hAnsi="微軟正黑體" w:eastAsia="微軟正黑體" w:cs="微軟正黑體"/>
        <w:spacing w:val="-1"/>
        <w:w w:val="100"/>
        <w:sz w:val="20"/>
        <w:szCs w:val="20"/>
      </w:rPr>
    </w:lvl>
    <w:lvl w:ilvl="1">
      <w:start w:val="0"/>
      <w:numFmt w:val="bullet"/>
      <w:lvlText w:val="•"/>
      <w:lvlJc w:val="left"/>
      <w:pPr>
        <w:ind w:left="959" w:hanging="180"/>
      </w:pPr>
      <w:rPr>
        <w:rFonts w:hint="default"/>
      </w:rPr>
    </w:lvl>
    <w:lvl w:ilvl="2">
      <w:start w:val="0"/>
      <w:numFmt w:val="bullet"/>
      <w:lvlText w:val="•"/>
      <w:lvlJc w:val="left"/>
      <w:pPr>
        <w:ind w:left="1638" w:hanging="180"/>
      </w:pPr>
      <w:rPr>
        <w:rFonts w:hint="default"/>
      </w:rPr>
    </w:lvl>
    <w:lvl w:ilvl="3">
      <w:start w:val="0"/>
      <w:numFmt w:val="bullet"/>
      <w:lvlText w:val="•"/>
      <w:lvlJc w:val="left"/>
      <w:pPr>
        <w:ind w:left="2317" w:hanging="180"/>
      </w:pPr>
      <w:rPr>
        <w:rFonts w:hint="default"/>
      </w:rPr>
    </w:lvl>
    <w:lvl w:ilvl="4">
      <w:start w:val="0"/>
      <w:numFmt w:val="bullet"/>
      <w:lvlText w:val="•"/>
      <w:lvlJc w:val="left"/>
      <w:pPr>
        <w:ind w:left="2996" w:hanging="180"/>
      </w:pPr>
      <w:rPr>
        <w:rFonts w:hint="default"/>
      </w:rPr>
    </w:lvl>
    <w:lvl w:ilvl="5">
      <w:start w:val="0"/>
      <w:numFmt w:val="bullet"/>
      <w:lvlText w:val="•"/>
      <w:lvlJc w:val="left"/>
      <w:pPr>
        <w:ind w:left="3675" w:hanging="180"/>
      </w:pPr>
      <w:rPr>
        <w:rFonts w:hint="default"/>
      </w:rPr>
    </w:lvl>
    <w:lvl w:ilvl="6">
      <w:start w:val="0"/>
      <w:numFmt w:val="bullet"/>
      <w:lvlText w:val="•"/>
      <w:lvlJc w:val="left"/>
      <w:pPr>
        <w:ind w:left="4354" w:hanging="180"/>
      </w:pPr>
      <w:rPr>
        <w:rFonts w:hint="default"/>
      </w:rPr>
    </w:lvl>
    <w:lvl w:ilvl="7">
      <w:start w:val="0"/>
      <w:numFmt w:val="bullet"/>
      <w:lvlText w:val="•"/>
      <w:lvlJc w:val="left"/>
      <w:pPr>
        <w:ind w:left="5034" w:hanging="180"/>
      </w:pPr>
      <w:rPr>
        <w:rFonts w:hint="default"/>
      </w:rPr>
    </w:lvl>
    <w:lvl w:ilvl="8">
      <w:start w:val="0"/>
      <w:numFmt w:val="bullet"/>
      <w:lvlText w:val="•"/>
      <w:lvlJc w:val="left"/>
      <w:pPr>
        <w:ind w:left="5713" w:hanging="180"/>
      </w:pPr>
      <w:rPr>
        <w:rFonts w:hint="default"/>
      </w:rPr>
    </w:lvl>
  </w:abstractNum>
  <w:abstractNum w:abstractNumId="160">
    <w:multiLevelType w:val="hybridMultilevel"/>
    <w:lvl w:ilvl="0">
      <w:start w:val="1"/>
      <w:numFmt w:val="decimal"/>
      <w:lvlText w:val="%1."/>
      <w:lvlJc w:val="left"/>
      <w:pPr>
        <w:ind w:left="289" w:hanging="180"/>
        <w:jc w:val="left"/>
      </w:pPr>
      <w:rPr>
        <w:rFonts w:hint="default" w:ascii="微軟正黑體" w:hAnsi="微軟正黑體" w:eastAsia="微軟正黑體" w:cs="微軟正黑體"/>
        <w:spacing w:val="-1"/>
        <w:w w:val="100"/>
        <w:sz w:val="20"/>
        <w:szCs w:val="20"/>
      </w:rPr>
    </w:lvl>
    <w:lvl w:ilvl="1">
      <w:start w:val="0"/>
      <w:numFmt w:val="bullet"/>
      <w:lvlText w:val="•"/>
      <w:lvlJc w:val="left"/>
      <w:pPr>
        <w:ind w:left="959" w:hanging="180"/>
      </w:pPr>
      <w:rPr>
        <w:rFonts w:hint="default"/>
      </w:rPr>
    </w:lvl>
    <w:lvl w:ilvl="2">
      <w:start w:val="0"/>
      <w:numFmt w:val="bullet"/>
      <w:lvlText w:val="•"/>
      <w:lvlJc w:val="left"/>
      <w:pPr>
        <w:ind w:left="1638" w:hanging="180"/>
      </w:pPr>
      <w:rPr>
        <w:rFonts w:hint="default"/>
      </w:rPr>
    </w:lvl>
    <w:lvl w:ilvl="3">
      <w:start w:val="0"/>
      <w:numFmt w:val="bullet"/>
      <w:lvlText w:val="•"/>
      <w:lvlJc w:val="left"/>
      <w:pPr>
        <w:ind w:left="2317" w:hanging="180"/>
      </w:pPr>
      <w:rPr>
        <w:rFonts w:hint="default"/>
      </w:rPr>
    </w:lvl>
    <w:lvl w:ilvl="4">
      <w:start w:val="0"/>
      <w:numFmt w:val="bullet"/>
      <w:lvlText w:val="•"/>
      <w:lvlJc w:val="left"/>
      <w:pPr>
        <w:ind w:left="2996" w:hanging="180"/>
      </w:pPr>
      <w:rPr>
        <w:rFonts w:hint="default"/>
      </w:rPr>
    </w:lvl>
    <w:lvl w:ilvl="5">
      <w:start w:val="0"/>
      <w:numFmt w:val="bullet"/>
      <w:lvlText w:val="•"/>
      <w:lvlJc w:val="left"/>
      <w:pPr>
        <w:ind w:left="3675" w:hanging="180"/>
      </w:pPr>
      <w:rPr>
        <w:rFonts w:hint="default"/>
      </w:rPr>
    </w:lvl>
    <w:lvl w:ilvl="6">
      <w:start w:val="0"/>
      <w:numFmt w:val="bullet"/>
      <w:lvlText w:val="•"/>
      <w:lvlJc w:val="left"/>
      <w:pPr>
        <w:ind w:left="4354" w:hanging="180"/>
      </w:pPr>
      <w:rPr>
        <w:rFonts w:hint="default"/>
      </w:rPr>
    </w:lvl>
    <w:lvl w:ilvl="7">
      <w:start w:val="0"/>
      <w:numFmt w:val="bullet"/>
      <w:lvlText w:val="•"/>
      <w:lvlJc w:val="left"/>
      <w:pPr>
        <w:ind w:left="5034" w:hanging="180"/>
      </w:pPr>
      <w:rPr>
        <w:rFonts w:hint="default"/>
      </w:rPr>
    </w:lvl>
    <w:lvl w:ilvl="8">
      <w:start w:val="0"/>
      <w:numFmt w:val="bullet"/>
      <w:lvlText w:val="•"/>
      <w:lvlJc w:val="left"/>
      <w:pPr>
        <w:ind w:left="5713" w:hanging="180"/>
      </w:pPr>
      <w:rPr>
        <w:rFonts w:hint="default"/>
      </w:rPr>
    </w:lvl>
  </w:abstractNum>
  <w:abstractNum w:abstractNumId="159">
    <w:multiLevelType w:val="hybridMultilevel"/>
    <w:lvl w:ilvl="0">
      <w:start w:val="6"/>
      <w:numFmt w:val="decimal"/>
      <w:lvlText w:val="%1."/>
      <w:lvlJc w:val="left"/>
      <w:pPr>
        <w:ind w:left="289" w:hanging="180"/>
        <w:jc w:val="left"/>
      </w:pPr>
      <w:rPr>
        <w:rFonts w:hint="default" w:ascii="微軟正黑體" w:hAnsi="微軟正黑體" w:eastAsia="微軟正黑體" w:cs="微軟正黑體"/>
        <w:spacing w:val="-1"/>
        <w:w w:val="100"/>
        <w:sz w:val="20"/>
        <w:szCs w:val="20"/>
      </w:rPr>
    </w:lvl>
    <w:lvl w:ilvl="1">
      <w:start w:val="0"/>
      <w:numFmt w:val="bullet"/>
      <w:lvlText w:val="•"/>
      <w:lvlJc w:val="left"/>
      <w:pPr>
        <w:ind w:left="959" w:hanging="180"/>
      </w:pPr>
      <w:rPr>
        <w:rFonts w:hint="default"/>
      </w:rPr>
    </w:lvl>
    <w:lvl w:ilvl="2">
      <w:start w:val="0"/>
      <w:numFmt w:val="bullet"/>
      <w:lvlText w:val="•"/>
      <w:lvlJc w:val="left"/>
      <w:pPr>
        <w:ind w:left="1638" w:hanging="180"/>
      </w:pPr>
      <w:rPr>
        <w:rFonts w:hint="default"/>
      </w:rPr>
    </w:lvl>
    <w:lvl w:ilvl="3">
      <w:start w:val="0"/>
      <w:numFmt w:val="bullet"/>
      <w:lvlText w:val="•"/>
      <w:lvlJc w:val="left"/>
      <w:pPr>
        <w:ind w:left="2317" w:hanging="180"/>
      </w:pPr>
      <w:rPr>
        <w:rFonts w:hint="default"/>
      </w:rPr>
    </w:lvl>
    <w:lvl w:ilvl="4">
      <w:start w:val="0"/>
      <w:numFmt w:val="bullet"/>
      <w:lvlText w:val="•"/>
      <w:lvlJc w:val="left"/>
      <w:pPr>
        <w:ind w:left="2996" w:hanging="180"/>
      </w:pPr>
      <w:rPr>
        <w:rFonts w:hint="default"/>
      </w:rPr>
    </w:lvl>
    <w:lvl w:ilvl="5">
      <w:start w:val="0"/>
      <w:numFmt w:val="bullet"/>
      <w:lvlText w:val="•"/>
      <w:lvlJc w:val="left"/>
      <w:pPr>
        <w:ind w:left="3675" w:hanging="180"/>
      </w:pPr>
      <w:rPr>
        <w:rFonts w:hint="default"/>
      </w:rPr>
    </w:lvl>
    <w:lvl w:ilvl="6">
      <w:start w:val="0"/>
      <w:numFmt w:val="bullet"/>
      <w:lvlText w:val="•"/>
      <w:lvlJc w:val="left"/>
      <w:pPr>
        <w:ind w:left="4354" w:hanging="180"/>
      </w:pPr>
      <w:rPr>
        <w:rFonts w:hint="default"/>
      </w:rPr>
    </w:lvl>
    <w:lvl w:ilvl="7">
      <w:start w:val="0"/>
      <w:numFmt w:val="bullet"/>
      <w:lvlText w:val="•"/>
      <w:lvlJc w:val="left"/>
      <w:pPr>
        <w:ind w:left="5034" w:hanging="180"/>
      </w:pPr>
      <w:rPr>
        <w:rFonts w:hint="default"/>
      </w:rPr>
    </w:lvl>
    <w:lvl w:ilvl="8">
      <w:start w:val="0"/>
      <w:numFmt w:val="bullet"/>
      <w:lvlText w:val="•"/>
      <w:lvlJc w:val="left"/>
      <w:pPr>
        <w:ind w:left="5713" w:hanging="180"/>
      </w:pPr>
      <w:rPr>
        <w:rFonts w:hint="default"/>
      </w:rPr>
    </w:lvl>
  </w:abstractNum>
  <w:abstractNum w:abstractNumId="158">
    <w:multiLevelType w:val="hybridMultilevel"/>
    <w:lvl w:ilvl="0">
      <w:start w:val="1"/>
      <w:numFmt w:val="decimal"/>
      <w:lvlText w:val="%1."/>
      <w:lvlJc w:val="left"/>
      <w:pPr>
        <w:ind w:left="289" w:hanging="180"/>
        <w:jc w:val="left"/>
      </w:pPr>
      <w:rPr>
        <w:rFonts w:hint="default" w:ascii="微軟正黑體" w:hAnsi="微軟正黑體" w:eastAsia="微軟正黑體" w:cs="微軟正黑體"/>
        <w:spacing w:val="-1"/>
        <w:w w:val="100"/>
        <w:sz w:val="20"/>
        <w:szCs w:val="20"/>
      </w:rPr>
    </w:lvl>
    <w:lvl w:ilvl="1">
      <w:start w:val="0"/>
      <w:numFmt w:val="bullet"/>
      <w:lvlText w:val="•"/>
      <w:lvlJc w:val="left"/>
      <w:pPr>
        <w:ind w:left="959" w:hanging="180"/>
      </w:pPr>
      <w:rPr>
        <w:rFonts w:hint="default"/>
      </w:rPr>
    </w:lvl>
    <w:lvl w:ilvl="2">
      <w:start w:val="0"/>
      <w:numFmt w:val="bullet"/>
      <w:lvlText w:val="•"/>
      <w:lvlJc w:val="left"/>
      <w:pPr>
        <w:ind w:left="1638" w:hanging="180"/>
      </w:pPr>
      <w:rPr>
        <w:rFonts w:hint="default"/>
      </w:rPr>
    </w:lvl>
    <w:lvl w:ilvl="3">
      <w:start w:val="0"/>
      <w:numFmt w:val="bullet"/>
      <w:lvlText w:val="•"/>
      <w:lvlJc w:val="left"/>
      <w:pPr>
        <w:ind w:left="2317" w:hanging="180"/>
      </w:pPr>
      <w:rPr>
        <w:rFonts w:hint="default"/>
      </w:rPr>
    </w:lvl>
    <w:lvl w:ilvl="4">
      <w:start w:val="0"/>
      <w:numFmt w:val="bullet"/>
      <w:lvlText w:val="•"/>
      <w:lvlJc w:val="left"/>
      <w:pPr>
        <w:ind w:left="2996" w:hanging="180"/>
      </w:pPr>
      <w:rPr>
        <w:rFonts w:hint="default"/>
      </w:rPr>
    </w:lvl>
    <w:lvl w:ilvl="5">
      <w:start w:val="0"/>
      <w:numFmt w:val="bullet"/>
      <w:lvlText w:val="•"/>
      <w:lvlJc w:val="left"/>
      <w:pPr>
        <w:ind w:left="3675" w:hanging="180"/>
      </w:pPr>
      <w:rPr>
        <w:rFonts w:hint="default"/>
      </w:rPr>
    </w:lvl>
    <w:lvl w:ilvl="6">
      <w:start w:val="0"/>
      <w:numFmt w:val="bullet"/>
      <w:lvlText w:val="•"/>
      <w:lvlJc w:val="left"/>
      <w:pPr>
        <w:ind w:left="4354" w:hanging="180"/>
      </w:pPr>
      <w:rPr>
        <w:rFonts w:hint="default"/>
      </w:rPr>
    </w:lvl>
    <w:lvl w:ilvl="7">
      <w:start w:val="0"/>
      <w:numFmt w:val="bullet"/>
      <w:lvlText w:val="•"/>
      <w:lvlJc w:val="left"/>
      <w:pPr>
        <w:ind w:left="5034" w:hanging="180"/>
      </w:pPr>
      <w:rPr>
        <w:rFonts w:hint="default"/>
      </w:rPr>
    </w:lvl>
    <w:lvl w:ilvl="8">
      <w:start w:val="0"/>
      <w:numFmt w:val="bullet"/>
      <w:lvlText w:val="•"/>
      <w:lvlJc w:val="left"/>
      <w:pPr>
        <w:ind w:left="5713" w:hanging="180"/>
      </w:pPr>
      <w:rPr>
        <w:rFonts w:hint="default"/>
      </w:rPr>
    </w:lvl>
  </w:abstractNum>
  <w:abstractNum w:abstractNumId="157">
    <w:multiLevelType w:val="hybridMultilevel"/>
    <w:lvl w:ilvl="0">
      <w:start w:val="4"/>
      <w:numFmt w:val="decimal"/>
      <w:lvlText w:val="%1."/>
      <w:lvlJc w:val="left"/>
      <w:pPr>
        <w:ind w:left="398" w:hanging="180"/>
        <w:jc w:val="left"/>
      </w:pPr>
      <w:rPr>
        <w:rFonts w:hint="default" w:ascii="微軟正黑體" w:hAnsi="微軟正黑體" w:eastAsia="微軟正黑體" w:cs="微軟正黑體"/>
        <w:spacing w:val="-1"/>
        <w:w w:val="100"/>
        <w:sz w:val="20"/>
        <w:szCs w:val="20"/>
      </w:rPr>
    </w:lvl>
    <w:lvl w:ilvl="1">
      <w:start w:val="0"/>
      <w:numFmt w:val="bullet"/>
      <w:lvlText w:val="•"/>
      <w:lvlJc w:val="left"/>
      <w:pPr>
        <w:ind w:left="1067" w:hanging="180"/>
      </w:pPr>
      <w:rPr>
        <w:rFonts w:hint="default"/>
      </w:rPr>
    </w:lvl>
    <w:lvl w:ilvl="2">
      <w:start w:val="0"/>
      <w:numFmt w:val="bullet"/>
      <w:lvlText w:val="•"/>
      <w:lvlJc w:val="left"/>
      <w:pPr>
        <w:ind w:left="1734" w:hanging="180"/>
      </w:pPr>
      <w:rPr>
        <w:rFonts w:hint="default"/>
      </w:rPr>
    </w:lvl>
    <w:lvl w:ilvl="3">
      <w:start w:val="0"/>
      <w:numFmt w:val="bullet"/>
      <w:lvlText w:val="•"/>
      <w:lvlJc w:val="left"/>
      <w:pPr>
        <w:ind w:left="2401" w:hanging="180"/>
      </w:pPr>
      <w:rPr>
        <w:rFonts w:hint="default"/>
      </w:rPr>
    </w:lvl>
    <w:lvl w:ilvl="4">
      <w:start w:val="0"/>
      <w:numFmt w:val="bullet"/>
      <w:lvlText w:val="•"/>
      <w:lvlJc w:val="left"/>
      <w:pPr>
        <w:ind w:left="3068" w:hanging="180"/>
      </w:pPr>
      <w:rPr>
        <w:rFonts w:hint="default"/>
      </w:rPr>
    </w:lvl>
    <w:lvl w:ilvl="5">
      <w:start w:val="0"/>
      <w:numFmt w:val="bullet"/>
      <w:lvlText w:val="•"/>
      <w:lvlJc w:val="left"/>
      <w:pPr>
        <w:ind w:left="3735" w:hanging="180"/>
      </w:pPr>
      <w:rPr>
        <w:rFonts w:hint="default"/>
      </w:rPr>
    </w:lvl>
    <w:lvl w:ilvl="6">
      <w:start w:val="0"/>
      <w:numFmt w:val="bullet"/>
      <w:lvlText w:val="•"/>
      <w:lvlJc w:val="left"/>
      <w:pPr>
        <w:ind w:left="4402" w:hanging="180"/>
      </w:pPr>
      <w:rPr>
        <w:rFonts w:hint="default"/>
      </w:rPr>
    </w:lvl>
    <w:lvl w:ilvl="7">
      <w:start w:val="0"/>
      <w:numFmt w:val="bullet"/>
      <w:lvlText w:val="•"/>
      <w:lvlJc w:val="left"/>
      <w:pPr>
        <w:ind w:left="5070" w:hanging="180"/>
      </w:pPr>
      <w:rPr>
        <w:rFonts w:hint="default"/>
      </w:rPr>
    </w:lvl>
    <w:lvl w:ilvl="8">
      <w:start w:val="0"/>
      <w:numFmt w:val="bullet"/>
      <w:lvlText w:val="•"/>
      <w:lvlJc w:val="left"/>
      <w:pPr>
        <w:ind w:left="5737" w:hanging="180"/>
      </w:pPr>
      <w:rPr>
        <w:rFonts w:hint="default"/>
      </w:rPr>
    </w:lvl>
  </w:abstractNum>
  <w:abstractNum w:abstractNumId="156">
    <w:multiLevelType w:val="hybridMultilevel"/>
    <w:lvl w:ilvl="0">
      <w:start w:val="1"/>
      <w:numFmt w:val="decimal"/>
      <w:lvlText w:val="%1."/>
      <w:lvlJc w:val="left"/>
      <w:pPr>
        <w:ind w:left="289" w:hanging="180"/>
        <w:jc w:val="left"/>
      </w:pPr>
      <w:rPr>
        <w:rFonts w:hint="default" w:ascii="微軟正黑體" w:hAnsi="微軟正黑體" w:eastAsia="微軟正黑體" w:cs="微軟正黑體"/>
        <w:spacing w:val="-1"/>
        <w:w w:val="100"/>
        <w:sz w:val="20"/>
        <w:szCs w:val="20"/>
      </w:rPr>
    </w:lvl>
    <w:lvl w:ilvl="1">
      <w:start w:val="0"/>
      <w:numFmt w:val="bullet"/>
      <w:lvlText w:val="•"/>
      <w:lvlJc w:val="left"/>
      <w:pPr>
        <w:ind w:left="959" w:hanging="180"/>
      </w:pPr>
      <w:rPr>
        <w:rFonts w:hint="default"/>
      </w:rPr>
    </w:lvl>
    <w:lvl w:ilvl="2">
      <w:start w:val="0"/>
      <w:numFmt w:val="bullet"/>
      <w:lvlText w:val="•"/>
      <w:lvlJc w:val="left"/>
      <w:pPr>
        <w:ind w:left="1638" w:hanging="180"/>
      </w:pPr>
      <w:rPr>
        <w:rFonts w:hint="default"/>
      </w:rPr>
    </w:lvl>
    <w:lvl w:ilvl="3">
      <w:start w:val="0"/>
      <w:numFmt w:val="bullet"/>
      <w:lvlText w:val="•"/>
      <w:lvlJc w:val="left"/>
      <w:pPr>
        <w:ind w:left="2317" w:hanging="180"/>
      </w:pPr>
      <w:rPr>
        <w:rFonts w:hint="default"/>
      </w:rPr>
    </w:lvl>
    <w:lvl w:ilvl="4">
      <w:start w:val="0"/>
      <w:numFmt w:val="bullet"/>
      <w:lvlText w:val="•"/>
      <w:lvlJc w:val="left"/>
      <w:pPr>
        <w:ind w:left="2996" w:hanging="180"/>
      </w:pPr>
      <w:rPr>
        <w:rFonts w:hint="default"/>
      </w:rPr>
    </w:lvl>
    <w:lvl w:ilvl="5">
      <w:start w:val="0"/>
      <w:numFmt w:val="bullet"/>
      <w:lvlText w:val="•"/>
      <w:lvlJc w:val="left"/>
      <w:pPr>
        <w:ind w:left="3675" w:hanging="180"/>
      </w:pPr>
      <w:rPr>
        <w:rFonts w:hint="default"/>
      </w:rPr>
    </w:lvl>
    <w:lvl w:ilvl="6">
      <w:start w:val="0"/>
      <w:numFmt w:val="bullet"/>
      <w:lvlText w:val="•"/>
      <w:lvlJc w:val="left"/>
      <w:pPr>
        <w:ind w:left="4354" w:hanging="180"/>
      </w:pPr>
      <w:rPr>
        <w:rFonts w:hint="default"/>
      </w:rPr>
    </w:lvl>
    <w:lvl w:ilvl="7">
      <w:start w:val="0"/>
      <w:numFmt w:val="bullet"/>
      <w:lvlText w:val="•"/>
      <w:lvlJc w:val="left"/>
      <w:pPr>
        <w:ind w:left="5034" w:hanging="180"/>
      </w:pPr>
      <w:rPr>
        <w:rFonts w:hint="default"/>
      </w:rPr>
    </w:lvl>
    <w:lvl w:ilvl="8">
      <w:start w:val="0"/>
      <w:numFmt w:val="bullet"/>
      <w:lvlText w:val="•"/>
      <w:lvlJc w:val="left"/>
      <w:pPr>
        <w:ind w:left="5713" w:hanging="180"/>
      </w:pPr>
      <w:rPr>
        <w:rFonts w:hint="default"/>
      </w:rPr>
    </w:lvl>
  </w:abstractNum>
  <w:abstractNum w:abstractNumId="155">
    <w:multiLevelType w:val="hybridMultilevel"/>
    <w:lvl w:ilvl="0">
      <w:start w:val="1"/>
      <w:numFmt w:val="decimal"/>
      <w:lvlText w:val="%1."/>
      <w:lvlJc w:val="left"/>
      <w:pPr>
        <w:ind w:left="424" w:hanging="286"/>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1085" w:hanging="286"/>
      </w:pPr>
      <w:rPr>
        <w:rFonts w:hint="default"/>
      </w:rPr>
    </w:lvl>
    <w:lvl w:ilvl="2">
      <w:start w:val="0"/>
      <w:numFmt w:val="bullet"/>
      <w:lvlText w:val="•"/>
      <w:lvlJc w:val="left"/>
      <w:pPr>
        <w:ind w:left="1750" w:hanging="286"/>
      </w:pPr>
      <w:rPr>
        <w:rFonts w:hint="default"/>
      </w:rPr>
    </w:lvl>
    <w:lvl w:ilvl="3">
      <w:start w:val="0"/>
      <w:numFmt w:val="bullet"/>
      <w:lvlText w:val="•"/>
      <w:lvlJc w:val="left"/>
      <w:pPr>
        <w:ind w:left="2415" w:hanging="286"/>
      </w:pPr>
      <w:rPr>
        <w:rFonts w:hint="default"/>
      </w:rPr>
    </w:lvl>
    <w:lvl w:ilvl="4">
      <w:start w:val="0"/>
      <w:numFmt w:val="bullet"/>
      <w:lvlText w:val="•"/>
      <w:lvlJc w:val="left"/>
      <w:pPr>
        <w:ind w:left="3080" w:hanging="286"/>
      </w:pPr>
      <w:rPr>
        <w:rFonts w:hint="default"/>
      </w:rPr>
    </w:lvl>
    <w:lvl w:ilvl="5">
      <w:start w:val="0"/>
      <w:numFmt w:val="bullet"/>
      <w:lvlText w:val="•"/>
      <w:lvlJc w:val="left"/>
      <w:pPr>
        <w:ind w:left="3745" w:hanging="286"/>
      </w:pPr>
      <w:rPr>
        <w:rFonts w:hint="default"/>
      </w:rPr>
    </w:lvl>
    <w:lvl w:ilvl="6">
      <w:start w:val="0"/>
      <w:numFmt w:val="bullet"/>
      <w:lvlText w:val="•"/>
      <w:lvlJc w:val="left"/>
      <w:pPr>
        <w:ind w:left="4410" w:hanging="286"/>
      </w:pPr>
      <w:rPr>
        <w:rFonts w:hint="default"/>
      </w:rPr>
    </w:lvl>
    <w:lvl w:ilvl="7">
      <w:start w:val="0"/>
      <w:numFmt w:val="bullet"/>
      <w:lvlText w:val="•"/>
      <w:lvlJc w:val="left"/>
      <w:pPr>
        <w:ind w:left="5076" w:hanging="286"/>
      </w:pPr>
      <w:rPr>
        <w:rFonts w:hint="default"/>
      </w:rPr>
    </w:lvl>
    <w:lvl w:ilvl="8">
      <w:start w:val="0"/>
      <w:numFmt w:val="bullet"/>
      <w:lvlText w:val="•"/>
      <w:lvlJc w:val="left"/>
      <w:pPr>
        <w:ind w:left="5741" w:hanging="286"/>
      </w:pPr>
      <w:rPr>
        <w:rFonts w:hint="default"/>
      </w:rPr>
    </w:lvl>
  </w:abstractNum>
  <w:abstractNum w:abstractNumId="154">
    <w:multiLevelType w:val="hybridMultilevel"/>
    <w:lvl w:ilvl="0">
      <w:start w:val="1"/>
      <w:numFmt w:val="decimal"/>
      <w:lvlText w:val="%1."/>
      <w:lvlJc w:val="left"/>
      <w:pPr>
        <w:ind w:left="424" w:hanging="286"/>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1085" w:hanging="286"/>
      </w:pPr>
      <w:rPr>
        <w:rFonts w:hint="default"/>
      </w:rPr>
    </w:lvl>
    <w:lvl w:ilvl="2">
      <w:start w:val="0"/>
      <w:numFmt w:val="bullet"/>
      <w:lvlText w:val="•"/>
      <w:lvlJc w:val="left"/>
      <w:pPr>
        <w:ind w:left="1750" w:hanging="286"/>
      </w:pPr>
      <w:rPr>
        <w:rFonts w:hint="default"/>
      </w:rPr>
    </w:lvl>
    <w:lvl w:ilvl="3">
      <w:start w:val="0"/>
      <w:numFmt w:val="bullet"/>
      <w:lvlText w:val="•"/>
      <w:lvlJc w:val="left"/>
      <w:pPr>
        <w:ind w:left="2415" w:hanging="286"/>
      </w:pPr>
      <w:rPr>
        <w:rFonts w:hint="default"/>
      </w:rPr>
    </w:lvl>
    <w:lvl w:ilvl="4">
      <w:start w:val="0"/>
      <w:numFmt w:val="bullet"/>
      <w:lvlText w:val="•"/>
      <w:lvlJc w:val="left"/>
      <w:pPr>
        <w:ind w:left="3080" w:hanging="286"/>
      </w:pPr>
      <w:rPr>
        <w:rFonts w:hint="default"/>
      </w:rPr>
    </w:lvl>
    <w:lvl w:ilvl="5">
      <w:start w:val="0"/>
      <w:numFmt w:val="bullet"/>
      <w:lvlText w:val="•"/>
      <w:lvlJc w:val="left"/>
      <w:pPr>
        <w:ind w:left="3745" w:hanging="286"/>
      </w:pPr>
      <w:rPr>
        <w:rFonts w:hint="default"/>
      </w:rPr>
    </w:lvl>
    <w:lvl w:ilvl="6">
      <w:start w:val="0"/>
      <w:numFmt w:val="bullet"/>
      <w:lvlText w:val="•"/>
      <w:lvlJc w:val="left"/>
      <w:pPr>
        <w:ind w:left="4410" w:hanging="286"/>
      </w:pPr>
      <w:rPr>
        <w:rFonts w:hint="default"/>
      </w:rPr>
    </w:lvl>
    <w:lvl w:ilvl="7">
      <w:start w:val="0"/>
      <w:numFmt w:val="bullet"/>
      <w:lvlText w:val="•"/>
      <w:lvlJc w:val="left"/>
      <w:pPr>
        <w:ind w:left="5076" w:hanging="286"/>
      </w:pPr>
      <w:rPr>
        <w:rFonts w:hint="default"/>
      </w:rPr>
    </w:lvl>
    <w:lvl w:ilvl="8">
      <w:start w:val="0"/>
      <w:numFmt w:val="bullet"/>
      <w:lvlText w:val="•"/>
      <w:lvlJc w:val="left"/>
      <w:pPr>
        <w:ind w:left="5741" w:hanging="286"/>
      </w:pPr>
      <w:rPr>
        <w:rFonts w:hint="default"/>
      </w:rPr>
    </w:lvl>
  </w:abstractNum>
  <w:abstractNum w:abstractNumId="153">
    <w:multiLevelType w:val="hybridMultilevel"/>
    <w:lvl w:ilvl="0">
      <w:start w:val="3"/>
      <w:numFmt w:val="decimal"/>
      <w:lvlText w:val="%1."/>
      <w:lvlJc w:val="left"/>
      <w:pPr>
        <w:ind w:left="424" w:hanging="284"/>
        <w:jc w:val="left"/>
      </w:pPr>
      <w:rPr>
        <w:rFonts w:hint="default" w:ascii="微軟正黑體" w:hAnsi="微軟正黑體" w:eastAsia="微軟正黑體" w:cs="微軟正黑體"/>
        <w:spacing w:val="-1"/>
        <w:w w:val="100"/>
        <w:sz w:val="22"/>
        <w:szCs w:val="22"/>
      </w:rPr>
    </w:lvl>
    <w:lvl w:ilvl="1">
      <w:start w:val="0"/>
      <w:numFmt w:val="bullet"/>
      <w:lvlText w:val="•"/>
      <w:lvlJc w:val="left"/>
      <w:pPr>
        <w:ind w:left="1085" w:hanging="284"/>
      </w:pPr>
      <w:rPr>
        <w:rFonts w:hint="default"/>
      </w:rPr>
    </w:lvl>
    <w:lvl w:ilvl="2">
      <w:start w:val="0"/>
      <w:numFmt w:val="bullet"/>
      <w:lvlText w:val="•"/>
      <w:lvlJc w:val="left"/>
      <w:pPr>
        <w:ind w:left="1750" w:hanging="284"/>
      </w:pPr>
      <w:rPr>
        <w:rFonts w:hint="default"/>
      </w:rPr>
    </w:lvl>
    <w:lvl w:ilvl="3">
      <w:start w:val="0"/>
      <w:numFmt w:val="bullet"/>
      <w:lvlText w:val="•"/>
      <w:lvlJc w:val="left"/>
      <w:pPr>
        <w:ind w:left="2415" w:hanging="284"/>
      </w:pPr>
      <w:rPr>
        <w:rFonts w:hint="default"/>
      </w:rPr>
    </w:lvl>
    <w:lvl w:ilvl="4">
      <w:start w:val="0"/>
      <w:numFmt w:val="bullet"/>
      <w:lvlText w:val="•"/>
      <w:lvlJc w:val="left"/>
      <w:pPr>
        <w:ind w:left="3080" w:hanging="284"/>
      </w:pPr>
      <w:rPr>
        <w:rFonts w:hint="default"/>
      </w:rPr>
    </w:lvl>
    <w:lvl w:ilvl="5">
      <w:start w:val="0"/>
      <w:numFmt w:val="bullet"/>
      <w:lvlText w:val="•"/>
      <w:lvlJc w:val="left"/>
      <w:pPr>
        <w:ind w:left="3745" w:hanging="284"/>
      </w:pPr>
      <w:rPr>
        <w:rFonts w:hint="default"/>
      </w:rPr>
    </w:lvl>
    <w:lvl w:ilvl="6">
      <w:start w:val="0"/>
      <w:numFmt w:val="bullet"/>
      <w:lvlText w:val="•"/>
      <w:lvlJc w:val="left"/>
      <w:pPr>
        <w:ind w:left="4410" w:hanging="284"/>
      </w:pPr>
      <w:rPr>
        <w:rFonts w:hint="default"/>
      </w:rPr>
    </w:lvl>
    <w:lvl w:ilvl="7">
      <w:start w:val="0"/>
      <w:numFmt w:val="bullet"/>
      <w:lvlText w:val="•"/>
      <w:lvlJc w:val="left"/>
      <w:pPr>
        <w:ind w:left="5076" w:hanging="284"/>
      </w:pPr>
      <w:rPr>
        <w:rFonts w:hint="default"/>
      </w:rPr>
    </w:lvl>
    <w:lvl w:ilvl="8">
      <w:start w:val="0"/>
      <w:numFmt w:val="bullet"/>
      <w:lvlText w:val="•"/>
      <w:lvlJc w:val="left"/>
      <w:pPr>
        <w:ind w:left="5741" w:hanging="284"/>
      </w:pPr>
      <w:rPr>
        <w:rFonts w:hint="default"/>
      </w:rPr>
    </w:lvl>
  </w:abstractNum>
  <w:abstractNum w:abstractNumId="152">
    <w:multiLevelType w:val="hybridMultilevel"/>
    <w:lvl w:ilvl="0">
      <w:start w:val="1"/>
      <w:numFmt w:val="decimal"/>
      <w:lvlText w:val="%1."/>
      <w:lvlJc w:val="left"/>
      <w:pPr>
        <w:ind w:left="424" w:hanging="284"/>
        <w:jc w:val="left"/>
      </w:pPr>
      <w:rPr>
        <w:rFonts w:hint="default"/>
        <w:spacing w:val="-1"/>
        <w:w w:val="100"/>
      </w:rPr>
    </w:lvl>
    <w:lvl w:ilvl="1">
      <w:start w:val="0"/>
      <w:numFmt w:val="bullet"/>
      <w:lvlText w:val="•"/>
      <w:lvlJc w:val="left"/>
      <w:pPr>
        <w:ind w:left="1085" w:hanging="284"/>
      </w:pPr>
      <w:rPr>
        <w:rFonts w:hint="default"/>
      </w:rPr>
    </w:lvl>
    <w:lvl w:ilvl="2">
      <w:start w:val="0"/>
      <w:numFmt w:val="bullet"/>
      <w:lvlText w:val="•"/>
      <w:lvlJc w:val="left"/>
      <w:pPr>
        <w:ind w:left="1750" w:hanging="284"/>
      </w:pPr>
      <w:rPr>
        <w:rFonts w:hint="default"/>
      </w:rPr>
    </w:lvl>
    <w:lvl w:ilvl="3">
      <w:start w:val="0"/>
      <w:numFmt w:val="bullet"/>
      <w:lvlText w:val="•"/>
      <w:lvlJc w:val="left"/>
      <w:pPr>
        <w:ind w:left="2415" w:hanging="284"/>
      </w:pPr>
      <w:rPr>
        <w:rFonts w:hint="default"/>
      </w:rPr>
    </w:lvl>
    <w:lvl w:ilvl="4">
      <w:start w:val="0"/>
      <w:numFmt w:val="bullet"/>
      <w:lvlText w:val="•"/>
      <w:lvlJc w:val="left"/>
      <w:pPr>
        <w:ind w:left="3080" w:hanging="284"/>
      </w:pPr>
      <w:rPr>
        <w:rFonts w:hint="default"/>
      </w:rPr>
    </w:lvl>
    <w:lvl w:ilvl="5">
      <w:start w:val="0"/>
      <w:numFmt w:val="bullet"/>
      <w:lvlText w:val="•"/>
      <w:lvlJc w:val="left"/>
      <w:pPr>
        <w:ind w:left="3745" w:hanging="284"/>
      </w:pPr>
      <w:rPr>
        <w:rFonts w:hint="default"/>
      </w:rPr>
    </w:lvl>
    <w:lvl w:ilvl="6">
      <w:start w:val="0"/>
      <w:numFmt w:val="bullet"/>
      <w:lvlText w:val="•"/>
      <w:lvlJc w:val="left"/>
      <w:pPr>
        <w:ind w:left="4410" w:hanging="284"/>
      </w:pPr>
      <w:rPr>
        <w:rFonts w:hint="default"/>
      </w:rPr>
    </w:lvl>
    <w:lvl w:ilvl="7">
      <w:start w:val="0"/>
      <w:numFmt w:val="bullet"/>
      <w:lvlText w:val="•"/>
      <w:lvlJc w:val="left"/>
      <w:pPr>
        <w:ind w:left="5076" w:hanging="284"/>
      </w:pPr>
      <w:rPr>
        <w:rFonts w:hint="default"/>
      </w:rPr>
    </w:lvl>
    <w:lvl w:ilvl="8">
      <w:start w:val="0"/>
      <w:numFmt w:val="bullet"/>
      <w:lvlText w:val="•"/>
      <w:lvlJc w:val="left"/>
      <w:pPr>
        <w:ind w:left="5741" w:hanging="284"/>
      </w:pPr>
      <w:rPr>
        <w:rFonts w:hint="default"/>
      </w:rPr>
    </w:lvl>
  </w:abstractNum>
  <w:abstractNum w:abstractNumId="151">
    <w:multiLevelType w:val="hybridMultilevel"/>
    <w:lvl w:ilvl="0">
      <w:start w:val="4"/>
      <w:numFmt w:val="decimal"/>
      <w:lvlText w:val="%1."/>
      <w:lvlJc w:val="left"/>
      <w:pPr>
        <w:ind w:left="424" w:hanging="284"/>
        <w:jc w:val="left"/>
      </w:pPr>
      <w:rPr>
        <w:rFonts w:hint="default"/>
        <w:spacing w:val="-1"/>
        <w:w w:val="100"/>
      </w:rPr>
    </w:lvl>
    <w:lvl w:ilvl="1">
      <w:start w:val="0"/>
      <w:numFmt w:val="bullet"/>
      <w:lvlText w:val="•"/>
      <w:lvlJc w:val="left"/>
      <w:pPr>
        <w:ind w:left="1085" w:hanging="284"/>
      </w:pPr>
      <w:rPr>
        <w:rFonts w:hint="default"/>
      </w:rPr>
    </w:lvl>
    <w:lvl w:ilvl="2">
      <w:start w:val="0"/>
      <w:numFmt w:val="bullet"/>
      <w:lvlText w:val="•"/>
      <w:lvlJc w:val="left"/>
      <w:pPr>
        <w:ind w:left="1750" w:hanging="284"/>
      </w:pPr>
      <w:rPr>
        <w:rFonts w:hint="default"/>
      </w:rPr>
    </w:lvl>
    <w:lvl w:ilvl="3">
      <w:start w:val="0"/>
      <w:numFmt w:val="bullet"/>
      <w:lvlText w:val="•"/>
      <w:lvlJc w:val="left"/>
      <w:pPr>
        <w:ind w:left="2415" w:hanging="284"/>
      </w:pPr>
      <w:rPr>
        <w:rFonts w:hint="default"/>
      </w:rPr>
    </w:lvl>
    <w:lvl w:ilvl="4">
      <w:start w:val="0"/>
      <w:numFmt w:val="bullet"/>
      <w:lvlText w:val="•"/>
      <w:lvlJc w:val="left"/>
      <w:pPr>
        <w:ind w:left="3080" w:hanging="284"/>
      </w:pPr>
      <w:rPr>
        <w:rFonts w:hint="default"/>
      </w:rPr>
    </w:lvl>
    <w:lvl w:ilvl="5">
      <w:start w:val="0"/>
      <w:numFmt w:val="bullet"/>
      <w:lvlText w:val="•"/>
      <w:lvlJc w:val="left"/>
      <w:pPr>
        <w:ind w:left="3745" w:hanging="284"/>
      </w:pPr>
      <w:rPr>
        <w:rFonts w:hint="default"/>
      </w:rPr>
    </w:lvl>
    <w:lvl w:ilvl="6">
      <w:start w:val="0"/>
      <w:numFmt w:val="bullet"/>
      <w:lvlText w:val="•"/>
      <w:lvlJc w:val="left"/>
      <w:pPr>
        <w:ind w:left="4410" w:hanging="284"/>
      </w:pPr>
      <w:rPr>
        <w:rFonts w:hint="default"/>
      </w:rPr>
    </w:lvl>
    <w:lvl w:ilvl="7">
      <w:start w:val="0"/>
      <w:numFmt w:val="bullet"/>
      <w:lvlText w:val="•"/>
      <w:lvlJc w:val="left"/>
      <w:pPr>
        <w:ind w:left="5076" w:hanging="284"/>
      </w:pPr>
      <w:rPr>
        <w:rFonts w:hint="default"/>
      </w:rPr>
    </w:lvl>
    <w:lvl w:ilvl="8">
      <w:start w:val="0"/>
      <w:numFmt w:val="bullet"/>
      <w:lvlText w:val="•"/>
      <w:lvlJc w:val="left"/>
      <w:pPr>
        <w:ind w:left="5741" w:hanging="284"/>
      </w:pPr>
      <w:rPr>
        <w:rFonts w:hint="default"/>
      </w:rPr>
    </w:lvl>
  </w:abstractNum>
  <w:abstractNum w:abstractNumId="150">
    <w:multiLevelType w:val="hybridMultilevel"/>
    <w:lvl w:ilvl="0">
      <w:start w:val="1"/>
      <w:numFmt w:val="decimal"/>
      <w:lvlText w:val="%1."/>
      <w:lvlJc w:val="left"/>
      <w:pPr>
        <w:ind w:left="424"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1085" w:hanging="284"/>
      </w:pPr>
      <w:rPr>
        <w:rFonts w:hint="default"/>
      </w:rPr>
    </w:lvl>
    <w:lvl w:ilvl="2">
      <w:start w:val="0"/>
      <w:numFmt w:val="bullet"/>
      <w:lvlText w:val="•"/>
      <w:lvlJc w:val="left"/>
      <w:pPr>
        <w:ind w:left="1750" w:hanging="284"/>
      </w:pPr>
      <w:rPr>
        <w:rFonts w:hint="default"/>
      </w:rPr>
    </w:lvl>
    <w:lvl w:ilvl="3">
      <w:start w:val="0"/>
      <w:numFmt w:val="bullet"/>
      <w:lvlText w:val="•"/>
      <w:lvlJc w:val="left"/>
      <w:pPr>
        <w:ind w:left="2415" w:hanging="284"/>
      </w:pPr>
      <w:rPr>
        <w:rFonts w:hint="default"/>
      </w:rPr>
    </w:lvl>
    <w:lvl w:ilvl="4">
      <w:start w:val="0"/>
      <w:numFmt w:val="bullet"/>
      <w:lvlText w:val="•"/>
      <w:lvlJc w:val="left"/>
      <w:pPr>
        <w:ind w:left="3080" w:hanging="284"/>
      </w:pPr>
      <w:rPr>
        <w:rFonts w:hint="default"/>
      </w:rPr>
    </w:lvl>
    <w:lvl w:ilvl="5">
      <w:start w:val="0"/>
      <w:numFmt w:val="bullet"/>
      <w:lvlText w:val="•"/>
      <w:lvlJc w:val="left"/>
      <w:pPr>
        <w:ind w:left="3745" w:hanging="284"/>
      </w:pPr>
      <w:rPr>
        <w:rFonts w:hint="default"/>
      </w:rPr>
    </w:lvl>
    <w:lvl w:ilvl="6">
      <w:start w:val="0"/>
      <w:numFmt w:val="bullet"/>
      <w:lvlText w:val="•"/>
      <w:lvlJc w:val="left"/>
      <w:pPr>
        <w:ind w:left="4410" w:hanging="284"/>
      </w:pPr>
      <w:rPr>
        <w:rFonts w:hint="default"/>
      </w:rPr>
    </w:lvl>
    <w:lvl w:ilvl="7">
      <w:start w:val="0"/>
      <w:numFmt w:val="bullet"/>
      <w:lvlText w:val="•"/>
      <w:lvlJc w:val="left"/>
      <w:pPr>
        <w:ind w:left="5076" w:hanging="284"/>
      </w:pPr>
      <w:rPr>
        <w:rFonts w:hint="default"/>
      </w:rPr>
    </w:lvl>
    <w:lvl w:ilvl="8">
      <w:start w:val="0"/>
      <w:numFmt w:val="bullet"/>
      <w:lvlText w:val="•"/>
      <w:lvlJc w:val="left"/>
      <w:pPr>
        <w:ind w:left="5741" w:hanging="284"/>
      </w:pPr>
      <w:rPr>
        <w:rFonts w:hint="default"/>
      </w:rPr>
    </w:lvl>
  </w:abstractNum>
  <w:abstractNum w:abstractNumId="149">
    <w:multiLevelType w:val="hybridMultilevel"/>
    <w:lvl w:ilvl="0">
      <w:start w:val="1"/>
      <w:numFmt w:val="decimal"/>
      <w:lvlText w:val="%1."/>
      <w:lvlJc w:val="left"/>
      <w:pPr>
        <w:ind w:left="424" w:hanging="284"/>
        <w:jc w:val="left"/>
      </w:pPr>
      <w:rPr>
        <w:rFonts w:hint="default"/>
        <w:spacing w:val="-1"/>
        <w:w w:val="100"/>
      </w:rPr>
    </w:lvl>
    <w:lvl w:ilvl="1">
      <w:start w:val="0"/>
      <w:numFmt w:val="bullet"/>
      <w:lvlText w:val="•"/>
      <w:lvlJc w:val="left"/>
      <w:pPr>
        <w:ind w:left="1085" w:hanging="284"/>
      </w:pPr>
      <w:rPr>
        <w:rFonts w:hint="default"/>
      </w:rPr>
    </w:lvl>
    <w:lvl w:ilvl="2">
      <w:start w:val="0"/>
      <w:numFmt w:val="bullet"/>
      <w:lvlText w:val="•"/>
      <w:lvlJc w:val="left"/>
      <w:pPr>
        <w:ind w:left="1750" w:hanging="284"/>
      </w:pPr>
      <w:rPr>
        <w:rFonts w:hint="default"/>
      </w:rPr>
    </w:lvl>
    <w:lvl w:ilvl="3">
      <w:start w:val="0"/>
      <w:numFmt w:val="bullet"/>
      <w:lvlText w:val="•"/>
      <w:lvlJc w:val="left"/>
      <w:pPr>
        <w:ind w:left="2415" w:hanging="284"/>
      </w:pPr>
      <w:rPr>
        <w:rFonts w:hint="default"/>
      </w:rPr>
    </w:lvl>
    <w:lvl w:ilvl="4">
      <w:start w:val="0"/>
      <w:numFmt w:val="bullet"/>
      <w:lvlText w:val="•"/>
      <w:lvlJc w:val="left"/>
      <w:pPr>
        <w:ind w:left="3080" w:hanging="284"/>
      </w:pPr>
      <w:rPr>
        <w:rFonts w:hint="default"/>
      </w:rPr>
    </w:lvl>
    <w:lvl w:ilvl="5">
      <w:start w:val="0"/>
      <w:numFmt w:val="bullet"/>
      <w:lvlText w:val="•"/>
      <w:lvlJc w:val="left"/>
      <w:pPr>
        <w:ind w:left="3745" w:hanging="284"/>
      </w:pPr>
      <w:rPr>
        <w:rFonts w:hint="default"/>
      </w:rPr>
    </w:lvl>
    <w:lvl w:ilvl="6">
      <w:start w:val="0"/>
      <w:numFmt w:val="bullet"/>
      <w:lvlText w:val="•"/>
      <w:lvlJc w:val="left"/>
      <w:pPr>
        <w:ind w:left="4410" w:hanging="284"/>
      </w:pPr>
      <w:rPr>
        <w:rFonts w:hint="default"/>
      </w:rPr>
    </w:lvl>
    <w:lvl w:ilvl="7">
      <w:start w:val="0"/>
      <w:numFmt w:val="bullet"/>
      <w:lvlText w:val="•"/>
      <w:lvlJc w:val="left"/>
      <w:pPr>
        <w:ind w:left="5076" w:hanging="284"/>
      </w:pPr>
      <w:rPr>
        <w:rFonts w:hint="default"/>
      </w:rPr>
    </w:lvl>
    <w:lvl w:ilvl="8">
      <w:start w:val="0"/>
      <w:numFmt w:val="bullet"/>
      <w:lvlText w:val="•"/>
      <w:lvlJc w:val="left"/>
      <w:pPr>
        <w:ind w:left="5741" w:hanging="284"/>
      </w:pPr>
      <w:rPr>
        <w:rFonts w:hint="default"/>
      </w:rPr>
    </w:lvl>
  </w:abstractNum>
  <w:abstractNum w:abstractNumId="148">
    <w:multiLevelType w:val="hybridMultilevel"/>
    <w:lvl w:ilvl="0">
      <w:start w:val="1"/>
      <w:numFmt w:val="decimal"/>
      <w:lvlText w:val="%1."/>
      <w:lvlJc w:val="left"/>
      <w:pPr>
        <w:ind w:left="398" w:hanging="180"/>
        <w:jc w:val="left"/>
      </w:pPr>
      <w:rPr>
        <w:rFonts w:hint="default" w:ascii="微軟正黑體" w:hAnsi="微軟正黑體" w:eastAsia="微軟正黑體" w:cs="微軟正黑體"/>
        <w:color w:val="221F1F"/>
        <w:spacing w:val="-1"/>
        <w:w w:val="100"/>
        <w:sz w:val="20"/>
        <w:szCs w:val="20"/>
      </w:rPr>
    </w:lvl>
    <w:lvl w:ilvl="1">
      <w:start w:val="0"/>
      <w:numFmt w:val="bullet"/>
      <w:lvlText w:val="•"/>
      <w:lvlJc w:val="left"/>
      <w:pPr>
        <w:ind w:left="1067" w:hanging="180"/>
      </w:pPr>
      <w:rPr>
        <w:rFonts w:hint="default"/>
      </w:rPr>
    </w:lvl>
    <w:lvl w:ilvl="2">
      <w:start w:val="0"/>
      <w:numFmt w:val="bullet"/>
      <w:lvlText w:val="•"/>
      <w:lvlJc w:val="left"/>
      <w:pPr>
        <w:ind w:left="1734" w:hanging="180"/>
      </w:pPr>
      <w:rPr>
        <w:rFonts w:hint="default"/>
      </w:rPr>
    </w:lvl>
    <w:lvl w:ilvl="3">
      <w:start w:val="0"/>
      <w:numFmt w:val="bullet"/>
      <w:lvlText w:val="•"/>
      <w:lvlJc w:val="left"/>
      <w:pPr>
        <w:ind w:left="2401" w:hanging="180"/>
      </w:pPr>
      <w:rPr>
        <w:rFonts w:hint="default"/>
      </w:rPr>
    </w:lvl>
    <w:lvl w:ilvl="4">
      <w:start w:val="0"/>
      <w:numFmt w:val="bullet"/>
      <w:lvlText w:val="•"/>
      <w:lvlJc w:val="left"/>
      <w:pPr>
        <w:ind w:left="3068" w:hanging="180"/>
      </w:pPr>
      <w:rPr>
        <w:rFonts w:hint="default"/>
      </w:rPr>
    </w:lvl>
    <w:lvl w:ilvl="5">
      <w:start w:val="0"/>
      <w:numFmt w:val="bullet"/>
      <w:lvlText w:val="•"/>
      <w:lvlJc w:val="left"/>
      <w:pPr>
        <w:ind w:left="3735" w:hanging="180"/>
      </w:pPr>
      <w:rPr>
        <w:rFonts w:hint="default"/>
      </w:rPr>
    </w:lvl>
    <w:lvl w:ilvl="6">
      <w:start w:val="0"/>
      <w:numFmt w:val="bullet"/>
      <w:lvlText w:val="•"/>
      <w:lvlJc w:val="left"/>
      <w:pPr>
        <w:ind w:left="4402" w:hanging="180"/>
      </w:pPr>
      <w:rPr>
        <w:rFonts w:hint="default"/>
      </w:rPr>
    </w:lvl>
    <w:lvl w:ilvl="7">
      <w:start w:val="0"/>
      <w:numFmt w:val="bullet"/>
      <w:lvlText w:val="•"/>
      <w:lvlJc w:val="left"/>
      <w:pPr>
        <w:ind w:left="5070" w:hanging="180"/>
      </w:pPr>
      <w:rPr>
        <w:rFonts w:hint="default"/>
      </w:rPr>
    </w:lvl>
    <w:lvl w:ilvl="8">
      <w:start w:val="0"/>
      <w:numFmt w:val="bullet"/>
      <w:lvlText w:val="•"/>
      <w:lvlJc w:val="left"/>
      <w:pPr>
        <w:ind w:left="5737" w:hanging="180"/>
      </w:pPr>
      <w:rPr>
        <w:rFonts w:hint="default"/>
      </w:rPr>
    </w:lvl>
  </w:abstractNum>
  <w:abstractNum w:abstractNumId="147">
    <w:multiLevelType w:val="hybridMultilevel"/>
    <w:lvl w:ilvl="0">
      <w:start w:val="5"/>
      <w:numFmt w:val="decimal"/>
      <w:lvlText w:val="%1."/>
      <w:lvlJc w:val="left"/>
      <w:pPr>
        <w:ind w:left="424" w:hanging="315"/>
        <w:jc w:val="left"/>
      </w:pPr>
      <w:rPr>
        <w:rFonts w:hint="default" w:ascii="微軟正黑體" w:hAnsi="微軟正黑體" w:eastAsia="微軟正黑體" w:cs="微軟正黑體"/>
        <w:color w:val="221F1F"/>
        <w:spacing w:val="0"/>
        <w:w w:val="100"/>
        <w:sz w:val="22"/>
        <w:szCs w:val="22"/>
      </w:rPr>
    </w:lvl>
    <w:lvl w:ilvl="1">
      <w:start w:val="0"/>
      <w:numFmt w:val="bullet"/>
      <w:lvlText w:val="•"/>
      <w:lvlJc w:val="left"/>
      <w:pPr>
        <w:ind w:left="1085" w:hanging="315"/>
      </w:pPr>
      <w:rPr>
        <w:rFonts w:hint="default"/>
      </w:rPr>
    </w:lvl>
    <w:lvl w:ilvl="2">
      <w:start w:val="0"/>
      <w:numFmt w:val="bullet"/>
      <w:lvlText w:val="•"/>
      <w:lvlJc w:val="left"/>
      <w:pPr>
        <w:ind w:left="1750" w:hanging="315"/>
      </w:pPr>
      <w:rPr>
        <w:rFonts w:hint="default"/>
      </w:rPr>
    </w:lvl>
    <w:lvl w:ilvl="3">
      <w:start w:val="0"/>
      <w:numFmt w:val="bullet"/>
      <w:lvlText w:val="•"/>
      <w:lvlJc w:val="left"/>
      <w:pPr>
        <w:ind w:left="2415" w:hanging="315"/>
      </w:pPr>
      <w:rPr>
        <w:rFonts w:hint="default"/>
      </w:rPr>
    </w:lvl>
    <w:lvl w:ilvl="4">
      <w:start w:val="0"/>
      <w:numFmt w:val="bullet"/>
      <w:lvlText w:val="•"/>
      <w:lvlJc w:val="left"/>
      <w:pPr>
        <w:ind w:left="3080" w:hanging="315"/>
      </w:pPr>
      <w:rPr>
        <w:rFonts w:hint="default"/>
      </w:rPr>
    </w:lvl>
    <w:lvl w:ilvl="5">
      <w:start w:val="0"/>
      <w:numFmt w:val="bullet"/>
      <w:lvlText w:val="•"/>
      <w:lvlJc w:val="left"/>
      <w:pPr>
        <w:ind w:left="3745" w:hanging="315"/>
      </w:pPr>
      <w:rPr>
        <w:rFonts w:hint="default"/>
      </w:rPr>
    </w:lvl>
    <w:lvl w:ilvl="6">
      <w:start w:val="0"/>
      <w:numFmt w:val="bullet"/>
      <w:lvlText w:val="•"/>
      <w:lvlJc w:val="left"/>
      <w:pPr>
        <w:ind w:left="4410" w:hanging="315"/>
      </w:pPr>
      <w:rPr>
        <w:rFonts w:hint="default"/>
      </w:rPr>
    </w:lvl>
    <w:lvl w:ilvl="7">
      <w:start w:val="0"/>
      <w:numFmt w:val="bullet"/>
      <w:lvlText w:val="•"/>
      <w:lvlJc w:val="left"/>
      <w:pPr>
        <w:ind w:left="5076" w:hanging="315"/>
      </w:pPr>
      <w:rPr>
        <w:rFonts w:hint="default"/>
      </w:rPr>
    </w:lvl>
    <w:lvl w:ilvl="8">
      <w:start w:val="0"/>
      <w:numFmt w:val="bullet"/>
      <w:lvlText w:val="•"/>
      <w:lvlJc w:val="left"/>
      <w:pPr>
        <w:ind w:left="5741" w:hanging="315"/>
      </w:pPr>
      <w:rPr>
        <w:rFonts w:hint="default"/>
      </w:rPr>
    </w:lvl>
  </w:abstractNum>
  <w:abstractNum w:abstractNumId="146">
    <w:multiLevelType w:val="hybridMultilevel"/>
    <w:lvl w:ilvl="0">
      <w:start w:val="1"/>
      <w:numFmt w:val="decimal"/>
      <w:lvlText w:val="%1."/>
      <w:lvlJc w:val="left"/>
      <w:pPr>
        <w:ind w:left="424" w:hanging="315"/>
        <w:jc w:val="left"/>
      </w:pPr>
      <w:rPr>
        <w:rFonts w:hint="default"/>
        <w:spacing w:val="0"/>
        <w:w w:val="100"/>
      </w:rPr>
    </w:lvl>
    <w:lvl w:ilvl="1">
      <w:start w:val="0"/>
      <w:numFmt w:val="bullet"/>
      <w:lvlText w:val="•"/>
      <w:lvlJc w:val="left"/>
      <w:pPr>
        <w:ind w:left="1085" w:hanging="315"/>
      </w:pPr>
      <w:rPr>
        <w:rFonts w:hint="default"/>
      </w:rPr>
    </w:lvl>
    <w:lvl w:ilvl="2">
      <w:start w:val="0"/>
      <w:numFmt w:val="bullet"/>
      <w:lvlText w:val="•"/>
      <w:lvlJc w:val="left"/>
      <w:pPr>
        <w:ind w:left="1750" w:hanging="315"/>
      </w:pPr>
      <w:rPr>
        <w:rFonts w:hint="default"/>
      </w:rPr>
    </w:lvl>
    <w:lvl w:ilvl="3">
      <w:start w:val="0"/>
      <w:numFmt w:val="bullet"/>
      <w:lvlText w:val="•"/>
      <w:lvlJc w:val="left"/>
      <w:pPr>
        <w:ind w:left="2415" w:hanging="315"/>
      </w:pPr>
      <w:rPr>
        <w:rFonts w:hint="default"/>
      </w:rPr>
    </w:lvl>
    <w:lvl w:ilvl="4">
      <w:start w:val="0"/>
      <w:numFmt w:val="bullet"/>
      <w:lvlText w:val="•"/>
      <w:lvlJc w:val="left"/>
      <w:pPr>
        <w:ind w:left="3080" w:hanging="315"/>
      </w:pPr>
      <w:rPr>
        <w:rFonts w:hint="default"/>
      </w:rPr>
    </w:lvl>
    <w:lvl w:ilvl="5">
      <w:start w:val="0"/>
      <w:numFmt w:val="bullet"/>
      <w:lvlText w:val="•"/>
      <w:lvlJc w:val="left"/>
      <w:pPr>
        <w:ind w:left="3745" w:hanging="315"/>
      </w:pPr>
      <w:rPr>
        <w:rFonts w:hint="default"/>
      </w:rPr>
    </w:lvl>
    <w:lvl w:ilvl="6">
      <w:start w:val="0"/>
      <w:numFmt w:val="bullet"/>
      <w:lvlText w:val="•"/>
      <w:lvlJc w:val="left"/>
      <w:pPr>
        <w:ind w:left="4410" w:hanging="315"/>
      </w:pPr>
      <w:rPr>
        <w:rFonts w:hint="default"/>
      </w:rPr>
    </w:lvl>
    <w:lvl w:ilvl="7">
      <w:start w:val="0"/>
      <w:numFmt w:val="bullet"/>
      <w:lvlText w:val="•"/>
      <w:lvlJc w:val="left"/>
      <w:pPr>
        <w:ind w:left="5076" w:hanging="315"/>
      </w:pPr>
      <w:rPr>
        <w:rFonts w:hint="default"/>
      </w:rPr>
    </w:lvl>
    <w:lvl w:ilvl="8">
      <w:start w:val="0"/>
      <w:numFmt w:val="bullet"/>
      <w:lvlText w:val="•"/>
      <w:lvlJc w:val="left"/>
      <w:pPr>
        <w:ind w:left="5741" w:hanging="315"/>
      </w:pPr>
      <w:rPr>
        <w:rFonts w:hint="default"/>
      </w:rPr>
    </w:lvl>
  </w:abstractNum>
  <w:abstractNum w:abstractNumId="145">
    <w:multiLevelType w:val="hybridMultilevel"/>
    <w:lvl w:ilvl="0">
      <w:start w:val="1"/>
      <w:numFmt w:val="decimal"/>
      <w:lvlText w:val="%1."/>
      <w:lvlJc w:val="left"/>
      <w:pPr>
        <w:ind w:left="406" w:hanging="300"/>
        <w:jc w:val="left"/>
      </w:pPr>
      <w:rPr>
        <w:rFonts w:hint="default" w:ascii="微軟正黑體" w:hAnsi="微軟正黑體" w:eastAsia="微軟正黑體" w:cs="微軟正黑體"/>
        <w:color w:val="221F1F"/>
        <w:spacing w:val="-1"/>
        <w:w w:val="100"/>
        <w:position w:val="-2"/>
        <w:sz w:val="22"/>
        <w:szCs w:val="22"/>
      </w:rPr>
    </w:lvl>
    <w:lvl w:ilvl="1">
      <w:start w:val="0"/>
      <w:numFmt w:val="bullet"/>
      <w:lvlText w:val="•"/>
      <w:lvlJc w:val="left"/>
      <w:pPr>
        <w:ind w:left="705" w:hanging="300"/>
      </w:pPr>
      <w:rPr>
        <w:rFonts w:hint="default"/>
      </w:rPr>
    </w:lvl>
    <w:lvl w:ilvl="2">
      <w:start w:val="0"/>
      <w:numFmt w:val="bullet"/>
      <w:lvlText w:val="•"/>
      <w:lvlJc w:val="left"/>
      <w:pPr>
        <w:ind w:left="1011" w:hanging="300"/>
      </w:pPr>
      <w:rPr>
        <w:rFonts w:hint="default"/>
      </w:rPr>
    </w:lvl>
    <w:lvl w:ilvl="3">
      <w:start w:val="0"/>
      <w:numFmt w:val="bullet"/>
      <w:lvlText w:val="•"/>
      <w:lvlJc w:val="left"/>
      <w:pPr>
        <w:ind w:left="1317" w:hanging="300"/>
      </w:pPr>
      <w:rPr>
        <w:rFonts w:hint="default"/>
      </w:rPr>
    </w:lvl>
    <w:lvl w:ilvl="4">
      <w:start w:val="0"/>
      <w:numFmt w:val="bullet"/>
      <w:lvlText w:val="•"/>
      <w:lvlJc w:val="left"/>
      <w:pPr>
        <w:ind w:left="1623" w:hanging="300"/>
      </w:pPr>
      <w:rPr>
        <w:rFonts w:hint="default"/>
      </w:rPr>
    </w:lvl>
    <w:lvl w:ilvl="5">
      <w:start w:val="0"/>
      <w:numFmt w:val="bullet"/>
      <w:lvlText w:val="•"/>
      <w:lvlJc w:val="left"/>
      <w:pPr>
        <w:ind w:left="1929" w:hanging="300"/>
      </w:pPr>
      <w:rPr>
        <w:rFonts w:hint="default"/>
      </w:rPr>
    </w:lvl>
    <w:lvl w:ilvl="6">
      <w:start w:val="0"/>
      <w:numFmt w:val="bullet"/>
      <w:lvlText w:val="•"/>
      <w:lvlJc w:val="left"/>
      <w:pPr>
        <w:ind w:left="2235" w:hanging="300"/>
      </w:pPr>
      <w:rPr>
        <w:rFonts w:hint="default"/>
      </w:rPr>
    </w:lvl>
    <w:lvl w:ilvl="7">
      <w:start w:val="0"/>
      <w:numFmt w:val="bullet"/>
      <w:lvlText w:val="•"/>
      <w:lvlJc w:val="left"/>
      <w:pPr>
        <w:ind w:left="2541" w:hanging="300"/>
      </w:pPr>
      <w:rPr>
        <w:rFonts w:hint="default"/>
      </w:rPr>
    </w:lvl>
    <w:lvl w:ilvl="8">
      <w:start w:val="0"/>
      <w:numFmt w:val="bullet"/>
      <w:lvlText w:val="•"/>
      <w:lvlJc w:val="left"/>
      <w:pPr>
        <w:ind w:left="2847" w:hanging="300"/>
      </w:pPr>
      <w:rPr>
        <w:rFonts w:hint="default"/>
      </w:rPr>
    </w:lvl>
  </w:abstractNum>
  <w:abstractNum w:abstractNumId="144">
    <w:multiLevelType w:val="hybridMultilevel"/>
    <w:lvl w:ilvl="0">
      <w:start w:val="1"/>
      <w:numFmt w:val="decimal"/>
      <w:lvlText w:val="%1."/>
      <w:lvlJc w:val="left"/>
      <w:pPr>
        <w:ind w:left="388" w:hanging="281"/>
        <w:jc w:val="left"/>
      </w:pPr>
      <w:rPr>
        <w:rFonts w:hint="default" w:ascii="微軟正黑體" w:hAnsi="微軟正黑體" w:eastAsia="微軟正黑體" w:cs="微軟正黑體"/>
        <w:color w:val="221F1F"/>
        <w:spacing w:val="-1"/>
        <w:w w:val="100"/>
        <w:position w:val="-2"/>
        <w:sz w:val="22"/>
        <w:szCs w:val="22"/>
      </w:rPr>
    </w:lvl>
    <w:lvl w:ilvl="1">
      <w:start w:val="0"/>
      <w:numFmt w:val="bullet"/>
      <w:lvlText w:val="•"/>
      <w:lvlJc w:val="left"/>
      <w:pPr>
        <w:ind w:left="687" w:hanging="281"/>
      </w:pPr>
      <w:rPr>
        <w:rFonts w:hint="default"/>
      </w:rPr>
    </w:lvl>
    <w:lvl w:ilvl="2">
      <w:start w:val="0"/>
      <w:numFmt w:val="bullet"/>
      <w:lvlText w:val="•"/>
      <w:lvlJc w:val="left"/>
      <w:pPr>
        <w:ind w:left="995" w:hanging="281"/>
      </w:pPr>
      <w:rPr>
        <w:rFonts w:hint="default"/>
      </w:rPr>
    </w:lvl>
    <w:lvl w:ilvl="3">
      <w:start w:val="0"/>
      <w:numFmt w:val="bullet"/>
      <w:lvlText w:val="•"/>
      <w:lvlJc w:val="left"/>
      <w:pPr>
        <w:ind w:left="1303" w:hanging="281"/>
      </w:pPr>
      <w:rPr>
        <w:rFonts w:hint="default"/>
      </w:rPr>
    </w:lvl>
    <w:lvl w:ilvl="4">
      <w:start w:val="0"/>
      <w:numFmt w:val="bullet"/>
      <w:lvlText w:val="•"/>
      <w:lvlJc w:val="left"/>
      <w:pPr>
        <w:ind w:left="1611" w:hanging="281"/>
      </w:pPr>
      <w:rPr>
        <w:rFonts w:hint="default"/>
      </w:rPr>
    </w:lvl>
    <w:lvl w:ilvl="5">
      <w:start w:val="0"/>
      <w:numFmt w:val="bullet"/>
      <w:lvlText w:val="•"/>
      <w:lvlJc w:val="left"/>
      <w:pPr>
        <w:ind w:left="1919" w:hanging="281"/>
      </w:pPr>
      <w:rPr>
        <w:rFonts w:hint="default"/>
      </w:rPr>
    </w:lvl>
    <w:lvl w:ilvl="6">
      <w:start w:val="0"/>
      <w:numFmt w:val="bullet"/>
      <w:lvlText w:val="•"/>
      <w:lvlJc w:val="left"/>
      <w:pPr>
        <w:ind w:left="2227" w:hanging="281"/>
      </w:pPr>
      <w:rPr>
        <w:rFonts w:hint="default"/>
      </w:rPr>
    </w:lvl>
    <w:lvl w:ilvl="7">
      <w:start w:val="0"/>
      <w:numFmt w:val="bullet"/>
      <w:lvlText w:val="•"/>
      <w:lvlJc w:val="left"/>
      <w:pPr>
        <w:ind w:left="2535" w:hanging="281"/>
      </w:pPr>
      <w:rPr>
        <w:rFonts w:hint="default"/>
      </w:rPr>
    </w:lvl>
    <w:lvl w:ilvl="8">
      <w:start w:val="0"/>
      <w:numFmt w:val="bullet"/>
      <w:lvlText w:val="•"/>
      <w:lvlJc w:val="left"/>
      <w:pPr>
        <w:ind w:left="2843" w:hanging="281"/>
      </w:pPr>
      <w:rPr>
        <w:rFonts w:hint="default"/>
      </w:rPr>
    </w:lvl>
  </w:abstractNum>
  <w:abstractNum w:abstractNumId="143">
    <w:multiLevelType w:val="hybridMultilevel"/>
    <w:lvl w:ilvl="0">
      <w:start w:val="1"/>
      <w:numFmt w:val="decimal"/>
      <w:lvlText w:val="%1."/>
      <w:lvlJc w:val="left"/>
      <w:pPr>
        <w:ind w:left="406" w:hanging="300"/>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05" w:hanging="300"/>
      </w:pPr>
      <w:rPr>
        <w:rFonts w:hint="default"/>
      </w:rPr>
    </w:lvl>
    <w:lvl w:ilvl="2">
      <w:start w:val="0"/>
      <w:numFmt w:val="bullet"/>
      <w:lvlText w:val="•"/>
      <w:lvlJc w:val="left"/>
      <w:pPr>
        <w:ind w:left="1011" w:hanging="300"/>
      </w:pPr>
      <w:rPr>
        <w:rFonts w:hint="default"/>
      </w:rPr>
    </w:lvl>
    <w:lvl w:ilvl="3">
      <w:start w:val="0"/>
      <w:numFmt w:val="bullet"/>
      <w:lvlText w:val="•"/>
      <w:lvlJc w:val="left"/>
      <w:pPr>
        <w:ind w:left="1317" w:hanging="300"/>
      </w:pPr>
      <w:rPr>
        <w:rFonts w:hint="default"/>
      </w:rPr>
    </w:lvl>
    <w:lvl w:ilvl="4">
      <w:start w:val="0"/>
      <w:numFmt w:val="bullet"/>
      <w:lvlText w:val="•"/>
      <w:lvlJc w:val="left"/>
      <w:pPr>
        <w:ind w:left="1623" w:hanging="300"/>
      </w:pPr>
      <w:rPr>
        <w:rFonts w:hint="default"/>
      </w:rPr>
    </w:lvl>
    <w:lvl w:ilvl="5">
      <w:start w:val="0"/>
      <w:numFmt w:val="bullet"/>
      <w:lvlText w:val="•"/>
      <w:lvlJc w:val="left"/>
      <w:pPr>
        <w:ind w:left="1929" w:hanging="300"/>
      </w:pPr>
      <w:rPr>
        <w:rFonts w:hint="default"/>
      </w:rPr>
    </w:lvl>
    <w:lvl w:ilvl="6">
      <w:start w:val="0"/>
      <w:numFmt w:val="bullet"/>
      <w:lvlText w:val="•"/>
      <w:lvlJc w:val="left"/>
      <w:pPr>
        <w:ind w:left="2235" w:hanging="300"/>
      </w:pPr>
      <w:rPr>
        <w:rFonts w:hint="default"/>
      </w:rPr>
    </w:lvl>
    <w:lvl w:ilvl="7">
      <w:start w:val="0"/>
      <w:numFmt w:val="bullet"/>
      <w:lvlText w:val="•"/>
      <w:lvlJc w:val="left"/>
      <w:pPr>
        <w:ind w:left="2541" w:hanging="300"/>
      </w:pPr>
      <w:rPr>
        <w:rFonts w:hint="default"/>
      </w:rPr>
    </w:lvl>
    <w:lvl w:ilvl="8">
      <w:start w:val="0"/>
      <w:numFmt w:val="bullet"/>
      <w:lvlText w:val="•"/>
      <w:lvlJc w:val="left"/>
      <w:pPr>
        <w:ind w:left="2847" w:hanging="300"/>
      </w:pPr>
      <w:rPr>
        <w:rFonts w:hint="default"/>
      </w:rPr>
    </w:lvl>
  </w:abstractNum>
  <w:abstractNum w:abstractNumId="142">
    <w:multiLevelType w:val="hybridMultilevel"/>
    <w:lvl w:ilvl="0">
      <w:start w:val="1"/>
      <w:numFmt w:val="decimal"/>
      <w:lvlText w:val="%1."/>
      <w:lvlJc w:val="left"/>
      <w:pPr>
        <w:ind w:left="388"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687" w:hanging="284"/>
      </w:pPr>
      <w:rPr>
        <w:rFonts w:hint="default"/>
      </w:rPr>
    </w:lvl>
    <w:lvl w:ilvl="2">
      <w:start w:val="0"/>
      <w:numFmt w:val="bullet"/>
      <w:lvlText w:val="•"/>
      <w:lvlJc w:val="left"/>
      <w:pPr>
        <w:ind w:left="995" w:hanging="284"/>
      </w:pPr>
      <w:rPr>
        <w:rFonts w:hint="default"/>
      </w:rPr>
    </w:lvl>
    <w:lvl w:ilvl="3">
      <w:start w:val="0"/>
      <w:numFmt w:val="bullet"/>
      <w:lvlText w:val="•"/>
      <w:lvlJc w:val="left"/>
      <w:pPr>
        <w:ind w:left="1303" w:hanging="284"/>
      </w:pPr>
      <w:rPr>
        <w:rFonts w:hint="default"/>
      </w:rPr>
    </w:lvl>
    <w:lvl w:ilvl="4">
      <w:start w:val="0"/>
      <w:numFmt w:val="bullet"/>
      <w:lvlText w:val="•"/>
      <w:lvlJc w:val="left"/>
      <w:pPr>
        <w:ind w:left="1611" w:hanging="284"/>
      </w:pPr>
      <w:rPr>
        <w:rFonts w:hint="default"/>
      </w:rPr>
    </w:lvl>
    <w:lvl w:ilvl="5">
      <w:start w:val="0"/>
      <w:numFmt w:val="bullet"/>
      <w:lvlText w:val="•"/>
      <w:lvlJc w:val="left"/>
      <w:pPr>
        <w:ind w:left="1919" w:hanging="284"/>
      </w:pPr>
      <w:rPr>
        <w:rFonts w:hint="default"/>
      </w:rPr>
    </w:lvl>
    <w:lvl w:ilvl="6">
      <w:start w:val="0"/>
      <w:numFmt w:val="bullet"/>
      <w:lvlText w:val="•"/>
      <w:lvlJc w:val="left"/>
      <w:pPr>
        <w:ind w:left="2227" w:hanging="284"/>
      </w:pPr>
      <w:rPr>
        <w:rFonts w:hint="default"/>
      </w:rPr>
    </w:lvl>
    <w:lvl w:ilvl="7">
      <w:start w:val="0"/>
      <w:numFmt w:val="bullet"/>
      <w:lvlText w:val="•"/>
      <w:lvlJc w:val="left"/>
      <w:pPr>
        <w:ind w:left="2535" w:hanging="284"/>
      </w:pPr>
      <w:rPr>
        <w:rFonts w:hint="default"/>
      </w:rPr>
    </w:lvl>
    <w:lvl w:ilvl="8">
      <w:start w:val="0"/>
      <w:numFmt w:val="bullet"/>
      <w:lvlText w:val="•"/>
      <w:lvlJc w:val="left"/>
      <w:pPr>
        <w:ind w:left="2843" w:hanging="284"/>
      </w:pPr>
      <w:rPr>
        <w:rFonts w:hint="default"/>
      </w:rPr>
    </w:lvl>
  </w:abstractNum>
  <w:abstractNum w:abstractNumId="141">
    <w:multiLevelType w:val="hybridMultilevel"/>
    <w:lvl w:ilvl="0">
      <w:start w:val="1"/>
      <w:numFmt w:val="decimal"/>
      <w:lvlText w:val="(%1)"/>
      <w:lvlJc w:val="left"/>
      <w:pPr>
        <w:ind w:left="588" w:hanging="480"/>
        <w:jc w:val="left"/>
      </w:pPr>
      <w:rPr>
        <w:rFonts w:hint="default" w:ascii="微軟正黑體" w:hAnsi="微軟正黑體" w:eastAsia="微軟正黑體" w:cs="微軟正黑體"/>
        <w:color w:val="221F1F"/>
        <w:spacing w:val="-4"/>
        <w:w w:val="100"/>
        <w:sz w:val="22"/>
        <w:szCs w:val="22"/>
      </w:rPr>
    </w:lvl>
    <w:lvl w:ilvl="1">
      <w:start w:val="0"/>
      <w:numFmt w:val="bullet"/>
      <w:lvlText w:val="•"/>
      <w:lvlJc w:val="left"/>
      <w:pPr>
        <w:ind w:left="896" w:hanging="480"/>
      </w:pPr>
      <w:rPr>
        <w:rFonts w:hint="default"/>
      </w:rPr>
    </w:lvl>
    <w:lvl w:ilvl="2">
      <w:start w:val="0"/>
      <w:numFmt w:val="bullet"/>
      <w:lvlText w:val="•"/>
      <w:lvlJc w:val="left"/>
      <w:pPr>
        <w:ind w:left="1212" w:hanging="480"/>
      </w:pPr>
      <w:rPr>
        <w:rFonts w:hint="default"/>
      </w:rPr>
    </w:lvl>
    <w:lvl w:ilvl="3">
      <w:start w:val="0"/>
      <w:numFmt w:val="bullet"/>
      <w:lvlText w:val="•"/>
      <w:lvlJc w:val="left"/>
      <w:pPr>
        <w:ind w:left="1528" w:hanging="480"/>
      </w:pPr>
      <w:rPr>
        <w:rFonts w:hint="default"/>
      </w:rPr>
    </w:lvl>
    <w:lvl w:ilvl="4">
      <w:start w:val="0"/>
      <w:numFmt w:val="bullet"/>
      <w:lvlText w:val="•"/>
      <w:lvlJc w:val="left"/>
      <w:pPr>
        <w:ind w:left="1844" w:hanging="480"/>
      </w:pPr>
      <w:rPr>
        <w:rFonts w:hint="default"/>
      </w:rPr>
    </w:lvl>
    <w:lvl w:ilvl="5">
      <w:start w:val="0"/>
      <w:numFmt w:val="bullet"/>
      <w:lvlText w:val="•"/>
      <w:lvlJc w:val="left"/>
      <w:pPr>
        <w:ind w:left="2160" w:hanging="480"/>
      </w:pPr>
      <w:rPr>
        <w:rFonts w:hint="default"/>
      </w:rPr>
    </w:lvl>
    <w:lvl w:ilvl="6">
      <w:start w:val="0"/>
      <w:numFmt w:val="bullet"/>
      <w:lvlText w:val="•"/>
      <w:lvlJc w:val="left"/>
      <w:pPr>
        <w:ind w:left="2476" w:hanging="480"/>
      </w:pPr>
      <w:rPr>
        <w:rFonts w:hint="default"/>
      </w:rPr>
    </w:lvl>
    <w:lvl w:ilvl="7">
      <w:start w:val="0"/>
      <w:numFmt w:val="bullet"/>
      <w:lvlText w:val="•"/>
      <w:lvlJc w:val="left"/>
      <w:pPr>
        <w:ind w:left="2793" w:hanging="480"/>
      </w:pPr>
      <w:rPr>
        <w:rFonts w:hint="default"/>
      </w:rPr>
    </w:lvl>
    <w:lvl w:ilvl="8">
      <w:start w:val="0"/>
      <w:numFmt w:val="bullet"/>
      <w:lvlText w:val="•"/>
      <w:lvlJc w:val="left"/>
      <w:pPr>
        <w:ind w:left="3109" w:hanging="480"/>
      </w:pPr>
      <w:rPr>
        <w:rFonts w:hint="default"/>
      </w:rPr>
    </w:lvl>
  </w:abstractNum>
  <w:abstractNum w:abstractNumId="140">
    <w:multiLevelType w:val="hybridMultilevel"/>
    <w:lvl w:ilvl="0">
      <w:start w:val="4"/>
      <w:numFmt w:val="decimal"/>
      <w:lvlText w:val="%1."/>
      <w:lvlJc w:val="left"/>
      <w:pPr>
        <w:ind w:left="425"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52" w:hanging="284"/>
      </w:pPr>
      <w:rPr>
        <w:rFonts w:hint="default"/>
      </w:rPr>
    </w:lvl>
    <w:lvl w:ilvl="2">
      <w:start w:val="0"/>
      <w:numFmt w:val="bullet"/>
      <w:lvlText w:val="•"/>
      <w:lvlJc w:val="left"/>
      <w:pPr>
        <w:ind w:left="1084" w:hanging="284"/>
      </w:pPr>
      <w:rPr>
        <w:rFonts w:hint="default"/>
      </w:rPr>
    </w:lvl>
    <w:lvl w:ilvl="3">
      <w:start w:val="0"/>
      <w:numFmt w:val="bullet"/>
      <w:lvlText w:val="•"/>
      <w:lvlJc w:val="left"/>
      <w:pPr>
        <w:ind w:left="1417" w:hanging="284"/>
      </w:pPr>
      <w:rPr>
        <w:rFonts w:hint="default"/>
      </w:rPr>
    </w:lvl>
    <w:lvl w:ilvl="4">
      <w:start w:val="0"/>
      <w:numFmt w:val="bullet"/>
      <w:lvlText w:val="•"/>
      <w:lvlJc w:val="left"/>
      <w:pPr>
        <w:ind w:left="1749" w:hanging="284"/>
      </w:pPr>
      <w:rPr>
        <w:rFonts w:hint="default"/>
      </w:rPr>
    </w:lvl>
    <w:lvl w:ilvl="5">
      <w:start w:val="0"/>
      <w:numFmt w:val="bullet"/>
      <w:lvlText w:val="•"/>
      <w:lvlJc w:val="left"/>
      <w:pPr>
        <w:ind w:left="2082" w:hanging="284"/>
      </w:pPr>
      <w:rPr>
        <w:rFonts w:hint="default"/>
      </w:rPr>
    </w:lvl>
    <w:lvl w:ilvl="6">
      <w:start w:val="0"/>
      <w:numFmt w:val="bullet"/>
      <w:lvlText w:val="•"/>
      <w:lvlJc w:val="left"/>
      <w:pPr>
        <w:ind w:left="2414" w:hanging="284"/>
      </w:pPr>
      <w:rPr>
        <w:rFonts w:hint="default"/>
      </w:rPr>
    </w:lvl>
    <w:lvl w:ilvl="7">
      <w:start w:val="0"/>
      <w:numFmt w:val="bullet"/>
      <w:lvlText w:val="•"/>
      <w:lvlJc w:val="left"/>
      <w:pPr>
        <w:ind w:left="2746" w:hanging="284"/>
      </w:pPr>
      <w:rPr>
        <w:rFonts w:hint="default"/>
      </w:rPr>
    </w:lvl>
    <w:lvl w:ilvl="8">
      <w:start w:val="0"/>
      <w:numFmt w:val="bullet"/>
      <w:lvlText w:val="•"/>
      <w:lvlJc w:val="left"/>
      <w:pPr>
        <w:ind w:left="3079" w:hanging="284"/>
      </w:pPr>
      <w:rPr>
        <w:rFonts w:hint="default"/>
      </w:rPr>
    </w:lvl>
  </w:abstractNum>
  <w:abstractNum w:abstractNumId="139">
    <w:multiLevelType w:val="hybridMultilevel"/>
    <w:lvl w:ilvl="0">
      <w:start w:val="1"/>
      <w:numFmt w:val="decimal"/>
      <w:lvlText w:val="%1."/>
      <w:lvlJc w:val="left"/>
      <w:pPr>
        <w:ind w:left="355"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698" w:hanging="284"/>
      </w:pPr>
      <w:rPr>
        <w:rFonts w:hint="default"/>
      </w:rPr>
    </w:lvl>
    <w:lvl w:ilvl="2">
      <w:start w:val="0"/>
      <w:numFmt w:val="bullet"/>
      <w:lvlText w:val="•"/>
      <w:lvlJc w:val="left"/>
      <w:pPr>
        <w:ind w:left="1036" w:hanging="284"/>
      </w:pPr>
      <w:rPr>
        <w:rFonts w:hint="default"/>
      </w:rPr>
    </w:lvl>
    <w:lvl w:ilvl="3">
      <w:start w:val="0"/>
      <w:numFmt w:val="bullet"/>
      <w:lvlText w:val="•"/>
      <w:lvlJc w:val="left"/>
      <w:pPr>
        <w:ind w:left="1374" w:hanging="284"/>
      </w:pPr>
      <w:rPr>
        <w:rFonts w:hint="default"/>
      </w:rPr>
    </w:lvl>
    <w:lvl w:ilvl="4">
      <w:start w:val="0"/>
      <w:numFmt w:val="bullet"/>
      <w:lvlText w:val="•"/>
      <w:lvlJc w:val="left"/>
      <w:pPr>
        <w:ind w:left="1712" w:hanging="284"/>
      </w:pPr>
      <w:rPr>
        <w:rFonts w:hint="default"/>
      </w:rPr>
    </w:lvl>
    <w:lvl w:ilvl="5">
      <w:start w:val="0"/>
      <w:numFmt w:val="bullet"/>
      <w:lvlText w:val="•"/>
      <w:lvlJc w:val="left"/>
      <w:pPr>
        <w:ind w:left="2050" w:hanging="284"/>
      </w:pPr>
      <w:rPr>
        <w:rFonts w:hint="default"/>
      </w:rPr>
    </w:lvl>
    <w:lvl w:ilvl="6">
      <w:start w:val="0"/>
      <w:numFmt w:val="bullet"/>
      <w:lvlText w:val="•"/>
      <w:lvlJc w:val="left"/>
      <w:pPr>
        <w:ind w:left="2388" w:hanging="284"/>
      </w:pPr>
      <w:rPr>
        <w:rFonts w:hint="default"/>
      </w:rPr>
    </w:lvl>
    <w:lvl w:ilvl="7">
      <w:start w:val="0"/>
      <w:numFmt w:val="bullet"/>
      <w:lvlText w:val="•"/>
      <w:lvlJc w:val="left"/>
      <w:pPr>
        <w:ind w:left="2727" w:hanging="284"/>
      </w:pPr>
      <w:rPr>
        <w:rFonts w:hint="default"/>
      </w:rPr>
    </w:lvl>
    <w:lvl w:ilvl="8">
      <w:start w:val="0"/>
      <w:numFmt w:val="bullet"/>
      <w:lvlText w:val="•"/>
      <w:lvlJc w:val="left"/>
      <w:pPr>
        <w:ind w:left="3065" w:hanging="284"/>
      </w:pPr>
      <w:rPr>
        <w:rFonts w:hint="default"/>
      </w:rPr>
    </w:lvl>
  </w:abstractNum>
  <w:abstractNum w:abstractNumId="138">
    <w:multiLevelType w:val="hybridMultilevel"/>
    <w:lvl w:ilvl="0">
      <w:start w:val="1"/>
      <w:numFmt w:val="decimal"/>
      <w:lvlText w:val="%1."/>
      <w:lvlJc w:val="left"/>
      <w:pPr>
        <w:ind w:left="425"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52" w:hanging="284"/>
      </w:pPr>
      <w:rPr>
        <w:rFonts w:hint="default"/>
      </w:rPr>
    </w:lvl>
    <w:lvl w:ilvl="2">
      <w:start w:val="0"/>
      <w:numFmt w:val="bullet"/>
      <w:lvlText w:val="•"/>
      <w:lvlJc w:val="left"/>
      <w:pPr>
        <w:ind w:left="1084" w:hanging="284"/>
      </w:pPr>
      <w:rPr>
        <w:rFonts w:hint="default"/>
      </w:rPr>
    </w:lvl>
    <w:lvl w:ilvl="3">
      <w:start w:val="0"/>
      <w:numFmt w:val="bullet"/>
      <w:lvlText w:val="•"/>
      <w:lvlJc w:val="left"/>
      <w:pPr>
        <w:ind w:left="1417" w:hanging="284"/>
      </w:pPr>
      <w:rPr>
        <w:rFonts w:hint="default"/>
      </w:rPr>
    </w:lvl>
    <w:lvl w:ilvl="4">
      <w:start w:val="0"/>
      <w:numFmt w:val="bullet"/>
      <w:lvlText w:val="•"/>
      <w:lvlJc w:val="left"/>
      <w:pPr>
        <w:ind w:left="1749" w:hanging="284"/>
      </w:pPr>
      <w:rPr>
        <w:rFonts w:hint="default"/>
      </w:rPr>
    </w:lvl>
    <w:lvl w:ilvl="5">
      <w:start w:val="0"/>
      <w:numFmt w:val="bullet"/>
      <w:lvlText w:val="•"/>
      <w:lvlJc w:val="left"/>
      <w:pPr>
        <w:ind w:left="2082" w:hanging="284"/>
      </w:pPr>
      <w:rPr>
        <w:rFonts w:hint="default"/>
      </w:rPr>
    </w:lvl>
    <w:lvl w:ilvl="6">
      <w:start w:val="0"/>
      <w:numFmt w:val="bullet"/>
      <w:lvlText w:val="•"/>
      <w:lvlJc w:val="left"/>
      <w:pPr>
        <w:ind w:left="2414" w:hanging="284"/>
      </w:pPr>
      <w:rPr>
        <w:rFonts w:hint="default"/>
      </w:rPr>
    </w:lvl>
    <w:lvl w:ilvl="7">
      <w:start w:val="0"/>
      <w:numFmt w:val="bullet"/>
      <w:lvlText w:val="•"/>
      <w:lvlJc w:val="left"/>
      <w:pPr>
        <w:ind w:left="2746" w:hanging="284"/>
      </w:pPr>
      <w:rPr>
        <w:rFonts w:hint="default"/>
      </w:rPr>
    </w:lvl>
    <w:lvl w:ilvl="8">
      <w:start w:val="0"/>
      <w:numFmt w:val="bullet"/>
      <w:lvlText w:val="•"/>
      <w:lvlJc w:val="left"/>
      <w:pPr>
        <w:ind w:left="3079" w:hanging="284"/>
      </w:pPr>
      <w:rPr>
        <w:rFonts w:hint="default"/>
      </w:rPr>
    </w:lvl>
  </w:abstractNum>
  <w:abstractNum w:abstractNumId="137">
    <w:multiLevelType w:val="hybridMultilevel"/>
    <w:lvl w:ilvl="0">
      <w:start w:val="1"/>
      <w:numFmt w:val="decimal"/>
      <w:lvlText w:val="%1."/>
      <w:lvlJc w:val="left"/>
      <w:pPr>
        <w:ind w:left="427" w:hanging="320"/>
        <w:jc w:val="left"/>
      </w:pPr>
      <w:rPr>
        <w:rFonts w:hint="default" w:ascii="微軟正黑體" w:hAnsi="微軟正黑體" w:eastAsia="微軟正黑體" w:cs="微軟正黑體"/>
        <w:color w:val="221F1F"/>
        <w:spacing w:val="-1"/>
        <w:w w:val="100"/>
        <w:position w:val="-2"/>
        <w:sz w:val="22"/>
        <w:szCs w:val="22"/>
      </w:rPr>
    </w:lvl>
    <w:lvl w:ilvl="1">
      <w:start w:val="0"/>
      <w:numFmt w:val="bullet"/>
      <w:lvlText w:val="•"/>
      <w:lvlJc w:val="left"/>
      <w:pPr>
        <w:ind w:left="752" w:hanging="320"/>
      </w:pPr>
      <w:rPr>
        <w:rFonts w:hint="default"/>
      </w:rPr>
    </w:lvl>
    <w:lvl w:ilvl="2">
      <w:start w:val="0"/>
      <w:numFmt w:val="bullet"/>
      <w:lvlText w:val="•"/>
      <w:lvlJc w:val="left"/>
      <w:pPr>
        <w:ind w:left="1084" w:hanging="320"/>
      </w:pPr>
      <w:rPr>
        <w:rFonts w:hint="default"/>
      </w:rPr>
    </w:lvl>
    <w:lvl w:ilvl="3">
      <w:start w:val="0"/>
      <w:numFmt w:val="bullet"/>
      <w:lvlText w:val="•"/>
      <w:lvlJc w:val="left"/>
      <w:pPr>
        <w:ind w:left="1416" w:hanging="320"/>
      </w:pPr>
      <w:rPr>
        <w:rFonts w:hint="default"/>
      </w:rPr>
    </w:lvl>
    <w:lvl w:ilvl="4">
      <w:start w:val="0"/>
      <w:numFmt w:val="bullet"/>
      <w:lvlText w:val="•"/>
      <w:lvlJc w:val="left"/>
      <w:pPr>
        <w:ind w:left="1748" w:hanging="320"/>
      </w:pPr>
      <w:rPr>
        <w:rFonts w:hint="default"/>
      </w:rPr>
    </w:lvl>
    <w:lvl w:ilvl="5">
      <w:start w:val="0"/>
      <w:numFmt w:val="bullet"/>
      <w:lvlText w:val="•"/>
      <w:lvlJc w:val="left"/>
      <w:pPr>
        <w:ind w:left="2080" w:hanging="320"/>
      </w:pPr>
      <w:rPr>
        <w:rFonts w:hint="default"/>
      </w:rPr>
    </w:lvl>
    <w:lvl w:ilvl="6">
      <w:start w:val="0"/>
      <w:numFmt w:val="bullet"/>
      <w:lvlText w:val="•"/>
      <w:lvlJc w:val="left"/>
      <w:pPr>
        <w:ind w:left="2412" w:hanging="320"/>
      </w:pPr>
      <w:rPr>
        <w:rFonts w:hint="default"/>
      </w:rPr>
    </w:lvl>
    <w:lvl w:ilvl="7">
      <w:start w:val="0"/>
      <w:numFmt w:val="bullet"/>
      <w:lvlText w:val="•"/>
      <w:lvlJc w:val="left"/>
      <w:pPr>
        <w:ind w:left="2745" w:hanging="320"/>
      </w:pPr>
      <w:rPr>
        <w:rFonts w:hint="default"/>
      </w:rPr>
    </w:lvl>
    <w:lvl w:ilvl="8">
      <w:start w:val="0"/>
      <w:numFmt w:val="bullet"/>
      <w:lvlText w:val="•"/>
      <w:lvlJc w:val="left"/>
      <w:pPr>
        <w:ind w:left="3077" w:hanging="320"/>
      </w:pPr>
      <w:rPr>
        <w:rFonts w:hint="default"/>
      </w:rPr>
    </w:lvl>
  </w:abstractNum>
  <w:abstractNum w:abstractNumId="136">
    <w:multiLevelType w:val="hybridMultilevel"/>
    <w:lvl w:ilvl="0">
      <w:start w:val="2"/>
      <w:numFmt w:val="decimal"/>
      <w:lvlText w:val="%1."/>
      <w:lvlJc w:val="left"/>
      <w:pPr>
        <w:ind w:left="427" w:hanging="318"/>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52" w:hanging="318"/>
      </w:pPr>
      <w:rPr>
        <w:rFonts w:hint="default"/>
      </w:rPr>
    </w:lvl>
    <w:lvl w:ilvl="2">
      <w:start w:val="0"/>
      <w:numFmt w:val="bullet"/>
      <w:lvlText w:val="•"/>
      <w:lvlJc w:val="left"/>
      <w:pPr>
        <w:ind w:left="1084" w:hanging="318"/>
      </w:pPr>
      <w:rPr>
        <w:rFonts w:hint="default"/>
      </w:rPr>
    </w:lvl>
    <w:lvl w:ilvl="3">
      <w:start w:val="0"/>
      <w:numFmt w:val="bullet"/>
      <w:lvlText w:val="•"/>
      <w:lvlJc w:val="left"/>
      <w:pPr>
        <w:ind w:left="1417" w:hanging="318"/>
      </w:pPr>
      <w:rPr>
        <w:rFonts w:hint="default"/>
      </w:rPr>
    </w:lvl>
    <w:lvl w:ilvl="4">
      <w:start w:val="0"/>
      <w:numFmt w:val="bullet"/>
      <w:lvlText w:val="•"/>
      <w:lvlJc w:val="left"/>
      <w:pPr>
        <w:ind w:left="1749" w:hanging="318"/>
      </w:pPr>
      <w:rPr>
        <w:rFonts w:hint="default"/>
      </w:rPr>
    </w:lvl>
    <w:lvl w:ilvl="5">
      <w:start w:val="0"/>
      <w:numFmt w:val="bullet"/>
      <w:lvlText w:val="•"/>
      <w:lvlJc w:val="left"/>
      <w:pPr>
        <w:ind w:left="2082" w:hanging="318"/>
      </w:pPr>
      <w:rPr>
        <w:rFonts w:hint="default"/>
      </w:rPr>
    </w:lvl>
    <w:lvl w:ilvl="6">
      <w:start w:val="0"/>
      <w:numFmt w:val="bullet"/>
      <w:lvlText w:val="•"/>
      <w:lvlJc w:val="left"/>
      <w:pPr>
        <w:ind w:left="2414" w:hanging="318"/>
      </w:pPr>
      <w:rPr>
        <w:rFonts w:hint="default"/>
      </w:rPr>
    </w:lvl>
    <w:lvl w:ilvl="7">
      <w:start w:val="0"/>
      <w:numFmt w:val="bullet"/>
      <w:lvlText w:val="•"/>
      <w:lvlJc w:val="left"/>
      <w:pPr>
        <w:ind w:left="2746" w:hanging="318"/>
      </w:pPr>
      <w:rPr>
        <w:rFonts w:hint="default"/>
      </w:rPr>
    </w:lvl>
    <w:lvl w:ilvl="8">
      <w:start w:val="0"/>
      <w:numFmt w:val="bullet"/>
      <w:lvlText w:val="•"/>
      <w:lvlJc w:val="left"/>
      <w:pPr>
        <w:ind w:left="3079" w:hanging="318"/>
      </w:pPr>
      <w:rPr>
        <w:rFonts w:hint="default"/>
      </w:rPr>
    </w:lvl>
  </w:abstractNum>
  <w:abstractNum w:abstractNumId="135">
    <w:multiLevelType w:val="hybridMultilevel"/>
    <w:lvl w:ilvl="0">
      <w:start w:val="1"/>
      <w:numFmt w:val="decimal"/>
      <w:lvlText w:val="(%1)"/>
      <w:lvlJc w:val="left"/>
      <w:pPr>
        <w:ind w:left="427" w:hanging="284"/>
        <w:jc w:val="left"/>
      </w:pPr>
      <w:rPr>
        <w:rFonts w:hint="default" w:ascii="微軟正黑體" w:hAnsi="微軟正黑體" w:eastAsia="微軟正黑體" w:cs="微軟正黑體"/>
        <w:color w:val="221F1F"/>
        <w:spacing w:val="-1"/>
        <w:w w:val="100"/>
        <w:sz w:val="20"/>
        <w:szCs w:val="20"/>
      </w:rPr>
    </w:lvl>
    <w:lvl w:ilvl="1">
      <w:start w:val="0"/>
      <w:numFmt w:val="bullet"/>
      <w:lvlText w:val="•"/>
      <w:lvlJc w:val="left"/>
      <w:pPr>
        <w:ind w:left="752" w:hanging="284"/>
      </w:pPr>
      <w:rPr>
        <w:rFonts w:hint="default"/>
      </w:rPr>
    </w:lvl>
    <w:lvl w:ilvl="2">
      <w:start w:val="0"/>
      <w:numFmt w:val="bullet"/>
      <w:lvlText w:val="•"/>
      <w:lvlJc w:val="left"/>
      <w:pPr>
        <w:ind w:left="1084" w:hanging="284"/>
      </w:pPr>
      <w:rPr>
        <w:rFonts w:hint="default"/>
      </w:rPr>
    </w:lvl>
    <w:lvl w:ilvl="3">
      <w:start w:val="0"/>
      <w:numFmt w:val="bullet"/>
      <w:lvlText w:val="•"/>
      <w:lvlJc w:val="left"/>
      <w:pPr>
        <w:ind w:left="1417" w:hanging="284"/>
      </w:pPr>
      <w:rPr>
        <w:rFonts w:hint="default"/>
      </w:rPr>
    </w:lvl>
    <w:lvl w:ilvl="4">
      <w:start w:val="0"/>
      <w:numFmt w:val="bullet"/>
      <w:lvlText w:val="•"/>
      <w:lvlJc w:val="left"/>
      <w:pPr>
        <w:ind w:left="1749" w:hanging="284"/>
      </w:pPr>
      <w:rPr>
        <w:rFonts w:hint="default"/>
      </w:rPr>
    </w:lvl>
    <w:lvl w:ilvl="5">
      <w:start w:val="0"/>
      <w:numFmt w:val="bullet"/>
      <w:lvlText w:val="•"/>
      <w:lvlJc w:val="left"/>
      <w:pPr>
        <w:ind w:left="2082" w:hanging="284"/>
      </w:pPr>
      <w:rPr>
        <w:rFonts w:hint="default"/>
      </w:rPr>
    </w:lvl>
    <w:lvl w:ilvl="6">
      <w:start w:val="0"/>
      <w:numFmt w:val="bullet"/>
      <w:lvlText w:val="•"/>
      <w:lvlJc w:val="left"/>
      <w:pPr>
        <w:ind w:left="2414" w:hanging="284"/>
      </w:pPr>
      <w:rPr>
        <w:rFonts w:hint="default"/>
      </w:rPr>
    </w:lvl>
    <w:lvl w:ilvl="7">
      <w:start w:val="0"/>
      <w:numFmt w:val="bullet"/>
      <w:lvlText w:val="•"/>
      <w:lvlJc w:val="left"/>
      <w:pPr>
        <w:ind w:left="2746" w:hanging="284"/>
      </w:pPr>
      <w:rPr>
        <w:rFonts w:hint="default"/>
      </w:rPr>
    </w:lvl>
    <w:lvl w:ilvl="8">
      <w:start w:val="0"/>
      <w:numFmt w:val="bullet"/>
      <w:lvlText w:val="•"/>
      <w:lvlJc w:val="left"/>
      <w:pPr>
        <w:ind w:left="3079" w:hanging="284"/>
      </w:pPr>
      <w:rPr>
        <w:rFonts w:hint="default"/>
      </w:rPr>
    </w:lvl>
  </w:abstractNum>
  <w:abstractNum w:abstractNumId="134">
    <w:multiLevelType w:val="hybridMultilevel"/>
    <w:lvl w:ilvl="0">
      <w:start w:val="1"/>
      <w:numFmt w:val="decimal"/>
      <w:lvlText w:val="%1."/>
      <w:lvlJc w:val="left"/>
      <w:pPr>
        <w:ind w:left="421" w:hanging="284"/>
        <w:jc w:val="left"/>
      </w:pPr>
      <w:rPr>
        <w:rFonts w:hint="default"/>
        <w:spacing w:val="-1"/>
        <w:w w:val="100"/>
      </w:rPr>
    </w:lvl>
    <w:lvl w:ilvl="1">
      <w:start w:val="0"/>
      <w:numFmt w:val="bullet"/>
      <w:lvlText w:val="•"/>
      <w:lvlJc w:val="left"/>
      <w:pPr>
        <w:ind w:left="943" w:hanging="284"/>
      </w:pPr>
      <w:rPr>
        <w:rFonts w:hint="default"/>
      </w:rPr>
    </w:lvl>
    <w:lvl w:ilvl="2">
      <w:start w:val="0"/>
      <w:numFmt w:val="bullet"/>
      <w:lvlText w:val="•"/>
      <w:lvlJc w:val="left"/>
      <w:pPr>
        <w:ind w:left="1466" w:hanging="284"/>
      </w:pPr>
      <w:rPr>
        <w:rFonts w:hint="default"/>
      </w:rPr>
    </w:lvl>
    <w:lvl w:ilvl="3">
      <w:start w:val="0"/>
      <w:numFmt w:val="bullet"/>
      <w:lvlText w:val="•"/>
      <w:lvlJc w:val="left"/>
      <w:pPr>
        <w:ind w:left="1989" w:hanging="284"/>
      </w:pPr>
      <w:rPr>
        <w:rFonts w:hint="default"/>
      </w:rPr>
    </w:lvl>
    <w:lvl w:ilvl="4">
      <w:start w:val="0"/>
      <w:numFmt w:val="bullet"/>
      <w:lvlText w:val="•"/>
      <w:lvlJc w:val="left"/>
      <w:pPr>
        <w:ind w:left="2513" w:hanging="284"/>
      </w:pPr>
      <w:rPr>
        <w:rFonts w:hint="default"/>
      </w:rPr>
    </w:lvl>
    <w:lvl w:ilvl="5">
      <w:start w:val="0"/>
      <w:numFmt w:val="bullet"/>
      <w:lvlText w:val="•"/>
      <w:lvlJc w:val="left"/>
      <w:pPr>
        <w:ind w:left="3036" w:hanging="284"/>
      </w:pPr>
      <w:rPr>
        <w:rFonts w:hint="default"/>
      </w:rPr>
    </w:lvl>
    <w:lvl w:ilvl="6">
      <w:start w:val="0"/>
      <w:numFmt w:val="bullet"/>
      <w:lvlText w:val="•"/>
      <w:lvlJc w:val="left"/>
      <w:pPr>
        <w:ind w:left="3559" w:hanging="284"/>
      </w:pPr>
      <w:rPr>
        <w:rFonts w:hint="default"/>
      </w:rPr>
    </w:lvl>
    <w:lvl w:ilvl="7">
      <w:start w:val="0"/>
      <w:numFmt w:val="bullet"/>
      <w:lvlText w:val="•"/>
      <w:lvlJc w:val="left"/>
      <w:pPr>
        <w:ind w:left="4082" w:hanging="284"/>
      </w:pPr>
      <w:rPr>
        <w:rFonts w:hint="default"/>
      </w:rPr>
    </w:lvl>
    <w:lvl w:ilvl="8">
      <w:start w:val="0"/>
      <w:numFmt w:val="bullet"/>
      <w:lvlText w:val="•"/>
      <w:lvlJc w:val="left"/>
      <w:pPr>
        <w:ind w:left="4606" w:hanging="284"/>
      </w:pPr>
      <w:rPr>
        <w:rFonts w:hint="default"/>
      </w:rPr>
    </w:lvl>
  </w:abstractNum>
  <w:abstractNum w:abstractNumId="133">
    <w:multiLevelType w:val="hybridMultilevel"/>
    <w:lvl w:ilvl="0">
      <w:start w:val="1"/>
      <w:numFmt w:val="decimal"/>
      <w:lvlText w:val="%1."/>
      <w:lvlJc w:val="left"/>
      <w:pPr>
        <w:ind w:left="429" w:hanging="322"/>
        <w:jc w:val="left"/>
      </w:pPr>
      <w:rPr>
        <w:rFonts w:hint="default" w:ascii="微軟正黑體" w:hAnsi="微軟正黑體" w:eastAsia="微軟正黑體" w:cs="微軟正黑體"/>
        <w:color w:val="221F1F"/>
        <w:spacing w:val="-1"/>
        <w:w w:val="100"/>
        <w:position w:val="-2"/>
        <w:sz w:val="22"/>
        <w:szCs w:val="22"/>
      </w:rPr>
    </w:lvl>
    <w:lvl w:ilvl="1">
      <w:start w:val="0"/>
      <w:numFmt w:val="bullet"/>
      <w:lvlText w:val="•"/>
      <w:lvlJc w:val="left"/>
      <w:pPr>
        <w:ind w:left="603" w:hanging="322"/>
      </w:pPr>
      <w:rPr>
        <w:rFonts w:hint="default"/>
      </w:rPr>
    </w:lvl>
    <w:lvl w:ilvl="2">
      <w:start w:val="0"/>
      <w:numFmt w:val="bullet"/>
      <w:lvlText w:val="•"/>
      <w:lvlJc w:val="left"/>
      <w:pPr>
        <w:ind w:left="787" w:hanging="322"/>
      </w:pPr>
      <w:rPr>
        <w:rFonts w:hint="default"/>
      </w:rPr>
    </w:lvl>
    <w:lvl w:ilvl="3">
      <w:start w:val="0"/>
      <w:numFmt w:val="bullet"/>
      <w:lvlText w:val="•"/>
      <w:lvlJc w:val="left"/>
      <w:pPr>
        <w:ind w:left="971" w:hanging="322"/>
      </w:pPr>
      <w:rPr>
        <w:rFonts w:hint="default"/>
      </w:rPr>
    </w:lvl>
    <w:lvl w:ilvl="4">
      <w:start w:val="0"/>
      <w:numFmt w:val="bullet"/>
      <w:lvlText w:val="•"/>
      <w:lvlJc w:val="left"/>
      <w:pPr>
        <w:ind w:left="1155" w:hanging="322"/>
      </w:pPr>
      <w:rPr>
        <w:rFonts w:hint="default"/>
      </w:rPr>
    </w:lvl>
    <w:lvl w:ilvl="5">
      <w:start w:val="0"/>
      <w:numFmt w:val="bullet"/>
      <w:lvlText w:val="•"/>
      <w:lvlJc w:val="left"/>
      <w:pPr>
        <w:ind w:left="1339" w:hanging="322"/>
      </w:pPr>
      <w:rPr>
        <w:rFonts w:hint="default"/>
      </w:rPr>
    </w:lvl>
    <w:lvl w:ilvl="6">
      <w:start w:val="0"/>
      <w:numFmt w:val="bullet"/>
      <w:lvlText w:val="•"/>
      <w:lvlJc w:val="left"/>
      <w:pPr>
        <w:ind w:left="1523" w:hanging="322"/>
      </w:pPr>
      <w:rPr>
        <w:rFonts w:hint="default"/>
      </w:rPr>
    </w:lvl>
    <w:lvl w:ilvl="7">
      <w:start w:val="0"/>
      <w:numFmt w:val="bullet"/>
      <w:lvlText w:val="•"/>
      <w:lvlJc w:val="left"/>
      <w:pPr>
        <w:ind w:left="1707" w:hanging="322"/>
      </w:pPr>
      <w:rPr>
        <w:rFonts w:hint="default"/>
      </w:rPr>
    </w:lvl>
    <w:lvl w:ilvl="8">
      <w:start w:val="0"/>
      <w:numFmt w:val="bullet"/>
      <w:lvlText w:val="•"/>
      <w:lvlJc w:val="left"/>
      <w:pPr>
        <w:ind w:left="1891" w:hanging="322"/>
      </w:pPr>
      <w:rPr>
        <w:rFonts w:hint="default"/>
      </w:rPr>
    </w:lvl>
  </w:abstractNum>
  <w:abstractNum w:abstractNumId="132">
    <w:multiLevelType w:val="hybridMultilevel"/>
    <w:lvl w:ilvl="0">
      <w:start w:val="1"/>
      <w:numFmt w:val="decimal"/>
      <w:lvlText w:val="%1."/>
      <w:lvlJc w:val="left"/>
      <w:pPr>
        <w:ind w:left="421" w:hanging="315"/>
        <w:jc w:val="left"/>
      </w:pPr>
      <w:rPr>
        <w:rFonts w:hint="default"/>
        <w:spacing w:val="-1"/>
        <w:w w:val="100"/>
      </w:rPr>
    </w:lvl>
    <w:lvl w:ilvl="1">
      <w:start w:val="0"/>
      <w:numFmt w:val="bullet"/>
      <w:lvlText w:val="•"/>
      <w:lvlJc w:val="left"/>
      <w:pPr>
        <w:ind w:left="943" w:hanging="315"/>
      </w:pPr>
      <w:rPr>
        <w:rFonts w:hint="default"/>
      </w:rPr>
    </w:lvl>
    <w:lvl w:ilvl="2">
      <w:start w:val="0"/>
      <w:numFmt w:val="bullet"/>
      <w:lvlText w:val="•"/>
      <w:lvlJc w:val="left"/>
      <w:pPr>
        <w:ind w:left="1466" w:hanging="315"/>
      </w:pPr>
      <w:rPr>
        <w:rFonts w:hint="default"/>
      </w:rPr>
    </w:lvl>
    <w:lvl w:ilvl="3">
      <w:start w:val="0"/>
      <w:numFmt w:val="bullet"/>
      <w:lvlText w:val="•"/>
      <w:lvlJc w:val="left"/>
      <w:pPr>
        <w:ind w:left="1989" w:hanging="315"/>
      </w:pPr>
      <w:rPr>
        <w:rFonts w:hint="default"/>
      </w:rPr>
    </w:lvl>
    <w:lvl w:ilvl="4">
      <w:start w:val="0"/>
      <w:numFmt w:val="bullet"/>
      <w:lvlText w:val="•"/>
      <w:lvlJc w:val="left"/>
      <w:pPr>
        <w:ind w:left="2513" w:hanging="315"/>
      </w:pPr>
      <w:rPr>
        <w:rFonts w:hint="default"/>
      </w:rPr>
    </w:lvl>
    <w:lvl w:ilvl="5">
      <w:start w:val="0"/>
      <w:numFmt w:val="bullet"/>
      <w:lvlText w:val="•"/>
      <w:lvlJc w:val="left"/>
      <w:pPr>
        <w:ind w:left="3036" w:hanging="315"/>
      </w:pPr>
      <w:rPr>
        <w:rFonts w:hint="default"/>
      </w:rPr>
    </w:lvl>
    <w:lvl w:ilvl="6">
      <w:start w:val="0"/>
      <w:numFmt w:val="bullet"/>
      <w:lvlText w:val="•"/>
      <w:lvlJc w:val="left"/>
      <w:pPr>
        <w:ind w:left="3559" w:hanging="315"/>
      </w:pPr>
      <w:rPr>
        <w:rFonts w:hint="default"/>
      </w:rPr>
    </w:lvl>
    <w:lvl w:ilvl="7">
      <w:start w:val="0"/>
      <w:numFmt w:val="bullet"/>
      <w:lvlText w:val="•"/>
      <w:lvlJc w:val="left"/>
      <w:pPr>
        <w:ind w:left="4082" w:hanging="315"/>
      </w:pPr>
      <w:rPr>
        <w:rFonts w:hint="default"/>
      </w:rPr>
    </w:lvl>
    <w:lvl w:ilvl="8">
      <w:start w:val="0"/>
      <w:numFmt w:val="bullet"/>
      <w:lvlText w:val="•"/>
      <w:lvlJc w:val="left"/>
      <w:pPr>
        <w:ind w:left="4606" w:hanging="315"/>
      </w:pPr>
      <w:rPr>
        <w:rFonts w:hint="default"/>
      </w:rPr>
    </w:lvl>
  </w:abstractNum>
  <w:abstractNum w:abstractNumId="131">
    <w:multiLevelType w:val="hybridMultilevel"/>
    <w:lvl w:ilvl="0">
      <w:start w:val="1"/>
      <w:numFmt w:val="decimal"/>
      <w:lvlText w:val="%1."/>
      <w:lvlJc w:val="left"/>
      <w:pPr>
        <w:ind w:left="421" w:hanging="315"/>
        <w:jc w:val="left"/>
      </w:pPr>
      <w:rPr>
        <w:rFonts w:hint="default" w:ascii="微軟正黑體" w:hAnsi="微軟正黑體" w:eastAsia="微軟正黑體" w:cs="微軟正黑體"/>
        <w:color w:val="221F1F"/>
        <w:spacing w:val="-1"/>
        <w:w w:val="100"/>
        <w:position w:val="-2"/>
        <w:sz w:val="22"/>
        <w:szCs w:val="22"/>
      </w:rPr>
    </w:lvl>
    <w:lvl w:ilvl="1">
      <w:start w:val="0"/>
      <w:numFmt w:val="bullet"/>
      <w:lvlText w:val="•"/>
      <w:lvlJc w:val="left"/>
      <w:pPr>
        <w:ind w:left="943" w:hanging="315"/>
      </w:pPr>
      <w:rPr>
        <w:rFonts w:hint="default"/>
      </w:rPr>
    </w:lvl>
    <w:lvl w:ilvl="2">
      <w:start w:val="0"/>
      <w:numFmt w:val="bullet"/>
      <w:lvlText w:val="•"/>
      <w:lvlJc w:val="left"/>
      <w:pPr>
        <w:ind w:left="1466" w:hanging="315"/>
      </w:pPr>
      <w:rPr>
        <w:rFonts w:hint="default"/>
      </w:rPr>
    </w:lvl>
    <w:lvl w:ilvl="3">
      <w:start w:val="0"/>
      <w:numFmt w:val="bullet"/>
      <w:lvlText w:val="•"/>
      <w:lvlJc w:val="left"/>
      <w:pPr>
        <w:ind w:left="1989" w:hanging="315"/>
      </w:pPr>
      <w:rPr>
        <w:rFonts w:hint="default"/>
      </w:rPr>
    </w:lvl>
    <w:lvl w:ilvl="4">
      <w:start w:val="0"/>
      <w:numFmt w:val="bullet"/>
      <w:lvlText w:val="•"/>
      <w:lvlJc w:val="left"/>
      <w:pPr>
        <w:ind w:left="2513" w:hanging="315"/>
      </w:pPr>
      <w:rPr>
        <w:rFonts w:hint="default"/>
      </w:rPr>
    </w:lvl>
    <w:lvl w:ilvl="5">
      <w:start w:val="0"/>
      <w:numFmt w:val="bullet"/>
      <w:lvlText w:val="•"/>
      <w:lvlJc w:val="left"/>
      <w:pPr>
        <w:ind w:left="3036" w:hanging="315"/>
      </w:pPr>
      <w:rPr>
        <w:rFonts w:hint="default"/>
      </w:rPr>
    </w:lvl>
    <w:lvl w:ilvl="6">
      <w:start w:val="0"/>
      <w:numFmt w:val="bullet"/>
      <w:lvlText w:val="•"/>
      <w:lvlJc w:val="left"/>
      <w:pPr>
        <w:ind w:left="3559" w:hanging="315"/>
      </w:pPr>
      <w:rPr>
        <w:rFonts w:hint="default"/>
      </w:rPr>
    </w:lvl>
    <w:lvl w:ilvl="7">
      <w:start w:val="0"/>
      <w:numFmt w:val="bullet"/>
      <w:lvlText w:val="•"/>
      <w:lvlJc w:val="left"/>
      <w:pPr>
        <w:ind w:left="4082" w:hanging="315"/>
      </w:pPr>
      <w:rPr>
        <w:rFonts w:hint="default"/>
      </w:rPr>
    </w:lvl>
    <w:lvl w:ilvl="8">
      <w:start w:val="0"/>
      <w:numFmt w:val="bullet"/>
      <w:lvlText w:val="•"/>
      <w:lvlJc w:val="left"/>
      <w:pPr>
        <w:ind w:left="4606" w:hanging="315"/>
      </w:pPr>
      <w:rPr>
        <w:rFonts w:hint="default"/>
      </w:rPr>
    </w:lvl>
  </w:abstractNum>
  <w:abstractNum w:abstractNumId="130">
    <w:multiLevelType w:val="hybridMultilevel"/>
    <w:lvl w:ilvl="0">
      <w:start w:val="1"/>
      <w:numFmt w:val="decimal"/>
      <w:lvlText w:val="%1."/>
      <w:lvlJc w:val="left"/>
      <w:pPr>
        <w:ind w:left="277"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604" w:hanging="284"/>
      </w:pPr>
      <w:rPr>
        <w:rFonts w:hint="default"/>
      </w:rPr>
    </w:lvl>
    <w:lvl w:ilvl="2">
      <w:start w:val="0"/>
      <w:numFmt w:val="bullet"/>
      <w:lvlText w:val="•"/>
      <w:lvlJc w:val="left"/>
      <w:pPr>
        <w:ind w:left="929" w:hanging="284"/>
      </w:pPr>
      <w:rPr>
        <w:rFonts w:hint="default"/>
      </w:rPr>
    </w:lvl>
    <w:lvl w:ilvl="3">
      <w:start w:val="0"/>
      <w:numFmt w:val="bullet"/>
      <w:lvlText w:val="•"/>
      <w:lvlJc w:val="left"/>
      <w:pPr>
        <w:ind w:left="1253" w:hanging="284"/>
      </w:pPr>
      <w:rPr>
        <w:rFonts w:hint="default"/>
      </w:rPr>
    </w:lvl>
    <w:lvl w:ilvl="4">
      <w:start w:val="0"/>
      <w:numFmt w:val="bullet"/>
      <w:lvlText w:val="•"/>
      <w:lvlJc w:val="left"/>
      <w:pPr>
        <w:ind w:left="1578" w:hanging="284"/>
      </w:pPr>
      <w:rPr>
        <w:rFonts w:hint="default"/>
      </w:rPr>
    </w:lvl>
    <w:lvl w:ilvl="5">
      <w:start w:val="0"/>
      <w:numFmt w:val="bullet"/>
      <w:lvlText w:val="•"/>
      <w:lvlJc w:val="left"/>
      <w:pPr>
        <w:ind w:left="1902" w:hanging="284"/>
      </w:pPr>
      <w:rPr>
        <w:rFonts w:hint="default"/>
      </w:rPr>
    </w:lvl>
    <w:lvl w:ilvl="6">
      <w:start w:val="0"/>
      <w:numFmt w:val="bullet"/>
      <w:lvlText w:val="•"/>
      <w:lvlJc w:val="left"/>
      <w:pPr>
        <w:ind w:left="2227" w:hanging="284"/>
      </w:pPr>
      <w:rPr>
        <w:rFonts w:hint="default"/>
      </w:rPr>
    </w:lvl>
    <w:lvl w:ilvl="7">
      <w:start w:val="0"/>
      <w:numFmt w:val="bullet"/>
      <w:lvlText w:val="•"/>
      <w:lvlJc w:val="left"/>
      <w:pPr>
        <w:ind w:left="2551" w:hanging="284"/>
      </w:pPr>
      <w:rPr>
        <w:rFonts w:hint="default"/>
      </w:rPr>
    </w:lvl>
    <w:lvl w:ilvl="8">
      <w:start w:val="0"/>
      <w:numFmt w:val="bullet"/>
      <w:lvlText w:val="•"/>
      <w:lvlJc w:val="left"/>
      <w:pPr>
        <w:ind w:left="2876" w:hanging="284"/>
      </w:pPr>
      <w:rPr>
        <w:rFonts w:hint="default"/>
      </w:rPr>
    </w:lvl>
  </w:abstractNum>
  <w:abstractNum w:abstractNumId="129">
    <w:multiLevelType w:val="hybridMultilevel"/>
    <w:lvl w:ilvl="0">
      <w:start w:val="1"/>
      <w:numFmt w:val="decimal"/>
      <w:lvlText w:val="%1."/>
      <w:lvlJc w:val="left"/>
      <w:pPr>
        <w:ind w:left="339"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658" w:hanging="284"/>
      </w:pPr>
      <w:rPr>
        <w:rFonts w:hint="default"/>
      </w:rPr>
    </w:lvl>
    <w:lvl w:ilvl="2">
      <w:start w:val="0"/>
      <w:numFmt w:val="bullet"/>
      <w:lvlText w:val="•"/>
      <w:lvlJc w:val="left"/>
      <w:pPr>
        <w:ind w:left="977" w:hanging="284"/>
      </w:pPr>
      <w:rPr>
        <w:rFonts w:hint="default"/>
      </w:rPr>
    </w:lvl>
    <w:lvl w:ilvl="3">
      <w:start w:val="0"/>
      <w:numFmt w:val="bullet"/>
      <w:lvlText w:val="•"/>
      <w:lvlJc w:val="left"/>
      <w:pPr>
        <w:ind w:left="1295" w:hanging="284"/>
      </w:pPr>
      <w:rPr>
        <w:rFonts w:hint="default"/>
      </w:rPr>
    </w:lvl>
    <w:lvl w:ilvl="4">
      <w:start w:val="0"/>
      <w:numFmt w:val="bullet"/>
      <w:lvlText w:val="•"/>
      <w:lvlJc w:val="left"/>
      <w:pPr>
        <w:ind w:left="1614" w:hanging="284"/>
      </w:pPr>
      <w:rPr>
        <w:rFonts w:hint="default"/>
      </w:rPr>
    </w:lvl>
    <w:lvl w:ilvl="5">
      <w:start w:val="0"/>
      <w:numFmt w:val="bullet"/>
      <w:lvlText w:val="•"/>
      <w:lvlJc w:val="left"/>
      <w:pPr>
        <w:ind w:left="1932" w:hanging="284"/>
      </w:pPr>
      <w:rPr>
        <w:rFonts w:hint="default"/>
      </w:rPr>
    </w:lvl>
    <w:lvl w:ilvl="6">
      <w:start w:val="0"/>
      <w:numFmt w:val="bullet"/>
      <w:lvlText w:val="•"/>
      <w:lvlJc w:val="left"/>
      <w:pPr>
        <w:ind w:left="2251" w:hanging="284"/>
      </w:pPr>
      <w:rPr>
        <w:rFonts w:hint="default"/>
      </w:rPr>
    </w:lvl>
    <w:lvl w:ilvl="7">
      <w:start w:val="0"/>
      <w:numFmt w:val="bullet"/>
      <w:lvlText w:val="•"/>
      <w:lvlJc w:val="left"/>
      <w:pPr>
        <w:ind w:left="2569" w:hanging="284"/>
      </w:pPr>
      <w:rPr>
        <w:rFonts w:hint="default"/>
      </w:rPr>
    </w:lvl>
    <w:lvl w:ilvl="8">
      <w:start w:val="0"/>
      <w:numFmt w:val="bullet"/>
      <w:lvlText w:val="•"/>
      <w:lvlJc w:val="left"/>
      <w:pPr>
        <w:ind w:left="2888" w:hanging="284"/>
      </w:pPr>
      <w:rPr>
        <w:rFonts w:hint="default"/>
      </w:rPr>
    </w:lvl>
  </w:abstractNum>
  <w:abstractNum w:abstractNumId="128">
    <w:multiLevelType w:val="hybridMultilevel"/>
    <w:lvl w:ilvl="0">
      <w:start w:val="1"/>
      <w:numFmt w:val="decimal"/>
      <w:lvlText w:val="%1."/>
      <w:lvlJc w:val="left"/>
      <w:pPr>
        <w:ind w:left="366"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549" w:hanging="284"/>
      </w:pPr>
      <w:rPr>
        <w:rFonts w:hint="default"/>
      </w:rPr>
    </w:lvl>
    <w:lvl w:ilvl="2">
      <w:start w:val="0"/>
      <w:numFmt w:val="bullet"/>
      <w:lvlText w:val="•"/>
      <w:lvlJc w:val="left"/>
      <w:pPr>
        <w:ind w:left="739" w:hanging="284"/>
      </w:pPr>
      <w:rPr>
        <w:rFonts w:hint="default"/>
      </w:rPr>
    </w:lvl>
    <w:lvl w:ilvl="3">
      <w:start w:val="0"/>
      <w:numFmt w:val="bullet"/>
      <w:lvlText w:val="•"/>
      <w:lvlJc w:val="left"/>
      <w:pPr>
        <w:ind w:left="929" w:hanging="284"/>
      </w:pPr>
      <w:rPr>
        <w:rFonts w:hint="default"/>
      </w:rPr>
    </w:lvl>
    <w:lvl w:ilvl="4">
      <w:start w:val="0"/>
      <w:numFmt w:val="bullet"/>
      <w:lvlText w:val="•"/>
      <w:lvlJc w:val="left"/>
      <w:pPr>
        <w:ind w:left="1119" w:hanging="284"/>
      </w:pPr>
      <w:rPr>
        <w:rFonts w:hint="default"/>
      </w:rPr>
    </w:lvl>
    <w:lvl w:ilvl="5">
      <w:start w:val="0"/>
      <w:numFmt w:val="bullet"/>
      <w:lvlText w:val="•"/>
      <w:lvlJc w:val="left"/>
      <w:pPr>
        <w:ind w:left="1309" w:hanging="284"/>
      </w:pPr>
      <w:rPr>
        <w:rFonts w:hint="default"/>
      </w:rPr>
    </w:lvl>
    <w:lvl w:ilvl="6">
      <w:start w:val="0"/>
      <w:numFmt w:val="bullet"/>
      <w:lvlText w:val="•"/>
      <w:lvlJc w:val="left"/>
      <w:pPr>
        <w:ind w:left="1499" w:hanging="284"/>
      </w:pPr>
      <w:rPr>
        <w:rFonts w:hint="default"/>
      </w:rPr>
    </w:lvl>
    <w:lvl w:ilvl="7">
      <w:start w:val="0"/>
      <w:numFmt w:val="bullet"/>
      <w:lvlText w:val="•"/>
      <w:lvlJc w:val="left"/>
      <w:pPr>
        <w:ind w:left="1689" w:hanging="284"/>
      </w:pPr>
      <w:rPr>
        <w:rFonts w:hint="default"/>
      </w:rPr>
    </w:lvl>
    <w:lvl w:ilvl="8">
      <w:start w:val="0"/>
      <w:numFmt w:val="bullet"/>
      <w:lvlText w:val="•"/>
      <w:lvlJc w:val="left"/>
      <w:pPr>
        <w:ind w:left="1879" w:hanging="284"/>
      </w:pPr>
      <w:rPr>
        <w:rFonts w:hint="default"/>
      </w:rPr>
    </w:lvl>
  </w:abstractNum>
  <w:abstractNum w:abstractNumId="127">
    <w:multiLevelType w:val="hybridMultilevel"/>
    <w:lvl w:ilvl="0">
      <w:start w:val="1"/>
      <w:numFmt w:val="decimal"/>
      <w:lvlText w:val="%1."/>
      <w:lvlJc w:val="left"/>
      <w:pPr>
        <w:ind w:left="1286" w:hanging="281"/>
        <w:jc w:val="left"/>
      </w:pPr>
      <w:rPr>
        <w:rFonts w:hint="default" w:ascii="微軟正黑體" w:hAnsi="微軟正黑體" w:eastAsia="微軟正黑體" w:cs="微軟正黑體"/>
        <w:color w:val="221F1F"/>
        <w:spacing w:val="-1"/>
        <w:w w:val="100"/>
        <w:sz w:val="22"/>
        <w:szCs w:val="22"/>
      </w:rPr>
    </w:lvl>
    <w:lvl w:ilvl="1">
      <w:start w:val="1"/>
      <w:numFmt w:val="decimal"/>
      <w:lvlText w:val="%2."/>
      <w:lvlJc w:val="left"/>
      <w:pPr>
        <w:ind w:left="1485" w:hanging="339"/>
        <w:jc w:val="left"/>
      </w:pPr>
      <w:rPr>
        <w:rFonts w:hint="default" w:ascii="微軟正黑體" w:hAnsi="微軟正黑體" w:eastAsia="微軟正黑體" w:cs="微軟正黑體"/>
        <w:color w:val="221F1F"/>
        <w:spacing w:val="-1"/>
        <w:w w:val="100"/>
        <w:sz w:val="22"/>
        <w:szCs w:val="22"/>
      </w:rPr>
    </w:lvl>
    <w:lvl w:ilvl="2">
      <w:start w:val="0"/>
      <w:numFmt w:val="bullet"/>
      <w:lvlText w:val="•"/>
      <w:lvlJc w:val="left"/>
      <w:pPr>
        <w:ind w:left="2529" w:hanging="339"/>
      </w:pPr>
      <w:rPr>
        <w:rFonts w:hint="default"/>
      </w:rPr>
    </w:lvl>
    <w:lvl w:ilvl="3">
      <w:start w:val="0"/>
      <w:numFmt w:val="bullet"/>
      <w:lvlText w:val="•"/>
      <w:lvlJc w:val="left"/>
      <w:pPr>
        <w:ind w:left="3578" w:hanging="339"/>
      </w:pPr>
      <w:rPr>
        <w:rFonts w:hint="default"/>
      </w:rPr>
    </w:lvl>
    <w:lvl w:ilvl="4">
      <w:start w:val="0"/>
      <w:numFmt w:val="bullet"/>
      <w:lvlText w:val="•"/>
      <w:lvlJc w:val="left"/>
      <w:pPr>
        <w:ind w:left="4628" w:hanging="339"/>
      </w:pPr>
      <w:rPr>
        <w:rFonts w:hint="default"/>
      </w:rPr>
    </w:lvl>
    <w:lvl w:ilvl="5">
      <w:start w:val="0"/>
      <w:numFmt w:val="bullet"/>
      <w:lvlText w:val="•"/>
      <w:lvlJc w:val="left"/>
      <w:pPr>
        <w:ind w:left="5677" w:hanging="339"/>
      </w:pPr>
      <w:rPr>
        <w:rFonts w:hint="default"/>
      </w:rPr>
    </w:lvl>
    <w:lvl w:ilvl="6">
      <w:start w:val="0"/>
      <w:numFmt w:val="bullet"/>
      <w:lvlText w:val="•"/>
      <w:lvlJc w:val="left"/>
      <w:pPr>
        <w:ind w:left="6726" w:hanging="339"/>
      </w:pPr>
      <w:rPr>
        <w:rFonts w:hint="default"/>
      </w:rPr>
    </w:lvl>
    <w:lvl w:ilvl="7">
      <w:start w:val="0"/>
      <w:numFmt w:val="bullet"/>
      <w:lvlText w:val="•"/>
      <w:lvlJc w:val="left"/>
      <w:pPr>
        <w:ind w:left="7776" w:hanging="339"/>
      </w:pPr>
      <w:rPr>
        <w:rFonts w:hint="default"/>
      </w:rPr>
    </w:lvl>
    <w:lvl w:ilvl="8">
      <w:start w:val="0"/>
      <w:numFmt w:val="bullet"/>
      <w:lvlText w:val="•"/>
      <w:lvlJc w:val="left"/>
      <w:pPr>
        <w:ind w:left="8825" w:hanging="339"/>
      </w:pPr>
      <w:rPr>
        <w:rFonts w:hint="default"/>
      </w:rPr>
    </w:lvl>
  </w:abstractNum>
  <w:abstractNum w:abstractNumId="126">
    <w:multiLevelType w:val="hybridMultilevel"/>
    <w:lvl w:ilvl="0">
      <w:start w:val="1"/>
      <w:numFmt w:val="decimal"/>
      <w:lvlText w:val="%1."/>
      <w:lvlJc w:val="left"/>
      <w:pPr>
        <w:ind w:left="574" w:hanging="361"/>
        <w:jc w:val="left"/>
      </w:pPr>
      <w:rPr>
        <w:rFonts w:hint="default" w:ascii="微軟正黑體" w:hAnsi="微軟正黑體" w:eastAsia="微軟正黑體" w:cs="微軟正黑體"/>
        <w:color w:val="221F1F"/>
        <w:spacing w:val="-1"/>
        <w:w w:val="100"/>
        <w:position w:val="2"/>
        <w:sz w:val="22"/>
        <w:szCs w:val="22"/>
      </w:rPr>
    </w:lvl>
    <w:lvl w:ilvl="1">
      <w:start w:val="0"/>
      <w:numFmt w:val="bullet"/>
      <w:lvlText w:val="•"/>
      <w:lvlJc w:val="left"/>
      <w:pPr>
        <w:ind w:left="1285" w:hanging="361"/>
      </w:pPr>
      <w:rPr>
        <w:rFonts w:hint="default"/>
      </w:rPr>
    </w:lvl>
    <w:lvl w:ilvl="2">
      <w:start w:val="0"/>
      <w:numFmt w:val="bullet"/>
      <w:lvlText w:val="•"/>
      <w:lvlJc w:val="left"/>
      <w:pPr>
        <w:ind w:left="1991" w:hanging="361"/>
      </w:pPr>
      <w:rPr>
        <w:rFonts w:hint="default"/>
      </w:rPr>
    </w:lvl>
    <w:lvl w:ilvl="3">
      <w:start w:val="0"/>
      <w:numFmt w:val="bullet"/>
      <w:lvlText w:val="•"/>
      <w:lvlJc w:val="left"/>
      <w:pPr>
        <w:ind w:left="2696" w:hanging="361"/>
      </w:pPr>
      <w:rPr>
        <w:rFonts w:hint="default"/>
      </w:rPr>
    </w:lvl>
    <w:lvl w:ilvl="4">
      <w:start w:val="0"/>
      <w:numFmt w:val="bullet"/>
      <w:lvlText w:val="•"/>
      <w:lvlJc w:val="left"/>
      <w:pPr>
        <w:ind w:left="3402" w:hanging="361"/>
      </w:pPr>
      <w:rPr>
        <w:rFonts w:hint="default"/>
      </w:rPr>
    </w:lvl>
    <w:lvl w:ilvl="5">
      <w:start w:val="0"/>
      <w:numFmt w:val="bullet"/>
      <w:lvlText w:val="•"/>
      <w:lvlJc w:val="left"/>
      <w:pPr>
        <w:ind w:left="4107" w:hanging="361"/>
      </w:pPr>
      <w:rPr>
        <w:rFonts w:hint="default"/>
      </w:rPr>
    </w:lvl>
    <w:lvl w:ilvl="6">
      <w:start w:val="0"/>
      <w:numFmt w:val="bullet"/>
      <w:lvlText w:val="•"/>
      <w:lvlJc w:val="left"/>
      <w:pPr>
        <w:ind w:left="4813" w:hanging="361"/>
      </w:pPr>
      <w:rPr>
        <w:rFonts w:hint="default"/>
      </w:rPr>
    </w:lvl>
    <w:lvl w:ilvl="7">
      <w:start w:val="0"/>
      <w:numFmt w:val="bullet"/>
      <w:lvlText w:val="•"/>
      <w:lvlJc w:val="left"/>
      <w:pPr>
        <w:ind w:left="5518" w:hanging="361"/>
      </w:pPr>
      <w:rPr>
        <w:rFonts w:hint="default"/>
      </w:rPr>
    </w:lvl>
    <w:lvl w:ilvl="8">
      <w:start w:val="0"/>
      <w:numFmt w:val="bullet"/>
      <w:lvlText w:val="•"/>
      <w:lvlJc w:val="left"/>
      <w:pPr>
        <w:ind w:left="6224" w:hanging="361"/>
      </w:pPr>
      <w:rPr>
        <w:rFonts w:hint="default"/>
      </w:rPr>
    </w:lvl>
  </w:abstractNum>
  <w:abstractNum w:abstractNumId="125">
    <w:multiLevelType w:val="hybridMultilevel"/>
    <w:lvl w:ilvl="0">
      <w:start w:val="2"/>
      <w:numFmt w:val="decimal"/>
      <w:lvlText w:val="%1."/>
      <w:lvlJc w:val="left"/>
      <w:pPr>
        <w:ind w:left="468"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95" w:hanging="284"/>
      </w:pPr>
      <w:rPr>
        <w:rFonts w:hint="default"/>
      </w:rPr>
    </w:lvl>
    <w:lvl w:ilvl="2">
      <w:start w:val="0"/>
      <w:numFmt w:val="bullet"/>
      <w:lvlText w:val="•"/>
      <w:lvlJc w:val="left"/>
      <w:pPr>
        <w:ind w:left="1130" w:hanging="284"/>
      </w:pPr>
      <w:rPr>
        <w:rFonts w:hint="default"/>
      </w:rPr>
    </w:lvl>
    <w:lvl w:ilvl="3">
      <w:start w:val="0"/>
      <w:numFmt w:val="bullet"/>
      <w:lvlText w:val="•"/>
      <w:lvlJc w:val="left"/>
      <w:pPr>
        <w:ind w:left="1465" w:hanging="284"/>
      </w:pPr>
      <w:rPr>
        <w:rFonts w:hint="default"/>
      </w:rPr>
    </w:lvl>
    <w:lvl w:ilvl="4">
      <w:start w:val="0"/>
      <w:numFmt w:val="bullet"/>
      <w:lvlText w:val="•"/>
      <w:lvlJc w:val="left"/>
      <w:pPr>
        <w:ind w:left="1800" w:hanging="284"/>
      </w:pPr>
      <w:rPr>
        <w:rFonts w:hint="default"/>
      </w:rPr>
    </w:lvl>
    <w:lvl w:ilvl="5">
      <w:start w:val="0"/>
      <w:numFmt w:val="bullet"/>
      <w:lvlText w:val="•"/>
      <w:lvlJc w:val="left"/>
      <w:pPr>
        <w:ind w:left="2135" w:hanging="284"/>
      </w:pPr>
      <w:rPr>
        <w:rFonts w:hint="default"/>
      </w:rPr>
    </w:lvl>
    <w:lvl w:ilvl="6">
      <w:start w:val="0"/>
      <w:numFmt w:val="bullet"/>
      <w:lvlText w:val="•"/>
      <w:lvlJc w:val="left"/>
      <w:pPr>
        <w:ind w:left="2470" w:hanging="284"/>
      </w:pPr>
      <w:rPr>
        <w:rFonts w:hint="default"/>
      </w:rPr>
    </w:lvl>
    <w:lvl w:ilvl="7">
      <w:start w:val="0"/>
      <w:numFmt w:val="bullet"/>
      <w:lvlText w:val="•"/>
      <w:lvlJc w:val="left"/>
      <w:pPr>
        <w:ind w:left="2806" w:hanging="284"/>
      </w:pPr>
      <w:rPr>
        <w:rFonts w:hint="default"/>
      </w:rPr>
    </w:lvl>
    <w:lvl w:ilvl="8">
      <w:start w:val="0"/>
      <w:numFmt w:val="bullet"/>
      <w:lvlText w:val="•"/>
      <w:lvlJc w:val="left"/>
      <w:pPr>
        <w:ind w:left="3141" w:hanging="284"/>
      </w:pPr>
      <w:rPr>
        <w:rFonts w:hint="default"/>
      </w:rPr>
    </w:lvl>
  </w:abstractNum>
  <w:abstractNum w:abstractNumId="124">
    <w:multiLevelType w:val="hybridMultilevel"/>
    <w:lvl w:ilvl="0">
      <w:start w:val="2"/>
      <w:numFmt w:val="decimal"/>
      <w:lvlText w:val="%1."/>
      <w:lvlJc w:val="left"/>
      <w:pPr>
        <w:ind w:left="468" w:hanging="28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95" w:hanging="284"/>
      </w:pPr>
      <w:rPr>
        <w:rFonts w:hint="default"/>
      </w:rPr>
    </w:lvl>
    <w:lvl w:ilvl="2">
      <w:start w:val="0"/>
      <w:numFmt w:val="bullet"/>
      <w:lvlText w:val="•"/>
      <w:lvlJc w:val="left"/>
      <w:pPr>
        <w:ind w:left="1130" w:hanging="284"/>
      </w:pPr>
      <w:rPr>
        <w:rFonts w:hint="default"/>
      </w:rPr>
    </w:lvl>
    <w:lvl w:ilvl="3">
      <w:start w:val="0"/>
      <w:numFmt w:val="bullet"/>
      <w:lvlText w:val="•"/>
      <w:lvlJc w:val="left"/>
      <w:pPr>
        <w:ind w:left="1466" w:hanging="284"/>
      </w:pPr>
      <w:rPr>
        <w:rFonts w:hint="default"/>
      </w:rPr>
    </w:lvl>
    <w:lvl w:ilvl="4">
      <w:start w:val="0"/>
      <w:numFmt w:val="bullet"/>
      <w:lvlText w:val="•"/>
      <w:lvlJc w:val="left"/>
      <w:pPr>
        <w:ind w:left="1801" w:hanging="284"/>
      </w:pPr>
      <w:rPr>
        <w:rFonts w:hint="default"/>
      </w:rPr>
    </w:lvl>
    <w:lvl w:ilvl="5">
      <w:start w:val="0"/>
      <w:numFmt w:val="bullet"/>
      <w:lvlText w:val="•"/>
      <w:lvlJc w:val="left"/>
      <w:pPr>
        <w:ind w:left="2137" w:hanging="284"/>
      </w:pPr>
      <w:rPr>
        <w:rFonts w:hint="default"/>
      </w:rPr>
    </w:lvl>
    <w:lvl w:ilvl="6">
      <w:start w:val="0"/>
      <w:numFmt w:val="bullet"/>
      <w:lvlText w:val="•"/>
      <w:lvlJc w:val="left"/>
      <w:pPr>
        <w:ind w:left="2472" w:hanging="284"/>
      </w:pPr>
      <w:rPr>
        <w:rFonts w:hint="default"/>
      </w:rPr>
    </w:lvl>
    <w:lvl w:ilvl="7">
      <w:start w:val="0"/>
      <w:numFmt w:val="bullet"/>
      <w:lvlText w:val="•"/>
      <w:lvlJc w:val="left"/>
      <w:pPr>
        <w:ind w:left="2807" w:hanging="284"/>
      </w:pPr>
      <w:rPr>
        <w:rFonts w:hint="default"/>
      </w:rPr>
    </w:lvl>
    <w:lvl w:ilvl="8">
      <w:start w:val="0"/>
      <w:numFmt w:val="bullet"/>
      <w:lvlText w:val="•"/>
      <w:lvlJc w:val="left"/>
      <w:pPr>
        <w:ind w:left="3143" w:hanging="284"/>
      </w:pPr>
      <w:rPr>
        <w:rFonts w:hint="default"/>
      </w:rPr>
    </w:lvl>
  </w:abstractNum>
  <w:abstractNum w:abstractNumId="123">
    <w:multiLevelType w:val="hybridMultilevel"/>
    <w:lvl w:ilvl="0">
      <w:start w:val="1"/>
      <w:numFmt w:val="decimal"/>
      <w:lvlText w:val="%1."/>
      <w:lvlJc w:val="left"/>
      <w:pPr>
        <w:ind w:left="458" w:hanging="183"/>
        <w:jc w:val="left"/>
      </w:pPr>
      <w:rPr>
        <w:rFonts w:hint="default" w:ascii="微軟正黑體" w:hAnsi="微軟正黑體" w:eastAsia="微軟正黑體" w:cs="微軟正黑體"/>
        <w:color w:val="221F1F"/>
        <w:spacing w:val="-1"/>
        <w:w w:val="100"/>
        <w:sz w:val="20"/>
        <w:szCs w:val="20"/>
      </w:rPr>
    </w:lvl>
    <w:lvl w:ilvl="1">
      <w:start w:val="0"/>
      <w:numFmt w:val="bullet"/>
      <w:lvlText w:val="•"/>
      <w:lvlJc w:val="left"/>
      <w:pPr>
        <w:ind w:left="795" w:hanging="183"/>
      </w:pPr>
      <w:rPr>
        <w:rFonts w:hint="default"/>
      </w:rPr>
    </w:lvl>
    <w:lvl w:ilvl="2">
      <w:start w:val="0"/>
      <w:numFmt w:val="bullet"/>
      <w:lvlText w:val="•"/>
      <w:lvlJc w:val="left"/>
      <w:pPr>
        <w:ind w:left="1130" w:hanging="183"/>
      </w:pPr>
      <w:rPr>
        <w:rFonts w:hint="default"/>
      </w:rPr>
    </w:lvl>
    <w:lvl w:ilvl="3">
      <w:start w:val="0"/>
      <w:numFmt w:val="bullet"/>
      <w:lvlText w:val="•"/>
      <w:lvlJc w:val="left"/>
      <w:pPr>
        <w:ind w:left="1465" w:hanging="183"/>
      </w:pPr>
      <w:rPr>
        <w:rFonts w:hint="default"/>
      </w:rPr>
    </w:lvl>
    <w:lvl w:ilvl="4">
      <w:start w:val="0"/>
      <w:numFmt w:val="bullet"/>
      <w:lvlText w:val="•"/>
      <w:lvlJc w:val="left"/>
      <w:pPr>
        <w:ind w:left="1800" w:hanging="183"/>
      </w:pPr>
      <w:rPr>
        <w:rFonts w:hint="default"/>
      </w:rPr>
    </w:lvl>
    <w:lvl w:ilvl="5">
      <w:start w:val="0"/>
      <w:numFmt w:val="bullet"/>
      <w:lvlText w:val="•"/>
      <w:lvlJc w:val="left"/>
      <w:pPr>
        <w:ind w:left="2135" w:hanging="183"/>
      </w:pPr>
      <w:rPr>
        <w:rFonts w:hint="default"/>
      </w:rPr>
    </w:lvl>
    <w:lvl w:ilvl="6">
      <w:start w:val="0"/>
      <w:numFmt w:val="bullet"/>
      <w:lvlText w:val="•"/>
      <w:lvlJc w:val="left"/>
      <w:pPr>
        <w:ind w:left="2470" w:hanging="183"/>
      </w:pPr>
      <w:rPr>
        <w:rFonts w:hint="default"/>
      </w:rPr>
    </w:lvl>
    <w:lvl w:ilvl="7">
      <w:start w:val="0"/>
      <w:numFmt w:val="bullet"/>
      <w:lvlText w:val="•"/>
      <w:lvlJc w:val="left"/>
      <w:pPr>
        <w:ind w:left="2806" w:hanging="183"/>
      </w:pPr>
      <w:rPr>
        <w:rFonts w:hint="default"/>
      </w:rPr>
    </w:lvl>
    <w:lvl w:ilvl="8">
      <w:start w:val="0"/>
      <w:numFmt w:val="bullet"/>
      <w:lvlText w:val="•"/>
      <w:lvlJc w:val="left"/>
      <w:pPr>
        <w:ind w:left="3141" w:hanging="183"/>
      </w:pPr>
      <w:rPr>
        <w:rFonts w:hint="default"/>
      </w:rPr>
    </w:lvl>
  </w:abstractNum>
  <w:abstractNum w:abstractNumId="122">
    <w:multiLevelType w:val="hybridMultilevel"/>
    <w:lvl w:ilvl="0">
      <w:start w:val="1"/>
      <w:numFmt w:val="decimal"/>
      <w:lvlText w:val="%1."/>
      <w:lvlJc w:val="left"/>
      <w:pPr>
        <w:ind w:left="459" w:hanging="188"/>
        <w:jc w:val="left"/>
      </w:pPr>
      <w:rPr>
        <w:rFonts w:hint="default" w:ascii="微軟正黑體" w:hAnsi="微軟正黑體" w:eastAsia="微軟正黑體" w:cs="微軟正黑體"/>
        <w:color w:val="221F1F"/>
        <w:spacing w:val="-1"/>
        <w:w w:val="100"/>
        <w:sz w:val="20"/>
        <w:szCs w:val="20"/>
      </w:rPr>
    </w:lvl>
    <w:lvl w:ilvl="1">
      <w:start w:val="0"/>
      <w:numFmt w:val="bullet"/>
      <w:lvlText w:val="•"/>
      <w:lvlJc w:val="left"/>
      <w:pPr>
        <w:ind w:left="660" w:hanging="188"/>
      </w:pPr>
      <w:rPr>
        <w:rFonts w:hint="default"/>
      </w:rPr>
    </w:lvl>
    <w:lvl w:ilvl="2">
      <w:start w:val="0"/>
      <w:numFmt w:val="bullet"/>
      <w:lvlText w:val="•"/>
      <w:lvlJc w:val="left"/>
      <w:pPr>
        <w:ind w:left="1010" w:hanging="188"/>
      </w:pPr>
      <w:rPr>
        <w:rFonts w:hint="default"/>
      </w:rPr>
    </w:lvl>
    <w:lvl w:ilvl="3">
      <w:start w:val="0"/>
      <w:numFmt w:val="bullet"/>
      <w:lvlText w:val="•"/>
      <w:lvlJc w:val="left"/>
      <w:pPr>
        <w:ind w:left="1360" w:hanging="188"/>
      </w:pPr>
      <w:rPr>
        <w:rFonts w:hint="default"/>
      </w:rPr>
    </w:lvl>
    <w:lvl w:ilvl="4">
      <w:start w:val="0"/>
      <w:numFmt w:val="bullet"/>
      <w:lvlText w:val="•"/>
      <w:lvlJc w:val="left"/>
      <w:pPr>
        <w:ind w:left="1711" w:hanging="188"/>
      </w:pPr>
      <w:rPr>
        <w:rFonts w:hint="default"/>
      </w:rPr>
    </w:lvl>
    <w:lvl w:ilvl="5">
      <w:start w:val="0"/>
      <w:numFmt w:val="bullet"/>
      <w:lvlText w:val="•"/>
      <w:lvlJc w:val="left"/>
      <w:pPr>
        <w:ind w:left="2061" w:hanging="188"/>
      </w:pPr>
      <w:rPr>
        <w:rFonts w:hint="default"/>
      </w:rPr>
    </w:lvl>
    <w:lvl w:ilvl="6">
      <w:start w:val="0"/>
      <w:numFmt w:val="bullet"/>
      <w:lvlText w:val="•"/>
      <w:lvlJc w:val="left"/>
      <w:pPr>
        <w:ind w:left="2412" w:hanging="188"/>
      </w:pPr>
      <w:rPr>
        <w:rFonts w:hint="default"/>
      </w:rPr>
    </w:lvl>
    <w:lvl w:ilvl="7">
      <w:start w:val="0"/>
      <w:numFmt w:val="bullet"/>
      <w:lvlText w:val="•"/>
      <w:lvlJc w:val="left"/>
      <w:pPr>
        <w:ind w:left="2762" w:hanging="188"/>
      </w:pPr>
      <w:rPr>
        <w:rFonts w:hint="default"/>
      </w:rPr>
    </w:lvl>
    <w:lvl w:ilvl="8">
      <w:start w:val="0"/>
      <w:numFmt w:val="bullet"/>
      <w:lvlText w:val="•"/>
      <w:lvlJc w:val="left"/>
      <w:pPr>
        <w:ind w:left="3113" w:hanging="188"/>
      </w:pPr>
      <w:rPr>
        <w:rFonts w:hint="default"/>
      </w:rPr>
    </w:lvl>
  </w:abstractNum>
  <w:abstractNum w:abstractNumId="121">
    <w:multiLevelType w:val="hybridMultilevel"/>
    <w:lvl w:ilvl="0">
      <w:start w:val="3"/>
      <w:numFmt w:val="decimal"/>
      <w:lvlText w:val="%1."/>
      <w:lvlJc w:val="left"/>
      <w:pPr>
        <w:ind w:left="428" w:hanging="288"/>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44" w:hanging="288"/>
      </w:pPr>
      <w:rPr>
        <w:rFonts w:hint="default"/>
      </w:rPr>
    </w:lvl>
    <w:lvl w:ilvl="2">
      <w:start w:val="0"/>
      <w:numFmt w:val="bullet"/>
      <w:lvlText w:val="•"/>
      <w:lvlJc w:val="left"/>
      <w:pPr>
        <w:ind w:left="1069" w:hanging="288"/>
      </w:pPr>
      <w:rPr>
        <w:rFonts w:hint="default"/>
      </w:rPr>
    </w:lvl>
    <w:lvl w:ilvl="3">
      <w:start w:val="0"/>
      <w:numFmt w:val="bullet"/>
      <w:lvlText w:val="•"/>
      <w:lvlJc w:val="left"/>
      <w:pPr>
        <w:ind w:left="1394" w:hanging="288"/>
      </w:pPr>
      <w:rPr>
        <w:rFonts w:hint="default"/>
      </w:rPr>
    </w:lvl>
    <w:lvl w:ilvl="4">
      <w:start w:val="0"/>
      <w:numFmt w:val="bullet"/>
      <w:lvlText w:val="•"/>
      <w:lvlJc w:val="left"/>
      <w:pPr>
        <w:ind w:left="1719" w:hanging="288"/>
      </w:pPr>
      <w:rPr>
        <w:rFonts w:hint="default"/>
      </w:rPr>
    </w:lvl>
    <w:lvl w:ilvl="5">
      <w:start w:val="0"/>
      <w:numFmt w:val="bullet"/>
      <w:lvlText w:val="•"/>
      <w:lvlJc w:val="left"/>
      <w:pPr>
        <w:ind w:left="2043" w:hanging="288"/>
      </w:pPr>
      <w:rPr>
        <w:rFonts w:hint="default"/>
      </w:rPr>
    </w:lvl>
    <w:lvl w:ilvl="6">
      <w:start w:val="0"/>
      <w:numFmt w:val="bullet"/>
      <w:lvlText w:val="•"/>
      <w:lvlJc w:val="left"/>
      <w:pPr>
        <w:ind w:left="2368" w:hanging="288"/>
      </w:pPr>
      <w:rPr>
        <w:rFonts w:hint="default"/>
      </w:rPr>
    </w:lvl>
    <w:lvl w:ilvl="7">
      <w:start w:val="0"/>
      <w:numFmt w:val="bullet"/>
      <w:lvlText w:val="•"/>
      <w:lvlJc w:val="left"/>
      <w:pPr>
        <w:ind w:left="2693" w:hanging="288"/>
      </w:pPr>
      <w:rPr>
        <w:rFonts w:hint="default"/>
      </w:rPr>
    </w:lvl>
    <w:lvl w:ilvl="8">
      <w:start w:val="0"/>
      <w:numFmt w:val="bullet"/>
      <w:lvlText w:val="•"/>
      <w:lvlJc w:val="left"/>
      <w:pPr>
        <w:ind w:left="3018" w:hanging="288"/>
      </w:pPr>
      <w:rPr>
        <w:rFonts w:hint="default"/>
      </w:rPr>
    </w:lvl>
  </w:abstractNum>
  <w:abstractNum w:abstractNumId="120">
    <w:multiLevelType w:val="hybridMultilevel"/>
    <w:lvl w:ilvl="0">
      <w:start w:val="2"/>
      <w:numFmt w:val="decimal"/>
      <w:lvlText w:val="(%1)"/>
      <w:lvlJc w:val="left"/>
      <w:pPr>
        <w:ind w:left="428" w:hanging="281"/>
        <w:jc w:val="left"/>
      </w:pPr>
      <w:rPr>
        <w:rFonts w:hint="default" w:ascii="微軟正黑體" w:hAnsi="微軟正黑體" w:eastAsia="微軟正黑體" w:cs="微軟正黑體"/>
        <w:color w:val="221F1F"/>
        <w:spacing w:val="-1"/>
        <w:w w:val="100"/>
        <w:sz w:val="20"/>
        <w:szCs w:val="20"/>
      </w:rPr>
    </w:lvl>
    <w:lvl w:ilvl="1">
      <w:start w:val="0"/>
      <w:numFmt w:val="bullet"/>
      <w:lvlText w:val="•"/>
      <w:lvlJc w:val="left"/>
      <w:pPr>
        <w:ind w:left="744" w:hanging="281"/>
      </w:pPr>
      <w:rPr>
        <w:rFonts w:hint="default"/>
      </w:rPr>
    </w:lvl>
    <w:lvl w:ilvl="2">
      <w:start w:val="0"/>
      <w:numFmt w:val="bullet"/>
      <w:lvlText w:val="•"/>
      <w:lvlJc w:val="left"/>
      <w:pPr>
        <w:ind w:left="1069" w:hanging="281"/>
      </w:pPr>
      <w:rPr>
        <w:rFonts w:hint="default"/>
      </w:rPr>
    </w:lvl>
    <w:lvl w:ilvl="3">
      <w:start w:val="0"/>
      <w:numFmt w:val="bullet"/>
      <w:lvlText w:val="•"/>
      <w:lvlJc w:val="left"/>
      <w:pPr>
        <w:ind w:left="1394" w:hanging="281"/>
      </w:pPr>
      <w:rPr>
        <w:rFonts w:hint="default"/>
      </w:rPr>
    </w:lvl>
    <w:lvl w:ilvl="4">
      <w:start w:val="0"/>
      <w:numFmt w:val="bullet"/>
      <w:lvlText w:val="•"/>
      <w:lvlJc w:val="left"/>
      <w:pPr>
        <w:ind w:left="1719" w:hanging="281"/>
      </w:pPr>
      <w:rPr>
        <w:rFonts w:hint="default"/>
      </w:rPr>
    </w:lvl>
    <w:lvl w:ilvl="5">
      <w:start w:val="0"/>
      <w:numFmt w:val="bullet"/>
      <w:lvlText w:val="•"/>
      <w:lvlJc w:val="left"/>
      <w:pPr>
        <w:ind w:left="2043" w:hanging="281"/>
      </w:pPr>
      <w:rPr>
        <w:rFonts w:hint="default"/>
      </w:rPr>
    </w:lvl>
    <w:lvl w:ilvl="6">
      <w:start w:val="0"/>
      <w:numFmt w:val="bullet"/>
      <w:lvlText w:val="•"/>
      <w:lvlJc w:val="left"/>
      <w:pPr>
        <w:ind w:left="2368" w:hanging="281"/>
      </w:pPr>
      <w:rPr>
        <w:rFonts w:hint="default"/>
      </w:rPr>
    </w:lvl>
    <w:lvl w:ilvl="7">
      <w:start w:val="0"/>
      <w:numFmt w:val="bullet"/>
      <w:lvlText w:val="•"/>
      <w:lvlJc w:val="left"/>
      <w:pPr>
        <w:ind w:left="2693" w:hanging="281"/>
      </w:pPr>
      <w:rPr>
        <w:rFonts w:hint="default"/>
      </w:rPr>
    </w:lvl>
    <w:lvl w:ilvl="8">
      <w:start w:val="0"/>
      <w:numFmt w:val="bullet"/>
      <w:lvlText w:val="•"/>
      <w:lvlJc w:val="left"/>
      <w:pPr>
        <w:ind w:left="3018" w:hanging="281"/>
      </w:pPr>
      <w:rPr>
        <w:rFonts w:hint="default"/>
      </w:rPr>
    </w:lvl>
  </w:abstractNum>
  <w:abstractNum w:abstractNumId="119">
    <w:multiLevelType w:val="hybridMultilevel"/>
    <w:lvl w:ilvl="0">
      <w:start w:val="1"/>
      <w:numFmt w:val="decimal"/>
      <w:lvlText w:val="%1."/>
      <w:lvlJc w:val="left"/>
      <w:pPr>
        <w:ind w:left="428" w:hanging="288"/>
        <w:jc w:val="left"/>
      </w:pPr>
      <w:rPr>
        <w:rFonts w:hint="default"/>
        <w:spacing w:val="-1"/>
        <w:w w:val="100"/>
      </w:rPr>
    </w:lvl>
    <w:lvl w:ilvl="1">
      <w:start w:val="0"/>
      <w:numFmt w:val="bullet"/>
      <w:lvlText w:val="•"/>
      <w:lvlJc w:val="left"/>
      <w:pPr>
        <w:ind w:left="744" w:hanging="288"/>
      </w:pPr>
      <w:rPr>
        <w:rFonts w:hint="default"/>
      </w:rPr>
    </w:lvl>
    <w:lvl w:ilvl="2">
      <w:start w:val="0"/>
      <w:numFmt w:val="bullet"/>
      <w:lvlText w:val="•"/>
      <w:lvlJc w:val="left"/>
      <w:pPr>
        <w:ind w:left="1069" w:hanging="288"/>
      </w:pPr>
      <w:rPr>
        <w:rFonts w:hint="default"/>
      </w:rPr>
    </w:lvl>
    <w:lvl w:ilvl="3">
      <w:start w:val="0"/>
      <w:numFmt w:val="bullet"/>
      <w:lvlText w:val="•"/>
      <w:lvlJc w:val="left"/>
      <w:pPr>
        <w:ind w:left="1394" w:hanging="288"/>
      </w:pPr>
      <w:rPr>
        <w:rFonts w:hint="default"/>
      </w:rPr>
    </w:lvl>
    <w:lvl w:ilvl="4">
      <w:start w:val="0"/>
      <w:numFmt w:val="bullet"/>
      <w:lvlText w:val="•"/>
      <w:lvlJc w:val="left"/>
      <w:pPr>
        <w:ind w:left="1719" w:hanging="288"/>
      </w:pPr>
      <w:rPr>
        <w:rFonts w:hint="default"/>
      </w:rPr>
    </w:lvl>
    <w:lvl w:ilvl="5">
      <w:start w:val="0"/>
      <w:numFmt w:val="bullet"/>
      <w:lvlText w:val="•"/>
      <w:lvlJc w:val="left"/>
      <w:pPr>
        <w:ind w:left="2043" w:hanging="288"/>
      </w:pPr>
      <w:rPr>
        <w:rFonts w:hint="default"/>
      </w:rPr>
    </w:lvl>
    <w:lvl w:ilvl="6">
      <w:start w:val="0"/>
      <w:numFmt w:val="bullet"/>
      <w:lvlText w:val="•"/>
      <w:lvlJc w:val="left"/>
      <w:pPr>
        <w:ind w:left="2368" w:hanging="288"/>
      </w:pPr>
      <w:rPr>
        <w:rFonts w:hint="default"/>
      </w:rPr>
    </w:lvl>
    <w:lvl w:ilvl="7">
      <w:start w:val="0"/>
      <w:numFmt w:val="bullet"/>
      <w:lvlText w:val="•"/>
      <w:lvlJc w:val="left"/>
      <w:pPr>
        <w:ind w:left="2693" w:hanging="288"/>
      </w:pPr>
      <w:rPr>
        <w:rFonts w:hint="default"/>
      </w:rPr>
    </w:lvl>
    <w:lvl w:ilvl="8">
      <w:start w:val="0"/>
      <w:numFmt w:val="bullet"/>
      <w:lvlText w:val="•"/>
      <w:lvlJc w:val="left"/>
      <w:pPr>
        <w:ind w:left="3018" w:hanging="288"/>
      </w:pPr>
      <w:rPr>
        <w:rFonts w:hint="default"/>
      </w:rPr>
    </w:lvl>
  </w:abstractNum>
  <w:abstractNum w:abstractNumId="118">
    <w:multiLevelType w:val="hybridMultilevel"/>
    <w:lvl w:ilvl="0">
      <w:start w:val="1"/>
      <w:numFmt w:val="decimal"/>
      <w:lvlText w:val="%1."/>
      <w:lvlJc w:val="left"/>
      <w:pPr>
        <w:ind w:left="333" w:hanging="22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02" w:hanging="224"/>
      </w:pPr>
      <w:rPr>
        <w:rFonts w:hint="default"/>
      </w:rPr>
    </w:lvl>
    <w:lvl w:ilvl="2">
      <w:start w:val="0"/>
      <w:numFmt w:val="bullet"/>
      <w:lvlText w:val="•"/>
      <w:lvlJc w:val="left"/>
      <w:pPr>
        <w:ind w:left="1064" w:hanging="224"/>
      </w:pPr>
      <w:rPr>
        <w:rFonts w:hint="default"/>
      </w:rPr>
    </w:lvl>
    <w:lvl w:ilvl="3">
      <w:start w:val="0"/>
      <w:numFmt w:val="bullet"/>
      <w:lvlText w:val="•"/>
      <w:lvlJc w:val="left"/>
      <w:pPr>
        <w:ind w:left="1426" w:hanging="224"/>
      </w:pPr>
      <w:rPr>
        <w:rFonts w:hint="default"/>
      </w:rPr>
    </w:lvl>
    <w:lvl w:ilvl="4">
      <w:start w:val="0"/>
      <w:numFmt w:val="bullet"/>
      <w:lvlText w:val="•"/>
      <w:lvlJc w:val="left"/>
      <w:pPr>
        <w:ind w:left="1788" w:hanging="224"/>
      </w:pPr>
      <w:rPr>
        <w:rFonts w:hint="default"/>
      </w:rPr>
    </w:lvl>
    <w:lvl w:ilvl="5">
      <w:start w:val="0"/>
      <w:numFmt w:val="bullet"/>
      <w:lvlText w:val="•"/>
      <w:lvlJc w:val="left"/>
      <w:pPr>
        <w:ind w:left="2150" w:hanging="224"/>
      </w:pPr>
      <w:rPr>
        <w:rFonts w:hint="default"/>
      </w:rPr>
    </w:lvl>
    <w:lvl w:ilvl="6">
      <w:start w:val="0"/>
      <w:numFmt w:val="bullet"/>
      <w:lvlText w:val="•"/>
      <w:lvlJc w:val="left"/>
      <w:pPr>
        <w:ind w:left="2512" w:hanging="224"/>
      </w:pPr>
      <w:rPr>
        <w:rFonts w:hint="default"/>
      </w:rPr>
    </w:lvl>
    <w:lvl w:ilvl="7">
      <w:start w:val="0"/>
      <w:numFmt w:val="bullet"/>
      <w:lvlText w:val="•"/>
      <w:lvlJc w:val="left"/>
      <w:pPr>
        <w:ind w:left="2874" w:hanging="224"/>
      </w:pPr>
      <w:rPr>
        <w:rFonts w:hint="default"/>
      </w:rPr>
    </w:lvl>
    <w:lvl w:ilvl="8">
      <w:start w:val="0"/>
      <w:numFmt w:val="bullet"/>
      <w:lvlText w:val="•"/>
      <w:lvlJc w:val="left"/>
      <w:pPr>
        <w:ind w:left="3236" w:hanging="224"/>
      </w:pPr>
      <w:rPr>
        <w:rFonts w:hint="default"/>
      </w:rPr>
    </w:lvl>
  </w:abstractNum>
  <w:abstractNum w:abstractNumId="117">
    <w:multiLevelType w:val="hybridMultilevel"/>
    <w:lvl w:ilvl="0">
      <w:start w:val="1"/>
      <w:numFmt w:val="decimal"/>
      <w:lvlText w:val="%1."/>
      <w:lvlJc w:val="left"/>
      <w:pPr>
        <w:ind w:left="378" w:hanging="272"/>
        <w:jc w:val="left"/>
      </w:pPr>
      <w:rPr>
        <w:rFonts w:hint="default"/>
        <w:spacing w:val="-1"/>
        <w:w w:val="100"/>
      </w:rPr>
    </w:lvl>
    <w:lvl w:ilvl="1">
      <w:start w:val="0"/>
      <w:numFmt w:val="bullet"/>
      <w:lvlText w:val="•"/>
      <w:lvlJc w:val="left"/>
      <w:pPr>
        <w:ind w:left="708" w:hanging="272"/>
      </w:pPr>
      <w:rPr>
        <w:rFonts w:hint="default"/>
      </w:rPr>
    </w:lvl>
    <w:lvl w:ilvl="2">
      <w:start w:val="0"/>
      <w:numFmt w:val="bullet"/>
      <w:lvlText w:val="•"/>
      <w:lvlJc w:val="left"/>
      <w:pPr>
        <w:ind w:left="1037" w:hanging="272"/>
      </w:pPr>
      <w:rPr>
        <w:rFonts w:hint="default"/>
      </w:rPr>
    </w:lvl>
    <w:lvl w:ilvl="3">
      <w:start w:val="0"/>
      <w:numFmt w:val="bullet"/>
      <w:lvlText w:val="•"/>
      <w:lvlJc w:val="left"/>
      <w:pPr>
        <w:ind w:left="1366" w:hanging="272"/>
      </w:pPr>
      <w:rPr>
        <w:rFonts w:hint="default"/>
      </w:rPr>
    </w:lvl>
    <w:lvl w:ilvl="4">
      <w:start w:val="0"/>
      <w:numFmt w:val="bullet"/>
      <w:lvlText w:val="•"/>
      <w:lvlJc w:val="left"/>
      <w:pPr>
        <w:ind w:left="1695" w:hanging="272"/>
      </w:pPr>
      <w:rPr>
        <w:rFonts w:hint="default"/>
      </w:rPr>
    </w:lvl>
    <w:lvl w:ilvl="5">
      <w:start w:val="0"/>
      <w:numFmt w:val="bullet"/>
      <w:lvlText w:val="•"/>
      <w:lvlJc w:val="left"/>
      <w:pPr>
        <w:ind w:left="2023" w:hanging="272"/>
      </w:pPr>
      <w:rPr>
        <w:rFonts w:hint="default"/>
      </w:rPr>
    </w:lvl>
    <w:lvl w:ilvl="6">
      <w:start w:val="0"/>
      <w:numFmt w:val="bullet"/>
      <w:lvlText w:val="•"/>
      <w:lvlJc w:val="left"/>
      <w:pPr>
        <w:ind w:left="2352" w:hanging="272"/>
      </w:pPr>
      <w:rPr>
        <w:rFonts w:hint="default"/>
      </w:rPr>
    </w:lvl>
    <w:lvl w:ilvl="7">
      <w:start w:val="0"/>
      <w:numFmt w:val="bullet"/>
      <w:lvlText w:val="•"/>
      <w:lvlJc w:val="left"/>
      <w:pPr>
        <w:ind w:left="2681" w:hanging="272"/>
      </w:pPr>
      <w:rPr>
        <w:rFonts w:hint="default"/>
      </w:rPr>
    </w:lvl>
    <w:lvl w:ilvl="8">
      <w:start w:val="0"/>
      <w:numFmt w:val="bullet"/>
      <w:lvlText w:val="•"/>
      <w:lvlJc w:val="left"/>
      <w:pPr>
        <w:ind w:left="3010" w:hanging="272"/>
      </w:pPr>
      <w:rPr>
        <w:rFonts w:hint="default"/>
      </w:rPr>
    </w:lvl>
  </w:abstractNum>
  <w:abstractNum w:abstractNumId="116">
    <w:multiLevelType w:val="hybridMultilevel"/>
    <w:lvl w:ilvl="0">
      <w:start w:val="2"/>
      <w:numFmt w:val="decimal"/>
      <w:lvlText w:val="%1."/>
      <w:lvlJc w:val="left"/>
      <w:pPr>
        <w:ind w:left="333" w:hanging="224"/>
        <w:jc w:val="left"/>
      </w:pPr>
      <w:rPr>
        <w:rFonts w:hint="default" w:ascii="微軟正黑體" w:hAnsi="微軟正黑體" w:eastAsia="微軟正黑體" w:cs="微軟正黑體"/>
        <w:color w:val="221F1F"/>
        <w:spacing w:val="-1"/>
        <w:w w:val="100"/>
        <w:sz w:val="22"/>
        <w:szCs w:val="22"/>
      </w:rPr>
    </w:lvl>
    <w:lvl w:ilvl="1">
      <w:start w:val="0"/>
      <w:numFmt w:val="bullet"/>
      <w:lvlText w:val="•"/>
      <w:lvlJc w:val="left"/>
      <w:pPr>
        <w:ind w:left="702" w:hanging="224"/>
      </w:pPr>
      <w:rPr>
        <w:rFonts w:hint="default"/>
      </w:rPr>
    </w:lvl>
    <w:lvl w:ilvl="2">
      <w:start w:val="0"/>
      <w:numFmt w:val="bullet"/>
      <w:lvlText w:val="•"/>
      <w:lvlJc w:val="left"/>
      <w:pPr>
        <w:ind w:left="1064" w:hanging="224"/>
      </w:pPr>
      <w:rPr>
        <w:rFonts w:hint="default"/>
      </w:rPr>
    </w:lvl>
    <w:lvl w:ilvl="3">
      <w:start w:val="0"/>
      <w:numFmt w:val="bullet"/>
      <w:lvlText w:val="•"/>
      <w:lvlJc w:val="left"/>
      <w:pPr>
        <w:ind w:left="1426" w:hanging="224"/>
      </w:pPr>
      <w:rPr>
        <w:rFonts w:hint="default"/>
      </w:rPr>
    </w:lvl>
    <w:lvl w:ilvl="4">
      <w:start w:val="0"/>
      <w:numFmt w:val="bullet"/>
      <w:lvlText w:val="•"/>
      <w:lvlJc w:val="left"/>
      <w:pPr>
        <w:ind w:left="1788" w:hanging="224"/>
      </w:pPr>
      <w:rPr>
        <w:rFonts w:hint="default"/>
      </w:rPr>
    </w:lvl>
    <w:lvl w:ilvl="5">
      <w:start w:val="0"/>
      <w:numFmt w:val="bullet"/>
      <w:lvlText w:val="•"/>
      <w:lvlJc w:val="left"/>
      <w:pPr>
        <w:ind w:left="2150" w:hanging="224"/>
      </w:pPr>
      <w:rPr>
        <w:rFonts w:hint="default"/>
      </w:rPr>
    </w:lvl>
    <w:lvl w:ilvl="6">
      <w:start w:val="0"/>
      <w:numFmt w:val="bullet"/>
      <w:lvlText w:val="•"/>
      <w:lvlJc w:val="left"/>
      <w:pPr>
        <w:ind w:left="2512" w:hanging="224"/>
      </w:pPr>
      <w:rPr>
        <w:rFonts w:hint="default"/>
      </w:rPr>
    </w:lvl>
    <w:lvl w:ilvl="7">
      <w:start w:val="0"/>
      <w:numFmt w:val="bullet"/>
      <w:lvlText w:val="•"/>
      <w:lvlJc w:val="left"/>
      <w:pPr>
        <w:ind w:left="2874" w:hanging="224"/>
      </w:pPr>
      <w:rPr>
        <w:rFonts w:hint="default"/>
      </w:rPr>
    </w:lvl>
    <w:lvl w:ilvl="8">
      <w:start w:val="0"/>
      <w:numFmt w:val="bullet"/>
      <w:lvlText w:val="•"/>
      <w:lvlJc w:val="left"/>
      <w:pPr>
        <w:ind w:left="3236" w:hanging="224"/>
      </w:pPr>
      <w:rPr>
        <w:rFonts w:hint="default"/>
      </w:rPr>
    </w:lvl>
  </w:abstractNum>
  <w:abstractNum w:abstractNumId="115">
    <w:multiLevelType w:val="hybridMultilevel"/>
    <w:lvl w:ilvl="0">
      <w:start w:val="1"/>
      <w:numFmt w:val="decimal"/>
      <w:lvlText w:val="(%1)"/>
      <w:lvlJc w:val="left"/>
      <w:pPr>
        <w:ind w:left="427" w:hanging="284"/>
        <w:jc w:val="left"/>
      </w:pPr>
      <w:rPr>
        <w:rFonts w:hint="default" w:ascii="微軟正黑體" w:hAnsi="微軟正黑體" w:eastAsia="微軟正黑體" w:cs="微軟正黑體"/>
        <w:color w:val="221F1F"/>
        <w:spacing w:val="-1"/>
        <w:w w:val="100"/>
        <w:sz w:val="20"/>
        <w:szCs w:val="20"/>
      </w:rPr>
    </w:lvl>
    <w:lvl w:ilvl="1">
      <w:start w:val="0"/>
      <w:numFmt w:val="bullet"/>
      <w:lvlText w:val="•"/>
      <w:lvlJc w:val="left"/>
      <w:pPr>
        <w:ind w:left="774" w:hanging="284"/>
      </w:pPr>
      <w:rPr>
        <w:rFonts w:hint="default"/>
      </w:rPr>
    </w:lvl>
    <w:lvl w:ilvl="2">
      <w:start w:val="0"/>
      <w:numFmt w:val="bullet"/>
      <w:lvlText w:val="•"/>
      <w:lvlJc w:val="left"/>
      <w:pPr>
        <w:ind w:left="1128" w:hanging="284"/>
      </w:pPr>
      <w:rPr>
        <w:rFonts w:hint="default"/>
      </w:rPr>
    </w:lvl>
    <w:lvl w:ilvl="3">
      <w:start w:val="0"/>
      <w:numFmt w:val="bullet"/>
      <w:lvlText w:val="•"/>
      <w:lvlJc w:val="left"/>
      <w:pPr>
        <w:ind w:left="1482" w:hanging="284"/>
      </w:pPr>
      <w:rPr>
        <w:rFonts w:hint="default"/>
      </w:rPr>
    </w:lvl>
    <w:lvl w:ilvl="4">
      <w:start w:val="0"/>
      <w:numFmt w:val="bullet"/>
      <w:lvlText w:val="•"/>
      <w:lvlJc w:val="left"/>
      <w:pPr>
        <w:ind w:left="1836" w:hanging="284"/>
      </w:pPr>
      <w:rPr>
        <w:rFonts w:hint="default"/>
      </w:rPr>
    </w:lvl>
    <w:lvl w:ilvl="5">
      <w:start w:val="0"/>
      <w:numFmt w:val="bullet"/>
      <w:lvlText w:val="•"/>
      <w:lvlJc w:val="left"/>
      <w:pPr>
        <w:ind w:left="2190" w:hanging="284"/>
      </w:pPr>
      <w:rPr>
        <w:rFonts w:hint="default"/>
      </w:rPr>
    </w:lvl>
    <w:lvl w:ilvl="6">
      <w:start w:val="0"/>
      <w:numFmt w:val="bullet"/>
      <w:lvlText w:val="•"/>
      <w:lvlJc w:val="left"/>
      <w:pPr>
        <w:ind w:left="2544" w:hanging="284"/>
      </w:pPr>
      <w:rPr>
        <w:rFonts w:hint="default"/>
      </w:rPr>
    </w:lvl>
    <w:lvl w:ilvl="7">
      <w:start w:val="0"/>
      <w:numFmt w:val="bullet"/>
      <w:lvlText w:val="•"/>
      <w:lvlJc w:val="left"/>
      <w:pPr>
        <w:ind w:left="2898" w:hanging="284"/>
      </w:pPr>
      <w:rPr>
        <w:rFonts w:hint="default"/>
      </w:rPr>
    </w:lvl>
    <w:lvl w:ilvl="8">
      <w:start w:val="0"/>
      <w:numFmt w:val="bullet"/>
      <w:lvlText w:val="•"/>
      <w:lvlJc w:val="left"/>
      <w:pPr>
        <w:ind w:left="3252" w:hanging="284"/>
      </w:pPr>
      <w:rPr>
        <w:rFonts w:hint="default"/>
      </w:rPr>
    </w:lvl>
  </w:abstractNum>
  <w:abstractNum w:abstractNumId="114">
    <w:multiLevelType w:val="hybridMultilevel"/>
    <w:lvl w:ilvl="0">
      <w:start w:val="1"/>
      <w:numFmt w:val="decimal"/>
      <w:lvlText w:val="%1."/>
      <w:lvlJc w:val="left"/>
      <w:pPr>
        <w:ind w:left="1286" w:hanging="281"/>
        <w:jc w:val="left"/>
      </w:pPr>
      <w:rPr>
        <w:rFonts w:hint="default" w:ascii="微軟正黑體" w:hAnsi="微軟正黑體" w:eastAsia="微軟正黑體" w:cs="微軟正黑體"/>
        <w:color w:val="221F1F"/>
        <w:spacing w:val="-1"/>
        <w:w w:val="100"/>
        <w:sz w:val="22"/>
        <w:szCs w:val="22"/>
      </w:rPr>
    </w:lvl>
    <w:lvl w:ilvl="1">
      <w:start w:val="1"/>
      <w:numFmt w:val="decimal"/>
      <w:lvlText w:val="(%2)"/>
      <w:lvlJc w:val="left"/>
      <w:pPr>
        <w:ind w:left="1571" w:hanging="425"/>
        <w:jc w:val="left"/>
      </w:pPr>
      <w:rPr>
        <w:rFonts w:hint="default" w:ascii="微軟正黑體" w:hAnsi="微軟正黑體" w:eastAsia="微軟正黑體" w:cs="微軟正黑體"/>
        <w:color w:val="221F1F"/>
        <w:spacing w:val="-1"/>
        <w:w w:val="100"/>
        <w:sz w:val="22"/>
        <w:szCs w:val="22"/>
      </w:rPr>
    </w:lvl>
    <w:lvl w:ilvl="2">
      <w:start w:val="0"/>
      <w:numFmt w:val="bullet"/>
      <w:lvlText w:val="•"/>
      <w:lvlJc w:val="left"/>
      <w:pPr>
        <w:ind w:left="1620" w:hanging="425"/>
      </w:pPr>
      <w:rPr>
        <w:rFonts w:hint="default"/>
      </w:rPr>
    </w:lvl>
    <w:lvl w:ilvl="3">
      <w:start w:val="0"/>
      <w:numFmt w:val="bullet"/>
      <w:lvlText w:val="•"/>
      <w:lvlJc w:val="left"/>
      <w:pPr>
        <w:ind w:left="2783" w:hanging="425"/>
      </w:pPr>
      <w:rPr>
        <w:rFonts w:hint="default"/>
      </w:rPr>
    </w:lvl>
    <w:lvl w:ilvl="4">
      <w:start w:val="0"/>
      <w:numFmt w:val="bullet"/>
      <w:lvlText w:val="•"/>
      <w:lvlJc w:val="left"/>
      <w:pPr>
        <w:ind w:left="3946" w:hanging="425"/>
      </w:pPr>
      <w:rPr>
        <w:rFonts w:hint="default"/>
      </w:rPr>
    </w:lvl>
    <w:lvl w:ilvl="5">
      <w:start w:val="0"/>
      <w:numFmt w:val="bullet"/>
      <w:lvlText w:val="•"/>
      <w:lvlJc w:val="left"/>
      <w:pPr>
        <w:ind w:left="5109" w:hanging="425"/>
      </w:pPr>
      <w:rPr>
        <w:rFonts w:hint="default"/>
      </w:rPr>
    </w:lvl>
    <w:lvl w:ilvl="6">
      <w:start w:val="0"/>
      <w:numFmt w:val="bullet"/>
      <w:lvlText w:val="•"/>
      <w:lvlJc w:val="left"/>
      <w:pPr>
        <w:ind w:left="6272" w:hanging="425"/>
      </w:pPr>
      <w:rPr>
        <w:rFonts w:hint="default"/>
      </w:rPr>
    </w:lvl>
    <w:lvl w:ilvl="7">
      <w:start w:val="0"/>
      <w:numFmt w:val="bullet"/>
      <w:lvlText w:val="•"/>
      <w:lvlJc w:val="left"/>
      <w:pPr>
        <w:ind w:left="7435" w:hanging="425"/>
      </w:pPr>
      <w:rPr>
        <w:rFonts w:hint="default"/>
      </w:rPr>
    </w:lvl>
    <w:lvl w:ilvl="8">
      <w:start w:val="0"/>
      <w:numFmt w:val="bullet"/>
      <w:lvlText w:val="•"/>
      <w:lvlJc w:val="left"/>
      <w:pPr>
        <w:ind w:left="8598" w:hanging="425"/>
      </w:pPr>
      <w:rPr>
        <w:rFonts w:hint="default"/>
      </w:rPr>
    </w:lvl>
  </w:abstractNum>
  <w:abstractNum w:abstractNumId="113">
    <w:multiLevelType w:val="hybridMultilevel"/>
    <w:lvl w:ilvl="0">
      <w:start w:val="114"/>
      <w:numFmt w:val="decimal"/>
      <w:lvlText w:val="%1"/>
      <w:lvlJc w:val="left"/>
      <w:pPr>
        <w:ind w:left="827" w:hanging="675"/>
        <w:jc w:val="left"/>
      </w:pPr>
      <w:rPr>
        <w:rFonts w:hint="default"/>
      </w:rPr>
    </w:lvl>
    <w:lvl w:ilvl="1">
      <w:start w:val="6"/>
      <w:numFmt w:val="decimalZero"/>
      <w:lvlText w:val="%1.%2"/>
      <w:lvlJc w:val="left"/>
      <w:pPr>
        <w:ind w:left="827" w:hanging="675"/>
        <w:jc w:val="left"/>
      </w:pPr>
      <w:rPr>
        <w:rFonts w:hint="default" w:ascii="微軟正黑體" w:hAnsi="微軟正黑體" w:eastAsia="微軟正黑體" w:cs="微軟正黑體"/>
        <w:spacing w:val="-1"/>
        <w:w w:val="99"/>
        <w:sz w:val="20"/>
        <w:szCs w:val="20"/>
      </w:rPr>
    </w:lvl>
    <w:lvl w:ilvl="2">
      <w:start w:val="1"/>
      <w:numFmt w:val="decimal"/>
      <w:lvlText w:val="%3."/>
      <w:lvlJc w:val="left"/>
      <w:pPr>
        <w:ind w:left="1286" w:hanging="281"/>
        <w:jc w:val="left"/>
      </w:pPr>
      <w:rPr>
        <w:rFonts w:hint="default" w:ascii="微軟正黑體" w:hAnsi="微軟正黑體" w:eastAsia="微軟正黑體" w:cs="微軟正黑體"/>
        <w:color w:val="221F1F"/>
        <w:spacing w:val="-1"/>
        <w:w w:val="100"/>
        <w:sz w:val="22"/>
        <w:szCs w:val="22"/>
      </w:rPr>
    </w:lvl>
    <w:lvl w:ilvl="3">
      <w:start w:val="1"/>
      <w:numFmt w:val="decimal"/>
      <w:lvlText w:val="(%4)"/>
      <w:lvlJc w:val="left"/>
      <w:pPr>
        <w:ind w:left="1146" w:hanging="284"/>
        <w:jc w:val="left"/>
      </w:pPr>
      <w:rPr>
        <w:rFonts w:hint="default" w:ascii="微軟正黑體" w:hAnsi="微軟正黑體" w:eastAsia="微軟正黑體" w:cs="微軟正黑體"/>
        <w:color w:val="221F1F"/>
        <w:spacing w:val="-1"/>
        <w:w w:val="100"/>
        <w:sz w:val="20"/>
        <w:szCs w:val="20"/>
      </w:rPr>
    </w:lvl>
    <w:lvl w:ilvl="4">
      <w:start w:val="0"/>
      <w:numFmt w:val="bullet"/>
      <w:lvlText w:val="•"/>
      <w:lvlJc w:val="left"/>
      <w:pPr>
        <w:ind w:left="1549" w:hanging="284"/>
      </w:pPr>
      <w:rPr>
        <w:rFonts w:hint="default"/>
      </w:rPr>
    </w:lvl>
    <w:lvl w:ilvl="5">
      <w:start w:val="0"/>
      <w:numFmt w:val="bullet"/>
      <w:lvlText w:val="•"/>
      <w:lvlJc w:val="left"/>
      <w:pPr>
        <w:ind w:left="1684" w:hanging="284"/>
      </w:pPr>
      <w:rPr>
        <w:rFonts w:hint="default"/>
      </w:rPr>
    </w:lvl>
    <w:lvl w:ilvl="6">
      <w:start w:val="0"/>
      <w:numFmt w:val="bullet"/>
      <w:lvlText w:val="•"/>
      <w:lvlJc w:val="left"/>
      <w:pPr>
        <w:ind w:left="1819" w:hanging="284"/>
      </w:pPr>
      <w:rPr>
        <w:rFonts w:hint="default"/>
      </w:rPr>
    </w:lvl>
    <w:lvl w:ilvl="7">
      <w:start w:val="0"/>
      <w:numFmt w:val="bullet"/>
      <w:lvlText w:val="•"/>
      <w:lvlJc w:val="left"/>
      <w:pPr>
        <w:ind w:left="1954" w:hanging="284"/>
      </w:pPr>
      <w:rPr>
        <w:rFonts w:hint="default"/>
      </w:rPr>
    </w:lvl>
    <w:lvl w:ilvl="8">
      <w:start w:val="0"/>
      <w:numFmt w:val="bullet"/>
      <w:lvlText w:val="•"/>
      <w:lvlJc w:val="left"/>
      <w:pPr>
        <w:ind w:left="2089" w:hanging="284"/>
      </w:pPr>
      <w:rPr>
        <w:rFonts w:hint="default"/>
      </w:rPr>
    </w:lvl>
  </w:abstractNum>
  <w:abstractNum w:abstractNumId="112">
    <w:multiLevelType w:val="hybridMultilevel"/>
    <w:lvl w:ilvl="0">
      <w:start w:val="1"/>
      <w:numFmt w:val="decimal"/>
      <w:lvlText w:val="%1."/>
      <w:lvlJc w:val="left"/>
      <w:pPr>
        <w:ind w:left="367"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590" w:hanging="255"/>
      </w:pPr>
      <w:rPr>
        <w:rFonts w:hint="default"/>
      </w:rPr>
    </w:lvl>
    <w:lvl w:ilvl="2">
      <w:start w:val="0"/>
      <w:numFmt w:val="bullet"/>
      <w:lvlText w:val="•"/>
      <w:lvlJc w:val="left"/>
      <w:pPr>
        <w:ind w:left="821" w:hanging="255"/>
      </w:pPr>
      <w:rPr>
        <w:rFonts w:hint="default"/>
      </w:rPr>
    </w:lvl>
    <w:lvl w:ilvl="3">
      <w:start w:val="0"/>
      <w:numFmt w:val="bullet"/>
      <w:lvlText w:val="•"/>
      <w:lvlJc w:val="left"/>
      <w:pPr>
        <w:ind w:left="1052" w:hanging="255"/>
      </w:pPr>
      <w:rPr>
        <w:rFonts w:hint="default"/>
      </w:rPr>
    </w:lvl>
    <w:lvl w:ilvl="4">
      <w:start w:val="0"/>
      <w:numFmt w:val="bullet"/>
      <w:lvlText w:val="•"/>
      <w:lvlJc w:val="left"/>
      <w:pPr>
        <w:ind w:left="1283" w:hanging="255"/>
      </w:pPr>
      <w:rPr>
        <w:rFonts w:hint="default"/>
      </w:rPr>
    </w:lvl>
    <w:lvl w:ilvl="5">
      <w:start w:val="0"/>
      <w:numFmt w:val="bullet"/>
      <w:lvlText w:val="•"/>
      <w:lvlJc w:val="left"/>
      <w:pPr>
        <w:ind w:left="1514" w:hanging="255"/>
      </w:pPr>
      <w:rPr>
        <w:rFonts w:hint="default"/>
      </w:rPr>
    </w:lvl>
    <w:lvl w:ilvl="6">
      <w:start w:val="0"/>
      <w:numFmt w:val="bullet"/>
      <w:lvlText w:val="•"/>
      <w:lvlJc w:val="left"/>
      <w:pPr>
        <w:ind w:left="1745" w:hanging="255"/>
      </w:pPr>
      <w:rPr>
        <w:rFonts w:hint="default"/>
      </w:rPr>
    </w:lvl>
    <w:lvl w:ilvl="7">
      <w:start w:val="0"/>
      <w:numFmt w:val="bullet"/>
      <w:lvlText w:val="•"/>
      <w:lvlJc w:val="left"/>
      <w:pPr>
        <w:ind w:left="1976" w:hanging="255"/>
      </w:pPr>
      <w:rPr>
        <w:rFonts w:hint="default"/>
      </w:rPr>
    </w:lvl>
    <w:lvl w:ilvl="8">
      <w:start w:val="0"/>
      <w:numFmt w:val="bullet"/>
      <w:lvlText w:val="•"/>
      <w:lvlJc w:val="left"/>
      <w:pPr>
        <w:ind w:left="2207" w:hanging="255"/>
      </w:pPr>
      <w:rPr>
        <w:rFonts w:hint="default"/>
      </w:rPr>
    </w:lvl>
  </w:abstractNum>
  <w:abstractNum w:abstractNumId="111">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684" w:hanging="244"/>
      </w:pPr>
      <w:rPr>
        <w:rFonts w:hint="default"/>
      </w:rPr>
    </w:lvl>
    <w:lvl w:ilvl="2">
      <w:start w:val="0"/>
      <w:numFmt w:val="bullet"/>
      <w:lvlText w:val="•"/>
      <w:lvlJc w:val="left"/>
      <w:pPr>
        <w:ind w:left="1008" w:hanging="244"/>
      </w:pPr>
      <w:rPr>
        <w:rFonts w:hint="default"/>
      </w:rPr>
    </w:lvl>
    <w:lvl w:ilvl="3">
      <w:start w:val="0"/>
      <w:numFmt w:val="bullet"/>
      <w:lvlText w:val="•"/>
      <w:lvlJc w:val="left"/>
      <w:pPr>
        <w:ind w:left="1332" w:hanging="244"/>
      </w:pPr>
      <w:rPr>
        <w:rFonts w:hint="default"/>
      </w:rPr>
    </w:lvl>
    <w:lvl w:ilvl="4">
      <w:start w:val="0"/>
      <w:numFmt w:val="bullet"/>
      <w:lvlText w:val="•"/>
      <w:lvlJc w:val="left"/>
      <w:pPr>
        <w:ind w:left="1656" w:hanging="244"/>
      </w:pPr>
      <w:rPr>
        <w:rFonts w:hint="default"/>
      </w:rPr>
    </w:lvl>
    <w:lvl w:ilvl="5">
      <w:start w:val="0"/>
      <w:numFmt w:val="bullet"/>
      <w:lvlText w:val="•"/>
      <w:lvlJc w:val="left"/>
      <w:pPr>
        <w:ind w:left="1981" w:hanging="244"/>
      </w:pPr>
      <w:rPr>
        <w:rFonts w:hint="default"/>
      </w:rPr>
    </w:lvl>
    <w:lvl w:ilvl="6">
      <w:start w:val="0"/>
      <w:numFmt w:val="bullet"/>
      <w:lvlText w:val="•"/>
      <w:lvlJc w:val="left"/>
      <w:pPr>
        <w:ind w:left="2305" w:hanging="244"/>
      </w:pPr>
      <w:rPr>
        <w:rFonts w:hint="default"/>
      </w:rPr>
    </w:lvl>
    <w:lvl w:ilvl="7">
      <w:start w:val="0"/>
      <w:numFmt w:val="bullet"/>
      <w:lvlText w:val="•"/>
      <w:lvlJc w:val="left"/>
      <w:pPr>
        <w:ind w:left="2629" w:hanging="244"/>
      </w:pPr>
      <w:rPr>
        <w:rFonts w:hint="default"/>
      </w:rPr>
    </w:lvl>
    <w:lvl w:ilvl="8">
      <w:start w:val="0"/>
      <w:numFmt w:val="bullet"/>
      <w:lvlText w:val="•"/>
      <w:lvlJc w:val="left"/>
      <w:pPr>
        <w:ind w:left="2953" w:hanging="244"/>
      </w:pPr>
      <w:rPr>
        <w:rFonts w:hint="default"/>
      </w:rPr>
    </w:lvl>
  </w:abstractNum>
  <w:abstractNum w:abstractNumId="110">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684" w:hanging="244"/>
      </w:pPr>
      <w:rPr>
        <w:rFonts w:hint="default"/>
      </w:rPr>
    </w:lvl>
    <w:lvl w:ilvl="2">
      <w:start w:val="0"/>
      <w:numFmt w:val="bullet"/>
      <w:lvlText w:val="•"/>
      <w:lvlJc w:val="left"/>
      <w:pPr>
        <w:ind w:left="1008" w:hanging="244"/>
      </w:pPr>
      <w:rPr>
        <w:rFonts w:hint="default"/>
      </w:rPr>
    </w:lvl>
    <w:lvl w:ilvl="3">
      <w:start w:val="0"/>
      <w:numFmt w:val="bullet"/>
      <w:lvlText w:val="•"/>
      <w:lvlJc w:val="left"/>
      <w:pPr>
        <w:ind w:left="1332" w:hanging="244"/>
      </w:pPr>
      <w:rPr>
        <w:rFonts w:hint="default"/>
      </w:rPr>
    </w:lvl>
    <w:lvl w:ilvl="4">
      <w:start w:val="0"/>
      <w:numFmt w:val="bullet"/>
      <w:lvlText w:val="•"/>
      <w:lvlJc w:val="left"/>
      <w:pPr>
        <w:ind w:left="1656" w:hanging="244"/>
      </w:pPr>
      <w:rPr>
        <w:rFonts w:hint="default"/>
      </w:rPr>
    </w:lvl>
    <w:lvl w:ilvl="5">
      <w:start w:val="0"/>
      <w:numFmt w:val="bullet"/>
      <w:lvlText w:val="•"/>
      <w:lvlJc w:val="left"/>
      <w:pPr>
        <w:ind w:left="1981" w:hanging="244"/>
      </w:pPr>
      <w:rPr>
        <w:rFonts w:hint="default"/>
      </w:rPr>
    </w:lvl>
    <w:lvl w:ilvl="6">
      <w:start w:val="0"/>
      <w:numFmt w:val="bullet"/>
      <w:lvlText w:val="•"/>
      <w:lvlJc w:val="left"/>
      <w:pPr>
        <w:ind w:left="2305" w:hanging="244"/>
      </w:pPr>
      <w:rPr>
        <w:rFonts w:hint="default"/>
      </w:rPr>
    </w:lvl>
    <w:lvl w:ilvl="7">
      <w:start w:val="0"/>
      <w:numFmt w:val="bullet"/>
      <w:lvlText w:val="•"/>
      <w:lvlJc w:val="left"/>
      <w:pPr>
        <w:ind w:left="2629" w:hanging="244"/>
      </w:pPr>
      <w:rPr>
        <w:rFonts w:hint="default"/>
      </w:rPr>
    </w:lvl>
    <w:lvl w:ilvl="8">
      <w:start w:val="0"/>
      <w:numFmt w:val="bullet"/>
      <w:lvlText w:val="•"/>
      <w:lvlJc w:val="left"/>
      <w:pPr>
        <w:ind w:left="2953" w:hanging="244"/>
      </w:pPr>
      <w:rPr>
        <w:rFonts w:hint="default"/>
      </w:rPr>
    </w:lvl>
  </w:abstractNum>
  <w:abstractNum w:abstractNumId="109">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08">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82"/>
        <w:sz w:val="24"/>
        <w:szCs w:val="24"/>
      </w:rPr>
    </w:lvl>
    <w:lvl w:ilvl="1">
      <w:start w:val="1"/>
      <w:numFmt w:val="decimal"/>
      <w:lvlText w:val="(%2)"/>
      <w:lvlJc w:val="left"/>
      <w:pPr>
        <w:ind w:left="1591" w:hanging="358"/>
        <w:jc w:val="left"/>
      </w:pPr>
      <w:rPr>
        <w:rFonts w:hint="default" w:ascii="Arial Unicode MS" w:hAnsi="Arial Unicode MS" w:eastAsia="Arial Unicode MS" w:cs="Arial Unicode MS"/>
        <w:color w:val="231F20"/>
        <w:spacing w:val="0"/>
        <w:w w:val="99"/>
        <w:sz w:val="24"/>
        <w:szCs w:val="24"/>
      </w:rPr>
    </w:lvl>
    <w:lvl w:ilvl="2">
      <w:start w:val="0"/>
      <w:numFmt w:val="bullet"/>
      <w:lvlText w:val="•"/>
      <w:lvlJc w:val="left"/>
      <w:pPr>
        <w:ind w:left="1600" w:hanging="358"/>
      </w:pPr>
      <w:rPr>
        <w:rFonts w:hint="default"/>
      </w:rPr>
    </w:lvl>
    <w:lvl w:ilvl="3">
      <w:start w:val="0"/>
      <w:numFmt w:val="bullet"/>
      <w:lvlText w:val="•"/>
      <w:lvlJc w:val="left"/>
      <w:pPr>
        <w:ind w:left="2765" w:hanging="358"/>
      </w:pPr>
      <w:rPr>
        <w:rFonts w:hint="default"/>
      </w:rPr>
    </w:lvl>
    <w:lvl w:ilvl="4">
      <w:start w:val="0"/>
      <w:numFmt w:val="bullet"/>
      <w:lvlText w:val="•"/>
      <w:lvlJc w:val="left"/>
      <w:pPr>
        <w:ind w:left="3931" w:hanging="358"/>
      </w:pPr>
      <w:rPr>
        <w:rFonts w:hint="default"/>
      </w:rPr>
    </w:lvl>
    <w:lvl w:ilvl="5">
      <w:start w:val="0"/>
      <w:numFmt w:val="bullet"/>
      <w:lvlText w:val="•"/>
      <w:lvlJc w:val="left"/>
      <w:pPr>
        <w:ind w:left="5096" w:hanging="358"/>
      </w:pPr>
      <w:rPr>
        <w:rFonts w:hint="default"/>
      </w:rPr>
    </w:lvl>
    <w:lvl w:ilvl="6">
      <w:start w:val="0"/>
      <w:numFmt w:val="bullet"/>
      <w:lvlText w:val="•"/>
      <w:lvlJc w:val="left"/>
      <w:pPr>
        <w:ind w:left="6262" w:hanging="358"/>
      </w:pPr>
      <w:rPr>
        <w:rFonts w:hint="default"/>
      </w:rPr>
    </w:lvl>
    <w:lvl w:ilvl="7">
      <w:start w:val="0"/>
      <w:numFmt w:val="bullet"/>
      <w:lvlText w:val="•"/>
      <w:lvlJc w:val="left"/>
      <w:pPr>
        <w:ind w:left="7427" w:hanging="358"/>
      </w:pPr>
      <w:rPr>
        <w:rFonts w:hint="default"/>
      </w:rPr>
    </w:lvl>
    <w:lvl w:ilvl="8">
      <w:start w:val="0"/>
      <w:numFmt w:val="bullet"/>
      <w:lvlText w:val="•"/>
      <w:lvlJc w:val="left"/>
      <w:pPr>
        <w:ind w:left="8593" w:hanging="358"/>
      </w:pPr>
      <w:rPr>
        <w:rFonts w:hint="default"/>
      </w:rPr>
    </w:lvl>
  </w:abstractNum>
  <w:abstractNum w:abstractNumId="107">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06">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1591" w:hanging="355"/>
        <w:jc w:val="left"/>
      </w:pPr>
      <w:rPr>
        <w:rFonts w:hint="default" w:ascii="Arial Unicode MS" w:hAnsi="Arial Unicode MS" w:eastAsia="Arial Unicode MS" w:cs="Arial Unicode MS"/>
        <w:color w:val="231F20"/>
        <w:w w:val="96"/>
        <w:sz w:val="24"/>
        <w:szCs w:val="24"/>
      </w:rPr>
    </w:lvl>
    <w:lvl w:ilvl="2">
      <w:start w:val="0"/>
      <w:numFmt w:val="bullet"/>
      <w:lvlText w:val="•"/>
      <w:lvlJc w:val="left"/>
      <w:pPr>
        <w:ind w:left="2636" w:hanging="355"/>
      </w:pPr>
      <w:rPr>
        <w:rFonts w:hint="default"/>
      </w:rPr>
    </w:lvl>
    <w:lvl w:ilvl="3">
      <w:start w:val="0"/>
      <w:numFmt w:val="bullet"/>
      <w:lvlText w:val="•"/>
      <w:lvlJc w:val="left"/>
      <w:pPr>
        <w:ind w:left="3672" w:hanging="355"/>
      </w:pPr>
      <w:rPr>
        <w:rFonts w:hint="default"/>
      </w:rPr>
    </w:lvl>
    <w:lvl w:ilvl="4">
      <w:start w:val="0"/>
      <w:numFmt w:val="bullet"/>
      <w:lvlText w:val="•"/>
      <w:lvlJc w:val="left"/>
      <w:pPr>
        <w:ind w:left="4708" w:hanging="355"/>
      </w:pPr>
      <w:rPr>
        <w:rFonts w:hint="default"/>
      </w:rPr>
    </w:lvl>
    <w:lvl w:ilvl="5">
      <w:start w:val="0"/>
      <w:numFmt w:val="bullet"/>
      <w:lvlText w:val="•"/>
      <w:lvlJc w:val="left"/>
      <w:pPr>
        <w:ind w:left="5744" w:hanging="355"/>
      </w:pPr>
      <w:rPr>
        <w:rFonts w:hint="default"/>
      </w:rPr>
    </w:lvl>
    <w:lvl w:ilvl="6">
      <w:start w:val="0"/>
      <w:numFmt w:val="bullet"/>
      <w:lvlText w:val="•"/>
      <w:lvlJc w:val="left"/>
      <w:pPr>
        <w:ind w:left="6780" w:hanging="355"/>
      </w:pPr>
      <w:rPr>
        <w:rFonts w:hint="default"/>
      </w:rPr>
    </w:lvl>
    <w:lvl w:ilvl="7">
      <w:start w:val="0"/>
      <w:numFmt w:val="bullet"/>
      <w:lvlText w:val="•"/>
      <w:lvlJc w:val="left"/>
      <w:pPr>
        <w:ind w:left="7816" w:hanging="355"/>
      </w:pPr>
      <w:rPr>
        <w:rFonts w:hint="default"/>
      </w:rPr>
    </w:lvl>
    <w:lvl w:ilvl="8">
      <w:start w:val="0"/>
      <w:numFmt w:val="bullet"/>
      <w:lvlText w:val="•"/>
      <w:lvlJc w:val="left"/>
      <w:pPr>
        <w:ind w:left="8852" w:hanging="355"/>
      </w:pPr>
      <w:rPr>
        <w:rFonts w:hint="default"/>
      </w:rPr>
    </w:lvl>
  </w:abstractNum>
  <w:abstractNum w:abstractNumId="105">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848" w:hanging="244"/>
      </w:pPr>
      <w:rPr>
        <w:rFonts w:hint="default"/>
      </w:rPr>
    </w:lvl>
    <w:lvl w:ilvl="2">
      <w:start w:val="0"/>
      <w:numFmt w:val="bullet"/>
      <w:lvlText w:val="•"/>
      <w:lvlJc w:val="left"/>
      <w:pPr>
        <w:ind w:left="1337" w:hanging="244"/>
      </w:pPr>
      <w:rPr>
        <w:rFonts w:hint="default"/>
      </w:rPr>
    </w:lvl>
    <w:lvl w:ilvl="3">
      <w:start w:val="0"/>
      <w:numFmt w:val="bullet"/>
      <w:lvlText w:val="•"/>
      <w:lvlJc w:val="left"/>
      <w:pPr>
        <w:ind w:left="1826" w:hanging="244"/>
      </w:pPr>
      <w:rPr>
        <w:rFonts w:hint="default"/>
      </w:rPr>
    </w:lvl>
    <w:lvl w:ilvl="4">
      <w:start w:val="0"/>
      <w:numFmt w:val="bullet"/>
      <w:lvlText w:val="•"/>
      <w:lvlJc w:val="left"/>
      <w:pPr>
        <w:ind w:left="2315" w:hanging="244"/>
      </w:pPr>
      <w:rPr>
        <w:rFonts w:hint="default"/>
      </w:rPr>
    </w:lvl>
    <w:lvl w:ilvl="5">
      <w:start w:val="0"/>
      <w:numFmt w:val="bullet"/>
      <w:lvlText w:val="•"/>
      <w:lvlJc w:val="left"/>
      <w:pPr>
        <w:ind w:left="2804" w:hanging="244"/>
      </w:pPr>
      <w:rPr>
        <w:rFonts w:hint="default"/>
      </w:rPr>
    </w:lvl>
    <w:lvl w:ilvl="6">
      <w:start w:val="0"/>
      <w:numFmt w:val="bullet"/>
      <w:lvlText w:val="•"/>
      <w:lvlJc w:val="left"/>
      <w:pPr>
        <w:ind w:left="3292" w:hanging="244"/>
      </w:pPr>
      <w:rPr>
        <w:rFonts w:hint="default"/>
      </w:rPr>
    </w:lvl>
    <w:lvl w:ilvl="7">
      <w:start w:val="0"/>
      <w:numFmt w:val="bullet"/>
      <w:lvlText w:val="•"/>
      <w:lvlJc w:val="left"/>
      <w:pPr>
        <w:ind w:left="3781" w:hanging="244"/>
      </w:pPr>
      <w:rPr>
        <w:rFonts w:hint="default"/>
      </w:rPr>
    </w:lvl>
    <w:lvl w:ilvl="8">
      <w:start w:val="0"/>
      <w:numFmt w:val="bullet"/>
      <w:lvlText w:val="•"/>
      <w:lvlJc w:val="left"/>
      <w:pPr>
        <w:ind w:left="4270" w:hanging="244"/>
      </w:pPr>
      <w:rPr>
        <w:rFonts w:hint="default"/>
      </w:rPr>
    </w:lvl>
  </w:abstractNum>
  <w:abstractNum w:abstractNumId="104">
    <w:multiLevelType w:val="hybridMultilevel"/>
    <w:lvl w:ilvl="0">
      <w:start w:val="0"/>
      <w:numFmt w:val="bullet"/>
      <w:lvlText w:val="●"/>
      <w:lvlJc w:val="left"/>
      <w:pPr>
        <w:ind w:left="357"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848" w:hanging="244"/>
      </w:pPr>
      <w:rPr>
        <w:rFonts w:hint="default"/>
      </w:rPr>
    </w:lvl>
    <w:lvl w:ilvl="2">
      <w:start w:val="0"/>
      <w:numFmt w:val="bullet"/>
      <w:lvlText w:val="•"/>
      <w:lvlJc w:val="left"/>
      <w:pPr>
        <w:ind w:left="1337" w:hanging="244"/>
      </w:pPr>
      <w:rPr>
        <w:rFonts w:hint="default"/>
      </w:rPr>
    </w:lvl>
    <w:lvl w:ilvl="3">
      <w:start w:val="0"/>
      <w:numFmt w:val="bullet"/>
      <w:lvlText w:val="•"/>
      <w:lvlJc w:val="left"/>
      <w:pPr>
        <w:ind w:left="1826" w:hanging="244"/>
      </w:pPr>
      <w:rPr>
        <w:rFonts w:hint="default"/>
      </w:rPr>
    </w:lvl>
    <w:lvl w:ilvl="4">
      <w:start w:val="0"/>
      <w:numFmt w:val="bullet"/>
      <w:lvlText w:val="•"/>
      <w:lvlJc w:val="left"/>
      <w:pPr>
        <w:ind w:left="2315" w:hanging="244"/>
      </w:pPr>
      <w:rPr>
        <w:rFonts w:hint="default"/>
      </w:rPr>
    </w:lvl>
    <w:lvl w:ilvl="5">
      <w:start w:val="0"/>
      <w:numFmt w:val="bullet"/>
      <w:lvlText w:val="•"/>
      <w:lvlJc w:val="left"/>
      <w:pPr>
        <w:ind w:left="2804" w:hanging="244"/>
      </w:pPr>
      <w:rPr>
        <w:rFonts w:hint="default"/>
      </w:rPr>
    </w:lvl>
    <w:lvl w:ilvl="6">
      <w:start w:val="0"/>
      <w:numFmt w:val="bullet"/>
      <w:lvlText w:val="•"/>
      <w:lvlJc w:val="left"/>
      <w:pPr>
        <w:ind w:left="3292" w:hanging="244"/>
      </w:pPr>
      <w:rPr>
        <w:rFonts w:hint="default"/>
      </w:rPr>
    </w:lvl>
    <w:lvl w:ilvl="7">
      <w:start w:val="0"/>
      <w:numFmt w:val="bullet"/>
      <w:lvlText w:val="•"/>
      <w:lvlJc w:val="left"/>
      <w:pPr>
        <w:ind w:left="3781" w:hanging="244"/>
      </w:pPr>
      <w:rPr>
        <w:rFonts w:hint="default"/>
      </w:rPr>
    </w:lvl>
    <w:lvl w:ilvl="8">
      <w:start w:val="0"/>
      <w:numFmt w:val="bullet"/>
      <w:lvlText w:val="•"/>
      <w:lvlJc w:val="left"/>
      <w:pPr>
        <w:ind w:left="4270" w:hanging="244"/>
      </w:pPr>
      <w:rPr>
        <w:rFonts w:hint="default"/>
      </w:rPr>
    </w:lvl>
  </w:abstractNum>
  <w:abstractNum w:abstractNumId="103">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102">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101">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100">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756" w:hanging="244"/>
      </w:pPr>
      <w:rPr>
        <w:rFonts w:hint="default"/>
      </w:rPr>
    </w:lvl>
    <w:lvl w:ilvl="2">
      <w:start w:val="0"/>
      <w:numFmt w:val="bullet"/>
      <w:lvlText w:val="•"/>
      <w:lvlJc w:val="left"/>
      <w:pPr>
        <w:ind w:left="1152" w:hanging="244"/>
      </w:pPr>
      <w:rPr>
        <w:rFonts w:hint="default"/>
      </w:rPr>
    </w:lvl>
    <w:lvl w:ilvl="3">
      <w:start w:val="0"/>
      <w:numFmt w:val="bullet"/>
      <w:lvlText w:val="•"/>
      <w:lvlJc w:val="left"/>
      <w:pPr>
        <w:ind w:left="1548" w:hanging="244"/>
      </w:pPr>
      <w:rPr>
        <w:rFonts w:hint="default"/>
      </w:rPr>
    </w:lvl>
    <w:lvl w:ilvl="4">
      <w:start w:val="0"/>
      <w:numFmt w:val="bullet"/>
      <w:lvlText w:val="•"/>
      <w:lvlJc w:val="left"/>
      <w:pPr>
        <w:ind w:left="1945" w:hanging="244"/>
      </w:pPr>
      <w:rPr>
        <w:rFonts w:hint="default"/>
      </w:rPr>
    </w:lvl>
    <w:lvl w:ilvl="5">
      <w:start w:val="0"/>
      <w:numFmt w:val="bullet"/>
      <w:lvlText w:val="•"/>
      <w:lvlJc w:val="left"/>
      <w:pPr>
        <w:ind w:left="2341" w:hanging="244"/>
      </w:pPr>
      <w:rPr>
        <w:rFonts w:hint="default"/>
      </w:rPr>
    </w:lvl>
    <w:lvl w:ilvl="6">
      <w:start w:val="0"/>
      <w:numFmt w:val="bullet"/>
      <w:lvlText w:val="•"/>
      <w:lvlJc w:val="left"/>
      <w:pPr>
        <w:ind w:left="2737" w:hanging="244"/>
      </w:pPr>
      <w:rPr>
        <w:rFonts w:hint="default"/>
      </w:rPr>
    </w:lvl>
    <w:lvl w:ilvl="7">
      <w:start w:val="0"/>
      <w:numFmt w:val="bullet"/>
      <w:lvlText w:val="•"/>
      <w:lvlJc w:val="left"/>
      <w:pPr>
        <w:ind w:left="3134" w:hanging="244"/>
      </w:pPr>
      <w:rPr>
        <w:rFonts w:hint="default"/>
      </w:rPr>
    </w:lvl>
    <w:lvl w:ilvl="8">
      <w:start w:val="0"/>
      <w:numFmt w:val="bullet"/>
      <w:lvlText w:val="•"/>
      <w:lvlJc w:val="left"/>
      <w:pPr>
        <w:ind w:left="3530" w:hanging="244"/>
      </w:pPr>
      <w:rPr>
        <w:rFonts w:hint="default"/>
      </w:rPr>
    </w:lvl>
  </w:abstractNum>
  <w:abstractNum w:abstractNumId="99">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756" w:hanging="244"/>
      </w:pPr>
      <w:rPr>
        <w:rFonts w:hint="default"/>
      </w:rPr>
    </w:lvl>
    <w:lvl w:ilvl="2">
      <w:start w:val="0"/>
      <w:numFmt w:val="bullet"/>
      <w:lvlText w:val="•"/>
      <w:lvlJc w:val="left"/>
      <w:pPr>
        <w:ind w:left="1152" w:hanging="244"/>
      </w:pPr>
      <w:rPr>
        <w:rFonts w:hint="default"/>
      </w:rPr>
    </w:lvl>
    <w:lvl w:ilvl="3">
      <w:start w:val="0"/>
      <w:numFmt w:val="bullet"/>
      <w:lvlText w:val="•"/>
      <w:lvlJc w:val="left"/>
      <w:pPr>
        <w:ind w:left="1548" w:hanging="244"/>
      </w:pPr>
      <w:rPr>
        <w:rFonts w:hint="default"/>
      </w:rPr>
    </w:lvl>
    <w:lvl w:ilvl="4">
      <w:start w:val="0"/>
      <w:numFmt w:val="bullet"/>
      <w:lvlText w:val="•"/>
      <w:lvlJc w:val="left"/>
      <w:pPr>
        <w:ind w:left="1945" w:hanging="244"/>
      </w:pPr>
      <w:rPr>
        <w:rFonts w:hint="default"/>
      </w:rPr>
    </w:lvl>
    <w:lvl w:ilvl="5">
      <w:start w:val="0"/>
      <w:numFmt w:val="bullet"/>
      <w:lvlText w:val="•"/>
      <w:lvlJc w:val="left"/>
      <w:pPr>
        <w:ind w:left="2341" w:hanging="244"/>
      </w:pPr>
      <w:rPr>
        <w:rFonts w:hint="default"/>
      </w:rPr>
    </w:lvl>
    <w:lvl w:ilvl="6">
      <w:start w:val="0"/>
      <w:numFmt w:val="bullet"/>
      <w:lvlText w:val="•"/>
      <w:lvlJc w:val="left"/>
      <w:pPr>
        <w:ind w:left="2737" w:hanging="244"/>
      </w:pPr>
      <w:rPr>
        <w:rFonts w:hint="default"/>
      </w:rPr>
    </w:lvl>
    <w:lvl w:ilvl="7">
      <w:start w:val="0"/>
      <w:numFmt w:val="bullet"/>
      <w:lvlText w:val="•"/>
      <w:lvlJc w:val="left"/>
      <w:pPr>
        <w:ind w:left="3134" w:hanging="244"/>
      </w:pPr>
      <w:rPr>
        <w:rFonts w:hint="default"/>
      </w:rPr>
    </w:lvl>
    <w:lvl w:ilvl="8">
      <w:start w:val="0"/>
      <w:numFmt w:val="bullet"/>
      <w:lvlText w:val="•"/>
      <w:lvlJc w:val="left"/>
      <w:pPr>
        <w:ind w:left="3530" w:hanging="244"/>
      </w:pPr>
      <w:rPr>
        <w:rFonts w:hint="default"/>
      </w:rPr>
    </w:lvl>
  </w:abstractNum>
  <w:abstractNum w:abstractNumId="98">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756" w:hanging="244"/>
      </w:pPr>
      <w:rPr>
        <w:rFonts w:hint="default"/>
      </w:rPr>
    </w:lvl>
    <w:lvl w:ilvl="2">
      <w:start w:val="0"/>
      <w:numFmt w:val="bullet"/>
      <w:lvlText w:val="•"/>
      <w:lvlJc w:val="left"/>
      <w:pPr>
        <w:ind w:left="1152" w:hanging="244"/>
      </w:pPr>
      <w:rPr>
        <w:rFonts w:hint="default"/>
      </w:rPr>
    </w:lvl>
    <w:lvl w:ilvl="3">
      <w:start w:val="0"/>
      <w:numFmt w:val="bullet"/>
      <w:lvlText w:val="•"/>
      <w:lvlJc w:val="left"/>
      <w:pPr>
        <w:ind w:left="1548" w:hanging="244"/>
      </w:pPr>
      <w:rPr>
        <w:rFonts w:hint="default"/>
      </w:rPr>
    </w:lvl>
    <w:lvl w:ilvl="4">
      <w:start w:val="0"/>
      <w:numFmt w:val="bullet"/>
      <w:lvlText w:val="•"/>
      <w:lvlJc w:val="left"/>
      <w:pPr>
        <w:ind w:left="1945" w:hanging="244"/>
      </w:pPr>
      <w:rPr>
        <w:rFonts w:hint="default"/>
      </w:rPr>
    </w:lvl>
    <w:lvl w:ilvl="5">
      <w:start w:val="0"/>
      <w:numFmt w:val="bullet"/>
      <w:lvlText w:val="•"/>
      <w:lvlJc w:val="left"/>
      <w:pPr>
        <w:ind w:left="2341" w:hanging="244"/>
      </w:pPr>
      <w:rPr>
        <w:rFonts w:hint="default"/>
      </w:rPr>
    </w:lvl>
    <w:lvl w:ilvl="6">
      <w:start w:val="0"/>
      <w:numFmt w:val="bullet"/>
      <w:lvlText w:val="•"/>
      <w:lvlJc w:val="left"/>
      <w:pPr>
        <w:ind w:left="2737" w:hanging="244"/>
      </w:pPr>
      <w:rPr>
        <w:rFonts w:hint="default"/>
      </w:rPr>
    </w:lvl>
    <w:lvl w:ilvl="7">
      <w:start w:val="0"/>
      <w:numFmt w:val="bullet"/>
      <w:lvlText w:val="•"/>
      <w:lvlJc w:val="left"/>
      <w:pPr>
        <w:ind w:left="3134" w:hanging="244"/>
      </w:pPr>
      <w:rPr>
        <w:rFonts w:hint="default"/>
      </w:rPr>
    </w:lvl>
    <w:lvl w:ilvl="8">
      <w:start w:val="0"/>
      <w:numFmt w:val="bullet"/>
      <w:lvlText w:val="•"/>
      <w:lvlJc w:val="left"/>
      <w:pPr>
        <w:ind w:left="3530" w:hanging="244"/>
      </w:pPr>
      <w:rPr>
        <w:rFonts w:hint="default"/>
      </w:rPr>
    </w:lvl>
  </w:abstractNum>
  <w:abstractNum w:abstractNumId="97">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731" w:hanging="244"/>
      </w:pPr>
      <w:rPr>
        <w:rFonts w:hint="default"/>
      </w:rPr>
    </w:lvl>
    <w:lvl w:ilvl="2">
      <w:start w:val="0"/>
      <w:numFmt w:val="bullet"/>
      <w:lvlText w:val="•"/>
      <w:lvlJc w:val="left"/>
      <w:pPr>
        <w:ind w:left="1103" w:hanging="244"/>
      </w:pPr>
      <w:rPr>
        <w:rFonts w:hint="default"/>
      </w:rPr>
    </w:lvl>
    <w:lvl w:ilvl="3">
      <w:start w:val="0"/>
      <w:numFmt w:val="bullet"/>
      <w:lvlText w:val="•"/>
      <w:lvlJc w:val="left"/>
      <w:pPr>
        <w:ind w:left="1475" w:hanging="244"/>
      </w:pPr>
      <w:rPr>
        <w:rFonts w:hint="default"/>
      </w:rPr>
    </w:lvl>
    <w:lvl w:ilvl="4">
      <w:start w:val="0"/>
      <w:numFmt w:val="bullet"/>
      <w:lvlText w:val="•"/>
      <w:lvlJc w:val="left"/>
      <w:pPr>
        <w:ind w:left="1846" w:hanging="244"/>
      </w:pPr>
      <w:rPr>
        <w:rFonts w:hint="default"/>
      </w:rPr>
    </w:lvl>
    <w:lvl w:ilvl="5">
      <w:start w:val="0"/>
      <w:numFmt w:val="bullet"/>
      <w:lvlText w:val="•"/>
      <w:lvlJc w:val="left"/>
      <w:pPr>
        <w:ind w:left="2218" w:hanging="244"/>
      </w:pPr>
      <w:rPr>
        <w:rFonts w:hint="default"/>
      </w:rPr>
    </w:lvl>
    <w:lvl w:ilvl="6">
      <w:start w:val="0"/>
      <w:numFmt w:val="bullet"/>
      <w:lvlText w:val="•"/>
      <w:lvlJc w:val="left"/>
      <w:pPr>
        <w:ind w:left="2590" w:hanging="244"/>
      </w:pPr>
      <w:rPr>
        <w:rFonts w:hint="default"/>
      </w:rPr>
    </w:lvl>
    <w:lvl w:ilvl="7">
      <w:start w:val="0"/>
      <w:numFmt w:val="bullet"/>
      <w:lvlText w:val="•"/>
      <w:lvlJc w:val="left"/>
      <w:pPr>
        <w:ind w:left="2961" w:hanging="244"/>
      </w:pPr>
      <w:rPr>
        <w:rFonts w:hint="default"/>
      </w:rPr>
    </w:lvl>
    <w:lvl w:ilvl="8">
      <w:start w:val="0"/>
      <w:numFmt w:val="bullet"/>
      <w:lvlText w:val="•"/>
      <w:lvlJc w:val="left"/>
      <w:pPr>
        <w:ind w:left="3333" w:hanging="244"/>
      </w:pPr>
      <w:rPr>
        <w:rFonts w:hint="default"/>
      </w:rPr>
    </w:lvl>
  </w:abstractNum>
  <w:abstractNum w:abstractNumId="96">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756" w:hanging="244"/>
      </w:pPr>
      <w:rPr>
        <w:rFonts w:hint="default"/>
      </w:rPr>
    </w:lvl>
    <w:lvl w:ilvl="2">
      <w:start w:val="0"/>
      <w:numFmt w:val="bullet"/>
      <w:lvlText w:val="•"/>
      <w:lvlJc w:val="left"/>
      <w:pPr>
        <w:ind w:left="1152" w:hanging="244"/>
      </w:pPr>
      <w:rPr>
        <w:rFonts w:hint="default"/>
      </w:rPr>
    </w:lvl>
    <w:lvl w:ilvl="3">
      <w:start w:val="0"/>
      <w:numFmt w:val="bullet"/>
      <w:lvlText w:val="•"/>
      <w:lvlJc w:val="left"/>
      <w:pPr>
        <w:ind w:left="1548" w:hanging="244"/>
      </w:pPr>
      <w:rPr>
        <w:rFonts w:hint="default"/>
      </w:rPr>
    </w:lvl>
    <w:lvl w:ilvl="4">
      <w:start w:val="0"/>
      <w:numFmt w:val="bullet"/>
      <w:lvlText w:val="•"/>
      <w:lvlJc w:val="left"/>
      <w:pPr>
        <w:ind w:left="1945" w:hanging="244"/>
      </w:pPr>
      <w:rPr>
        <w:rFonts w:hint="default"/>
      </w:rPr>
    </w:lvl>
    <w:lvl w:ilvl="5">
      <w:start w:val="0"/>
      <w:numFmt w:val="bullet"/>
      <w:lvlText w:val="•"/>
      <w:lvlJc w:val="left"/>
      <w:pPr>
        <w:ind w:left="2341" w:hanging="244"/>
      </w:pPr>
      <w:rPr>
        <w:rFonts w:hint="default"/>
      </w:rPr>
    </w:lvl>
    <w:lvl w:ilvl="6">
      <w:start w:val="0"/>
      <w:numFmt w:val="bullet"/>
      <w:lvlText w:val="•"/>
      <w:lvlJc w:val="left"/>
      <w:pPr>
        <w:ind w:left="2737" w:hanging="244"/>
      </w:pPr>
      <w:rPr>
        <w:rFonts w:hint="default"/>
      </w:rPr>
    </w:lvl>
    <w:lvl w:ilvl="7">
      <w:start w:val="0"/>
      <w:numFmt w:val="bullet"/>
      <w:lvlText w:val="•"/>
      <w:lvlJc w:val="left"/>
      <w:pPr>
        <w:ind w:left="3134" w:hanging="244"/>
      </w:pPr>
      <w:rPr>
        <w:rFonts w:hint="default"/>
      </w:rPr>
    </w:lvl>
    <w:lvl w:ilvl="8">
      <w:start w:val="0"/>
      <w:numFmt w:val="bullet"/>
      <w:lvlText w:val="•"/>
      <w:lvlJc w:val="left"/>
      <w:pPr>
        <w:ind w:left="3530" w:hanging="244"/>
      </w:pPr>
      <w:rPr>
        <w:rFonts w:hint="default"/>
      </w:rPr>
    </w:lvl>
  </w:abstractNum>
  <w:abstractNum w:abstractNumId="95">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756" w:hanging="244"/>
      </w:pPr>
      <w:rPr>
        <w:rFonts w:hint="default"/>
      </w:rPr>
    </w:lvl>
    <w:lvl w:ilvl="2">
      <w:start w:val="0"/>
      <w:numFmt w:val="bullet"/>
      <w:lvlText w:val="•"/>
      <w:lvlJc w:val="left"/>
      <w:pPr>
        <w:ind w:left="1152" w:hanging="244"/>
      </w:pPr>
      <w:rPr>
        <w:rFonts w:hint="default"/>
      </w:rPr>
    </w:lvl>
    <w:lvl w:ilvl="3">
      <w:start w:val="0"/>
      <w:numFmt w:val="bullet"/>
      <w:lvlText w:val="•"/>
      <w:lvlJc w:val="left"/>
      <w:pPr>
        <w:ind w:left="1548" w:hanging="244"/>
      </w:pPr>
      <w:rPr>
        <w:rFonts w:hint="default"/>
      </w:rPr>
    </w:lvl>
    <w:lvl w:ilvl="4">
      <w:start w:val="0"/>
      <w:numFmt w:val="bullet"/>
      <w:lvlText w:val="•"/>
      <w:lvlJc w:val="left"/>
      <w:pPr>
        <w:ind w:left="1945" w:hanging="244"/>
      </w:pPr>
      <w:rPr>
        <w:rFonts w:hint="default"/>
      </w:rPr>
    </w:lvl>
    <w:lvl w:ilvl="5">
      <w:start w:val="0"/>
      <w:numFmt w:val="bullet"/>
      <w:lvlText w:val="•"/>
      <w:lvlJc w:val="left"/>
      <w:pPr>
        <w:ind w:left="2341" w:hanging="244"/>
      </w:pPr>
      <w:rPr>
        <w:rFonts w:hint="default"/>
      </w:rPr>
    </w:lvl>
    <w:lvl w:ilvl="6">
      <w:start w:val="0"/>
      <w:numFmt w:val="bullet"/>
      <w:lvlText w:val="•"/>
      <w:lvlJc w:val="left"/>
      <w:pPr>
        <w:ind w:left="2737" w:hanging="244"/>
      </w:pPr>
      <w:rPr>
        <w:rFonts w:hint="default"/>
      </w:rPr>
    </w:lvl>
    <w:lvl w:ilvl="7">
      <w:start w:val="0"/>
      <w:numFmt w:val="bullet"/>
      <w:lvlText w:val="•"/>
      <w:lvlJc w:val="left"/>
      <w:pPr>
        <w:ind w:left="3134" w:hanging="244"/>
      </w:pPr>
      <w:rPr>
        <w:rFonts w:hint="default"/>
      </w:rPr>
    </w:lvl>
    <w:lvl w:ilvl="8">
      <w:start w:val="0"/>
      <w:numFmt w:val="bullet"/>
      <w:lvlText w:val="•"/>
      <w:lvlJc w:val="left"/>
      <w:pPr>
        <w:ind w:left="3530" w:hanging="244"/>
      </w:pPr>
      <w:rPr>
        <w:rFonts w:hint="default"/>
      </w:rPr>
    </w:lvl>
  </w:abstractNum>
  <w:abstractNum w:abstractNumId="94">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594" w:hanging="227"/>
      </w:pPr>
      <w:rPr>
        <w:rFonts w:hint="default" w:ascii="Wingdings" w:hAnsi="Wingdings" w:eastAsia="Wingdings" w:cs="Wingdings"/>
        <w:color w:val="231F20"/>
        <w:w w:val="100"/>
        <w:sz w:val="24"/>
        <w:szCs w:val="24"/>
      </w:rPr>
    </w:lvl>
    <w:lvl w:ilvl="2">
      <w:start w:val="0"/>
      <w:numFmt w:val="bullet"/>
      <w:lvlText w:val="•"/>
      <w:lvlJc w:val="left"/>
      <w:pPr>
        <w:ind w:left="986" w:hanging="227"/>
      </w:pPr>
      <w:rPr>
        <w:rFonts w:hint="default"/>
      </w:rPr>
    </w:lvl>
    <w:lvl w:ilvl="3">
      <w:start w:val="0"/>
      <w:numFmt w:val="bullet"/>
      <w:lvlText w:val="•"/>
      <w:lvlJc w:val="left"/>
      <w:pPr>
        <w:ind w:left="1372" w:hanging="227"/>
      </w:pPr>
      <w:rPr>
        <w:rFonts w:hint="default"/>
      </w:rPr>
    </w:lvl>
    <w:lvl w:ilvl="4">
      <w:start w:val="0"/>
      <w:numFmt w:val="bullet"/>
      <w:lvlText w:val="•"/>
      <w:lvlJc w:val="left"/>
      <w:pPr>
        <w:ind w:left="1759" w:hanging="227"/>
      </w:pPr>
      <w:rPr>
        <w:rFonts w:hint="default"/>
      </w:rPr>
    </w:lvl>
    <w:lvl w:ilvl="5">
      <w:start w:val="0"/>
      <w:numFmt w:val="bullet"/>
      <w:lvlText w:val="•"/>
      <w:lvlJc w:val="left"/>
      <w:pPr>
        <w:ind w:left="2145" w:hanging="227"/>
      </w:pPr>
      <w:rPr>
        <w:rFonts w:hint="default"/>
      </w:rPr>
    </w:lvl>
    <w:lvl w:ilvl="6">
      <w:start w:val="0"/>
      <w:numFmt w:val="bullet"/>
      <w:lvlText w:val="•"/>
      <w:lvlJc w:val="left"/>
      <w:pPr>
        <w:ind w:left="2531" w:hanging="227"/>
      </w:pPr>
      <w:rPr>
        <w:rFonts w:hint="default"/>
      </w:rPr>
    </w:lvl>
    <w:lvl w:ilvl="7">
      <w:start w:val="0"/>
      <w:numFmt w:val="bullet"/>
      <w:lvlText w:val="•"/>
      <w:lvlJc w:val="left"/>
      <w:pPr>
        <w:ind w:left="2918" w:hanging="227"/>
      </w:pPr>
      <w:rPr>
        <w:rFonts w:hint="default"/>
      </w:rPr>
    </w:lvl>
    <w:lvl w:ilvl="8">
      <w:start w:val="0"/>
      <w:numFmt w:val="bullet"/>
      <w:lvlText w:val="•"/>
      <w:lvlJc w:val="left"/>
      <w:pPr>
        <w:ind w:left="3304" w:hanging="227"/>
      </w:pPr>
      <w:rPr>
        <w:rFonts w:hint="default"/>
      </w:rPr>
    </w:lvl>
  </w:abstractNum>
  <w:abstractNum w:abstractNumId="93">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564" w:hanging="244"/>
      </w:pPr>
      <w:rPr>
        <w:rFonts w:hint="default"/>
      </w:rPr>
    </w:lvl>
    <w:lvl w:ilvl="2">
      <w:start w:val="0"/>
      <w:numFmt w:val="bullet"/>
      <w:lvlText w:val="•"/>
      <w:lvlJc w:val="left"/>
      <w:pPr>
        <w:ind w:left="768" w:hanging="244"/>
      </w:pPr>
      <w:rPr>
        <w:rFonts w:hint="default"/>
      </w:rPr>
    </w:lvl>
    <w:lvl w:ilvl="3">
      <w:start w:val="0"/>
      <w:numFmt w:val="bullet"/>
      <w:lvlText w:val="•"/>
      <w:lvlJc w:val="left"/>
      <w:pPr>
        <w:ind w:left="972" w:hanging="244"/>
      </w:pPr>
      <w:rPr>
        <w:rFonts w:hint="default"/>
      </w:rPr>
    </w:lvl>
    <w:lvl w:ilvl="4">
      <w:start w:val="0"/>
      <w:numFmt w:val="bullet"/>
      <w:lvlText w:val="•"/>
      <w:lvlJc w:val="left"/>
      <w:pPr>
        <w:ind w:left="1176" w:hanging="244"/>
      </w:pPr>
      <w:rPr>
        <w:rFonts w:hint="default"/>
      </w:rPr>
    </w:lvl>
    <w:lvl w:ilvl="5">
      <w:start w:val="0"/>
      <w:numFmt w:val="bullet"/>
      <w:lvlText w:val="•"/>
      <w:lvlJc w:val="left"/>
      <w:pPr>
        <w:ind w:left="1380" w:hanging="244"/>
      </w:pPr>
      <w:rPr>
        <w:rFonts w:hint="default"/>
      </w:rPr>
    </w:lvl>
    <w:lvl w:ilvl="6">
      <w:start w:val="0"/>
      <w:numFmt w:val="bullet"/>
      <w:lvlText w:val="•"/>
      <w:lvlJc w:val="left"/>
      <w:pPr>
        <w:ind w:left="1584" w:hanging="244"/>
      </w:pPr>
      <w:rPr>
        <w:rFonts w:hint="default"/>
      </w:rPr>
    </w:lvl>
    <w:lvl w:ilvl="7">
      <w:start w:val="0"/>
      <w:numFmt w:val="bullet"/>
      <w:lvlText w:val="•"/>
      <w:lvlJc w:val="left"/>
      <w:pPr>
        <w:ind w:left="1788" w:hanging="244"/>
      </w:pPr>
      <w:rPr>
        <w:rFonts w:hint="default"/>
      </w:rPr>
    </w:lvl>
    <w:lvl w:ilvl="8">
      <w:start w:val="0"/>
      <w:numFmt w:val="bullet"/>
      <w:lvlText w:val="•"/>
      <w:lvlJc w:val="left"/>
      <w:pPr>
        <w:ind w:left="1992" w:hanging="244"/>
      </w:pPr>
      <w:rPr>
        <w:rFonts w:hint="default"/>
      </w:rPr>
    </w:lvl>
  </w:abstractNum>
  <w:abstractNum w:abstractNumId="92">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600" w:hanging="244"/>
      </w:pPr>
      <w:rPr>
        <w:rFonts w:hint="default"/>
      </w:rPr>
    </w:lvl>
    <w:lvl w:ilvl="2">
      <w:start w:val="0"/>
      <w:numFmt w:val="bullet"/>
      <w:lvlText w:val="•"/>
      <w:lvlJc w:val="left"/>
      <w:pPr>
        <w:ind w:left="840" w:hanging="244"/>
      </w:pPr>
      <w:rPr>
        <w:rFonts w:hint="default"/>
      </w:rPr>
    </w:lvl>
    <w:lvl w:ilvl="3">
      <w:start w:val="0"/>
      <w:numFmt w:val="bullet"/>
      <w:lvlText w:val="•"/>
      <w:lvlJc w:val="left"/>
      <w:pPr>
        <w:ind w:left="1080" w:hanging="244"/>
      </w:pPr>
      <w:rPr>
        <w:rFonts w:hint="default"/>
      </w:rPr>
    </w:lvl>
    <w:lvl w:ilvl="4">
      <w:start w:val="0"/>
      <w:numFmt w:val="bullet"/>
      <w:lvlText w:val="•"/>
      <w:lvlJc w:val="left"/>
      <w:pPr>
        <w:ind w:left="1320" w:hanging="244"/>
      </w:pPr>
      <w:rPr>
        <w:rFonts w:hint="default"/>
      </w:rPr>
    </w:lvl>
    <w:lvl w:ilvl="5">
      <w:start w:val="0"/>
      <w:numFmt w:val="bullet"/>
      <w:lvlText w:val="•"/>
      <w:lvlJc w:val="left"/>
      <w:pPr>
        <w:ind w:left="1561" w:hanging="244"/>
      </w:pPr>
      <w:rPr>
        <w:rFonts w:hint="default"/>
      </w:rPr>
    </w:lvl>
    <w:lvl w:ilvl="6">
      <w:start w:val="0"/>
      <w:numFmt w:val="bullet"/>
      <w:lvlText w:val="•"/>
      <w:lvlJc w:val="left"/>
      <w:pPr>
        <w:ind w:left="1801" w:hanging="244"/>
      </w:pPr>
      <w:rPr>
        <w:rFonts w:hint="default"/>
      </w:rPr>
    </w:lvl>
    <w:lvl w:ilvl="7">
      <w:start w:val="0"/>
      <w:numFmt w:val="bullet"/>
      <w:lvlText w:val="•"/>
      <w:lvlJc w:val="left"/>
      <w:pPr>
        <w:ind w:left="2041" w:hanging="244"/>
      </w:pPr>
      <w:rPr>
        <w:rFonts w:hint="default"/>
      </w:rPr>
    </w:lvl>
    <w:lvl w:ilvl="8">
      <w:start w:val="0"/>
      <w:numFmt w:val="bullet"/>
      <w:lvlText w:val="•"/>
      <w:lvlJc w:val="left"/>
      <w:pPr>
        <w:ind w:left="2281" w:hanging="244"/>
      </w:pPr>
      <w:rPr>
        <w:rFonts w:hint="default"/>
      </w:rPr>
    </w:lvl>
  </w:abstractNum>
  <w:abstractNum w:abstractNumId="91">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691" w:hanging="244"/>
      </w:pPr>
      <w:rPr>
        <w:rFonts w:hint="default"/>
      </w:rPr>
    </w:lvl>
    <w:lvl w:ilvl="2">
      <w:start w:val="0"/>
      <w:numFmt w:val="bullet"/>
      <w:lvlText w:val="•"/>
      <w:lvlJc w:val="left"/>
      <w:pPr>
        <w:ind w:left="1022" w:hanging="244"/>
      </w:pPr>
      <w:rPr>
        <w:rFonts w:hint="default"/>
      </w:rPr>
    </w:lvl>
    <w:lvl w:ilvl="3">
      <w:start w:val="0"/>
      <w:numFmt w:val="bullet"/>
      <w:lvlText w:val="•"/>
      <w:lvlJc w:val="left"/>
      <w:pPr>
        <w:ind w:left="1353" w:hanging="244"/>
      </w:pPr>
      <w:rPr>
        <w:rFonts w:hint="default"/>
      </w:rPr>
    </w:lvl>
    <w:lvl w:ilvl="4">
      <w:start w:val="0"/>
      <w:numFmt w:val="bullet"/>
      <w:lvlText w:val="•"/>
      <w:lvlJc w:val="left"/>
      <w:pPr>
        <w:ind w:left="1685" w:hanging="244"/>
      </w:pPr>
      <w:rPr>
        <w:rFonts w:hint="default"/>
      </w:rPr>
    </w:lvl>
    <w:lvl w:ilvl="5">
      <w:start w:val="0"/>
      <w:numFmt w:val="bullet"/>
      <w:lvlText w:val="•"/>
      <w:lvlJc w:val="left"/>
      <w:pPr>
        <w:ind w:left="2016" w:hanging="244"/>
      </w:pPr>
      <w:rPr>
        <w:rFonts w:hint="default"/>
      </w:rPr>
    </w:lvl>
    <w:lvl w:ilvl="6">
      <w:start w:val="0"/>
      <w:numFmt w:val="bullet"/>
      <w:lvlText w:val="•"/>
      <w:lvlJc w:val="left"/>
      <w:pPr>
        <w:ind w:left="2347" w:hanging="244"/>
      </w:pPr>
      <w:rPr>
        <w:rFonts w:hint="default"/>
      </w:rPr>
    </w:lvl>
    <w:lvl w:ilvl="7">
      <w:start w:val="0"/>
      <w:numFmt w:val="bullet"/>
      <w:lvlText w:val="•"/>
      <w:lvlJc w:val="left"/>
      <w:pPr>
        <w:ind w:left="2679" w:hanging="244"/>
      </w:pPr>
      <w:rPr>
        <w:rFonts w:hint="default"/>
      </w:rPr>
    </w:lvl>
    <w:lvl w:ilvl="8">
      <w:start w:val="0"/>
      <w:numFmt w:val="bullet"/>
      <w:lvlText w:val="•"/>
      <w:lvlJc w:val="left"/>
      <w:pPr>
        <w:ind w:left="3010" w:hanging="244"/>
      </w:pPr>
      <w:rPr>
        <w:rFonts w:hint="default"/>
      </w:rPr>
    </w:lvl>
  </w:abstractNum>
  <w:abstractNum w:abstractNumId="90">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564" w:hanging="244"/>
      </w:pPr>
      <w:rPr>
        <w:rFonts w:hint="default"/>
      </w:rPr>
    </w:lvl>
    <w:lvl w:ilvl="2">
      <w:start w:val="0"/>
      <w:numFmt w:val="bullet"/>
      <w:lvlText w:val="•"/>
      <w:lvlJc w:val="left"/>
      <w:pPr>
        <w:ind w:left="768" w:hanging="244"/>
      </w:pPr>
      <w:rPr>
        <w:rFonts w:hint="default"/>
      </w:rPr>
    </w:lvl>
    <w:lvl w:ilvl="3">
      <w:start w:val="0"/>
      <w:numFmt w:val="bullet"/>
      <w:lvlText w:val="•"/>
      <w:lvlJc w:val="left"/>
      <w:pPr>
        <w:ind w:left="972" w:hanging="244"/>
      </w:pPr>
      <w:rPr>
        <w:rFonts w:hint="default"/>
      </w:rPr>
    </w:lvl>
    <w:lvl w:ilvl="4">
      <w:start w:val="0"/>
      <w:numFmt w:val="bullet"/>
      <w:lvlText w:val="•"/>
      <w:lvlJc w:val="left"/>
      <w:pPr>
        <w:ind w:left="1176" w:hanging="244"/>
      </w:pPr>
      <w:rPr>
        <w:rFonts w:hint="default"/>
      </w:rPr>
    </w:lvl>
    <w:lvl w:ilvl="5">
      <w:start w:val="0"/>
      <w:numFmt w:val="bullet"/>
      <w:lvlText w:val="•"/>
      <w:lvlJc w:val="left"/>
      <w:pPr>
        <w:ind w:left="1380" w:hanging="244"/>
      </w:pPr>
      <w:rPr>
        <w:rFonts w:hint="default"/>
      </w:rPr>
    </w:lvl>
    <w:lvl w:ilvl="6">
      <w:start w:val="0"/>
      <w:numFmt w:val="bullet"/>
      <w:lvlText w:val="•"/>
      <w:lvlJc w:val="left"/>
      <w:pPr>
        <w:ind w:left="1584" w:hanging="244"/>
      </w:pPr>
      <w:rPr>
        <w:rFonts w:hint="default"/>
      </w:rPr>
    </w:lvl>
    <w:lvl w:ilvl="7">
      <w:start w:val="0"/>
      <w:numFmt w:val="bullet"/>
      <w:lvlText w:val="•"/>
      <w:lvlJc w:val="left"/>
      <w:pPr>
        <w:ind w:left="1788" w:hanging="244"/>
      </w:pPr>
      <w:rPr>
        <w:rFonts w:hint="default"/>
      </w:rPr>
    </w:lvl>
    <w:lvl w:ilvl="8">
      <w:start w:val="0"/>
      <w:numFmt w:val="bullet"/>
      <w:lvlText w:val="•"/>
      <w:lvlJc w:val="left"/>
      <w:pPr>
        <w:ind w:left="1992" w:hanging="244"/>
      </w:pPr>
      <w:rPr>
        <w:rFonts w:hint="default"/>
      </w:rPr>
    </w:lvl>
  </w:abstractNum>
  <w:abstractNum w:abstractNumId="89">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691" w:hanging="244"/>
      </w:pPr>
      <w:rPr>
        <w:rFonts w:hint="default"/>
      </w:rPr>
    </w:lvl>
    <w:lvl w:ilvl="2">
      <w:start w:val="0"/>
      <w:numFmt w:val="bullet"/>
      <w:lvlText w:val="•"/>
      <w:lvlJc w:val="left"/>
      <w:pPr>
        <w:ind w:left="1022" w:hanging="244"/>
      </w:pPr>
      <w:rPr>
        <w:rFonts w:hint="default"/>
      </w:rPr>
    </w:lvl>
    <w:lvl w:ilvl="3">
      <w:start w:val="0"/>
      <w:numFmt w:val="bullet"/>
      <w:lvlText w:val="•"/>
      <w:lvlJc w:val="left"/>
      <w:pPr>
        <w:ind w:left="1353" w:hanging="244"/>
      </w:pPr>
      <w:rPr>
        <w:rFonts w:hint="default"/>
      </w:rPr>
    </w:lvl>
    <w:lvl w:ilvl="4">
      <w:start w:val="0"/>
      <w:numFmt w:val="bullet"/>
      <w:lvlText w:val="•"/>
      <w:lvlJc w:val="left"/>
      <w:pPr>
        <w:ind w:left="1685" w:hanging="244"/>
      </w:pPr>
      <w:rPr>
        <w:rFonts w:hint="default"/>
      </w:rPr>
    </w:lvl>
    <w:lvl w:ilvl="5">
      <w:start w:val="0"/>
      <w:numFmt w:val="bullet"/>
      <w:lvlText w:val="•"/>
      <w:lvlJc w:val="left"/>
      <w:pPr>
        <w:ind w:left="2016" w:hanging="244"/>
      </w:pPr>
      <w:rPr>
        <w:rFonts w:hint="default"/>
      </w:rPr>
    </w:lvl>
    <w:lvl w:ilvl="6">
      <w:start w:val="0"/>
      <w:numFmt w:val="bullet"/>
      <w:lvlText w:val="•"/>
      <w:lvlJc w:val="left"/>
      <w:pPr>
        <w:ind w:left="2347" w:hanging="244"/>
      </w:pPr>
      <w:rPr>
        <w:rFonts w:hint="default"/>
      </w:rPr>
    </w:lvl>
    <w:lvl w:ilvl="7">
      <w:start w:val="0"/>
      <w:numFmt w:val="bullet"/>
      <w:lvlText w:val="•"/>
      <w:lvlJc w:val="left"/>
      <w:pPr>
        <w:ind w:left="2679" w:hanging="244"/>
      </w:pPr>
      <w:rPr>
        <w:rFonts w:hint="default"/>
      </w:rPr>
    </w:lvl>
    <w:lvl w:ilvl="8">
      <w:start w:val="0"/>
      <w:numFmt w:val="bullet"/>
      <w:lvlText w:val="•"/>
      <w:lvlJc w:val="left"/>
      <w:pPr>
        <w:ind w:left="3010" w:hanging="244"/>
      </w:pPr>
      <w:rPr>
        <w:rFonts w:hint="default"/>
      </w:rPr>
    </w:lvl>
  </w:abstractNum>
  <w:abstractNum w:abstractNumId="88">
    <w:multiLevelType w:val="hybridMultilevel"/>
    <w:lvl w:ilvl="0">
      <w:start w:val="0"/>
      <w:numFmt w:val="bullet"/>
      <w:lvlText w:val="●"/>
      <w:lvlJc w:val="left"/>
      <w:pPr>
        <w:ind w:left="356" w:hanging="244"/>
      </w:pPr>
      <w:rPr>
        <w:rFonts w:hint="default" w:ascii="微軟正黑體" w:hAnsi="微軟正黑體" w:eastAsia="微軟正黑體" w:cs="微軟正黑體"/>
        <w:color w:val="231F20"/>
        <w:w w:val="98"/>
        <w:position w:val="3"/>
        <w:sz w:val="17"/>
        <w:szCs w:val="17"/>
      </w:rPr>
    </w:lvl>
    <w:lvl w:ilvl="1">
      <w:start w:val="0"/>
      <w:numFmt w:val="bullet"/>
      <w:lvlText w:val="•"/>
      <w:lvlJc w:val="left"/>
      <w:pPr>
        <w:ind w:left="688" w:hanging="244"/>
      </w:pPr>
      <w:rPr>
        <w:rFonts w:hint="default"/>
      </w:rPr>
    </w:lvl>
    <w:lvl w:ilvl="2">
      <w:start w:val="0"/>
      <w:numFmt w:val="bullet"/>
      <w:lvlText w:val="•"/>
      <w:lvlJc w:val="left"/>
      <w:pPr>
        <w:ind w:left="1017" w:hanging="244"/>
      </w:pPr>
      <w:rPr>
        <w:rFonts w:hint="default"/>
      </w:rPr>
    </w:lvl>
    <w:lvl w:ilvl="3">
      <w:start w:val="0"/>
      <w:numFmt w:val="bullet"/>
      <w:lvlText w:val="•"/>
      <w:lvlJc w:val="left"/>
      <w:pPr>
        <w:ind w:left="1346" w:hanging="244"/>
      </w:pPr>
      <w:rPr>
        <w:rFonts w:hint="default"/>
      </w:rPr>
    </w:lvl>
    <w:lvl w:ilvl="4">
      <w:start w:val="0"/>
      <w:numFmt w:val="bullet"/>
      <w:lvlText w:val="•"/>
      <w:lvlJc w:val="left"/>
      <w:pPr>
        <w:ind w:left="1675" w:hanging="244"/>
      </w:pPr>
      <w:rPr>
        <w:rFonts w:hint="default"/>
      </w:rPr>
    </w:lvl>
    <w:lvl w:ilvl="5">
      <w:start w:val="0"/>
      <w:numFmt w:val="bullet"/>
      <w:lvlText w:val="•"/>
      <w:lvlJc w:val="left"/>
      <w:pPr>
        <w:ind w:left="2004" w:hanging="244"/>
      </w:pPr>
      <w:rPr>
        <w:rFonts w:hint="default"/>
      </w:rPr>
    </w:lvl>
    <w:lvl w:ilvl="6">
      <w:start w:val="0"/>
      <w:numFmt w:val="bullet"/>
      <w:lvlText w:val="•"/>
      <w:lvlJc w:val="left"/>
      <w:pPr>
        <w:ind w:left="2333" w:hanging="244"/>
      </w:pPr>
      <w:rPr>
        <w:rFonts w:hint="default"/>
      </w:rPr>
    </w:lvl>
    <w:lvl w:ilvl="7">
      <w:start w:val="0"/>
      <w:numFmt w:val="bullet"/>
      <w:lvlText w:val="•"/>
      <w:lvlJc w:val="left"/>
      <w:pPr>
        <w:ind w:left="2662" w:hanging="244"/>
      </w:pPr>
      <w:rPr>
        <w:rFonts w:hint="default"/>
      </w:rPr>
    </w:lvl>
    <w:lvl w:ilvl="8">
      <w:start w:val="0"/>
      <w:numFmt w:val="bullet"/>
      <w:lvlText w:val="•"/>
      <w:lvlJc w:val="left"/>
      <w:pPr>
        <w:ind w:left="2991" w:hanging="244"/>
      </w:pPr>
      <w:rPr>
        <w:rFonts w:hint="default"/>
      </w:rPr>
    </w:lvl>
  </w:abstractNum>
  <w:abstractNum w:abstractNumId="87">
    <w:multiLevelType w:val="hybridMultilevel"/>
    <w:lvl w:ilvl="0">
      <w:start w:val="0"/>
      <w:numFmt w:val="bullet"/>
      <w:lvlText w:val="●"/>
      <w:lvlJc w:val="left"/>
      <w:pPr>
        <w:ind w:left="356" w:hanging="244"/>
      </w:pPr>
      <w:rPr>
        <w:rFonts w:hint="default" w:ascii="微軟正黑體" w:hAnsi="微軟正黑體" w:eastAsia="微軟正黑體" w:cs="微軟正黑體"/>
        <w:color w:val="231F20"/>
        <w:w w:val="98"/>
        <w:position w:val="3"/>
        <w:sz w:val="17"/>
        <w:szCs w:val="17"/>
      </w:rPr>
    </w:lvl>
    <w:lvl w:ilvl="1">
      <w:start w:val="0"/>
      <w:numFmt w:val="bullet"/>
      <w:lvlText w:val="•"/>
      <w:lvlJc w:val="left"/>
      <w:pPr>
        <w:ind w:left="688" w:hanging="244"/>
      </w:pPr>
      <w:rPr>
        <w:rFonts w:hint="default"/>
      </w:rPr>
    </w:lvl>
    <w:lvl w:ilvl="2">
      <w:start w:val="0"/>
      <w:numFmt w:val="bullet"/>
      <w:lvlText w:val="•"/>
      <w:lvlJc w:val="left"/>
      <w:pPr>
        <w:ind w:left="1017" w:hanging="244"/>
      </w:pPr>
      <w:rPr>
        <w:rFonts w:hint="default"/>
      </w:rPr>
    </w:lvl>
    <w:lvl w:ilvl="3">
      <w:start w:val="0"/>
      <w:numFmt w:val="bullet"/>
      <w:lvlText w:val="•"/>
      <w:lvlJc w:val="left"/>
      <w:pPr>
        <w:ind w:left="1346" w:hanging="244"/>
      </w:pPr>
      <w:rPr>
        <w:rFonts w:hint="default"/>
      </w:rPr>
    </w:lvl>
    <w:lvl w:ilvl="4">
      <w:start w:val="0"/>
      <w:numFmt w:val="bullet"/>
      <w:lvlText w:val="•"/>
      <w:lvlJc w:val="left"/>
      <w:pPr>
        <w:ind w:left="1675" w:hanging="244"/>
      </w:pPr>
      <w:rPr>
        <w:rFonts w:hint="default"/>
      </w:rPr>
    </w:lvl>
    <w:lvl w:ilvl="5">
      <w:start w:val="0"/>
      <w:numFmt w:val="bullet"/>
      <w:lvlText w:val="•"/>
      <w:lvlJc w:val="left"/>
      <w:pPr>
        <w:ind w:left="2004" w:hanging="244"/>
      </w:pPr>
      <w:rPr>
        <w:rFonts w:hint="default"/>
      </w:rPr>
    </w:lvl>
    <w:lvl w:ilvl="6">
      <w:start w:val="0"/>
      <w:numFmt w:val="bullet"/>
      <w:lvlText w:val="•"/>
      <w:lvlJc w:val="left"/>
      <w:pPr>
        <w:ind w:left="2333" w:hanging="244"/>
      </w:pPr>
      <w:rPr>
        <w:rFonts w:hint="default"/>
      </w:rPr>
    </w:lvl>
    <w:lvl w:ilvl="7">
      <w:start w:val="0"/>
      <w:numFmt w:val="bullet"/>
      <w:lvlText w:val="•"/>
      <w:lvlJc w:val="left"/>
      <w:pPr>
        <w:ind w:left="2662" w:hanging="244"/>
      </w:pPr>
      <w:rPr>
        <w:rFonts w:hint="default"/>
      </w:rPr>
    </w:lvl>
    <w:lvl w:ilvl="8">
      <w:start w:val="0"/>
      <w:numFmt w:val="bullet"/>
      <w:lvlText w:val="•"/>
      <w:lvlJc w:val="left"/>
      <w:pPr>
        <w:ind w:left="2991" w:hanging="244"/>
      </w:pPr>
      <w:rPr>
        <w:rFonts w:hint="default"/>
      </w:rPr>
    </w:lvl>
  </w:abstractNum>
  <w:abstractNum w:abstractNumId="86">
    <w:multiLevelType w:val="hybridMultilevel"/>
    <w:lvl w:ilvl="0">
      <w:start w:val="0"/>
      <w:numFmt w:val="bullet"/>
      <w:lvlText w:val="●"/>
      <w:lvlJc w:val="left"/>
      <w:pPr>
        <w:ind w:left="356" w:hanging="244"/>
      </w:pPr>
      <w:rPr>
        <w:rFonts w:hint="default" w:ascii="微軟正黑體" w:hAnsi="微軟正黑體" w:eastAsia="微軟正黑體" w:cs="微軟正黑體"/>
        <w:color w:val="231F20"/>
        <w:w w:val="98"/>
        <w:position w:val="3"/>
        <w:sz w:val="17"/>
        <w:szCs w:val="17"/>
      </w:rPr>
    </w:lvl>
    <w:lvl w:ilvl="1">
      <w:start w:val="0"/>
      <w:numFmt w:val="bullet"/>
      <w:lvlText w:val="•"/>
      <w:lvlJc w:val="left"/>
      <w:pPr>
        <w:ind w:left="688" w:hanging="244"/>
      </w:pPr>
      <w:rPr>
        <w:rFonts w:hint="default"/>
      </w:rPr>
    </w:lvl>
    <w:lvl w:ilvl="2">
      <w:start w:val="0"/>
      <w:numFmt w:val="bullet"/>
      <w:lvlText w:val="•"/>
      <w:lvlJc w:val="left"/>
      <w:pPr>
        <w:ind w:left="1017" w:hanging="244"/>
      </w:pPr>
      <w:rPr>
        <w:rFonts w:hint="default"/>
      </w:rPr>
    </w:lvl>
    <w:lvl w:ilvl="3">
      <w:start w:val="0"/>
      <w:numFmt w:val="bullet"/>
      <w:lvlText w:val="•"/>
      <w:lvlJc w:val="left"/>
      <w:pPr>
        <w:ind w:left="1346" w:hanging="244"/>
      </w:pPr>
      <w:rPr>
        <w:rFonts w:hint="default"/>
      </w:rPr>
    </w:lvl>
    <w:lvl w:ilvl="4">
      <w:start w:val="0"/>
      <w:numFmt w:val="bullet"/>
      <w:lvlText w:val="•"/>
      <w:lvlJc w:val="left"/>
      <w:pPr>
        <w:ind w:left="1675" w:hanging="244"/>
      </w:pPr>
      <w:rPr>
        <w:rFonts w:hint="default"/>
      </w:rPr>
    </w:lvl>
    <w:lvl w:ilvl="5">
      <w:start w:val="0"/>
      <w:numFmt w:val="bullet"/>
      <w:lvlText w:val="•"/>
      <w:lvlJc w:val="left"/>
      <w:pPr>
        <w:ind w:left="2004" w:hanging="244"/>
      </w:pPr>
      <w:rPr>
        <w:rFonts w:hint="default"/>
      </w:rPr>
    </w:lvl>
    <w:lvl w:ilvl="6">
      <w:start w:val="0"/>
      <w:numFmt w:val="bullet"/>
      <w:lvlText w:val="•"/>
      <w:lvlJc w:val="left"/>
      <w:pPr>
        <w:ind w:left="2333" w:hanging="244"/>
      </w:pPr>
      <w:rPr>
        <w:rFonts w:hint="default"/>
      </w:rPr>
    </w:lvl>
    <w:lvl w:ilvl="7">
      <w:start w:val="0"/>
      <w:numFmt w:val="bullet"/>
      <w:lvlText w:val="•"/>
      <w:lvlJc w:val="left"/>
      <w:pPr>
        <w:ind w:left="2662" w:hanging="244"/>
      </w:pPr>
      <w:rPr>
        <w:rFonts w:hint="default"/>
      </w:rPr>
    </w:lvl>
    <w:lvl w:ilvl="8">
      <w:start w:val="0"/>
      <w:numFmt w:val="bullet"/>
      <w:lvlText w:val="•"/>
      <w:lvlJc w:val="left"/>
      <w:pPr>
        <w:ind w:left="2991" w:hanging="244"/>
      </w:pPr>
      <w:rPr>
        <w:rFonts w:hint="default"/>
      </w:rPr>
    </w:lvl>
  </w:abstractNum>
  <w:abstractNum w:abstractNumId="85">
    <w:multiLevelType w:val="hybridMultilevel"/>
    <w:lvl w:ilvl="0">
      <w:start w:val="0"/>
      <w:numFmt w:val="bullet"/>
      <w:lvlText w:val="●"/>
      <w:lvlJc w:val="left"/>
      <w:pPr>
        <w:ind w:left="356" w:hanging="244"/>
      </w:pPr>
      <w:rPr>
        <w:rFonts w:hint="default" w:ascii="微軟正黑體" w:hAnsi="微軟正黑體" w:eastAsia="微軟正黑體" w:cs="微軟正黑體"/>
        <w:color w:val="231F20"/>
        <w:w w:val="98"/>
        <w:position w:val="3"/>
        <w:sz w:val="17"/>
        <w:szCs w:val="17"/>
      </w:rPr>
    </w:lvl>
    <w:lvl w:ilvl="1">
      <w:start w:val="0"/>
      <w:numFmt w:val="bullet"/>
      <w:lvlText w:val="•"/>
      <w:lvlJc w:val="left"/>
      <w:pPr>
        <w:ind w:left="688" w:hanging="244"/>
      </w:pPr>
      <w:rPr>
        <w:rFonts w:hint="default"/>
      </w:rPr>
    </w:lvl>
    <w:lvl w:ilvl="2">
      <w:start w:val="0"/>
      <w:numFmt w:val="bullet"/>
      <w:lvlText w:val="•"/>
      <w:lvlJc w:val="left"/>
      <w:pPr>
        <w:ind w:left="1017" w:hanging="244"/>
      </w:pPr>
      <w:rPr>
        <w:rFonts w:hint="default"/>
      </w:rPr>
    </w:lvl>
    <w:lvl w:ilvl="3">
      <w:start w:val="0"/>
      <w:numFmt w:val="bullet"/>
      <w:lvlText w:val="•"/>
      <w:lvlJc w:val="left"/>
      <w:pPr>
        <w:ind w:left="1346" w:hanging="244"/>
      </w:pPr>
      <w:rPr>
        <w:rFonts w:hint="default"/>
      </w:rPr>
    </w:lvl>
    <w:lvl w:ilvl="4">
      <w:start w:val="0"/>
      <w:numFmt w:val="bullet"/>
      <w:lvlText w:val="•"/>
      <w:lvlJc w:val="left"/>
      <w:pPr>
        <w:ind w:left="1675" w:hanging="244"/>
      </w:pPr>
      <w:rPr>
        <w:rFonts w:hint="default"/>
      </w:rPr>
    </w:lvl>
    <w:lvl w:ilvl="5">
      <w:start w:val="0"/>
      <w:numFmt w:val="bullet"/>
      <w:lvlText w:val="•"/>
      <w:lvlJc w:val="left"/>
      <w:pPr>
        <w:ind w:left="2004" w:hanging="244"/>
      </w:pPr>
      <w:rPr>
        <w:rFonts w:hint="default"/>
      </w:rPr>
    </w:lvl>
    <w:lvl w:ilvl="6">
      <w:start w:val="0"/>
      <w:numFmt w:val="bullet"/>
      <w:lvlText w:val="•"/>
      <w:lvlJc w:val="left"/>
      <w:pPr>
        <w:ind w:left="2333" w:hanging="244"/>
      </w:pPr>
      <w:rPr>
        <w:rFonts w:hint="default"/>
      </w:rPr>
    </w:lvl>
    <w:lvl w:ilvl="7">
      <w:start w:val="0"/>
      <w:numFmt w:val="bullet"/>
      <w:lvlText w:val="•"/>
      <w:lvlJc w:val="left"/>
      <w:pPr>
        <w:ind w:left="2662" w:hanging="244"/>
      </w:pPr>
      <w:rPr>
        <w:rFonts w:hint="default"/>
      </w:rPr>
    </w:lvl>
    <w:lvl w:ilvl="8">
      <w:start w:val="0"/>
      <w:numFmt w:val="bullet"/>
      <w:lvlText w:val="•"/>
      <w:lvlJc w:val="left"/>
      <w:pPr>
        <w:ind w:left="2991" w:hanging="244"/>
      </w:pPr>
      <w:rPr>
        <w:rFonts w:hint="default"/>
      </w:rPr>
    </w:lvl>
  </w:abstractNum>
  <w:abstractNum w:abstractNumId="84">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688" w:hanging="244"/>
      </w:pPr>
      <w:rPr>
        <w:rFonts w:hint="default"/>
      </w:rPr>
    </w:lvl>
    <w:lvl w:ilvl="2">
      <w:start w:val="0"/>
      <w:numFmt w:val="bullet"/>
      <w:lvlText w:val="•"/>
      <w:lvlJc w:val="left"/>
      <w:pPr>
        <w:ind w:left="1017" w:hanging="244"/>
      </w:pPr>
      <w:rPr>
        <w:rFonts w:hint="default"/>
      </w:rPr>
    </w:lvl>
    <w:lvl w:ilvl="3">
      <w:start w:val="0"/>
      <w:numFmt w:val="bullet"/>
      <w:lvlText w:val="•"/>
      <w:lvlJc w:val="left"/>
      <w:pPr>
        <w:ind w:left="1346" w:hanging="244"/>
      </w:pPr>
      <w:rPr>
        <w:rFonts w:hint="default"/>
      </w:rPr>
    </w:lvl>
    <w:lvl w:ilvl="4">
      <w:start w:val="0"/>
      <w:numFmt w:val="bullet"/>
      <w:lvlText w:val="•"/>
      <w:lvlJc w:val="left"/>
      <w:pPr>
        <w:ind w:left="1674" w:hanging="244"/>
      </w:pPr>
      <w:rPr>
        <w:rFonts w:hint="default"/>
      </w:rPr>
    </w:lvl>
    <w:lvl w:ilvl="5">
      <w:start w:val="0"/>
      <w:numFmt w:val="bullet"/>
      <w:lvlText w:val="•"/>
      <w:lvlJc w:val="left"/>
      <w:pPr>
        <w:ind w:left="2003" w:hanging="244"/>
      </w:pPr>
      <w:rPr>
        <w:rFonts w:hint="default"/>
      </w:rPr>
    </w:lvl>
    <w:lvl w:ilvl="6">
      <w:start w:val="0"/>
      <w:numFmt w:val="bullet"/>
      <w:lvlText w:val="•"/>
      <w:lvlJc w:val="left"/>
      <w:pPr>
        <w:ind w:left="2332" w:hanging="244"/>
      </w:pPr>
      <w:rPr>
        <w:rFonts w:hint="default"/>
      </w:rPr>
    </w:lvl>
    <w:lvl w:ilvl="7">
      <w:start w:val="0"/>
      <w:numFmt w:val="bullet"/>
      <w:lvlText w:val="•"/>
      <w:lvlJc w:val="left"/>
      <w:pPr>
        <w:ind w:left="2660" w:hanging="244"/>
      </w:pPr>
      <w:rPr>
        <w:rFonts w:hint="default"/>
      </w:rPr>
    </w:lvl>
    <w:lvl w:ilvl="8">
      <w:start w:val="0"/>
      <w:numFmt w:val="bullet"/>
      <w:lvlText w:val="•"/>
      <w:lvlJc w:val="left"/>
      <w:pPr>
        <w:ind w:left="2989" w:hanging="244"/>
      </w:pPr>
      <w:rPr>
        <w:rFonts w:hint="default"/>
      </w:rPr>
    </w:lvl>
  </w:abstractNum>
  <w:abstractNum w:abstractNumId="83">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688" w:hanging="244"/>
      </w:pPr>
      <w:rPr>
        <w:rFonts w:hint="default"/>
      </w:rPr>
    </w:lvl>
    <w:lvl w:ilvl="2">
      <w:start w:val="0"/>
      <w:numFmt w:val="bullet"/>
      <w:lvlText w:val="•"/>
      <w:lvlJc w:val="left"/>
      <w:pPr>
        <w:ind w:left="1017" w:hanging="244"/>
      </w:pPr>
      <w:rPr>
        <w:rFonts w:hint="default"/>
      </w:rPr>
    </w:lvl>
    <w:lvl w:ilvl="3">
      <w:start w:val="0"/>
      <w:numFmt w:val="bullet"/>
      <w:lvlText w:val="•"/>
      <w:lvlJc w:val="left"/>
      <w:pPr>
        <w:ind w:left="1346" w:hanging="244"/>
      </w:pPr>
      <w:rPr>
        <w:rFonts w:hint="default"/>
      </w:rPr>
    </w:lvl>
    <w:lvl w:ilvl="4">
      <w:start w:val="0"/>
      <w:numFmt w:val="bullet"/>
      <w:lvlText w:val="•"/>
      <w:lvlJc w:val="left"/>
      <w:pPr>
        <w:ind w:left="1674" w:hanging="244"/>
      </w:pPr>
      <w:rPr>
        <w:rFonts w:hint="default"/>
      </w:rPr>
    </w:lvl>
    <w:lvl w:ilvl="5">
      <w:start w:val="0"/>
      <w:numFmt w:val="bullet"/>
      <w:lvlText w:val="•"/>
      <w:lvlJc w:val="left"/>
      <w:pPr>
        <w:ind w:left="2003" w:hanging="244"/>
      </w:pPr>
      <w:rPr>
        <w:rFonts w:hint="default"/>
      </w:rPr>
    </w:lvl>
    <w:lvl w:ilvl="6">
      <w:start w:val="0"/>
      <w:numFmt w:val="bullet"/>
      <w:lvlText w:val="•"/>
      <w:lvlJc w:val="left"/>
      <w:pPr>
        <w:ind w:left="2332" w:hanging="244"/>
      </w:pPr>
      <w:rPr>
        <w:rFonts w:hint="default"/>
      </w:rPr>
    </w:lvl>
    <w:lvl w:ilvl="7">
      <w:start w:val="0"/>
      <w:numFmt w:val="bullet"/>
      <w:lvlText w:val="•"/>
      <w:lvlJc w:val="left"/>
      <w:pPr>
        <w:ind w:left="2660" w:hanging="244"/>
      </w:pPr>
      <w:rPr>
        <w:rFonts w:hint="default"/>
      </w:rPr>
    </w:lvl>
    <w:lvl w:ilvl="8">
      <w:start w:val="0"/>
      <w:numFmt w:val="bullet"/>
      <w:lvlText w:val="•"/>
      <w:lvlJc w:val="left"/>
      <w:pPr>
        <w:ind w:left="2989" w:hanging="244"/>
      </w:pPr>
      <w:rPr>
        <w:rFonts w:hint="default"/>
      </w:rPr>
    </w:lvl>
  </w:abstractNum>
  <w:abstractNum w:abstractNumId="82">
    <w:multiLevelType w:val="hybridMultilevel"/>
    <w:lvl w:ilvl="0">
      <w:start w:val="1"/>
      <w:numFmt w:val="decimal"/>
      <w:lvlText w:val="(%1)"/>
      <w:lvlJc w:val="left"/>
      <w:pPr>
        <w:ind w:left="674" w:hanging="237"/>
        <w:jc w:val="left"/>
      </w:pPr>
      <w:rPr>
        <w:rFonts w:hint="default" w:ascii="Arial Unicode MS" w:hAnsi="Arial Unicode MS" w:eastAsia="Arial Unicode MS" w:cs="Arial Unicode MS"/>
        <w:color w:val="231F20"/>
        <w:w w:val="102"/>
        <w:sz w:val="17"/>
        <w:szCs w:val="17"/>
      </w:rPr>
    </w:lvl>
    <w:lvl w:ilvl="1">
      <w:start w:val="1"/>
      <w:numFmt w:val="decimal"/>
      <w:lvlText w:val="%2."/>
      <w:lvlJc w:val="left"/>
      <w:pPr>
        <w:ind w:left="1348" w:hanging="257"/>
        <w:jc w:val="left"/>
      </w:pPr>
      <w:rPr>
        <w:rFonts w:hint="default" w:ascii="Arial Unicode MS" w:hAnsi="Arial Unicode MS" w:eastAsia="Arial Unicode MS" w:cs="Arial Unicode MS"/>
        <w:color w:val="231F20"/>
        <w:spacing w:val="0"/>
        <w:w w:val="97"/>
        <w:sz w:val="24"/>
        <w:szCs w:val="24"/>
      </w:rPr>
    </w:lvl>
    <w:lvl w:ilvl="2">
      <w:start w:val="0"/>
      <w:numFmt w:val="bullet"/>
      <w:lvlText w:val="•"/>
      <w:lvlJc w:val="left"/>
      <w:pPr>
        <w:ind w:left="1539" w:hanging="257"/>
      </w:pPr>
      <w:rPr>
        <w:rFonts w:hint="default"/>
      </w:rPr>
    </w:lvl>
    <w:lvl w:ilvl="3">
      <w:start w:val="0"/>
      <w:numFmt w:val="bullet"/>
      <w:lvlText w:val="•"/>
      <w:lvlJc w:val="left"/>
      <w:pPr>
        <w:ind w:left="1739" w:hanging="257"/>
      </w:pPr>
      <w:rPr>
        <w:rFonts w:hint="default"/>
      </w:rPr>
    </w:lvl>
    <w:lvl w:ilvl="4">
      <w:start w:val="0"/>
      <w:numFmt w:val="bullet"/>
      <w:lvlText w:val="•"/>
      <w:lvlJc w:val="left"/>
      <w:pPr>
        <w:ind w:left="1939" w:hanging="257"/>
      </w:pPr>
      <w:rPr>
        <w:rFonts w:hint="default"/>
      </w:rPr>
    </w:lvl>
    <w:lvl w:ilvl="5">
      <w:start w:val="0"/>
      <w:numFmt w:val="bullet"/>
      <w:lvlText w:val="•"/>
      <w:lvlJc w:val="left"/>
      <w:pPr>
        <w:ind w:left="2138" w:hanging="257"/>
      </w:pPr>
      <w:rPr>
        <w:rFonts w:hint="default"/>
      </w:rPr>
    </w:lvl>
    <w:lvl w:ilvl="6">
      <w:start w:val="0"/>
      <w:numFmt w:val="bullet"/>
      <w:lvlText w:val="•"/>
      <w:lvlJc w:val="left"/>
      <w:pPr>
        <w:ind w:left="2338" w:hanging="257"/>
      </w:pPr>
      <w:rPr>
        <w:rFonts w:hint="default"/>
      </w:rPr>
    </w:lvl>
    <w:lvl w:ilvl="7">
      <w:start w:val="0"/>
      <w:numFmt w:val="bullet"/>
      <w:lvlText w:val="•"/>
      <w:lvlJc w:val="left"/>
      <w:pPr>
        <w:ind w:left="2538" w:hanging="257"/>
      </w:pPr>
      <w:rPr>
        <w:rFonts w:hint="default"/>
      </w:rPr>
    </w:lvl>
    <w:lvl w:ilvl="8">
      <w:start w:val="0"/>
      <w:numFmt w:val="bullet"/>
      <w:lvlText w:val="•"/>
      <w:lvlJc w:val="left"/>
      <w:pPr>
        <w:ind w:left="2738" w:hanging="257"/>
      </w:pPr>
      <w:rPr>
        <w:rFonts w:hint="default"/>
      </w:rPr>
    </w:lvl>
  </w:abstractNum>
  <w:abstractNum w:abstractNumId="81">
    <w:multiLevelType w:val="hybridMultilevel"/>
    <w:lvl w:ilvl="0">
      <w:start w:val="0"/>
      <w:numFmt w:val="bullet"/>
      <w:lvlText w:val="●"/>
      <w:lvlJc w:val="left"/>
      <w:pPr>
        <w:ind w:left="419" w:hanging="244"/>
      </w:pPr>
      <w:rPr>
        <w:rFonts w:hint="default" w:ascii="Arial Unicode MS" w:hAnsi="Arial Unicode MS" w:eastAsia="Arial Unicode MS" w:cs="Arial Unicode MS"/>
        <w:color w:val="231F20"/>
        <w:w w:val="166"/>
        <w:position w:val="2"/>
        <w:sz w:val="12"/>
        <w:szCs w:val="12"/>
      </w:rPr>
    </w:lvl>
    <w:lvl w:ilvl="1">
      <w:start w:val="0"/>
      <w:numFmt w:val="bullet"/>
      <w:lvlText w:val="•"/>
      <w:lvlJc w:val="left"/>
      <w:pPr>
        <w:ind w:left="691" w:hanging="244"/>
      </w:pPr>
      <w:rPr>
        <w:rFonts w:hint="default"/>
      </w:rPr>
    </w:lvl>
    <w:lvl w:ilvl="2">
      <w:start w:val="0"/>
      <w:numFmt w:val="bullet"/>
      <w:lvlText w:val="•"/>
      <w:lvlJc w:val="left"/>
      <w:pPr>
        <w:ind w:left="963" w:hanging="244"/>
      </w:pPr>
      <w:rPr>
        <w:rFonts w:hint="default"/>
      </w:rPr>
    </w:lvl>
    <w:lvl w:ilvl="3">
      <w:start w:val="0"/>
      <w:numFmt w:val="bullet"/>
      <w:lvlText w:val="•"/>
      <w:lvlJc w:val="left"/>
      <w:pPr>
        <w:ind w:left="1235" w:hanging="244"/>
      </w:pPr>
      <w:rPr>
        <w:rFonts w:hint="default"/>
      </w:rPr>
    </w:lvl>
    <w:lvl w:ilvl="4">
      <w:start w:val="0"/>
      <w:numFmt w:val="bullet"/>
      <w:lvlText w:val="•"/>
      <w:lvlJc w:val="left"/>
      <w:pPr>
        <w:ind w:left="1507" w:hanging="244"/>
      </w:pPr>
      <w:rPr>
        <w:rFonts w:hint="default"/>
      </w:rPr>
    </w:lvl>
    <w:lvl w:ilvl="5">
      <w:start w:val="0"/>
      <w:numFmt w:val="bullet"/>
      <w:lvlText w:val="•"/>
      <w:lvlJc w:val="left"/>
      <w:pPr>
        <w:ind w:left="1778" w:hanging="244"/>
      </w:pPr>
      <w:rPr>
        <w:rFonts w:hint="default"/>
      </w:rPr>
    </w:lvl>
    <w:lvl w:ilvl="6">
      <w:start w:val="0"/>
      <w:numFmt w:val="bullet"/>
      <w:lvlText w:val="•"/>
      <w:lvlJc w:val="left"/>
      <w:pPr>
        <w:ind w:left="2050" w:hanging="244"/>
      </w:pPr>
      <w:rPr>
        <w:rFonts w:hint="default"/>
      </w:rPr>
    </w:lvl>
    <w:lvl w:ilvl="7">
      <w:start w:val="0"/>
      <w:numFmt w:val="bullet"/>
      <w:lvlText w:val="•"/>
      <w:lvlJc w:val="left"/>
      <w:pPr>
        <w:ind w:left="2322" w:hanging="244"/>
      </w:pPr>
      <w:rPr>
        <w:rFonts w:hint="default"/>
      </w:rPr>
    </w:lvl>
    <w:lvl w:ilvl="8">
      <w:start w:val="0"/>
      <w:numFmt w:val="bullet"/>
      <w:lvlText w:val="•"/>
      <w:lvlJc w:val="left"/>
      <w:pPr>
        <w:ind w:left="2593" w:hanging="244"/>
      </w:pPr>
      <w:rPr>
        <w:rFonts w:hint="default"/>
      </w:rPr>
    </w:lvl>
  </w:abstractNum>
  <w:abstractNum w:abstractNumId="80">
    <w:multiLevelType w:val="hybridMultilevel"/>
    <w:lvl w:ilvl="0">
      <w:start w:val="0"/>
      <w:numFmt w:val="bullet"/>
      <w:lvlText w:val="●"/>
      <w:lvlJc w:val="left"/>
      <w:pPr>
        <w:ind w:left="528" w:hanging="244"/>
      </w:pPr>
      <w:rPr>
        <w:rFonts w:hint="default" w:ascii="Arial Unicode MS" w:hAnsi="Arial Unicode MS" w:eastAsia="Arial Unicode MS" w:cs="Arial Unicode MS"/>
        <w:color w:val="231F20"/>
        <w:w w:val="166"/>
        <w:sz w:val="12"/>
        <w:szCs w:val="12"/>
      </w:rPr>
    </w:lvl>
    <w:lvl w:ilvl="1">
      <w:start w:val="0"/>
      <w:numFmt w:val="bullet"/>
      <w:lvlText w:val="•"/>
      <w:lvlJc w:val="left"/>
      <w:pPr>
        <w:ind w:left="887" w:hanging="244"/>
      </w:pPr>
      <w:rPr>
        <w:rFonts w:hint="default"/>
      </w:rPr>
    </w:lvl>
    <w:lvl w:ilvl="2">
      <w:start w:val="0"/>
      <w:numFmt w:val="bullet"/>
      <w:lvlText w:val="•"/>
      <w:lvlJc w:val="left"/>
      <w:pPr>
        <w:ind w:left="1255" w:hanging="244"/>
      </w:pPr>
      <w:rPr>
        <w:rFonts w:hint="default"/>
      </w:rPr>
    </w:lvl>
    <w:lvl w:ilvl="3">
      <w:start w:val="0"/>
      <w:numFmt w:val="bullet"/>
      <w:lvlText w:val="•"/>
      <w:lvlJc w:val="left"/>
      <w:pPr>
        <w:ind w:left="1622" w:hanging="244"/>
      </w:pPr>
      <w:rPr>
        <w:rFonts w:hint="default"/>
      </w:rPr>
    </w:lvl>
    <w:lvl w:ilvl="4">
      <w:start w:val="0"/>
      <w:numFmt w:val="bullet"/>
      <w:lvlText w:val="•"/>
      <w:lvlJc w:val="left"/>
      <w:pPr>
        <w:ind w:left="1990" w:hanging="244"/>
      </w:pPr>
      <w:rPr>
        <w:rFonts w:hint="default"/>
      </w:rPr>
    </w:lvl>
    <w:lvl w:ilvl="5">
      <w:start w:val="0"/>
      <w:numFmt w:val="bullet"/>
      <w:lvlText w:val="•"/>
      <w:lvlJc w:val="left"/>
      <w:pPr>
        <w:ind w:left="2357" w:hanging="244"/>
      </w:pPr>
      <w:rPr>
        <w:rFonts w:hint="default"/>
      </w:rPr>
    </w:lvl>
    <w:lvl w:ilvl="6">
      <w:start w:val="0"/>
      <w:numFmt w:val="bullet"/>
      <w:lvlText w:val="•"/>
      <w:lvlJc w:val="left"/>
      <w:pPr>
        <w:ind w:left="2725" w:hanging="244"/>
      </w:pPr>
      <w:rPr>
        <w:rFonts w:hint="default"/>
      </w:rPr>
    </w:lvl>
    <w:lvl w:ilvl="7">
      <w:start w:val="0"/>
      <w:numFmt w:val="bullet"/>
      <w:lvlText w:val="•"/>
      <w:lvlJc w:val="left"/>
      <w:pPr>
        <w:ind w:left="3092" w:hanging="244"/>
      </w:pPr>
      <w:rPr>
        <w:rFonts w:hint="default"/>
      </w:rPr>
    </w:lvl>
    <w:lvl w:ilvl="8">
      <w:start w:val="0"/>
      <w:numFmt w:val="bullet"/>
      <w:lvlText w:val="•"/>
      <w:lvlJc w:val="left"/>
      <w:pPr>
        <w:ind w:left="3460" w:hanging="244"/>
      </w:pPr>
      <w:rPr>
        <w:rFonts w:hint="default"/>
      </w:rPr>
    </w:lvl>
  </w:abstractNum>
  <w:abstractNum w:abstractNumId="79">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1521" w:hanging="244"/>
      </w:pPr>
      <w:rPr>
        <w:rFonts w:hint="default" w:ascii="Arial Unicode MS" w:hAnsi="Arial Unicode MS" w:eastAsia="Arial Unicode MS" w:cs="Arial Unicode MS"/>
        <w:color w:val="231F20"/>
        <w:w w:val="166"/>
        <w:position w:val="2"/>
        <w:sz w:val="12"/>
        <w:szCs w:val="12"/>
      </w:rPr>
    </w:lvl>
    <w:lvl w:ilvl="2">
      <w:start w:val="0"/>
      <w:numFmt w:val="bullet"/>
      <w:lvlText w:val="•"/>
      <w:lvlJc w:val="left"/>
      <w:pPr>
        <w:ind w:left="1741" w:hanging="244"/>
      </w:pPr>
      <w:rPr>
        <w:rFonts w:hint="default"/>
      </w:rPr>
    </w:lvl>
    <w:lvl w:ilvl="3">
      <w:start w:val="0"/>
      <w:numFmt w:val="bullet"/>
      <w:lvlText w:val="•"/>
      <w:lvlJc w:val="left"/>
      <w:pPr>
        <w:ind w:left="1962" w:hanging="244"/>
      </w:pPr>
      <w:rPr>
        <w:rFonts w:hint="default"/>
      </w:rPr>
    </w:lvl>
    <w:lvl w:ilvl="4">
      <w:start w:val="0"/>
      <w:numFmt w:val="bullet"/>
      <w:lvlText w:val="•"/>
      <w:lvlJc w:val="left"/>
      <w:pPr>
        <w:ind w:left="2183" w:hanging="244"/>
      </w:pPr>
      <w:rPr>
        <w:rFonts w:hint="default"/>
      </w:rPr>
    </w:lvl>
    <w:lvl w:ilvl="5">
      <w:start w:val="0"/>
      <w:numFmt w:val="bullet"/>
      <w:lvlText w:val="•"/>
      <w:lvlJc w:val="left"/>
      <w:pPr>
        <w:ind w:left="2405" w:hanging="244"/>
      </w:pPr>
      <w:rPr>
        <w:rFonts w:hint="default"/>
      </w:rPr>
    </w:lvl>
    <w:lvl w:ilvl="6">
      <w:start w:val="0"/>
      <w:numFmt w:val="bullet"/>
      <w:lvlText w:val="•"/>
      <w:lvlJc w:val="left"/>
      <w:pPr>
        <w:ind w:left="2626" w:hanging="244"/>
      </w:pPr>
      <w:rPr>
        <w:rFonts w:hint="default"/>
      </w:rPr>
    </w:lvl>
    <w:lvl w:ilvl="7">
      <w:start w:val="0"/>
      <w:numFmt w:val="bullet"/>
      <w:lvlText w:val="•"/>
      <w:lvlJc w:val="left"/>
      <w:pPr>
        <w:ind w:left="2847" w:hanging="244"/>
      </w:pPr>
      <w:rPr>
        <w:rFonts w:hint="default"/>
      </w:rPr>
    </w:lvl>
    <w:lvl w:ilvl="8">
      <w:start w:val="0"/>
      <w:numFmt w:val="bullet"/>
      <w:lvlText w:val="•"/>
      <w:lvlJc w:val="left"/>
      <w:pPr>
        <w:ind w:left="3069" w:hanging="244"/>
      </w:pPr>
      <w:rPr>
        <w:rFonts w:hint="default"/>
      </w:rPr>
    </w:lvl>
  </w:abstractNum>
  <w:abstractNum w:abstractNumId="78">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77">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76">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75">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1590" w:hanging="355"/>
        <w:jc w:val="left"/>
      </w:pPr>
      <w:rPr>
        <w:rFonts w:hint="default" w:ascii="Arial Unicode MS" w:hAnsi="Arial Unicode MS" w:eastAsia="Arial Unicode MS" w:cs="Arial Unicode MS"/>
        <w:color w:val="231F20"/>
        <w:w w:val="99"/>
        <w:sz w:val="24"/>
        <w:szCs w:val="24"/>
      </w:rPr>
    </w:lvl>
    <w:lvl w:ilvl="2">
      <w:start w:val="0"/>
      <w:numFmt w:val="bullet"/>
      <w:lvlText w:val="•"/>
      <w:lvlJc w:val="left"/>
      <w:pPr>
        <w:ind w:left="2636" w:hanging="355"/>
      </w:pPr>
      <w:rPr>
        <w:rFonts w:hint="default"/>
      </w:rPr>
    </w:lvl>
    <w:lvl w:ilvl="3">
      <w:start w:val="0"/>
      <w:numFmt w:val="bullet"/>
      <w:lvlText w:val="•"/>
      <w:lvlJc w:val="left"/>
      <w:pPr>
        <w:ind w:left="3672" w:hanging="355"/>
      </w:pPr>
      <w:rPr>
        <w:rFonts w:hint="default"/>
      </w:rPr>
    </w:lvl>
    <w:lvl w:ilvl="4">
      <w:start w:val="0"/>
      <w:numFmt w:val="bullet"/>
      <w:lvlText w:val="•"/>
      <w:lvlJc w:val="left"/>
      <w:pPr>
        <w:ind w:left="4708" w:hanging="355"/>
      </w:pPr>
      <w:rPr>
        <w:rFonts w:hint="default"/>
      </w:rPr>
    </w:lvl>
    <w:lvl w:ilvl="5">
      <w:start w:val="0"/>
      <w:numFmt w:val="bullet"/>
      <w:lvlText w:val="•"/>
      <w:lvlJc w:val="left"/>
      <w:pPr>
        <w:ind w:left="5744" w:hanging="355"/>
      </w:pPr>
      <w:rPr>
        <w:rFonts w:hint="default"/>
      </w:rPr>
    </w:lvl>
    <w:lvl w:ilvl="6">
      <w:start w:val="0"/>
      <w:numFmt w:val="bullet"/>
      <w:lvlText w:val="•"/>
      <w:lvlJc w:val="left"/>
      <w:pPr>
        <w:ind w:left="6780" w:hanging="355"/>
      </w:pPr>
      <w:rPr>
        <w:rFonts w:hint="default"/>
      </w:rPr>
    </w:lvl>
    <w:lvl w:ilvl="7">
      <w:start w:val="0"/>
      <w:numFmt w:val="bullet"/>
      <w:lvlText w:val="•"/>
      <w:lvlJc w:val="left"/>
      <w:pPr>
        <w:ind w:left="7816" w:hanging="355"/>
      </w:pPr>
      <w:rPr>
        <w:rFonts w:hint="default"/>
      </w:rPr>
    </w:lvl>
    <w:lvl w:ilvl="8">
      <w:start w:val="0"/>
      <w:numFmt w:val="bullet"/>
      <w:lvlText w:val="•"/>
      <w:lvlJc w:val="left"/>
      <w:pPr>
        <w:ind w:left="8852" w:hanging="355"/>
      </w:pPr>
      <w:rPr>
        <w:rFonts w:hint="default"/>
      </w:rPr>
    </w:lvl>
  </w:abstractNum>
  <w:abstractNum w:abstractNumId="74">
    <w:multiLevelType w:val="hybridMultilevel"/>
    <w:lvl w:ilvl="0">
      <w:start w:val="1"/>
      <w:numFmt w:val="decimal"/>
      <w:lvlText w:val="%1."/>
      <w:lvlJc w:val="left"/>
      <w:pPr>
        <w:ind w:left="1349" w:hanging="257"/>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1591" w:hanging="354"/>
        <w:jc w:val="left"/>
      </w:pPr>
      <w:rPr>
        <w:rFonts w:hint="default" w:ascii="Arial Unicode MS" w:hAnsi="Arial Unicode MS" w:eastAsia="Arial Unicode MS" w:cs="Arial Unicode MS"/>
        <w:color w:val="231F20"/>
        <w:w w:val="99"/>
        <w:sz w:val="24"/>
        <w:szCs w:val="24"/>
      </w:rPr>
    </w:lvl>
    <w:lvl w:ilvl="2">
      <w:start w:val="0"/>
      <w:numFmt w:val="bullet"/>
      <w:lvlText w:val="•"/>
      <w:lvlJc w:val="left"/>
      <w:pPr>
        <w:ind w:left="2636" w:hanging="354"/>
      </w:pPr>
      <w:rPr>
        <w:rFonts w:hint="default"/>
      </w:rPr>
    </w:lvl>
    <w:lvl w:ilvl="3">
      <w:start w:val="0"/>
      <w:numFmt w:val="bullet"/>
      <w:lvlText w:val="•"/>
      <w:lvlJc w:val="left"/>
      <w:pPr>
        <w:ind w:left="3672" w:hanging="354"/>
      </w:pPr>
      <w:rPr>
        <w:rFonts w:hint="default"/>
      </w:rPr>
    </w:lvl>
    <w:lvl w:ilvl="4">
      <w:start w:val="0"/>
      <w:numFmt w:val="bullet"/>
      <w:lvlText w:val="•"/>
      <w:lvlJc w:val="left"/>
      <w:pPr>
        <w:ind w:left="4708" w:hanging="354"/>
      </w:pPr>
      <w:rPr>
        <w:rFonts w:hint="default"/>
      </w:rPr>
    </w:lvl>
    <w:lvl w:ilvl="5">
      <w:start w:val="0"/>
      <w:numFmt w:val="bullet"/>
      <w:lvlText w:val="•"/>
      <w:lvlJc w:val="left"/>
      <w:pPr>
        <w:ind w:left="5744" w:hanging="354"/>
      </w:pPr>
      <w:rPr>
        <w:rFonts w:hint="default"/>
      </w:rPr>
    </w:lvl>
    <w:lvl w:ilvl="6">
      <w:start w:val="0"/>
      <w:numFmt w:val="bullet"/>
      <w:lvlText w:val="•"/>
      <w:lvlJc w:val="left"/>
      <w:pPr>
        <w:ind w:left="6780" w:hanging="354"/>
      </w:pPr>
      <w:rPr>
        <w:rFonts w:hint="default"/>
      </w:rPr>
    </w:lvl>
    <w:lvl w:ilvl="7">
      <w:start w:val="0"/>
      <w:numFmt w:val="bullet"/>
      <w:lvlText w:val="•"/>
      <w:lvlJc w:val="left"/>
      <w:pPr>
        <w:ind w:left="7816" w:hanging="354"/>
      </w:pPr>
      <w:rPr>
        <w:rFonts w:hint="default"/>
      </w:rPr>
    </w:lvl>
    <w:lvl w:ilvl="8">
      <w:start w:val="0"/>
      <w:numFmt w:val="bullet"/>
      <w:lvlText w:val="•"/>
      <w:lvlJc w:val="left"/>
      <w:pPr>
        <w:ind w:left="8852" w:hanging="354"/>
      </w:pPr>
      <w:rPr>
        <w:rFonts w:hint="default"/>
      </w:rPr>
    </w:lvl>
  </w:abstractNum>
  <w:abstractNum w:abstractNumId="73">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1236" w:hanging="244"/>
      </w:pPr>
      <w:rPr>
        <w:rFonts w:hint="default"/>
      </w:rPr>
    </w:lvl>
    <w:lvl w:ilvl="2">
      <w:start w:val="0"/>
      <w:numFmt w:val="bullet"/>
      <w:lvlText w:val="•"/>
      <w:lvlJc w:val="left"/>
      <w:pPr>
        <w:ind w:left="2112" w:hanging="244"/>
      </w:pPr>
      <w:rPr>
        <w:rFonts w:hint="default"/>
      </w:rPr>
    </w:lvl>
    <w:lvl w:ilvl="3">
      <w:start w:val="0"/>
      <w:numFmt w:val="bullet"/>
      <w:lvlText w:val="•"/>
      <w:lvlJc w:val="left"/>
      <w:pPr>
        <w:ind w:left="2988" w:hanging="244"/>
      </w:pPr>
      <w:rPr>
        <w:rFonts w:hint="default"/>
      </w:rPr>
    </w:lvl>
    <w:lvl w:ilvl="4">
      <w:start w:val="0"/>
      <w:numFmt w:val="bullet"/>
      <w:lvlText w:val="•"/>
      <w:lvlJc w:val="left"/>
      <w:pPr>
        <w:ind w:left="3865" w:hanging="244"/>
      </w:pPr>
      <w:rPr>
        <w:rFonts w:hint="default"/>
      </w:rPr>
    </w:lvl>
    <w:lvl w:ilvl="5">
      <w:start w:val="0"/>
      <w:numFmt w:val="bullet"/>
      <w:lvlText w:val="•"/>
      <w:lvlJc w:val="left"/>
      <w:pPr>
        <w:ind w:left="4741" w:hanging="244"/>
      </w:pPr>
      <w:rPr>
        <w:rFonts w:hint="default"/>
      </w:rPr>
    </w:lvl>
    <w:lvl w:ilvl="6">
      <w:start w:val="0"/>
      <w:numFmt w:val="bullet"/>
      <w:lvlText w:val="•"/>
      <w:lvlJc w:val="left"/>
      <w:pPr>
        <w:ind w:left="5617" w:hanging="244"/>
      </w:pPr>
      <w:rPr>
        <w:rFonts w:hint="default"/>
      </w:rPr>
    </w:lvl>
    <w:lvl w:ilvl="7">
      <w:start w:val="0"/>
      <w:numFmt w:val="bullet"/>
      <w:lvlText w:val="•"/>
      <w:lvlJc w:val="left"/>
      <w:pPr>
        <w:ind w:left="6494" w:hanging="244"/>
      </w:pPr>
      <w:rPr>
        <w:rFonts w:hint="default"/>
      </w:rPr>
    </w:lvl>
    <w:lvl w:ilvl="8">
      <w:start w:val="0"/>
      <w:numFmt w:val="bullet"/>
      <w:lvlText w:val="•"/>
      <w:lvlJc w:val="left"/>
      <w:pPr>
        <w:ind w:left="7370" w:hanging="244"/>
      </w:pPr>
      <w:rPr>
        <w:rFonts w:hint="default"/>
      </w:rPr>
    </w:lvl>
  </w:abstractNum>
  <w:abstractNum w:abstractNumId="72">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1236" w:hanging="244"/>
      </w:pPr>
      <w:rPr>
        <w:rFonts w:hint="default"/>
      </w:rPr>
    </w:lvl>
    <w:lvl w:ilvl="2">
      <w:start w:val="0"/>
      <w:numFmt w:val="bullet"/>
      <w:lvlText w:val="•"/>
      <w:lvlJc w:val="left"/>
      <w:pPr>
        <w:ind w:left="2112" w:hanging="244"/>
      </w:pPr>
      <w:rPr>
        <w:rFonts w:hint="default"/>
      </w:rPr>
    </w:lvl>
    <w:lvl w:ilvl="3">
      <w:start w:val="0"/>
      <w:numFmt w:val="bullet"/>
      <w:lvlText w:val="•"/>
      <w:lvlJc w:val="left"/>
      <w:pPr>
        <w:ind w:left="2988" w:hanging="244"/>
      </w:pPr>
      <w:rPr>
        <w:rFonts w:hint="default"/>
      </w:rPr>
    </w:lvl>
    <w:lvl w:ilvl="4">
      <w:start w:val="0"/>
      <w:numFmt w:val="bullet"/>
      <w:lvlText w:val="•"/>
      <w:lvlJc w:val="left"/>
      <w:pPr>
        <w:ind w:left="3865" w:hanging="244"/>
      </w:pPr>
      <w:rPr>
        <w:rFonts w:hint="default"/>
      </w:rPr>
    </w:lvl>
    <w:lvl w:ilvl="5">
      <w:start w:val="0"/>
      <w:numFmt w:val="bullet"/>
      <w:lvlText w:val="•"/>
      <w:lvlJc w:val="left"/>
      <w:pPr>
        <w:ind w:left="4741" w:hanging="244"/>
      </w:pPr>
      <w:rPr>
        <w:rFonts w:hint="default"/>
      </w:rPr>
    </w:lvl>
    <w:lvl w:ilvl="6">
      <w:start w:val="0"/>
      <w:numFmt w:val="bullet"/>
      <w:lvlText w:val="•"/>
      <w:lvlJc w:val="left"/>
      <w:pPr>
        <w:ind w:left="5617" w:hanging="244"/>
      </w:pPr>
      <w:rPr>
        <w:rFonts w:hint="default"/>
      </w:rPr>
    </w:lvl>
    <w:lvl w:ilvl="7">
      <w:start w:val="0"/>
      <w:numFmt w:val="bullet"/>
      <w:lvlText w:val="•"/>
      <w:lvlJc w:val="left"/>
      <w:pPr>
        <w:ind w:left="6494" w:hanging="244"/>
      </w:pPr>
      <w:rPr>
        <w:rFonts w:hint="default"/>
      </w:rPr>
    </w:lvl>
    <w:lvl w:ilvl="8">
      <w:start w:val="0"/>
      <w:numFmt w:val="bullet"/>
      <w:lvlText w:val="•"/>
      <w:lvlJc w:val="left"/>
      <w:pPr>
        <w:ind w:left="7370" w:hanging="244"/>
      </w:pPr>
      <w:rPr>
        <w:rFonts w:hint="default"/>
      </w:rPr>
    </w:lvl>
  </w:abstractNum>
  <w:abstractNum w:abstractNumId="71">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1"/>
      <w:numFmt w:val="decimal"/>
      <w:lvlText w:val="%2."/>
      <w:lvlJc w:val="left"/>
      <w:pPr>
        <w:ind w:left="594" w:hanging="255"/>
        <w:jc w:val="left"/>
      </w:pPr>
      <w:rPr>
        <w:rFonts w:hint="default" w:ascii="Arial Unicode MS" w:hAnsi="Arial Unicode MS" w:eastAsia="Arial Unicode MS" w:cs="Arial Unicode MS"/>
        <w:color w:val="231F20"/>
        <w:w w:val="82"/>
        <w:sz w:val="24"/>
        <w:szCs w:val="24"/>
      </w:rPr>
    </w:lvl>
    <w:lvl w:ilvl="2">
      <w:start w:val="0"/>
      <w:numFmt w:val="bullet"/>
      <w:lvlText w:val="•"/>
      <w:lvlJc w:val="left"/>
      <w:pPr>
        <w:ind w:left="1547" w:hanging="255"/>
      </w:pPr>
      <w:rPr>
        <w:rFonts w:hint="default"/>
      </w:rPr>
    </w:lvl>
    <w:lvl w:ilvl="3">
      <w:start w:val="0"/>
      <w:numFmt w:val="bullet"/>
      <w:lvlText w:val="•"/>
      <w:lvlJc w:val="left"/>
      <w:pPr>
        <w:ind w:left="2494" w:hanging="255"/>
      </w:pPr>
      <w:rPr>
        <w:rFonts w:hint="default"/>
      </w:rPr>
    </w:lvl>
    <w:lvl w:ilvl="4">
      <w:start w:val="0"/>
      <w:numFmt w:val="bullet"/>
      <w:lvlText w:val="•"/>
      <w:lvlJc w:val="left"/>
      <w:pPr>
        <w:ind w:left="3441" w:hanging="255"/>
      </w:pPr>
      <w:rPr>
        <w:rFonts w:hint="default"/>
      </w:rPr>
    </w:lvl>
    <w:lvl w:ilvl="5">
      <w:start w:val="0"/>
      <w:numFmt w:val="bullet"/>
      <w:lvlText w:val="•"/>
      <w:lvlJc w:val="left"/>
      <w:pPr>
        <w:ind w:left="4388" w:hanging="255"/>
      </w:pPr>
      <w:rPr>
        <w:rFonts w:hint="default"/>
      </w:rPr>
    </w:lvl>
    <w:lvl w:ilvl="6">
      <w:start w:val="0"/>
      <w:numFmt w:val="bullet"/>
      <w:lvlText w:val="•"/>
      <w:lvlJc w:val="left"/>
      <w:pPr>
        <w:ind w:left="5335" w:hanging="255"/>
      </w:pPr>
      <w:rPr>
        <w:rFonts w:hint="default"/>
      </w:rPr>
    </w:lvl>
    <w:lvl w:ilvl="7">
      <w:start w:val="0"/>
      <w:numFmt w:val="bullet"/>
      <w:lvlText w:val="•"/>
      <w:lvlJc w:val="left"/>
      <w:pPr>
        <w:ind w:left="6282" w:hanging="255"/>
      </w:pPr>
      <w:rPr>
        <w:rFonts w:hint="default"/>
      </w:rPr>
    </w:lvl>
    <w:lvl w:ilvl="8">
      <w:start w:val="0"/>
      <w:numFmt w:val="bullet"/>
      <w:lvlText w:val="•"/>
      <w:lvlJc w:val="left"/>
      <w:pPr>
        <w:ind w:left="7229" w:hanging="255"/>
      </w:pPr>
      <w:rPr>
        <w:rFonts w:hint="default"/>
      </w:rPr>
    </w:lvl>
  </w:abstractNum>
  <w:abstractNum w:abstractNumId="70">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1236" w:hanging="244"/>
      </w:pPr>
      <w:rPr>
        <w:rFonts w:hint="default"/>
      </w:rPr>
    </w:lvl>
    <w:lvl w:ilvl="2">
      <w:start w:val="0"/>
      <w:numFmt w:val="bullet"/>
      <w:lvlText w:val="•"/>
      <w:lvlJc w:val="left"/>
      <w:pPr>
        <w:ind w:left="2112" w:hanging="244"/>
      </w:pPr>
      <w:rPr>
        <w:rFonts w:hint="default"/>
      </w:rPr>
    </w:lvl>
    <w:lvl w:ilvl="3">
      <w:start w:val="0"/>
      <w:numFmt w:val="bullet"/>
      <w:lvlText w:val="•"/>
      <w:lvlJc w:val="left"/>
      <w:pPr>
        <w:ind w:left="2988" w:hanging="244"/>
      </w:pPr>
      <w:rPr>
        <w:rFonts w:hint="default"/>
      </w:rPr>
    </w:lvl>
    <w:lvl w:ilvl="4">
      <w:start w:val="0"/>
      <w:numFmt w:val="bullet"/>
      <w:lvlText w:val="•"/>
      <w:lvlJc w:val="left"/>
      <w:pPr>
        <w:ind w:left="3865" w:hanging="244"/>
      </w:pPr>
      <w:rPr>
        <w:rFonts w:hint="default"/>
      </w:rPr>
    </w:lvl>
    <w:lvl w:ilvl="5">
      <w:start w:val="0"/>
      <w:numFmt w:val="bullet"/>
      <w:lvlText w:val="•"/>
      <w:lvlJc w:val="left"/>
      <w:pPr>
        <w:ind w:left="4741" w:hanging="244"/>
      </w:pPr>
      <w:rPr>
        <w:rFonts w:hint="default"/>
      </w:rPr>
    </w:lvl>
    <w:lvl w:ilvl="6">
      <w:start w:val="0"/>
      <w:numFmt w:val="bullet"/>
      <w:lvlText w:val="•"/>
      <w:lvlJc w:val="left"/>
      <w:pPr>
        <w:ind w:left="5617" w:hanging="244"/>
      </w:pPr>
      <w:rPr>
        <w:rFonts w:hint="default"/>
      </w:rPr>
    </w:lvl>
    <w:lvl w:ilvl="7">
      <w:start w:val="0"/>
      <w:numFmt w:val="bullet"/>
      <w:lvlText w:val="•"/>
      <w:lvlJc w:val="left"/>
      <w:pPr>
        <w:ind w:left="6494" w:hanging="244"/>
      </w:pPr>
      <w:rPr>
        <w:rFonts w:hint="default"/>
      </w:rPr>
    </w:lvl>
    <w:lvl w:ilvl="8">
      <w:start w:val="0"/>
      <w:numFmt w:val="bullet"/>
      <w:lvlText w:val="•"/>
      <w:lvlJc w:val="left"/>
      <w:pPr>
        <w:ind w:left="7370" w:hanging="244"/>
      </w:pPr>
      <w:rPr>
        <w:rFonts w:hint="default"/>
      </w:rPr>
    </w:lvl>
  </w:abstractNum>
  <w:abstractNum w:abstractNumId="69">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1"/>
      <w:numFmt w:val="decimal"/>
      <w:lvlText w:val="%2."/>
      <w:lvlJc w:val="left"/>
      <w:pPr>
        <w:ind w:left="594" w:hanging="255"/>
        <w:jc w:val="left"/>
      </w:pPr>
      <w:rPr>
        <w:rFonts w:hint="default" w:ascii="Arial Unicode MS" w:hAnsi="Arial Unicode MS" w:eastAsia="Arial Unicode MS" w:cs="Arial Unicode MS"/>
        <w:color w:val="231F20"/>
        <w:w w:val="97"/>
        <w:sz w:val="24"/>
        <w:szCs w:val="24"/>
      </w:rPr>
    </w:lvl>
    <w:lvl w:ilvl="2">
      <w:start w:val="0"/>
      <w:numFmt w:val="bullet"/>
      <w:lvlText w:val="•"/>
      <w:lvlJc w:val="left"/>
      <w:pPr>
        <w:ind w:left="1547" w:hanging="255"/>
      </w:pPr>
      <w:rPr>
        <w:rFonts w:hint="default"/>
      </w:rPr>
    </w:lvl>
    <w:lvl w:ilvl="3">
      <w:start w:val="0"/>
      <w:numFmt w:val="bullet"/>
      <w:lvlText w:val="•"/>
      <w:lvlJc w:val="left"/>
      <w:pPr>
        <w:ind w:left="2494" w:hanging="255"/>
      </w:pPr>
      <w:rPr>
        <w:rFonts w:hint="default"/>
      </w:rPr>
    </w:lvl>
    <w:lvl w:ilvl="4">
      <w:start w:val="0"/>
      <w:numFmt w:val="bullet"/>
      <w:lvlText w:val="•"/>
      <w:lvlJc w:val="left"/>
      <w:pPr>
        <w:ind w:left="3441" w:hanging="255"/>
      </w:pPr>
      <w:rPr>
        <w:rFonts w:hint="default"/>
      </w:rPr>
    </w:lvl>
    <w:lvl w:ilvl="5">
      <w:start w:val="0"/>
      <w:numFmt w:val="bullet"/>
      <w:lvlText w:val="•"/>
      <w:lvlJc w:val="left"/>
      <w:pPr>
        <w:ind w:left="4388" w:hanging="255"/>
      </w:pPr>
      <w:rPr>
        <w:rFonts w:hint="default"/>
      </w:rPr>
    </w:lvl>
    <w:lvl w:ilvl="6">
      <w:start w:val="0"/>
      <w:numFmt w:val="bullet"/>
      <w:lvlText w:val="•"/>
      <w:lvlJc w:val="left"/>
      <w:pPr>
        <w:ind w:left="5335" w:hanging="255"/>
      </w:pPr>
      <w:rPr>
        <w:rFonts w:hint="default"/>
      </w:rPr>
    </w:lvl>
    <w:lvl w:ilvl="7">
      <w:start w:val="0"/>
      <w:numFmt w:val="bullet"/>
      <w:lvlText w:val="•"/>
      <w:lvlJc w:val="left"/>
      <w:pPr>
        <w:ind w:left="6282" w:hanging="255"/>
      </w:pPr>
      <w:rPr>
        <w:rFonts w:hint="default"/>
      </w:rPr>
    </w:lvl>
    <w:lvl w:ilvl="8">
      <w:start w:val="0"/>
      <w:numFmt w:val="bullet"/>
      <w:lvlText w:val="•"/>
      <w:lvlJc w:val="left"/>
      <w:pPr>
        <w:ind w:left="7229" w:hanging="255"/>
      </w:pPr>
      <w:rPr>
        <w:rFonts w:hint="default"/>
      </w:rPr>
    </w:lvl>
  </w:abstractNum>
  <w:abstractNum w:abstractNumId="68">
    <w:multiLevelType w:val="hybridMultilevel"/>
    <w:lvl w:ilvl="0">
      <w:start w:val="0"/>
      <w:numFmt w:val="bullet"/>
      <w:lvlText w:val="●"/>
      <w:lvlJc w:val="left"/>
      <w:pPr>
        <w:ind w:left="356"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1236" w:hanging="244"/>
      </w:pPr>
      <w:rPr>
        <w:rFonts w:hint="default"/>
      </w:rPr>
    </w:lvl>
    <w:lvl w:ilvl="2">
      <w:start w:val="0"/>
      <w:numFmt w:val="bullet"/>
      <w:lvlText w:val="•"/>
      <w:lvlJc w:val="left"/>
      <w:pPr>
        <w:ind w:left="2112" w:hanging="244"/>
      </w:pPr>
      <w:rPr>
        <w:rFonts w:hint="default"/>
      </w:rPr>
    </w:lvl>
    <w:lvl w:ilvl="3">
      <w:start w:val="0"/>
      <w:numFmt w:val="bullet"/>
      <w:lvlText w:val="•"/>
      <w:lvlJc w:val="left"/>
      <w:pPr>
        <w:ind w:left="2988" w:hanging="244"/>
      </w:pPr>
      <w:rPr>
        <w:rFonts w:hint="default"/>
      </w:rPr>
    </w:lvl>
    <w:lvl w:ilvl="4">
      <w:start w:val="0"/>
      <w:numFmt w:val="bullet"/>
      <w:lvlText w:val="•"/>
      <w:lvlJc w:val="left"/>
      <w:pPr>
        <w:ind w:left="3865" w:hanging="244"/>
      </w:pPr>
      <w:rPr>
        <w:rFonts w:hint="default"/>
      </w:rPr>
    </w:lvl>
    <w:lvl w:ilvl="5">
      <w:start w:val="0"/>
      <w:numFmt w:val="bullet"/>
      <w:lvlText w:val="•"/>
      <w:lvlJc w:val="left"/>
      <w:pPr>
        <w:ind w:left="4741" w:hanging="244"/>
      </w:pPr>
      <w:rPr>
        <w:rFonts w:hint="default"/>
      </w:rPr>
    </w:lvl>
    <w:lvl w:ilvl="6">
      <w:start w:val="0"/>
      <w:numFmt w:val="bullet"/>
      <w:lvlText w:val="•"/>
      <w:lvlJc w:val="left"/>
      <w:pPr>
        <w:ind w:left="5617" w:hanging="244"/>
      </w:pPr>
      <w:rPr>
        <w:rFonts w:hint="default"/>
      </w:rPr>
    </w:lvl>
    <w:lvl w:ilvl="7">
      <w:start w:val="0"/>
      <w:numFmt w:val="bullet"/>
      <w:lvlText w:val="•"/>
      <w:lvlJc w:val="left"/>
      <w:pPr>
        <w:ind w:left="6494" w:hanging="244"/>
      </w:pPr>
      <w:rPr>
        <w:rFonts w:hint="default"/>
      </w:rPr>
    </w:lvl>
    <w:lvl w:ilvl="8">
      <w:start w:val="0"/>
      <w:numFmt w:val="bullet"/>
      <w:lvlText w:val="•"/>
      <w:lvlJc w:val="left"/>
      <w:pPr>
        <w:ind w:left="7370" w:hanging="244"/>
      </w:pPr>
      <w:rPr>
        <w:rFonts w:hint="default"/>
      </w:rPr>
    </w:lvl>
  </w:abstractNum>
  <w:abstractNum w:abstractNumId="67">
    <w:multiLevelType w:val="hybridMultilevel"/>
    <w:lvl w:ilvl="0">
      <w:start w:val="1"/>
      <w:numFmt w:val="decimal"/>
      <w:lvlText w:val="%1."/>
      <w:lvlJc w:val="left"/>
      <w:pPr>
        <w:ind w:left="1349" w:hanging="256"/>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6"/>
      </w:pPr>
      <w:rPr>
        <w:rFonts w:hint="default"/>
      </w:rPr>
    </w:lvl>
    <w:lvl w:ilvl="2">
      <w:start w:val="0"/>
      <w:numFmt w:val="bullet"/>
      <w:lvlText w:val="•"/>
      <w:lvlJc w:val="left"/>
      <w:pPr>
        <w:ind w:left="3256" w:hanging="256"/>
      </w:pPr>
      <w:rPr>
        <w:rFonts w:hint="default"/>
      </w:rPr>
    </w:lvl>
    <w:lvl w:ilvl="3">
      <w:start w:val="0"/>
      <w:numFmt w:val="bullet"/>
      <w:lvlText w:val="•"/>
      <w:lvlJc w:val="left"/>
      <w:pPr>
        <w:ind w:left="4215" w:hanging="256"/>
      </w:pPr>
      <w:rPr>
        <w:rFonts w:hint="default"/>
      </w:rPr>
    </w:lvl>
    <w:lvl w:ilvl="4">
      <w:start w:val="0"/>
      <w:numFmt w:val="bullet"/>
      <w:lvlText w:val="•"/>
      <w:lvlJc w:val="left"/>
      <w:pPr>
        <w:ind w:left="5173" w:hanging="256"/>
      </w:pPr>
      <w:rPr>
        <w:rFonts w:hint="default"/>
      </w:rPr>
    </w:lvl>
    <w:lvl w:ilvl="5">
      <w:start w:val="0"/>
      <w:numFmt w:val="bullet"/>
      <w:lvlText w:val="•"/>
      <w:lvlJc w:val="left"/>
      <w:pPr>
        <w:ind w:left="6132" w:hanging="256"/>
      </w:pPr>
      <w:rPr>
        <w:rFonts w:hint="default"/>
      </w:rPr>
    </w:lvl>
    <w:lvl w:ilvl="6">
      <w:start w:val="0"/>
      <w:numFmt w:val="bullet"/>
      <w:lvlText w:val="•"/>
      <w:lvlJc w:val="left"/>
      <w:pPr>
        <w:ind w:left="7090" w:hanging="256"/>
      </w:pPr>
      <w:rPr>
        <w:rFonts w:hint="default"/>
      </w:rPr>
    </w:lvl>
    <w:lvl w:ilvl="7">
      <w:start w:val="0"/>
      <w:numFmt w:val="bullet"/>
      <w:lvlText w:val="•"/>
      <w:lvlJc w:val="left"/>
      <w:pPr>
        <w:ind w:left="8049" w:hanging="256"/>
      </w:pPr>
      <w:rPr>
        <w:rFonts w:hint="default"/>
      </w:rPr>
    </w:lvl>
    <w:lvl w:ilvl="8">
      <w:start w:val="0"/>
      <w:numFmt w:val="bullet"/>
      <w:lvlText w:val="•"/>
      <w:lvlJc w:val="left"/>
      <w:pPr>
        <w:ind w:left="9007" w:hanging="256"/>
      </w:pPr>
      <w:rPr>
        <w:rFonts w:hint="default"/>
      </w:rPr>
    </w:lvl>
  </w:abstractNum>
  <w:abstractNum w:abstractNumId="66">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1591" w:hanging="355"/>
        <w:jc w:val="left"/>
      </w:pPr>
      <w:rPr>
        <w:rFonts w:hint="default" w:ascii="Arial Unicode MS" w:hAnsi="Arial Unicode MS" w:eastAsia="Arial Unicode MS" w:cs="Arial Unicode MS"/>
        <w:color w:val="231F20"/>
        <w:w w:val="99"/>
        <w:sz w:val="24"/>
        <w:szCs w:val="24"/>
      </w:rPr>
    </w:lvl>
    <w:lvl w:ilvl="2">
      <w:start w:val="1"/>
      <w:numFmt w:val="upperLetter"/>
      <w:lvlText w:val="%3."/>
      <w:lvlJc w:val="left"/>
      <w:pPr>
        <w:ind w:left="1836" w:hanging="284"/>
        <w:jc w:val="left"/>
      </w:pPr>
      <w:rPr>
        <w:rFonts w:hint="default" w:ascii="Arial Unicode MS" w:hAnsi="Arial Unicode MS" w:eastAsia="Arial Unicode MS" w:cs="Arial Unicode MS"/>
        <w:color w:val="231F20"/>
        <w:w w:val="82"/>
        <w:sz w:val="24"/>
        <w:szCs w:val="24"/>
      </w:rPr>
    </w:lvl>
    <w:lvl w:ilvl="3">
      <w:start w:val="0"/>
      <w:numFmt w:val="bullet"/>
      <w:lvlText w:val="•"/>
      <w:lvlJc w:val="left"/>
      <w:pPr>
        <w:ind w:left="2975" w:hanging="284"/>
      </w:pPr>
      <w:rPr>
        <w:rFonts w:hint="default"/>
      </w:rPr>
    </w:lvl>
    <w:lvl w:ilvl="4">
      <w:start w:val="0"/>
      <w:numFmt w:val="bullet"/>
      <w:lvlText w:val="•"/>
      <w:lvlJc w:val="left"/>
      <w:pPr>
        <w:ind w:left="4111" w:hanging="284"/>
      </w:pPr>
      <w:rPr>
        <w:rFonts w:hint="default"/>
      </w:rPr>
    </w:lvl>
    <w:lvl w:ilvl="5">
      <w:start w:val="0"/>
      <w:numFmt w:val="bullet"/>
      <w:lvlText w:val="•"/>
      <w:lvlJc w:val="left"/>
      <w:pPr>
        <w:ind w:left="5246" w:hanging="284"/>
      </w:pPr>
      <w:rPr>
        <w:rFonts w:hint="default"/>
      </w:rPr>
    </w:lvl>
    <w:lvl w:ilvl="6">
      <w:start w:val="0"/>
      <w:numFmt w:val="bullet"/>
      <w:lvlText w:val="•"/>
      <w:lvlJc w:val="left"/>
      <w:pPr>
        <w:ind w:left="6382" w:hanging="284"/>
      </w:pPr>
      <w:rPr>
        <w:rFonts w:hint="default"/>
      </w:rPr>
    </w:lvl>
    <w:lvl w:ilvl="7">
      <w:start w:val="0"/>
      <w:numFmt w:val="bullet"/>
      <w:lvlText w:val="•"/>
      <w:lvlJc w:val="left"/>
      <w:pPr>
        <w:ind w:left="7517" w:hanging="284"/>
      </w:pPr>
      <w:rPr>
        <w:rFonts w:hint="default"/>
      </w:rPr>
    </w:lvl>
    <w:lvl w:ilvl="8">
      <w:start w:val="0"/>
      <w:numFmt w:val="bullet"/>
      <w:lvlText w:val="•"/>
      <w:lvlJc w:val="left"/>
      <w:pPr>
        <w:ind w:left="8653" w:hanging="284"/>
      </w:pPr>
      <w:rPr>
        <w:rFonts w:hint="default"/>
      </w:rPr>
    </w:lvl>
  </w:abstractNum>
  <w:abstractNum w:abstractNumId="65">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64">
    <w:multiLevelType w:val="hybridMultilevel"/>
    <w:lvl w:ilvl="0">
      <w:start w:val="0"/>
      <w:numFmt w:val="bullet"/>
      <w:lvlText w:val="●"/>
      <w:lvlJc w:val="left"/>
      <w:pPr>
        <w:ind w:left="359" w:hanging="244"/>
      </w:pPr>
      <w:rPr>
        <w:rFonts w:hint="default" w:ascii="Arial Unicode MS" w:hAnsi="Arial Unicode MS" w:eastAsia="Arial Unicode MS" w:cs="Arial Unicode MS"/>
        <w:color w:val="231F20"/>
        <w:w w:val="174"/>
        <w:sz w:val="16"/>
        <w:szCs w:val="16"/>
      </w:rPr>
    </w:lvl>
    <w:lvl w:ilvl="1">
      <w:start w:val="0"/>
      <w:numFmt w:val="bullet"/>
      <w:lvlText w:val="•"/>
      <w:lvlJc w:val="left"/>
      <w:pPr>
        <w:ind w:left="872" w:hanging="244"/>
      </w:pPr>
      <w:rPr>
        <w:rFonts w:hint="default"/>
      </w:rPr>
    </w:lvl>
    <w:lvl w:ilvl="2">
      <w:start w:val="0"/>
      <w:numFmt w:val="bullet"/>
      <w:lvlText w:val="•"/>
      <w:lvlJc w:val="left"/>
      <w:pPr>
        <w:ind w:left="1384" w:hanging="244"/>
      </w:pPr>
      <w:rPr>
        <w:rFonts w:hint="default"/>
      </w:rPr>
    </w:lvl>
    <w:lvl w:ilvl="3">
      <w:start w:val="0"/>
      <w:numFmt w:val="bullet"/>
      <w:lvlText w:val="•"/>
      <w:lvlJc w:val="left"/>
      <w:pPr>
        <w:ind w:left="1896" w:hanging="244"/>
      </w:pPr>
      <w:rPr>
        <w:rFonts w:hint="default"/>
      </w:rPr>
    </w:lvl>
    <w:lvl w:ilvl="4">
      <w:start w:val="0"/>
      <w:numFmt w:val="bullet"/>
      <w:lvlText w:val="•"/>
      <w:lvlJc w:val="left"/>
      <w:pPr>
        <w:ind w:left="2408" w:hanging="244"/>
      </w:pPr>
      <w:rPr>
        <w:rFonts w:hint="default"/>
      </w:rPr>
    </w:lvl>
    <w:lvl w:ilvl="5">
      <w:start w:val="0"/>
      <w:numFmt w:val="bullet"/>
      <w:lvlText w:val="•"/>
      <w:lvlJc w:val="left"/>
      <w:pPr>
        <w:ind w:left="2920" w:hanging="244"/>
      </w:pPr>
      <w:rPr>
        <w:rFonts w:hint="default"/>
      </w:rPr>
    </w:lvl>
    <w:lvl w:ilvl="6">
      <w:start w:val="0"/>
      <w:numFmt w:val="bullet"/>
      <w:lvlText w:val="•"/>
      <w:lvlJc w:val="left"/>
      <w:pPr>
        <w:ind w:left="3432" w:hanging="244"/>
      </w:pPr>
      <w:rPr>
        <w:rFonts w:hint="default"/>
      </w:rPr>
    </w:lvl>
    <w:lvl w:ilvl="7">
      <w:start w:val="0"/>
      <w:numFmt w:val="bullet"/>
      <w:lvlText w:val="•"/>
      <w:lvlJc w:val="left"/>
      <w:pPr>
        <w:ind w:left="3944" w:hanging="244"/>
      </w:pPr>
      <w:rPr>
        <w:rFonts w:hint="default"/>
      </w:rPr>
    </w:lvl>
    <w:lvl w:ilvl="8">
      <w:start w:val="0"/>
      <w:numFmt w:val="bullet"/>
      <w:lvlText w:val="•"/>
      <w:lvlJc w:val="left"/>
      <w:pPr>
        <w:ind w:left="4456" w:hanging="244"/>
      </w:pPr>
      <w:rPr>
        <w:rFonts w:hint="default"/>
      </w:rPr>
    </w:lvl>
  </w:abstractNum>
  <w:abstractNum w:abstractNumId="63">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62">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1592" w:hanging="356"/>
        <w:jc w:val="left"/>
      </w:pPr>
      <w:rPr>
        <w:rFonts w:hint="default" w:ascii="Arial Unicode MS" w:hAnsi="Arial Unicode MS" w:eastAsia="Arial Unicode MS" w:cs="Arial Unicode MS"/>
        <w:color w:val="231F20"/>
        <w:w w:val="99"/>
        <w:sz w:val="24"/>
        <w:szCs w:val="24"/>
      </w:rPr>
    </w:lvl>
    <w:lvl w:ilvl="2">
      <w:start w:val="1"/>
      <w:numFmt w:val="upperLetter"/>
      <w:lvlText w:val="%3."/>
      <w:lvlJc w:val="left"/>
      <w:pPr>
        <w:ind w:left="1825" w:hanging="284"/>
        <w:jc w:val="left"/>
      </w:pPr>
      <w:rPr>
        <w:rFonts w:hint="default" w:ascii="Arial Unicode MS" w:hAnsi="Arial Unicode MS" w:eastAsia="Arial Unicode MS" w:cs="Arial Unicode MS"/>
        <w:color w:val="231F20"/>
        <w:w w:val="82"/>
        <w:sz w:val="24"/>
        <w:szCs w:val="24"/>
      </w:rPr>
    </w:lvl>
    <w:lvl w:ilvl="3">
      <w:start w:val="1"/>
      <w:numFmt w:val="upperLetter"/>
      <w:lvlText w:val="(%4)"/>
      <w:lvlJc w:val="left"/>
      <w:pPr>
        <w:ind w:left="2080" w:hanging="341"/>
        <w:jc w:val="left"/>
      </w:pPr>
      <w:rPr>
        <w:rFonts w:hint="default" w:ascii="Arial Unicode MS" w:hAnsi="Arial Unicode MS" w:eastAsia="Arial Unicode MS" w:cs="Arial Unicode MS"/>
        <w:color w:val="231F20"/>
        <w:w w:val="96"/>
        <w:sz w:val="24"/>
        <w:szCs w:val="24"/>
      </w:rPr>
    </w:lvl>
    <w:lvl w:ilvl="4">
      <w:start w:val="0"/>
      <w:numFmt w:val="bullet"/>
      <w:lvlText w:val="•"/>
      <w:lvlJc w:val="left"/>
      <w:pPr>
        <w:ind w:left="3343" w:hanging="341"/>
      </w:pPr>
      <w:rPr>
        <w:rFonts w:hint="default"/>
      </w:rPr>
    </w:lvl>
    <w:lvl w:ilvl="5">
      <w:start w:val="0"/>
      <w:numFmt w:val="bullet"/>
      <w:lvlText w:val="•"/>
      <w:lvlJc w:val="left"/>
      <w:pPr>
        <w:ind w:left="4606" w:hanging="341"/>
      </w:pPr>
      <w:rPr>
        <w:rFonts w:hint="default"/>
      </w:rPr>
    </w:lvl>
    <w:lvl w:ilvl="6">
      <w:start w:val="0"/>
      <w:numFmt w:val="bullet"/>
      <w:lvlText w:val="•"/>
      <w:lvlJc w:val="left"/>
      <w:pPr>
        <w:ind w:left="5870" w:hanging="341"/>
      </w:pPr>
      <w:rPr>
        <w:rFonts w:hint="default"/>
      </w:rPr>
    </w:lvl>
    <w:lvl w:ilvl="7">
      <w:start w:val="0"/>
      <w:numFmt w:val="bullet"/>
      <w:lvlText w:val="•"/>
      <w:lvlJc w:val="left"/>
      <w:pPr>
        <w:ind w:left="7133" w:hanging="341"/>
      </w:pPr>
      <w:rPr>
        <w:rFonts w:hint="default"/>
      </w:rPr>
    </w:lvl>
    <w:lvl w:ilvl="8">
      <w:start w:val="0"/>
      <w:numFmt w:val="bullet"/>
      <w:lvlText w:val="•"/>
      <w:lvlJc w:val="left"/>
      <w:pPr>
        <w:ind w:left="8397" w:hanging="341"/>
      </w:pPr>
      <w:rPr>
        <w:rFonts w:hint="default"/>
      </w:rPr>
    </w:lvl>
  </w:abstractNum>
  <w:abstractNum w:abstractNumId="61">
    <w:multiLevelType w:val="hybridMultilevel"/>
    <w:lvl w:ilvl="0">
      <w:start w:val="0"/>
      <w:numFmt w:val="bullet"/>
      <w:lvlText w:val="●"/>
      <w:lvlJc w:val="left"/>
      <w:pPr>
        <w:ind w:left="359"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906" w:hanging="244"/>
      </w:pPr>
      <w:rPr>
        <w:rFonts w:hint="default"/>
      </w:rPr>
    </w:lvl>
    <w:lvl w:ilvl="2">
      <w:start w:val="0"/>
      <w:numFmt w:val="bullet"/>
      <w:lvlText w:val="•"/>
      <w:lvlJc w:val="left"/>
      <w:pPr>
        <w:ind w:left="1452" w:hanging="244"/>
      </w:pPr>
      <w:rPr>
        <w:rFonts w:hint="default"/>
      </w:rPr>
    </w:lvl>
    <w:lvl w:ilvl="3">
      <w:start w:val="0"/>
      <w:numFmt w:val="bullet"/>
      <w:lvlText w:val="•"/>
      <w:lvlJc w:val="left"/>
      <w:pPr>
        <w:ind w:left="1998" w:hanging="244"/>
      </w:pPr>
      <w:rPr>
        <w:rFonts w:hint="default"/>
      </w:rPr>
    </w:lvl>
    <w:lvl w:ilvl="4">
      <w:start w:val="0"/>
      <w:numFmt w:val="bullet"/>
      <w:lvlText w:val="•"/>
      <w:lvlJc w:val="left"/>
      <w:pPr>
        <w:ind w:left="2544" w:hanging="244"/>
      </w:pPr>
      <w:rPr>
        <w:rFonts w:hint="default"/>
      </w:rPr>
    </w:lvl>
    <w:lvl w:ilvl="5">
      <w:start w:val="0"/>
      <w:numFmt w:val="bullet"/>
      <w:lvlText w:val="•"/>
      <w:lvlJc w:val="left"/>
      <w:pPr>
        <w:ind w:left="3090" w:hanging="244"/>
      </w:pPr>
      <w:rPr>
        <w:rFonts w:hint="default"/>
      </w:rPr>
    </w:lvl>
    <w:lvl w:ilvl="6">
      <w:start w:val="0"/>
      <w:numFmt w:val="bullet"/>
      <w:lvlText w:val="•"/>
      <w:lvlJc w:val="left"/>
      <w:pPr>
        <w:ind w:left="3636" w:hanging="244"/>
      </w:pPr>
      <w:rPr>
        <w:rFonts w:hint="default"/>
      </w:rPr>
    </w:lvl>
    <w:lvl w:ilvl="7">
      <w:start w:val="0"/>
      <w:numFmt w:val="bullet"/>
      <w:lvlText w:val="•"/>
      <w:lvlJc w:val="left"/>
      <w:pPr>
        <w:ind w:left="4182" w:hanging="244"/>
      </w:pPr>
      <w:rPr>
        <w:rFonts w:hint="default"/>
      </w:rPr>
    </w:lvl>
    <w:lvl w:ilvl="8">
      <w:start w:val="0"/>
      <w:numFmt w:val="bullet"/>
      <w:lvlText w:val="•"/>
      <w:lvlJc w:val="left"/>
      <w:pPr>
        <w:ind w:left="4728" w:hanging="244"/>
      </w:pPr>
      <w:rPr>
        <w:rFonts w:hint="default"/>
      </w:rPr>
    </w:lvl>
  </w:abstractNum>
  <w:abstractNum w:abstractNumId="60">
    <w:multiLevelType w:val="hybridMultilevel"/>
    <w:lvl w:ilvl="0">
      <w:start w:val="1"/>
      <w:numFmt w:val="decimal"/>
      <w:lvlText w:val="%1."/>
      <w:lvlJc w:val="left"/>
      <w:pPr>
        <w:ind w:left="1349"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59">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58">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57">
    <w:multiLevelType w:val="hybridMultilevel"/>
    <w:lvl w:ilvl="0">
      <w:start w:val="1"/>
      <w:numFmt w:val="decimal"/>
      <w:lvlText w:val="%1."/>
      <w:lvlJc w:val="left"/>
      <w:pPr>
        <w:ind w:left="1349" w:hanging="257"/>
        <w:jc w:val="left"/>
      </w:pPr>
      <w:rPr>
        <w:rFonts w:hint="default" w:ascii="Arial Unicode MS" w:hAnsi="Arial Unicode MS" w:eastAsia="Arial Unicode MS" w:cs="Arial Unicode MS"/>
        <w:color w:val="231F20"/>
        <w:spacing w:val="0"/>
        <w:w w:val="97"/>
        <w:sz w:val="24"/>
        <w:szCs w:val="24"/>
      </w:rPr>
    </w:lvl>
    <w:lvl w:ilvl="1">
      <w:start w:val="0"/>
      <w:numFmt w:val="bullet"/>
      <w:lvlText w:val="•"/>
      <w:lvlJc w:val="left"/>
      <w:pPr>
        <w:ind w:left="2298" w:hanging="257"/>
      </w:pPr>
      <w:rPr>
        <w:rFonts w:hint="default"/>
      </w:rPr>
    </w:lvl>
    <w:lvl w:ilvl="2">
      <w:start w:val="0"/>
      <w:numFmt w:val="bullet"/>
      <w:lvlText w:val="•"/>
      <w:lvlJc w:val="left"/>
      <w:pPr>
        <w:ind w:left="3256" w:hanging="257"/>
      </w:pPr>
      <w:rPr>
        <w:rFonts w:hint="default"/>
      </w:rPr>
    </w:lvl>
    <w:lvl w:ilvl="3">
      <w:start w:val="0"/>
      <w:numFmt w:val="bullet"/>
      <w:lvlText w:val="•"/>
      <w:lvlJc w:val="left"/>
      <w:pPr>
        <w:ind w:left="4215" w:hanging="257"/>
      </w:pPr>
      <w:rPr>
        <w:rFonts w:hint="default"/>
      </w:rPr>
    </w:lvl>
    <w:lvl w:ilvl="4">
      <w:start w:val="0"/>
      <w:numFmt w:val="bullet"/>
      <w:lvlText w:val="•"/>
      <w:lvlJc w:val="left"/>
      <w:pPr>
        <w:ind w:left="5173" w:hanging="257"/>
      </w:pPr>
      <w:rPr>
        <w:rFonts w:hint="default"/>
      </w:rPr>
    </w:lvl>
    <w:lvl w:ilvl="5">
      <w:start w:val="0"/>
      <w:numFmt w:val="bullet"/>
      <w:lvlText w:val="•"/>
      <w:lvlJc w:val="left"/>
      <w:pPr>
        <w:ind w:left="6132" w:hanging="257"/>
      </w:pPr>
      <w:rPr>
        <w:rFonts w:hint="default"/>
      </w:rPr>
    </w:lvl>
    <w:lvl w:ilvl="6">
      <w:start w:val="0"/>
      <w:numFmt w:val="bullet"/>
      <w:lvlText w:val="•"/>
      <w:lvlJc w:val="left"/>
      <w:pPr>
        <w:ind w:left="7090" w:hanging="257"/>
      </w:pPr>
      <w:rPr>
        <w:rFonts w:hint="default"/>
      </w:rPr>
    </w:lvl>
    <w:lvl w:ilvl="7">
      <w:start w:val="0"/>
      <w:numFmt w:val="bullet"/>
      <w:lvlText w:val="•"/>
      <w:lvlJc w:val="left"/>
      <w:pPr>
        <w:ind w:left="8049" w:hanging="257"/>
      </w:pPr>
      <w:rPr>
        <w:rFonts w:hint="default"/>
      </w:rPr>
    </w:lvl>
    <w:lvl w:ilvl="8">
      <w:start w:val="0"/>
      <w:numFmt w:val="bullet"/>
      <w:lvlText w:val="•"/>
      <w:lvlJc w:val="left"/>
      <w:pPr>
        <w:ind w:left="9007" w:hanging="257"/>
      </w:pPr>
      <w:rPr>
        <w:rFonts w:hint="default"/>
      </w:rPr>
    </w:lvl>
  </w:abstractNum>
  <w:abstractNum w:abstractNumId="56">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1591" w:hanging="355"/>
        <w:jc w:val="left"/>
      </w:pPr>
      <w:rPr>
        <w:rFonts w:hint="default" w:ascii="Arial Unicode MS" w:hAnsi="Arial Unicode MS" w:eastAsia="Arial Unicode MS" w:cs="Arial Unicode MS"/>
        <w:color w:val="231F20"/>
        <w:w w:val="96"/>
        <w:sz w:val="24"/>
        <w:szCs w:val="24"/>
      </w:rPr>
    </w:lvl>
    <w:lvl w:ilvl="2">
      <w:start w:val="0"/>
      <w:numFmt w:val="bullet"/>
      <w:lvlText w:val="•"/>
      <w:lvlJc w:val="left"/>
      <w:pPr>
        <w:ind w:left="2636" w:hanging="355"/>
      </w:pPr>
      <w:rPr>
        <w:rFonts w:hint="default"/>
      </w:rPr>
    </w:lvl>
    <w:lvl w:ilvl="3">
      <w:start w:val="0"/>
      <w:numFmt w:val="bullet"/>
      <w:lvlText w:val="•"/>
      <w:lvlJc w:val="left"/>
      <w:pPr>
        <w:ind w:left="3672" w:hanging="355"/>
      </w:pPr>
      <w:rPr>
        <w:rFonts w:hint="default"/>
      </w:rPr>
    </w:lvl>
    <w:lvl w:ilvl="4">
      <w:start w:val="0"/>
      <w:numFmt w:val="bullet"/>
      <w:lvlText w:val="•"/>
      <w:lvlJc w:val="left"/>
      <w:pPr>
        <w:ind w:left="4708" w:hanging="355"/>
      </w:pPr>
      <w:rPr>
        <w:rFonts w:hint="default"/>
      </w:rPr>
    </w:lvl>
    <w:lvl w:ilvl="5">
      <w:start w:val="0"/>
      <w:numFmt w:val="bullet"/>
      <w:lvlText w:val="•"/>
      <w:lvlJc w:val="left"/>
      <w:pPr>
        <w:ind w:left="5744" w:hanging="355"/>
      </w:pPr>
      <w:rPr>
        <w:rFonts w:hint="default"/>
      </w:rPr>
    </w:lvl>
    <w:lvl w:ilvl="6">
      <w:start w:val="0"/>
      <w:numFmt w:val="bullet"/>
      <w:lvlText w:val="•"/>
      <w:lvlJc w:val="left"/>
      <w:pPr>
        <w:ind w:left="6780" w:hanging="355"/>
      </w:pPr>
      <w:rPr>
        <w:rFonts w:hint="default"/>
      </w:rPr>
    </w:lvl>
    <w:lvl w:ilvl="7">
      <w:start w:val="0"/>
      <w:numFmt w:val="bullet"/>
      <w:lvlText w:val="•"/>
      <w:lvlJc w:val="left"/>
      <w:pPr>
        <w:ind w:left="7816" w:hanging="355"/>
      </w:pPr>
      <w:rPr>
        <w:rFonts w:hint="default"/>
      </w:rPr>
    </w:lvl>
    <w:lvl w:ilvl="8">
      <w:start w:val="0"/>
      <w:numFmt w:val="bullet"/>
      <w:lvlText w:val="•"/>
      <w:lvlJc w:val="left"/>
      <w:pPr>
        <w:ind w:left="8852" w:hanging="355"/>
      </w:pPr>
      <w:rPr>
        <w:rFonts w:hint="default"/>
      </w:rPr>
    </w:lvl>
  </w:abstractNum>
  <w:abstractNum w:abstractNumId="55">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54">
    <w:multiLevelType w:val="hybridMultilevel"/>
    <w:lvl w:ilvl="0">
      <w:start w:val="1"/>
      <w:numFmt w:val="decimal"/>
      <w:lvlText w:val="%1."/>
      <w:lvlJc w:val="left"/>
      <w:pPr>
        <w:ind w:left="134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298" w:hanging="255"/>
      </w:pPr>
      <w:rPr>
        <w:rFonts w:hint="default"/>
      </w:rPr>
    </w:lvl>
    <w:lvl w:ilvl="2">
      <w:start w:val="0"/>
      <w:numFmt w:val="bullet"/>
      <w:lvlText w:val="•"/>
      <w:lvlJc w:val="left"/>
      <w:pPr>
        <w:ind w:left="3256" w:hanging="255"/>
      </w:pPr>
      <w:rPr>
        <w:rFonts w:hint="default"/>
      </w:rPr>
    </w:lvl>
    <w:lvl w:ilvl="3">
      <w:start w:val="0"/>
      <w:numFmt w:val="bullet"/>
      <w:lvlText w:val="•"/>
      <w:lvlJc w:val="left"/>
      <w:pPr>
        <w:ind w:left="4215" w:hanging="255"/>
      </w:pPr>
      <w:rPr>
        <w:rFonts w:hint="default"/>
      </w:rPr>
    </w:lvl>
    <w:lvl w:ilvl="4">
      <w:start w:val="0"/>
      <w:numFmt w:val="bullet"/>
      <w:lvlText w:val="•"/>
      <w:lvlJc w:val="left"/>
      <w:pPr>
        <w:ind w:left="5173" w:hanging="255"/>
      </w:pPr>
      <w:rPr>
        <w:rFonts w:hint="default"/>
      </w:rPr>
    </w:lvl>
    <w:lvl w:ilvl="5">
      <w:start w:val="0"/>
      <w:numFmt w:val="bullet"/>
      <w:lvlText w:val="•"/>
      <w:lvlJc w:val="left"/>
      <w:pPr>
        <w:ind w:left="6132" w:hanging="255"/>
      </w:pPr>
      <w:rPr>
        <w:rFonts w:hint="default"/>
      </w:rPr>
    </w:lvl>
    <w:lvl w:ilvl="6">
      <w:start w:val="0"/>
      <w:numFmt w:val="bullet"/>
      <w:lvlText w:val="•"/>
      <w:lvlJc w:val="left"/>
      <w:pPr>
        <w:ind w:left="7090" w:hanging="255"/>
      </w:pPr>
      <w:rPr>
        <w:rFonts w:hint="default"/>
      </w:rPr>
    </w:lvl>
    <w:lvl w:ilvl="7">
      <w:start w:val="0"/>
      <w:numFmt w:val="bullet"/>
      <w:lvlText w:val="•"/>
      <w:lvlJc w:val="left"/>
      <w:pPr>
        <w:ind w:left="8049" w:hanging="255"/>
      </w:pPr>
      <w:rPr>
        <w:rFonts w:hint="default"/>
      </w:rPr>
    </w:lvl>
    <w:lvl w:ilvl="8">
      <w:start w:val="0"/>
      <w:numFmt w:val="bullet"/>
      <w:lvlText w:val="•"/>
      <w:lvlJc w:val="left"/>
      <w:pPr>
        <w:ind w:left="9007" w:hanging="255"/>
      </w:pPr>
      <w:rPr>
        <w:rFonts w:hint="default"/>
      </w:rPr>
    </w:lvl>
  </w:abstractNum>
  <w:abstractNum w:abstractNumId="53">
    <w:multiLevelType w:val="hybridMultilevel"/>
    <w:lvl w:ilvl="0">
      <w:start w:val="1"/>
      <w:numFmt w:val="decimal"/>
      <w:lvlText w:val="%1."/>
      <w:lvlJc w:val="left"/>
      <w:pPr>
        <w:ind w:left="322" w:hanging="170"/>
        <w:jc w:val="left"/>
      </w:pPr>
      <w:rPr>
        <w:rFonts w:hint="default" w:ascii="Arial Unicode MS" w:hAnsi="Arial Unicode MS" w:eastAsia="Arial Unicode MS" w:cs="Arial Unicode MS"/>
        <w:color w:val="231F20"/>
        <w:w w:val="97"/>
        <w:sz w:val="16"/>
        <w:szCs w:val="16"/>
      </w:rPr>
    </w:lvl>
    <w:lvl w:ilvl="1">
      <w:start w:val="1"/>
      <w:numFmt w:val="decimal"/>
      <w:lvlText w:val="%2."/>
      <w:lvlJc w:val="left"/>
      <w:pPr>
        <w:ind w:left="1348" w:hanging="255"/>
        <w:jc w:val="left"/>
      </w:pPr>
      <w:rPr>
        <w:rFonts w:hint="default" w:ascii="Arial Unicode MS" w:hAnsi="Arial Unicode MS" w:eastAsia="Arial Unicode MS" w:cs="Arial Unicode MS"/>
        <w:color w:val="231F20"/>
        <w:w w:val="97"/>
        <w:sz w:val="24"/>
        <w:szCs w:val="24"/>
      </w:rPr>
    </w:lvl>
    <w:lvl w:ilvl="2">
      <w:start w:val="0"/>
      <w:numFmt w:val="bullet"/>
      <w:lvlText w:val="•"/>
      <w:lvlJc w:val="left"/>
      <w:pPr>
        <w:ind w:left="2404" w:hanging="255"/>
      </w:pPr>
      <w:rPr>
        <w:rFonts w:hint="default"/>
      </w:rPr>
    </w:lvl>
    <w:lvl w:ilvl="3">
      <w:start w:val="0"/>
      <w:numFmt w:val="bullet"/>
      <w:lvlText w:val="•"/>
      <w:lvlJc w:val="left"/>
      <w:pPr>
        <w:ind w:left="3469" w:hanging="255"/>
      </w:pPr>
      <w:rPr>
        <w:rFonts w:hint="default"/>
      </w:rPr>
    </w:lvl>
    <w:lvl w:ilvl="4">
      <w:start w:val="0"/>
      <w:numFmt w:val="bullet"/>
      <w:lvlText w:val="•"/>
      <w:lvlJc w:val="left"/>
      <w:pPr>
        <w:ind w:left="4534" w:hanging="255"/>
      </w:pPr>
      <w:rPr>
        <w:rFonts w:hint="default"/>
      </w:rPr>
    </w:lvl>
    <w:lvl w:ilvl="5">
      <w:start w:val="0"/>
      <w:numFmt w:val="bullet"/>
      <w:lvlText w:val="•"/>
      <w:lvlJc w:val="left"/>
      <w:pPr>
        <w:ind w:left="5599" w:hanging="255"/>
      </w:pPr>
      <w:rPr>
        <w:rFonts w:hint="default"/>
      </w:rPr>
    </w:lvl>
    <w:lvl w:ilvl="6">
      <w:start w:val="0"/>
      <w:numFmt w:val="bullet"/>
      <w:lvlText w:val="•"/>
      <w:lvlJc w:val="left"/>
      <w:pPr>
        <w:ind w:left="6664" w:hanging="255"/>
      </w:pPr>
      <w:rPr>
        <w:rFonts w:hint="default"/>
      </w:rPr>
    </w:lvl>
    <w:lvl w:ilvl="7">
      <w:start w:val="0"/>
      <w:numFmt w:val="bullet"/>
      <w:lvlText w:val="•"/>
      <w:lvlJc w:val="left"/>
      <w:pPr>
        <w:ind w:left="7729" w:hanging="255"/>
      </w:pPr>
      <w:rPr>
        <w:rFonts w:hint="default"/>
      </w:rPr>
    </w:lvl>
    <w:lvl w:ilvl="8">
      <w:start w:val="0"/>
      <w:numFmt w:val="bullet"/>
      <w:lvlText w:val="•"/>
      <w:lvlJc w:val="left"/>
      <w:pPr>
        <w:ind w:left="8794" w:hanging="255"/>
      </w:pPr>
      <w:rPr>
        <w:rFonts w:hint="default"/>
      </w:rPr>
    </w:lvl>
  </w:abstractNum>
  <w:abstractNum w:abstractNumId="52">
    <w:multiLevelType w:val="hybridMultilevel"/>
    <w:lvl w:ilvl="0">
      <w:start w:val="0"/>
      <w:numFmt w:val="bullet"/>
      <w:lvlText w:val="●"/>
      <w:lvlJc w:val="left"/>
      <w:pPr>
        <w:ind w:left="288" w:hanging="187"/>
      </w:pPr>
      <w:rPr>
        <w:rFonts w:hint="default" w:ascii="Arial Unicode MS" w:hAnsi="Arial Unicode MS" w:eastAsia="Arial Unicode MS" w:cs="Arial Unicode MS"/>
        <w:color w:val="231F20"/>
        <w:w w:val="169"/>
        <w:sz w:val="11"/>
        <w:szCs w:val="11"/>
      </w:rPr>
    </w:lvl>
    <w:lvl w:ilvl="1">
      <w:start w:val="0"/>
      <w:numFmt w:val="bullet"/>
      <w:lvlText w:val="•"/>
      <w:lvlJc w:val="left"/>
      <w:pPr>
        <w:ind w:left="405" w:hanging="187"/>
      </w:pPr>
      <w:rPr>
        <w:rFonts w:hint="default"/>
      </w:rPr>
    </w:lvl>
    <w:lvl w:ilvl="2">
      <w:start w:val="0"/>
      <w:numFmt w:val="bullet"/>
      <w:lvlText w:val="•"/>
      <w:lvlJc w:val="left"/>
      <w:pPr>
        <w:ind w:left="530" w:hanging="187"/>
      </w:pPr>
      <w:rPr>
        <w:rFonts w:hint="default"/>
      </w:rPr>
    </w:lvl>
    <w:lvl w:ilvl="3">
      <w:start w:val="0"/>
      <w:numFmt w:val="bullet"/>
      <w:lvlText w:val="•"/>
      <w:lvlJc w:val="left"/>
      <w:pPr>
        <w:ind w:left="655" w:hanging="187"/>
      </w:pPr>
      <w:rPr>
        <w:rFonts w:hint="default"/>
      </w:rPr>
    </w:lvl>
    <w:lvl w:ilvl="4">
      <w:start w:val="0"/>
      <w:numFmt w:val="bullet"/>
      <w:lvlText w:val="•"/>
      <w:lvlJc w:val="left"/>
      <w:pPr>
        <w:ind w:left="780" w:hanging="187"/>
      </w:pPr>
      <w:rPr>
        <w:rFonts w:hint="default"/>
      </w:rPr>
    </w:lvl>
    <w:lvl w:ilvl="5">
      <w:start w:val="0"/>
      <w:numFmt w:val="bullet"/>
      <w:lvlText w:val="•"/>
      <w:lvlJc w:val="left"/>
      <w:pPr>
        <w:ind w:left="905" w:hanging="187"/>
      </w:pPr>
      <w:rPr>
        <w:rFonts w:hint="default"/>
      </w:rPr>
    </w:lvl>
    <w:lvl w:ilvl="6">
      <w:start w:val="0"/>
      <w:numFmt w:val="bullet"/>
      <w:lvlText w:val="•"/>
      <w:lvlJc w:val="left"/>
      <w:pPr>
        <w:ind w:left="1030" w:hanging="187"/>
      </w:pPr>
      <w:rPr>
        <w:rFonts w:hint="default"/>
      </w:rPr>
    </w:lvl>
    <w:lvl w:ilvl="7">
      <w:start w:val="0"/>
      <w:numFmt w:val="bullet"/>
      <w:lvlText w:val="•"/>
      <w:lvlJc w:val="left"/>
      <w:pPr>
        <w:ind w:left="1155" w:hanging="187"/>
      </w:pPr>
      <w:rPr>
        <w:rFonts w:hint="default"/>
      </w:rPr>
    </w:lvl>
    <w:lvl w:ilvl="8">
      <w:start w:val="0"/>
      <w:numFmt w:val="bullet"/>
      <w:lvlText w:val="•"/>
      <w:lvlJc w:val="left"/>
      <w:pPr>
        <w:ind w:left="1280" w:hanging="187"/>
      </w:pPr>
      <w:rPr>
        <w:rFonts w:hint="default"/>
      </w:rPr>
    </w:lvl>
  </w:abstractNum>
  <w:abstractNum w:abstractNumId="51">
    <w:multiLevelType w:val="hybridMultilevel"/>
    <w:lvl w:ilvl="0">
      <w:start w:val="0"/>
      <w:numFmt w:val="bullet"/>
      <w:lvlText w:val="●"/>
      <w:lvlJc w:val="left"/>
      <w:pPr>
        <w:ind w:left="243" w:hanging="187"/>
      </w:pPr>
      <w:rPr>
        <w:rFonts w:hint="default" w:ascii="Arial Unicode MS" w:hAnsi="Arial Unicode MS" w:eastAsia="Arial Unicode MS" w:cs="Arial Unicode MS"/>
        <w:color w:val="231F20"/>
        <w:w w:val="169"/>
        <w:sz w:val="11"/>
        <w:szCs w:val="11"/>
      </w:rPr>
    </w:lvl>
    <w:lvl w:ilvl="1">
      <w:start w:val="0"/>
      <w:numFmt w:val="bullet"/>
      <w:lvlText w:val="•"/>
      <w:lvlJc w:val="left"/>
      <w:pPr>
        <w:ind w:left="390" w:hanging="187"/>
      </w:pPr>
      <w:rPr>
        <w:rFonts w:hint="default"/>
      </w:rPr>
    </w:lvl>
    <w:lvl w:ilvl="2">
      <w:start w:val="0"/>
      <w:numFmt w:val="bullet"/>
      <w:lvlText w:val="•"/>
      <w:lvlJc w:val="left"/>
      <w:pPr>
        <w:ind w:left="541" w:hanging="187"/>
      </w:pPr>
      <w:rPr>
        <w:rFonts w:hint="default"/>
      </w:rPr>
    </w:lvl>
    <w:lvl w:ilvl="3">
      <w:start w:val="0"/>
      <w:numFmt w:val="bullet"/>
      <w:lvlText w:val="•"/>
      <w:lvlJc w:val="left"/>
      <w:pPr>
        <w:ind w:left="692" w:hanging="187"/>
      </w:pPr>
      <w:rPr>
        <w:rFonts w:hint="default"/>
      </w:rPr>
    </w:lvl>
    <w:lvl w:ilvl="4">
      <w:start w:val="0"/>
      <w:numFmt w:val="bullet"/>
      <w:lvlText w:val="•"/>
      <w:lvlJc w:val="left"/>
      <w:pPr>
        <w:ind w:left="842" w:hanging="187"/>
      </w:pPr>
      <w:rPr>
        <w:rFonts w:hint="default"/>
      </w:rPr>
    </w:lvl>
    <w:lvl w:ilvl="5">
      <w:start w:val="0"/>
      <w:numFmt w:val="bullet"/>
      <w:lvlText w:val="•"/>
      <w:lvlJc w:val="left"/>
      <w:pPr>
        <w:ind w:left="993" w:hanging="187"/>
      </w:pPr>
      <w:rPr>
        <w:rFonts w:hint="default"/>
      </w:rPr>
    </w:lvl>
    <w:lvl w:ilvl="6">
      <w:start w:val="0"/>
      <w:numFmt w:val="bullet"/>
      <w:lvlText w:val="•"/>
      <w:lvlJc w:val="left"/>
      <w:pPr>
        <w:ind w:left="1144" w:hanging="187"/>
      </w:pPr>
      <w:rPr>
        <w:rFonts w:hint="default"/>
      </w:rPr>
    </w:lvl>
    <w:lvl w:ilvl="7">
      <w:start w:val="0"/>
      <w:numFmt w:val="bullet"/>
      <w:lvlText w:val="•"/>
      <w:lvlJc w:val="left"/>
      <w:pPr>
        <w:ind w:left="1294" w:hanging="187"/>
      </w:pPr>
      <w:rPr>
        <w:rFonts w:hint="default"/>
      </w:rPr>
    </w:lvl>
    <w:lvl w:ilvl="8">
      <w:start w:val="0"/>
      <w:numFmt w:val="bullet"/>
      <w:lvlText w:val="•"/>
      <w:lvlJc w:val="left"/>
      <w:pPr>
        <w:ind w:left="1445" w:hanging="187"/>
      </w:pPr>
      <w:rPr>
        <w:rFonts w:hint="default"/>
      </w:rPr>
    </w:lvl>
  </w:abstractNum>
  <w:abstractNum w:abstractNumId="50">
    <w:multiLevelType w:val="hybridMultilevel"/>
    <w:lvl w:ilvl="0">
      <w:start w:val="0"/>
      <w:numFmt w:val="bullet"/>
      <w:lvlText w:val="●"/>
      <w:lvlJc w:val="left"/>
      <w:pPr>
        <w:ind w:left="245" w:hanging="187"/>
      </w:pPr>
      <w:rPr>
        <w:rFonts w:hint="default" w:ascii="Arial Unicode MS" w:hAnsi="Arial Unicode MS" w:eastAsia="Arial Unicode MS" w:cs="Arial Unicode MS"/>
        <w:color w:val="231F20"/>
        <w:w w:val="169"/>
        <w:position w:val="2"/>
        <w:sz w:val="11"/>
        <w:szCs w:val="11"/>
      </w:rPr>
    </w:lvl>
    <w:lvl w:ilvl="1">
      <w:start w:val="0"/>
      <w:numFmt w:val="bullet"/>
      <w:lvlText w:val="•"/>
      <w:lvlJc w:val="left"/>
      <w:pPr>
        <w:ind w:left="369" w:hanging="187"/>
      </w:pPr>
      <w:rPr>
        <w:rFonts w:hint="default"/>
      </w:rPr>
    </w:lvl>
    <w:lvl w:ilvl="2">
      <w:start w:val="0"/>
      <w:numFmt w:val="bullet"/>
      <w:lvlText w:val="•"/>
      <w:lvlJc w:val="left"/>
      <w:pPr>
        <w:ind w:left="498" w:hanging="187"/>
      </w:pPr>
      <w:rPr>
        <w:rFonts w:hint="default"/>
      </w:rPr>
    </w:lvl>
    <w:lvl w:ilvl="3">
      <w:start w:val="0"/>
      <w:numFmt w:val="bullet"/>
      <w:lvlText w:val="•"/>
      <w:lvlJc w:val="left"/>
      <w:pPr>
        <w:ind w:left="627" w:hanging="187"/>
      </w:pPr>
      <w:rPr>
        <w:rFonts w:hint="default"/>
      </w:rPr>
    </w:lvl>
    <w:lvl w:ilvl="4">
      <w:start w:val="0"/>
      <w:numFmt w:val="bullet"/>
      <w:lvlText w:val="•"/>
      <w:lvlJc w:val="left"/>
      <w:pPr>
        <w:ind w:left="756" w:hanging="187"/>
      </w:pPr>
      <w:rPr>
        <w:rFonts w:hint="default"/>
      </w:rPr>
    </w:lvl>
    <w:lvl w:ilvl="5">
      <w:start w:val="0"/>
      <w:numFmt w:val="bullet"/>
      <w:lvlText w:val="•"/>
      <w:lvlJc w:val="left"/>
      <w:pPr>
        <w:ind w:left="885" w:hanging="187"/>
      </w:pPr>
      <w:rPr>
        <w:rFonts w:hint="default"/>
      </w:rPr>
    </w:lvl>
    <w:lvl w:ilvl="6">
      <w:start w:val="0"/>
      <w:numFmt w:val="bullet"/>
      <w:lvlText w:val="•"/>
      <w:lvlJc w:val="left"/>
      <w:pPr>
        <w:ind w:left="1014" w:hanging="187"/>
      </w:pPr>
      <w:rPr>
        <w:rFonts w:hint="default"/>
      </w:rPr>
    </w:lvl>
    <w:lvl w:ilvl="7">
      <w:start w:val="0"/>
      <w:numFmt w:val="bullet"/>
      <w:lvlText w:val="•"/>
      <w:lvlJc w:val="left"/>
      <w:pPr>
        <w:ind w:left="1143" w:hanging="187"/>
      </w:pPr>
      <w:rPr>
        <w:rFonts w:hint="default"/>
      </w:rPr>
    </w:lvl>
    <w:lvl w:ilvl="8">
      <w:start w:val="0"/>
      <w:numFmt w:val="bullet"/>
      <w:lvlText w:val="•"/>
      <w:lvlJc w:val="left"/>
      <w:pPr>
        <w:ind w:left="1272" w:hanging="187"/>
      </w:pPr>
      <w:rPr>
        <w:rFonts w:hint="default"/>
      </w:rPr>
    </w:lvl>
  </w:abstractNum>
  <w:abstractNum w:abstractNumId="49">
    <w:multiLevelType w:val="hybridMultilevel"/>
    <w:lvl w:ilvl="0">
      <w:start w:val="0"/>
      <w:numFmt w:val="bullet"/>
      <w:lvlText w:val="●"/>
      <w:lvlJc w:val="left"/>
      <w:pPr>
        <w:ind w:left="354" w:hanging="243"/>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1045" w:hanging="243"/>
      </w:pPr>
      <w:rPr>
        <w:rFonts w:hint="default"/>
      </w:rPr>
    </w:lvl>
    <w:lvl w:ilvl="2">
      <w:start w:val="0"/>
      <w:numFmt w:val="bullet"/>
      <w:lvlText w:val="•"/>
      <w:lvlJc w:val="left"/>
      <w:pPr>
        <w:ind w:left="1730" w:hanging="243"/>
      </w:pPr>
      <w:rPr>
        <w:rFonts w:hint="default"/>
      </w:rPr>
    </w:lvl>
    <w:lvl w:ilvl="3">
      <w:start w:val="0"/>
      <w:numFmt w:val="bullet"/>
      <w:lvlText w:val="•"/>
      <w:lvlJc w:val="left"/>
      <w:pPr>
        <w:ind w:left="2415" w:hanging="243"/>
      </w:pPr>
      <w:rPr>
        <w:rFonts w:hint="default"/>
      </w:rPr>
    </w:lvl>
    <w:lvl w:ilvl="4">
      <w:start w:val="0"/>
      <w:numFmt w:val="bullet"/>
      <w:lvlText w:val="•"/>
      <w:lvlJc w:val="left"/>
      <w:pPr>
        <w:ind w:left="3101" w:hanging="243"/>
      </w:pPr>
      <w:rPr>
        <w:rFonts w:hint="default"/>
      </w:rPr>
    </w:lvl>
    <w:lvl w:ilvl="5">
      <w:start w:val="0"/>
      <w:numFmt w:val="bullet"/>
      <w:lvlText w:val="•"/>
      <w:lvlJc w:val="left"/>
      <w:pPr>
        <w:ind w:left="3786" w:hanging="243"/>
      </w:pPr>
      <w:rPr>
        <w:rFonts w:hint="default"/>
      </w:rPr>
    </w:lvl>
    <w:lvl w:ilvl="6">
      <w:start w:val="0"/>
      <w:numFmt w:val="bullet"/>
      <w:lvlText w:val="•"/>
      <w:lvlJc w:val="left"/>
      <w:pPr>
        <w:ind w:left="4471" w:hanging="243"/>
      </w:pPr>
      <w:rPr>
        <w:rFonts w:hint="default"/>
      </w:rPr>
    </w:lvl>
    <w:lvl w:ilvl="7">
      <w:start w:val="0"/>
      <w:numFmt w:val="bullet"/>
      <w:lvlText w:val="•"/>
      <w:lvlJc w:val="left"/>
      <w:pPr>
        <w:ind w:left="5157" w:hanging="243"/>
      </w:pPr>
      <w:rPr>
        <w:rFonts w:hint="default"/>
      </w:rPr>
    </w:lvl>
    <w:lvl w:ilvl="8">
      <w:start w:val="0"/>
      <w:numFmt w:val="bullet"/>
      <w:lvlText w:val="•"/>
      <w:lvlJc w:val="left"/>
      <w:pPr>
        <w:ind w:left="5842" w:hanging="243"/>
      </w:pPr>
      <w:rPr>
        <w:rFonts w:hint="default"/>
      </w:rPr>
    </w:lvl>
  </w:abstractNum>
  <w:abstractNum w:abstractNumId="48">
    <w:multiLevelType w:val="hybridMultilevel"/>
    <w:lvl w:ilvl="0">
      <w:start w:val="0"/>
      <w:numFmt w:val="bullet"/>
      <w:lvlText w:val="●"/>
      <w:lvlJc w:val="left"/>
      <w:pPr>
        <w:ind w:left="354" w:hanging="242"/>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1045" w:hanging="242"/>
      </w:pPr>
      <w:rPr>
        <w:rFonts w:hint="default"/>
      </w:rPr>
    </w:lvl>
    <w:lvl w:ilvl="2">
      <w:start w:val="0"/>
      <w:numFmt w:val="bullet"/>
      <w:lvlText w:val="•"/>
      <w:lvlJc w:val="left"/>
      <w:pPr>
        <w:ind w:left="1730" w:hanging="242"/>
      </w:pPr>
      <w:rPr>
        <w:rFonts w:hint="default"/>
      </w:rPr>
    </w:lvl>
    <w:lvl w:ilvl="3">
      <w:start w:val="0"/>
      <w:numFmt w:val="bullet"/>
      <w:lvlText w:val="•"/>
      <w:lvlJc w:val="left"/>
      <w:pPr>
        <w:ind w:left="2415" w:hanging="242"/>
      </w:pPr>
      <w:rPr>
        <w:rFonts w:hint="default"/>
      </w:rPr>
    </w:lvl>
    <w:lvl w:ilvl="4">
      <w:start w:val="0"/>
      <w:numFmt w:val="bullet"/>
      <w:lvlText w:val="•"/>
      <w:lvlJc w:val="left"/>
      <w:pPr>
        <w:ind w:left="3101" w:hanging="242"/>
      </w:pPr>
      <w:rPr>
        <w:rFonts w:hint="default"/>
      </w:rPr>
    </w:lvl>
    <w:lvl w:ilvl="5">
      <w:start w:val="0"/>
      <w:numFmt w:val="bullet"/>
      <w:lvlText w:val="•"/>
      <w:lvlJc w:val="left"/>
      <w:pPr>
        <w:ind w:left="3786" w:hanging="242"/>
      </w:pPr>
      <w:rPr>
        <w:rFonts w:hint="default"/>
      </w:rPr>
    </w:lvl>
    <w:lvl w:ilvl="6">
      <w:start w:val="0"/>
      <w:numFmt w:val="bullet"/>
      <w:lvlText w:val="•"/>
      <w:lvlJc w:val="left"/>
      <w:pPr>
        <w:ind w:left="4471" w:hanging="242"/>
      </w:pPr>
      <w:rPr>
        <w:rFonts w:hint="default"/>
      </w:rPr>
    </w:lvl>
    <w:lvl w:ilvl="7">
      <w:start w:val="0"/>
      <w:numFmt w:val="bullet"/>
      <w:lvlText w:val="•"/>
      <w:lvlJc w:val="left"/>
      <w:pPr>
        <w:ind w:left="5157" w:hanging="242"/>
      </w:pPr>
      <w:rPr>
        <w:rFonts w:hint="default"/>
      </w:rPr>
    </w:lvl>
    <w:lvl w:ilvl="8">
      <w:start w:val="0"/>
      <w:numFmt w:val="bullet"/>
      <w:lvlText w:val="•"/>
      <w:lvlJc w:val="left"/>
      <w:pPr>
        <w:ind w:left="5842" w:hanging="242"/>
      </w:pPr>
      <w:rPr>
        <w:rFonts w:hint="default"/>
      </w:rPr>
    </w:lvl>
  </w:abstractNum>
  <w:abstractNum w:abstractNumId="47">
    <w:multiLevelType w:val="hybridMultilevel"/>
    <w:lvl w:ilvl="0">
      <w:start w:val="0"/>
      <w:numFmt w:val="bullet"/>
      <w:lvlText w:val="●"/>
      <w:lvlJc w:val="left"/>
      <w:pPr>
        <w:ind w:left="354" w:hanging="244"/>
      </w:pPr>
      <w:rPr>
        <w:rFonts w:hint="default"/>
        <w:w w:val="100"/>
        <w:position w:val="3"/>
      </w:rPr>
    </w:lvl>
    <w:lvl w:ilvl="1">
      <w:start w:val="0"/>
      <w:numFmt w:val="bullet"/>
      <w:lvlText w:val="•"/>
      <w:lvlJc w:val="left"/>
      <w:pPr>
        <w:ind w:left="1045" w:hanging="244"/>
      </w:pPr>
      <w:rPr>
        <w:rFonts w:hint="default"/>
      </w:rPr>
    </w:lvl>
    <w:lvl w:ilvl="2">
      <w:start w:val="0"/>
      <w:numFmt w:val="bullet"/>
      <w:lvlText w:val="•"/>
      <w:lvlJc w:val="left"/>
      <w:pPr>
        <w:ind w:left="1730" w:hanging="244"/>
      </w:pPr>
      <w:rPr>
        <w:rFonts w:hint="default"/>
      </w:rPr>
    </w:lvl>
    <w:lvl w:ilvl="3">
      <w:start w:val="0"/>
      <w:numFmt w:val="bullet"/>
      <w:lvlText w:val="•"/>
      <w:lvlJc w:val="left"/>
      <w:pPr>
        <w:ind w:left="2415" w:hanging="244"/>
      </w:pPr>
      <w:rPr>
        <w:rFonts w:hint="default"/>
      </w:rPr>
    </w:lvl>
    <w:lvl w:ilvl="4">
      <w:start w:val="0"/>
      <w:numFmt w:val="bullet"/>
      <w:lvlText w:val="•"/>
      <w:lvlJc w:val="left"/>
      <w:pPr>
        <w:ind w:left="3101" w:hanging="244"/>
      </w:pPr>
      <w:rPr>
        <w:rFonts w:hint="default"/>
      </w:rPr>
    </w:lvl>
    <w:lvl w:ilvl="5">
      <w:start w:val="0"/>
      <w:numFmt w:val="bullet"/>
      <w:lvlText w:val="•"/>
      <w:lvlJc w:val="left"/>
      <w:pPr>
        <w:ind w:left="3786" w:hanging="244"/>
      </w:pPr>
      <w:rPr>
        <w:rFonts w:hint="default"/>
      </w:rPr>
    </w:lvl>
    <w:lvl w:ilvl="6">
      <w:start w:val="0"/>
      <w:numFmt w:val="bullet"/>
      <w:lvlText w:val="•"/>
      <w:lvlJc w:val="left"/>
      <w:pPr>
        <w:ind w:left="4471" w:hanging="244"/>
      </w:pPr>
      <w:rPr>
        <w:rFonts w:hint="default"/>
      </w:rPr>
    </w:lvl>
    <w:lvl w:ilvl="7">
      <w:start w:val="0"/>
      <w:numFmt w:val="bullet"/>
      <w:lvlText w:val="•"/>
      <w:lvlJc w:val="left"/>
      <w:pPr>
        <w:ind w:left="5157" w:hanging="244"/>
      </w:pPr>
      <w:rPr>
        <w:rFonts w:hint="default"/>
      </w:rPr>
    </w:lvl>
    <w:lvl w:ilvl="8">
      <w:start w:val="0"/>
      <w:numFmt w:val="bullet"/>
      <w:lvlText w:val="•"/>
      <w:lvlJc w:val="left"/>
      <w:pPr>
        <w:ind w:left="5842" w:hanging="244"/>
      </w:pPr>
      <w:rPr>
        <w:rFonts w:hint="default"/>
      </w:rPr>
    </w:lvl>
  </w:abstractNum>
  <w:abstractNum w:abstractNumId="46">
    <w:multiLevelType w:val="hybridMultilevel"/>
    <w:lvl w:ilvl="0">
      <w:start w:val="1"/>
      <w:numFmt w:val="decimal"/>
      <w:lvlText w:val="%1."/>
      <w:lvlJc w:val="left"/>
      <w:pPr>
        <w:ind w:left="365" w:hanging="256"/>
        <w:jc w:val="left"/>
      </w:pPr>
      <w:rPr>
        <w:rFonts w:hint="default" w:ascii="Microsoft JhengHei UI" w:hAnsi="Microsoft JhengHei UI" w:eastAsia="Microsoft JhengHei UI" w:cs="Microsoft JhengHei UI"/>
        <w:w w:val="100"/>
        <w:sz w:val="24"/>
        <w:szCs w:val="24"/>
      </w:rPr>
    </w:lvl>
    <w:lvl w:ilvl="1">
      <w:start w:val="0"/>
      <w:numFmt w:val="bullet"/>
      <w:lvlText w:val="•"/>
      <w:lvlJc w:val="left"/>
      <w:pPr>
        <w:ind w:left="1045" w:hanging="256"/>
      </w:pPr>
      <w:rPr>
        <w:rFonts w:hint="default"/>
      </w:rPr>
    </w:lvl>
    <w:lvl w:ilvl="2">
      <w:start w:val="0"/>
      <w:numFmt w:val="bullet"/>
      <w:lvlText w:val="•"/>
      <w:lvlJc w:val="left"/>
      <w:pPr>
        <w:ind w:left="1730" w:hanging="256"/>
      </w:pPr>
      <w:rPr>
        <w:rFonts w:hint="default"/>
      </w:rPr>
    </w:lvl>
    <w:lvl w:ilvl="3">
      <w:start w:val="0"/>
      <w:numFmt w:val="bullet"/>
      <w:lvlText w:val="•"/>
      <w:lvlJc w:val="left"/>
      <w:pPr>
        <w:ind w:left="2415" w:hanging="256"/>
      </w:pPr>
      <w:rPr>
        <w:rFonts w:hint="default"/>
      </w:rPr>
    </w:lvl>
    <w:lvl w:ilvl="4">
      <w:start w:val="0"/>
      <w:numFmt w:val="bullet"/>
      <w:lvlText w:val="•"/>
      <w:lvlJc w:val="left"/>
      <w:pPr>
        <w:ind w:left="3100" w:hanging="256"/>
      </w:pPr>
      <w:rPr>
        <w:rFonts w:hint="default"/>
      </w:rPr>
    </w:lvl>
    <w:lvl w:ilvl="5">
      <w:start w:val="0"/>
      <w:numFmt w:val="bullet"/>
      <w:lvlText w:val="•"/>
      <w:lvlJc w:val="left"/>
      <w:pPr>
        <w:ind w:left="3786" w:hanging="256"/>
      </w:pPr>
      <w:rPr>
        <w:rFonts w:hint="default"/>
      </w:rPr>
    </w:lvl>
    <w:lvl w:ilvl="6">
      <w:start w:val="0"/>
      <w:numFmt w:val="bullet"/>
      <w:lvlText w:val="•"/>
      <w:lvlJc w:val="left"/>
      <w:pPr>
        <w:ind w:left="4471" w:hanging="256"/>
      </w:pPr>
      <w:rPr>
        <w:rFonts w:hint="default"/>
      </w:rPr>
    </w:lvl>
    <w:lvl w:ilvl="7">
      <w:start w:val="0"/>
      <w:numFmt w:val="bullet"/>
      <w:lvlText w:val="•"/>
      <w:lvlJc w:val="left"/>
      <w:pPr>
        <w:ind w:left="5156" w:hanging="256"/>
      </w:pPr>
      <w:rPr>
        <w:rFonts w:hint="default"/>
      </w:rPr>
    </w:lvl>
    <w:lvl w:ilvl="8">
      <w:start w:val="0"/>
      <w:numFmt w:val="bullet"/>
      <w:lvlText w:val="•"/>
      <w:lvlJc w:val="left"/>
      <w:pPr>
        <w:ind w:left="5841" w:hanging="256"/>
      </w:pPr>
      <w:rPr>
        <w:rFonts w:hint="default"/>
      </w:rPr>
    </w:lvl>
  </w:abstractNum>
  <w:abstractNum w:abstractNumId="45">
    <w:multiLevelType w:val="hybridMultilevel"/>
    <w:lvl w:ilvl="0">
      <w:start w:val="0"/>
      <w:numFmt w:val="bullet"/>
      <w:lvlText w:val="●"/>
      <w:lvlJc w:val="left"/>
      <w:pPr>
        <w:ind w:left="350" w:hanging="242"/>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1045" w:hanging="242"/>
      </w:pPr>
      <w:rPr>
        <w:rFonts w:hint="default"/>
      </w:rPr>
    </w:lvl>
    <w:lvl w:ilvl="2">
      <w:start w:val="0"/>
      <w:numFmt w:val="bullet"/>
      <w:lvlText w:val="•"/>
      <w:lvlJc w:val="left"/>
      <w:pPr>
        <w:ind w:left="1730" w:hanging="242"/>
      </w:pPr>
      <w:rPr>
        <w:rFonts w:hint="default"/>
      </w:rPr>
    </w:lvl>
    <w:lvl w:ilvl="3">
      <w:start w:val="0"/>
      <w:numFmt w:val="bullet"/>
      <w:lvlText w:val="•"/>
      <w:lvlJc w:val="left"/>
      <w:pPr>
        <w:ind w:left="2415" w:hanging="242"/>
      </w:pPr>
      <w:rPr>
        <w:rFonts w:hint="default"/>
      </w:rPr>
    </w:lvl>
    <w:lvl w:ilvl="4">
      <w:start w:val="0"/>
      <w:numFmt w:val="bullet"/>
      <w:lvlText w:val="•"/>
      <w:lvlJc w:val="left"/>
      <w:pPr>
        <w:ind w:left="3100" w:hanging="242"/>
      </w:pPr>
      <w:rPr>
        <w:rFonts w:hint="default"/>
      </w:rPr>
    </w:lvl>
    <w:lvl w:ilvl="5">
      <w:start w:val="0"/>
      <w:numFmt w:val="bullet"/>
      <w:lvlText w:val="•"/>
      <w:lvlJc w:val="left"/>
      <w:pPr>
        <w:ind w:left="3786" w:hanging="242"/>
      </w:pPr>
      <w:rPr>
        <w:rFonts w:hint="default"/>
      </w:rPr>
    </w:lvl>
    <w:lvl w:ilvl="6">
      <w:start w:val="0"/>
      <w:numFmt w:val="bullet"/>
      <w:lvlText w:val="•"/>
      <w:lvlJc w:val="left"/>
      <w:pPr>
        <w:ind w:left="4471" w:hanging="242"/>
      </w:pPr>
      <w:rPr>
        <w:rFonts w:hint="default"/>
      </w:rPr>
    </w:lvl>
    <w:lvl w:ilvl="7">
      <w:start w:val="0"/>
      <w:numFmt w:val="bullet"/>
      <w:lvlText w:val="•"/>
      <w:lvlJc w:val="left"/>
      <w:pPr>
        <w:ind w:left="5156" w:hanging="242"/>
      </w:pPr>
      <w:rPr>
        <w:rFonts w:hint="default"/>
      </w:rPr>
    </w:lvl>
    <w:lvl w:ilvl="8">
      <w:start w:val="0"/>
      <w:numFmt w:val="bullet"/>
      <w:lvlText w:val="•"/>
      <w:lvlJc w:val="left"/>
      <w:pPr>
        <w:ind w:left="5841" w:hanging="242"/>
      </w:pPr>
      <w:rPr>
        <w:rFonts w:hint="default"/>
      </w:rPr>
    </w:lvl>
  </w:abstractNum>
  <w:abstractNum w:abstractNumId="44">
    <w:multiLevelType w:val="hybridMultilevel"/>
    <w:lvl w:ilvl="0">
      <w:start w:val="1"/>
      <w:numFmt w:val="decimal"/>
      <w:lvlText w:val="%1."/>
      <w:lvlJc w:val="left"/>
      <w:pPr>
        <w:ind w:left="414" w:hanging="305"/>
        <w:jc w:val="left"/>
      </w:pPr>
      <w:rPr>
        <w:rFonts w:hint="default" w:ascii="Microsoft JhengHei UI" w:hAnsi="Microsoft JhengHei UI" w:eastAsia="Microsoft JhengHei UI" w:cs="Microsoft JhengHei UI"/>
        <w:spacing w:val="-15"/>
        <w:w w:val="100"/>
        <w:sz w:val="24"/>
        <w:szCs w:val="24"/>
      </w:rPr>
    </w:lvl>
    <w:lvl w:ilvl="1">
      <w:start w:val="0"/>
      <w:numFmt w:val="bullet"/>
      <w:lvlText w:val="•"/>
      <w:lvlJc w:val="left"/>
      <w:pPr>
        <w:ind w:left="1099" w:hanging="305"/>
      </w:pPr>
      <w:rPr>
        <w:rFonts w:hint="default"/>
      </w:rPr>
    </w:lvl>
    <w:lvl w:ilvl="2">
      <w:start w:val="0"/>
      <w:numFmt w:val="bullet"/>
      <w:lvlText w:val="•"/>
      <w:lvlJc w:val="left"/>
      <w:pPr>
        <w:ind w:left="1778" w:hanging="305"/>
      </w:pPr>
      <w:rPr>
        <w:rFonts w:hint="default"/>
      </w:rPr>
    </w:lvl>
    <w:lvl w:ilvl="3">
      <w:start w:val="0"/>
      <w:numFmt w:val="bullet"/>
      <w:lvlText w:val="•"/>
      <w:lvlJc w:val="left"/>
      <w:pPr>
        <w:ind w:left="2457" w:hanging="305"/>
      </w:pPr>
      <w:rPr>
        <w:rFonts w:hint="default"/>
      </w:rPr>
    </w:lvl>
    <w:lvl w:ilvl="4">
      <w:start w:val="0"/>
      <w:numFmt w:val="bullet"/>
      <w:lvlText w:val="•"/>
      <w:lvlJc w:val="left"/>
      <w:pPr>
        <w:ind w:left="3136" w:hanging="305"/>
      </w:pPr>
      <w:rPr>
        <w:rFonts w:hint="default"/>
      </w:rPr>
    </w:lvl>
    <w:lvl w:ilvl="5">
      <w:start w:val="0"/>
      <w:numFmt w:val="bullet"/>
      <w:lvlText w:val="•"/>
      <w:lvlJc w:val="left"/>
      <w:pPr>
        <w:ind w:left="3816" w:hanging="305"/>
      </w:pPr>
      <w:rPr>
        <w:rFonts w:hint="default"/>
      </w:rPr>
    </w:lvl>
    <w:lvl w:ilvl="6">
      <w:start w:val="0"/>
      <w:numFmt w:val="bullet"/>
      <w:lvlText w:val="•"/>
      <w:lvlJc w:val="left"/>
      <w:pPr>
        <w:ind w:left="4495" w:hanging="305"/>
      </w:pPr>
      <w:rPr>
        <w:rFonts w:hint="default"/>
      </w:rPr>
    </w:lvl>
    <w:lvl w:ilvl="7">
      <w:start w:val="0"/>
      <w:numFmt w:val="bullet"/>
      <w:lvlText w:val="•"/>
      <w:lvlJc w:val="left"/>
      <w:pPr>
        <w:ind w:left="5174" w:hanging="305"/>
      </w:pPr>
      <w:rPr>
        <w:rFonts w:hint="default"/>
      </w:rPr>
    </w:lvl>
    <w:lvl w:ilvl="8">
      <w:start w:val="0"/>
      <w:numFmt w:val="bullet"/>
      <w:lvlText w:val="•"/>
      <w:lvlJc w:val="left"/>
      <w:pPr>
        <w:ind w:left="5853" w:hanging="305"/>
      </w:pPr>
      <w:rPr>
        <w:rFonts w:hint="default"/>
      </w:rPr>
    </w:lvl>
  </w:abstractNum>
  <w:abstractNum w:abstractNumId="43">
    <w:multiLevelType w:val="hybridMultilevel"/>
    <w:lvl w:ilvl="0">
      <w:start w:val="0"/>
      <w:numFmt w:val="bullet"/>
      <w:lvlText w:val="●"/>
      <w:lvlJc w:val="left"/>
      <w:pPr>
        <w:ind w:left="353" w:hanging="244"/>
      </w:pPr>
      <w:rPr>
        <w:rFonts w:hint="default" w:ascii="Microsoft JhengHei UI" w:hAnsi="Microsoft JhengHei UI" w:eastAsia="Microsoft JhengHei UI" w:cs="Microsoft JhengHei UI"/>
        <w:w w:val="100"/>
        <w:position w:val="3"/>
        <w:sz w:val="17"/>
        <w:szCs w:val="17"/>
      </w:rPr>
    </w:lvl>
    <w:lvl w:ilvl="1">
      <w:start w:val="0"/>
      <w:numFmt w:val="bullet"/>
      <w:lvlText w:val="•"/>
      <w:lvlJc w:val="left"/>
      <w:pPr>
        <w:ind w:left="1045" w:hanging="244"/>
      </w:pPr>
      <w:rPr>
        <w:rFonts w:hint="default"/>
      </w:rPr>
    </w:lvl>
    <w:lvl w:ilvl="2">
      <w:start w:val="0"/>
      <w:numFmt w:val="bullet"/>
      <w:lvlText w:val="•"/>
      <w:lvlJc w:val="left"/>
      <w:pPr>
        <w:ind w:left="1730" w:hanging="244"/>
      </w:pPr>
      <w:rPr>
        <w:rFonts w:hint="default"/>
      </w:rPr>
    </w:lvl>
    <w:lvl w:ilvl="3">
      <w:start w:val="0"/>
      <w:numFmt w:val="bullet"/>
      <w:lvlText w:val="•"/>
      <w:lvlJc w:val="left"/>
      <w:pPr>
        <w:ind w:left="2415" w:hanging="244"/>
      </w:pPr>
      <w:rPr>
        <w:rFonts w:hint="default"/>
      </w:rPr>
    </w:lvl>
    <w:lvl w:ilvl="4">
      <w:start w:val="0"/>
      <w:numFmt w:val="bullet"/>
      <w:lvlText w:val="•"/>
      <w:lvlJc w:val="left"/>
      <w:pPr>
        <w:ind w:left="3100" w:hanging="244"/>
      </w:pPr>
      <w:rPr>
        <w:rFonts w:hint="default"/>
      </w:rPr>
    </w:lvl>
    <w:lvl w:ilvl="5">
      <w:start w:val="0"/>
      <w:numFmt w:val="bullet"/>
      <w:lvlText w:val="•"/>
      <w:lvlJc w:val="left"/>
      <w:pPr>
        <w:ind w:left="3786" w:hanging="244"/>
      </w:pPr>
      <w:rPr>
        <w:rFonts w:hint="default"/>
      </w:rPr>
    </w:lvl>
    <w:lvl w:ilvl="6">
      <w:start w:val="0"/>
      <w:numFmt w:val="bullet"/>
      <w:lvlText w:val="•"/>
      <w:lvlJc w:val="left"/>
      <w:pPr>
        <w:ind w:left="4471" w:hanging="244"/>
      </w:pPr>
      <w:rPr>
        <w:rFonts w:hint="default"/>
      </w:rPr>
    </w:lvl>
    <w:lvl w:ilvl="7">
      <w:start w:val="0"/>
      <w:numFmt w:val="bullet"/>
      <w:lvlText w:val="•"/>
      <w:lvlJc w:val="left"/>
      <w:pPr>
        <w:ind w:left="5156" w:hanging="244"/>
      </w:pPr>
      <w:rPr>
        <w:rFonts w:hint="default"/>
      </w:rPr>
    </w:lvl>
    <w:lvl w:ilvl="8">
      <w:start w:val="0"/>
      <w:numFmt w:val="bullet"/>
      <w:lvlText w:val="•"/>
      <w:lvlJc w:val="left"/>
      <w:pPr>
        <w:ind w:left="5841" w:hanging="244"/>
      </w:pPr>
      <w:rPr>
        <w:rFonts w:hint="default"/>
      </w:rPr>
    </w:lvl>
  </w:abstractNum>
  <w:abstractNum w:abstractNumId="42">
    <w:multiLevelType w:val="hybridMultilevel"/>
    <w:lvl w:ilvl="0">
      <w:start w:val="0"/>
      <w:numFmt w:val="bullet"/>
      <w:lvlText w:val="●"/>
      <w:lvlJc w:val="left"/>
      <w:pPr>
        <w:ind w:left="355" w:hanging="244"/>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973" w:hanging="244"/>
      </w:pPr>
      <w:rPr>
        <w:rFonts w:hint="default"/>
      </w:rPr>
    </w:lvl>
    <w:lvl w:ilvl="2">
      <w:start w:val="0"/>
      <w:numFmt w:val="bullet"/>
      <w:lvlText w:val="•"/>
      <w:lvlJc w:val="left"/>
      <w:pPr>
        <w:ind w:left="1587" w:hanging="244"/>
      </w:pPr>
      <w:rPr>
        <w:rFonts w:hint="default"/>
      </w:rPr>
    </w:lvl>
    <w:lvl w:ilvl="3">
      <w:start w:val="0"/>
      <w:numFmt w:val="bullet"/>
      <w:lvlText w:val="•"/>
      <w:lvlJc w:val="left"/>
      <w:pPr>
        <w:ind w:left="2201" w:hanging="244"/>
      </w:pPr>
      <w:rPr>
        <w:rFonts w:hint="default"/>
      </w:rPr>
    </w:lvl>
    <w:lvl w:ilvl="4">
      <w:start w:val="0"/>
      <w:numFmt w:val="bullet"/>
      <w:lvlText w:val="•"/>
      <w:lvlJc w:val="left"/>
      <w:pPr>
        <w:ind w:left="2815" w:hanging="244"/>
      </w:pPr>
      <w:rPr>
        <w:rFonts w:hint="default"/>
      </w:rPr>
    </w:lvl>
    <w:lvl w:ilvl="5">
      <w:start w:val="0"/>
      <w:numFmt w:val="bullet"/>
      <w:lvlText w:val="•"/>
      <w:lvlJc w:val="left"/>
      <w:pPr>
        <w:ind w:left="3429" w:hanging="244"/>
      </w:pPr>
      <w:rPr>
        <w:rFonts w:hint="default"/>
      </w:rPr>
    </w:lvl>
    <w:lvl w:ilvl="6">
      <w:start w:val="0"/>
      <w:numFmt w:val="bullet"/>
      <w:lvlText w:val="•"/>
      <w:lvlJc w:val="left"/>
      <w:pPr>
        <w:ind w:left="4042" w:hanging="244"/>
      </w:pPr>
      <w:rPr>
        <w:rFonts w:hint="default"/>
      </w:rPr>
    </w:lvl>
    <w:lvl w:ilvl="7">
      <w:start w:val="0"/>
      <w:numFmt w:val="bullet"/>
      <w:lvlText w:val="•"/>
      <w:lvlJc w:val="left"/>
      <w:pPr>
        <w:ind w:left="4656" w:hanging="244"/>
      </w:pPr>
      <w:rPr>
        <w:rFonts w:hint="default"/>
      </w:rPr>
    </w:lvl>
    <w:lvl w:ilvl="8">
      <w:start w:val="0"/>
      <w:numFmt w:val="bullet"/>
      <w:lvlText w:val="•"/>
      <w:lvlJc w:val="left"/>
      <w:pPr>
        <w:ind w:left="5270" w:hanging="244"/>
      </w:pPr>
      <w:rPr>
        <w:rFonts w:hint="default"/>
      </w:rPr>
    </w:lvl>
  </w:abstractNum>
  <w:abstractNum w:abstractNumId="41">
    <w:multiLevelType w:val="hybridMultilevel"/>
    <w:lvl w:ilvl="0">
      <w:start w:val="0"/>
      <w:numFmt w:val="bullet"/>
      <w:lvlText w:val="●"/>
      <w:lvlJc w:val="left"/>
      <w:pPr>
        <w:ind w:left="355" w:hanging="250"/>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640" w:hanging="285"/>
      </w:pPr>
      <w:rPr>
        <w:rFonts w:hint="default" w:ascii="Wingdings" w:hAnsi="Wingdings" w:eastAsia="Wingdings" w:cs="Wingdings"/>
        <w:w w:val="100"/>
        <w:sz w:val="24"/>
        <w:szCs w:val="24"/>
      </w:rPr>
    </w:lvl>
    <w:lvl w:ilvl="2">
      <w:start w:val="0"/>
      <w:numFmt w:val="bullet"/>
      <w:lvlText w:val="•"/>
      <w:lvlJc w:val="left"/>
      <w:pPr>
        <w:ind w:left="1290" w:hanging="285"/>
      </w:pPr>
      <w:rPr>
        <w:rFonts w:hint="default"/>
      </w:rPr>
    </w:lvl>
    <w:lvl w:ilvl="3">
      <w:start w:val="0"/>
      <w:numFmt w:val="bullet"/>
      <w:lvlText w:val="•"/>
      <w:lvlJc w:val="left"/>
      <w:pPr>
        <w:ind w:left="1941" w:hanging="285"/>
      </w:pPr>
      <w:rPr>
        <w:rFonts w:hint="default"/>
      </w:rPr>
    </w:lvl>
    <w:lvl w:ilvl="4">
      <w:start w:val="0"/>
      <w:numFmt w:val="bullet"/>
      <w:lvlText w:val="•"/>
      <w:lvlJc w:val="left"/>
      <w:pPr>
        <w:ind w:left="2592" w:hanging="285"/>
      </w:pPr>
      <w:rPr>
        <w:rFonts w:hint="default"/>
      </w:rPr>
    </w:lvl>
    <w:lvl w:ilvl="5">
      <w:start w:val="0"/>
      <w:numFmt w:val="bullet"/>
      <w:lvlText w:val="•"/>
      <w:lvlJc w:val="left"/>
      <w:pPr>
        <w:ind w:left="3243" w:hanging="285"/>
      </w:pPr>
      <w:rPr>
        <w:rFonts w:hint="default"/>
      </w:rPr>
    </w:lvl>
    <w:lvl w:ilvl="6">
      <w:start w:val="0"/>
      <w:numFmt w:val="bullet"/>
      <w:lvlText w:val="•"/>
      <w:lvlJc w:val="left"/>
      <w:pPr>
        <w:ind w:left="3894" w:hanging="285"/>
      </w:pPr>
      <w:rPr>
        <w:rFonts w:hint="default"/>
      </w:rPr>
    </w:lvl>
    <w:lvl w:ilvl="7">
      <w:start w:val="0"/>
      <w:numFmt w:val="bullet"/>
      <w:lvlText w:val="•"/>
      <w:lvlJc w:val="left"/>
      <w:pPr>
        <w:ind w:left="4545" w:hanging="285"/>
      </w:pPr>
      <w:rPr>
        <w:rFonts w:hint="default"/>
      </w:rPr>
    </w:lvl>
    <w:lvl w:ilvl="8">
      <w:start w:val="0"/>
      <w:numFmt w:val="bullet"/>
      <w:lvlText w:val="•"/>
      <w:lvlJc w:val="left"/>
      <w:pPr>
        <w:ind w:left="5196" w:hanging="285"/>
      </w:pPr>
      <w:rPr>
        <w:rFonts w:hint="default"/>
      </w:rPr>
    </w:lvl>
  </w:abstractNum>
  <w:abstractNum w:abstractNumId="40">
    <w:multiLevelType w:val="hybridMultilevel"/>
    <w:lvl w:ilvl="0">
      <w:start w:val="0"/>
      <w:numFmt w:val="bullet"/>
      <w:lvlText w:val="●"/>
      <w:lvlJc w:val="left"/>
      <w:pPr>
        <w:ind w:left="355" w:hanging="280"/>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973" w:hanging="280"/>
      </w:pPr>
      <w:rPr>
        <w:rFonts w:hint="default"/>
      </w:rPr>
    </w:lvl>
    <w:lvl w:ilvl="2">
      <w:start w:val="0"/>
      <w:numFmt w:val="bullet"/>
      <w:lvlText w:val="•"/>
      <w:lvlJc w:val="left"/>
      <w:pPr>
        <w:ind w:left="1587" w:hanging="280"/>
      </w:pPr>
      <w:rPr>
        <w:rFonts w:hint="default"/>
      </w:rPr>
    </w:lvl>
    <w:lvl w:ilvl="3">
      <w:start w:val="0"/>
      <w:numFmt w:val="bullet"/>
      <w:lvlText w:val="•"/>
      <w:lvlJc w:val="left"/>
      <w:pPr>
        <w:ind w:left="2201" w:hanging="280"/>
      </w:pPr>
      <w:rPr>
        <w:rFonts w:hint="default"/>
      </w:rPr>
    </w:lvl>
    <w:lvl w:ilvl="4">
      <w:start w:val="0"/>
      <w:numFmt w:val="bullet"/>
      <w:lvlText w:val="•"/>
      <w:lvlJc w:val="left"/>
      <w:pPr>
        <w:ind w:left="2815" w:hanging="280"/>
      </w:pPr>
      <w:rPr>
        <w:rFonts w:hint="default"/>
      </w:rPr>
    </w:lvl>
    <w:lvl w:ilvl="5">
      <w:start w:val="0"/>
      <w:numFmt w:val="bullet"/>
      <w:lvlText w:val="•"/>
      <w:lvlJc w:val="left"/>
      <w:pPr>
        <w:ind w:left="3429" w:hanging="280"/>
      </w:pPr>
      <w:rPr>
        <w:rFonts w:hint="default"/>
      </w:rPr>
    </w:lvl>
    <w:lvl w:ilvl="6">
      <w:start w:val="0"/>
      <w:numFmt w:val="bullet"/>
      <w:lvlText w:val="•"/>
      <w:lvlJc w:val="left"/>
      <w:pPr>
        <w:ind w:left="4042" w:hanging="280"/>
      </w:pPr>
      <w:rPr>
        <w:rFonts w:hint="default"/>
      </w:rPr>
    </w:lvl>
    <w:lvl w:ilvl="7">
      <w:start w:val="0"/>
      <w:numFmt w:val="bullet"/>
      <w:lvlText w:val="•"/>
      <w:lvlJc w:val="left"/>
      <w:pPr>
        <w:ind w:left="4656" w:hanging="280"/>
      </w:pPr>
      <w:rPr>
        <w:rFonts w:hint="default"/>
      </w:rPr>
    </w:lvl>
    <w:lvl w:ilvl="8">
      <w:start w:val="0"/>
      <w:numFmt w:val="bullet"/>
      <w:lvlText w:val="•"/>
      <w:lvlJc w:val="left"/>
      <w:pPr>
        <w:ind w:left="5270" w:hanging="280"/>
      </w:pPr>
      <w:rPr>
        <w:rFonts w:hint="default"/>
      </w:rPr>
    </w:lvl>
  </w:abstractNum>
  <w:abstractNum w:abstractNumId="39">
    <w:multiLevelType w:val="hybridMultilevel"/>
    <w:lvl w:ilvl="0">
      <w:start w:val="0"/>
      <w:numFmt w:val="bullet"/>
      <w:lvlText w:val="●"/>
      <w:lvlJc w:val="left"/>
      <w:pPr>
        <w:ind w:left="355" w:hanging="242"/>
      </w:pPr>
      <w:rPr>
        <w:rFonts w:hint="default"/>
        <w:w w:val="99"/>
        <w:position w:val="3"/>
      </w:rPr>
    </w:lvl>
    <w:lvl w:ilvl="1">
      <w:start w:val="0"/>
      <w:numFmt w:val="bullet"/>
      <w:lvlText w:val=""/>
      <w:lvlJc w:val="left"/>
      <w:pPr>
        <w:ind w:left="628" w:hanging="285"/>
      </w:pPr>
      <w:rPr>
        <w:rFonts w:hint="default" w:ascii="Wingdings" w:hAnsi="Wingdings" w:eastAsia="Wingdings" w:cs="Wingdings"/>
        <w:w w:val="100"/>
        <w:position w:val="2"/>
        <w:sz w:val="24"/>
        <w:szCs w:val="24"/>
      </w:rPr>
    </w:lvl>
    <w:lvl w:ilvl="2">
      <w:start w:val="0"/>
      <w:numFmt w:val="bullet"/>
      <w:lvlText w:val="•"/>
      <w:lvlJc w:val="left"/>
      <w:pPr>
        <w:ind w:left="1273" w:hanging="285"/>
      </w:pPr>
      <w:rPr>
        <w:rFonts w:hint="default"/>
      </w:rPr>
    </w:lvl>
    <w:lvl w:ilvl="3">
      <w:start w:val="0"/>
      <w:numFmt w:val="bullet"/>
      <w:lvlText w:val="•"/>
      <w:lvlJc w:val="left"/>
      <w:pPr>
        <w:ind w:left="1926" w:hanging="285"/>
      </w:pPr>
      <w:rPr>
        <w:rFonts w:hint="default"/>
      </w:rPr>
    </w:lvl>
    <w:lvl w:ilvl="4">
      <w:start w:val="0"/>
      <w:numFmt w:val="bullet"/>
      <w:lvlText w:val="•"/>
      <w:lvlJc w:val="left"/>
      <w:pPr>
        <w:ind w:left="2579" w:hanging="285"/>
      </w:pPr>
      <w:rPr>
        <w:rFonts w:hint="default"/>
      </w:rPr>
    </w:lvl>
    <w:lvl w:ilvl="5">
      <w:start w:val="0"/>
      <w:numFmt w:val="bullet"/>
      <w:lvlText w:val="•"/>
      <w:lvlJc w:val="left"/>
      <w:pPr>
        <w:ind w:left="3232" w:hanging="285"/>
      </w:pPr>
      <w:rPr>
        <w:rFonts w:hint="default"/>
      </w:rPr>
    </w:lvl>
    <w:lvl w:ilvl="6">
      <w:start w:val="0"/>
      <w:numFmt w:val="bullet"/>
      <w:lvlText w:val="•"/>
      <w:lvlJc w:val="left"/>
      <w:pPr>
        <w:ind w:left="3885" w:hanging="285"/>
      </w:pPr>
      <w:rPr>
        <w:rFonts w:hint="default"/>
      </w:rPr>
    </w:lvl>
    <w:lvl w:ilvl="7">
      <w:start w:val="0"/>
      <w:numFmt w:val="bullet"/>
      <w:lvlText w:val="•"/>
      <w:lvlJc w:val="left"/>
      <w:pPr>
        <w:ind w:left="4538" w:hanging="285"/>
      </w:pPr>
      <w:rPr>
        <w:rFonts w:hint="default"/>
      </w:rPr>
    </w:lvl>
    <w:lvl w:ilvl="8">
      <w:start w:val="0"/>
      <w:numFmt w:val="bullet"/>
      <w:lvlText w:val="•"/>
      <w:lvlJc w:val="left"/>
      <w:pPr>
        <w:ind w:left="5191" w:hanging="285"/>
      </w:pPr>
      <w:rPr>
        <w:rFonts w:hint="default"/>
      </w:rPr>
    </w:lvl>
  </w:abstractNum>
  <w:abstractNum w:abstractNumId="38">
    <w:multiLevelType w:val="hybridMultilevel"/>
    <w:lvl w:ilvl="0">
      <w:start w:val="0"/>
      <w:numFmt w:val="bullet"/>
      <w:lvlText w:val="●"/>
      <w:lvlJc w:val="left"/>
      <w:pPr>
        <w:ind w:left="355" w:hanging="242"/>
      </w:pPr>
      <w:rPr>
        <w:rFonts w:hint="default" w:ascii="Microsoft JhengHei UI" w:hAnsi="Microsoft JhengHei UI" w:eastAsia="Microsoft JhengHei UI" w:cs="Microsoft JhengHei UI"/>
        <w:color w:val="221F1F"/>
        <w:w w:val="99"/>
        <w:position w:val="3"/>
        <w:sz w:val="16"/>
        <w:szCs w:val="16"/>
      </w:rPr>
    </w:lvl>
    <w:lvl w:ilvl="1">
      <w:start w:val="0"/>
      <w:numFmt w:val="bullet"/>
      <w:lvlText w:val="•"/>
      <w:lvlJc w:val="left"/>
      <w:pPr>
        <w:ind w:left="973" w:hanging="242"/>
      </w:pPr>
      <w:rPr>
        <w:rFonts w:hint="default"/>
      </w:rPr>
    </w:lvl>
    <w:lvl w:ilvl="2">
      <w:start w:val="0"/>
      <w:numFmt w:val="bullet"/>
      <w:lvlText w:val="•"/>
      <w:lvlJc w:val="left"/>
      <w:pPr>
        <w:ind w:left="1587" w:hanging="242"/>
      </w:pPr>
      <w:rPr>
        <w:rFonts w:hint="default"/>
      </w:rPr>
    </w:lvl>
    <w:lvl w:ilvl="3">
      <w:start w:val="0"/>
      <w:numFmt w:val="bullet"/>
      <w:lvlText w:val="•"/>
      <w:lvlJc w:val="left"/>
      <w:pPr>
        <w:ind w:left="2201" w:hanging="242"/>
      </w:pPr>
      <w:rPr>
        <w:rFonts w:hint="default"/>
      </w:rPr>
    </w:lvl>
    <w:lvl w:ilvl="4">
      <w:start w:val="0"/>
      <w:numFmt w:val="bullet"/>
      <w:lvlText w:val="•"/>
      <w:lvlJc w:val="left"/>
      <w:pPr>
        <w:ind w:left="2815" w:hanging="242"/>
      </w:pPr>
      <w:rPr>
        <w:rFonts w:hint="default"/>
      </w:rPr>
    </w:lvl>
    <w:lvl w:ilvl="5">
      <w:start w:val="0"/>
      <w:numFmt w:val="bullet"/>
      <w:lvlText w:val="•"/>
      <w:lvlJc w:val="left"/>
      <w:pPr>
        <w:ind w:left="3429" w:hanging="242"/>
      </w:pPr>
      <w:rPr>
        <w:rFonts w:hint="default"/>
      </w:rPr>
    </w:lvl>
    <w:lvl w:ilvl="6">
      <w:start w:val="0"/>
      <w:numFmt w:val="bullet"/>
      <w:lvlText w:val="•"/>
      <w:lvlJc w:val="left"/>
      <w:pPr>
        <w:ind w:left="4042" w:hanging="242"/>
      </w:pPr>
      <w:rPr>
        <w:rFonts w:hint="default"/>
      </w:rPr>
    </w:lvl>
    <w:lvl w:ilvl="7">
      <w:start w:val="0"/>
      <w:numFmt w:val="bullet"/>
      <w:lvlText w:val="•"/>
      <w:lvlJc w:val="left"/>
      <w:pPr>
        <w:ind w:left="4656" w:hanging="242"/>
      </w:pPr>
      <w:rPr>
        <w:rFonts w:hint="default"/>
      </w:rPr>
    </w:lvl>
    <w:lvl w:ilvl="8">
      <w:start w:val="0"/>
      <w:numFmt w:val="bullet"/>
      <w:lvlText w:val="•"/>
      <w:lvlJc w:val="left"/>
      <w:pPr>
        <w:ind w:left="5270" w:hanging="242"/>
      </w:pPr>
      <w:rPr>
        <w:rFonts w:hint="default"/>
      </w:rPr>
    </w:lvl>
  </w:abstractNum>
  <w:abstractNum w:abstractNumId="37">
    <w:multiLevelType w:val="hybridMultilevel"/>
    <w:lvl w:ilvl="0">
      <w:start w:val="0"/>
      <w:numFmt w:val="bullet"/>
      <w:lvlText w:val="●"/>
      <w:lvlJc w:val="left"/>
      <w:pPr>
        <w:ind w:left="355" w:hanging="220"/>
      </w:pPr>
      <w:rPr>
        <w:rFonts w:hint="default" w:ascii="Microsoft JhengHei UI" w:hAnsi="Microsoft JhengHei UI" w:eastAsia="Microsoft JhengHei UI" w:cs="Microsoft JhengHei UI"/>
        <w:color w:val="221F1F"/>
        <w:w w:val="99"/>
        <w:position w:val="3"/>
        <w:sz w:val="16"/>
        <w:szCs w:val="16"/>
      </w:rPr>
    </w:lvl>
    <w:lvl w:ilvl="1">
      <w:start w:val="0"/>
      <w:numFmt w:val="bullet"/>
      <w:lvlText w:val="•"/>
      <w:lvlJc w:val="left"/>
      <w:pPr>
        <w:ind w:left="973" w:hanging="220"/>
      </w:pPr>
      <w:rPr>
        <w:rFonts w:hint="default"/>
      </w:rPr>
    </w:lvl>
    <w:lvl w:ilvl="2">
      <w:start w:val="0"/>
      <w:numFmt w:val="bullet"/>
      <w:lvlText w:val="•"/>
      <w:lvlJc w:val="left"/>
      <w:pPr>
        <w:ind w:left="1587" w:hanging="220"/>
      </w:pPr>
      <w:rPr>
        <w:rFonts w:hint="default"/>
      </w:rPr>
    </w:lvl>
    <w:lvl w:ilvl="3">
      <w:start w:val="0"/>
      <w:numFmt w:val="bullet"/>
      <w:lvlText w:val="•"/>
      <w:lvlJc w:val="left"/>
      <w:pPr>
        <w:ind w:left="2201" w:hanging="220"/>
      </w:pPr>
      <w:rPr>
        <w:rFonts w:hint="default"/>
      </w:rPr>
    </w:lvl>
    <w:lvl w:ilvl="4">
      <w:start w:val="0"/>
      <w:numFmt w:val="bullet"/>
      <w:lvlText w:val="•"/>
      <w:lvlJc w:val="left"/>
      <w:pPr>
        <w:ind w:left="2815" w:hanging="220"/>
      </w:pPr>
      <w:rPr>
        <w:rFonts w:hint="default"/>
      </w:rPr>
    </w:lvl>
    <w:lvl w:ilvl="5">
      <w:start w:val="0"/>
      <w:numFmt w:val="bullet"/>
      <w:lvlText w:val="•"/>
      <w:lvlJc w:val="left"/>
      <w:pPr>
        <w:ind w:left="3429" w:hanging="220"/>
      </w:pPr>
      <w:rPr>
        <w:rFonts w:hint="default"/>
      </w:rPr>
    </w:lvl>
    <w:lvl w:ilvl="6">
      <w:start w:val="0"/>
      <w:numFmt w:val="bullet"/>
      <w:lvlText w:val="•"/>
      <w:lvlJc w:val="left"/>
      <w:pPr>
        <w:ind w:left="4043" w:hanging="220"/>
      </w:pPr>
      <w:rPr>
        <w:rFonts w:hint="default"/>
      </w:rPr>
    </w:lvl>
    <w:lvl w:ilvl="7">
      <w:start w:val="0"/>
      <w:numFmt w:val="bullet"/>
      <w:lvlText w:val="•"/>
      <w:lvlJc w:val="left"/>
      <w:pPr>
        <w:ind w:left="4657" w:hanging="220"/>
      </w:pPr>
      <w:rPr>
        <w:rFonts w:hint="default"/>
      </w:rPr>
    </w:lvl>
    <w:lvl w:ilvl="8">
      <w:start w:val="0"/>
      <w:numFmt w:val="bullet"/>
      <w:lvlText w:val="•"/>
      <w:lvlJc w:val="left"/>
      <w:pPr>
        <w:ind w:left="5271" w:hanging="220"/>
      </w:pPr>
      <w:rPr>
        <w:rFonts w:hint="default"/>
      </w:rPr>
    </w:lvl>
  </w:abstractNum>
  <w:abstractNum w:abstractNumId="36">
    <w:multiLevelType w:val="hybridMultilevel"/>
    <w:lvl w:ilvl="0">
      <w:start w:val="0"/>
      <w:numFmt w:val="bullet"/>
      <w:lvlText w:val="●"/>
      <w:lvlJc w:val="left"/>
      <w:pPr>
        <w:ind w:left="356" w:hanging="244"/>
      </w:pPr>
      <w:rPr>
        <w:rFonts w:hint="default"/>
        <w:w w:val="100"/>
        <w:position w:val="3"/>
      </w:rPr>
    </w:lvl>
    <w:lvl w:ilvl="1">
      <w:start w:val="0"/>
      <w:numFmt w:val="bullet"/>
      <w:lvlText w:val="•"/>
      <w:lvlJc w:val="left"/>
      <w:pPr>
        <w:ind w:left="973" w:hanging="244"/>
      </w:pPr>
      <w:rPr>
        <w:rFonts w:hint="default"/>
      </w:rPr>
    </w:lvl>
    <w:lvl w:ilvl="2">
      <w:start w:val="0"/>
      <w:numFmt w:val="bullet"/>
      <w:lvlText w:val="•"/>
      <w:lvlJc w:val="left"/>
      <w:pPr>
        <w:ind w:left="1587" w:hanging="244"/>
      </w:pPr>
      <w:rPr>
        <w:rFonts w:hint="default"/>
      </w:rPr>
    </w:lvl>
    <w:lvl w:ilvl="3">
      <w:start w:val="0"/>
      <w:numFmt w:val="bullet"/>
      <w:lvlText w:val="•"/>
      <w:lvlJc w:val="left"/>
      <w:pPr>
        <w:ind w:left="2201" w:hanging="244"/>
      </w:pPr>
      <w:rPr>
        <w:rFonts w:hint="default"/>
      </w:rPr>
    </w:lvl>
    <w:lvl w:ilvl="4">
      <w:start w:val="0"/>
      <w:numFmt w:val="bullet"/>
      <w:lvlText w:val="•"/>
      <w:lvlJc w:val="left"/>
      <w:pPr>
        <w:ind w:left="2815" w:hanging="244"/>
      </w:pPr>
      <w:rPr>
        <w:rFonts w:hint="default"/>
      </w:rPr>
    </w:lvl>
    <w:lvl w:ilvl="5">
      <w:start w:val="0"/>
      <w:numFmt w:val="bullet"/>
      <w:lvlText w:val="•"/>
      <w:lvlJc w:val="left"/>
      <w:pPr>
        <w:ind w:left="3429" w:hanging="244"/>
      </w:pPr>
      <w:rPr>
        <w:rFonts w:hint="default"/>
      </w:rPr>
    </w:lvl>
    <w:lvl w:ilvl="6">
      <w:start w:val="0"/>
      <w:numFmt w:val="bullet"/>
      <w:lvlText w:val="•"/>
      <w:lvlJc w:val="left"/>
      <w:pPr>
        <w:ind w:left="4043" w:hanging="244"/>
      </w:pPr>
      <w:rPr>
        <w:rFonts w:hint="default"/>
      </w:rPr>
    </w:lvl>
    <w:lvl w:ilvl="7">
      <w:start w:val="0"/>
      <w:numFmt w:val="bullet"/>
      <w:lvlText w:val="•"/>
      <w:lvlJc w:val="left"/>
      <w:pPr>
        <w:ind w:left="4657" w:hanging="244"/>
      </w:pPr>
      <w:rPr>
        <w:rFonts w:hint="default"/>
      </w:rPr>
    </w:lvl>
    <w:lvl w:ilvl="8">
      <w:start w:val="0"/>
      <w:numFmt w:val="bullet"/>
      <w:lvlText w:val="•"/>
      <w:lvlJc w:val="left"/>
      <w:pPr>
        <w:ind w:left="5271" w:hanging="244"/>
      </w:pPr>
      <w:rPr>
        <w:rFonts w:hint="default"/>
      </w:rPr>
    </w:lvl>
  </w:abstractNum>
  <w:abstractNum w:abstractNumId="35">
    <w:multiLevelType w:val="hybridMultilevel"/>
    <w:lvl w:ilvl="0">
      <w:start w:val="0"/>
      <w:numFmt w:val="bullet"/>
      <w:lvlText w:val="●"/>
      <w:lvlJc w:val="left"/>
      <w:pPr>
        <w:ind w:left="356" w:hanging="234"/>
      </w:pPr>
      <w:rPr>
        <w:rFonts w:hint="default" w:ascii="Microsoft JhengHei UI" w:hAnsi="Microsoft JhengHei UI" w:eastAsia="Microsoft JhengHei UI" w:cs="Microsoft JhengHei UI"/>
        <w:w w:val="100"/>
        <w:position w:val="3"/>
        <w:sz w:val="17"/>
        <w:szCs w:val="17"/>
      </w:rPr>
    </w:lvl>
    <w:lvl w:ilvl="1">
      <w:start w:val="0"/>
      <w:numFmt w:val="bullet"/>
      <w:lvlText w:val="•"/>
      <w:lvlJc w:val="left"/>
      <w:pPr>
        <w:ind w:left="973" w:hanging="234"/>
      </w:pPr>
      <w:rPr>
        <w:rFonts w:hint="default"/>
      </w:rPr>
    </w:lvl>
    <w:lvl w:ilvl="2">
      <w:start w:val="0"/>
      <w:numFmt w:val="bullet"/>
      <w:lvlText w:val="•"/>
      <w:lvlJc w:val="left"/>
      <w:pPr>
        <w:ind w:left="1587" w:hanging="234"/>
      </w:pPr>
      <w:rPr>
        <w:rFonts w:hint="default"/>
      </w:rPr>
    </w:lvl>
    <w:lvl w:ilvl="3">
      <w:start w:val="0"/>
      <w:numFmt w:val="bullet"/>
      <w:lvlText w:val="•"/>
      <w:lvlJc w:val="left"/>
      <w:pPr>
        <w:ind w:left="2201" w:hanging="234"/>
      </w:pPr>
      <w:rPr>
        <w:rFonts w:hint="default"/>
      </w:rPr>
    </w:lvl>
    <w:lvl w:ilvl="4">
      <w:start w:val="0"/>
      <w:numFmt w:val="bullet"/>
      <w:lvlText w:val="•"/>
      <w:lvlJc w:val="left"/>
      <w:pPr>
        <w:ind w:left="2815" w:hanging="234"/>
      </w:pPr>
      <w:rPr>
        <w:rFonts w:hint="default"/>
      </w:rPr>
    </w:lvl>
    <w:lvl w:ilvl="5">
      <w:start w:val="0"/>
      <w:numFmt w:val="bullet"/>
      <w:lvlText w:val="•"/>
      <w:lvlJc w:val="left"/>
      <w:pPr>
        <w:ind w:left="3429" w:hanging="234"/>
      </w:pPr>
      <w:rPr>
        <w:rFonts w:hint="default"/>
      </w:rPr>
    </w:lvl>
    <w:lvl w:ilvl="6">
      <w:start w:val="0"/>
      <w:numFmt w:val="bullet"/>
      <w:lvlText w:val="•"/>
      <w:lvlJc w:val="left"/>
      <w:pPr>
        <w:ind w:left="4043" w:hanging="234"/>
      </w:pPr>
      <w:rPr>
        <w:rFonts w:hint="default"/>
      </w:rPr>
    </w:lvl>
    <w:lvl w:ilvl="7">
      <w:start w:val="0"/>
      <w:numFmt w:val="bullet"/>
      <w:lvlText w:val="•"/>
      <w:lvlJc w:val="left"/>
      <w:pPr>
        <w:ind w:left="4657" w:hanging="234"/>
      </w:pPr>
      <w:rPr>
        <w:rFonts w:hint="default"/>
      </w:rPr>
    </w:lvl>
    <w:lvl w:ilvl="8">
      <w:start w:val="0"/>
      <w:numFmt w:val="bullet"/>
      <w:lvlText w:val="•"/>
      <w:lvlJc w:val="left"/>
      <w:pPr>
        <w:ind w:left="5271" w:hanging="234"/>
      </w:pPr>
      <w:rPr>
        <w:rFonts w:hint="default"/>
      </w:rPr>
    </w:lvl>
  </w:abstractNum>
  <w:abstractNum w:abstractNumId="34">
    <w:multiLevelType w:val="hybridMultilevel"/>
    <w:lvl w:ilvl="0">
      <w:start w:val="0"/>
      <w:numFmt w:val="bullet"/>
      <w:lvlText w:val="●"/>
      <w:lvlJc w:val="left"/>
      <w:pPr>
        <w:ind w:left="354" w:hanging="363"/>
      </w:pPr>
      <w:rPr>
        <w:rFonts w:hint="default" w:ascii="Microsoft JhengHei UI" w:hAnsi="Microsoft JhengHei UI" w:eastAsia="Microsoft JhengHei UI" w:cs="Microsoft JhengHei UI"/>
        <w:w w:val="100"/>
        <w:position w:val="3"/>
        <w:sz w:val="24"/>
        <w:szCs w:val="24"/>
      </w:rPr>
    </w:lvl>
    <w:lvl w:ilvl="1">
      <w:start w:val="0"/>
      <w:numFmt w:val="bullet"/>
      <w:lvlText w:val="•"/>
      <w:lvlJc w:val="left"/>
      <w:pPr>
        <w:ind w:left="809" w:hanging="363"/>
      </w:pPr>
      <w:rPr>
        <w:rFonts w:hint="default"/>
      </w:rPr>
    </w:lvl>
    <w:lvl w:ilvl="2">
      <w:start w:val="0"/>
      <w:numFmt w:val="bullet"/>
      <w:lvlText w:val="•"/>
      <w:lvlJc w:val="left"/>
      <w:pPr>
        <w:ind w:left="1258" w:hanging="363"/>
      </w:pPr>
      <w:rPr>
        <w:rFonts w:hint="default"/>
      </w:rPr>
    </w:lvl>
    <w:lvl w:ilvl="3">
      <w:start w:val="0"/>
      <w:numFmt w:val="bullet"/>
      <w:lvlText w:val="•"/>
      <w:lvlJc w:val="left"/>
      <w:pPr>
        <w:ind w:left="1708" w:hanging="363"/>
      </w:pPr>
      <w:rPr>
        <w:rFonts w:hint="default"/>
      </w:rPr>
    </w:lvl>
    <w:lvl w:ilvl="4">
      <w:start w:val="0"/>
      <w:numFmt w:val="bullet"/>
      <w:lvlText w:val="•"/>
      <w:lvlJc w:val="left"/>
      <w:pPr>
        <w:ind w:left="2157" w:hanging="363"/>
      </w:pPr>
      <w:rPr>
        <w:rFonts w:hint="default"/>
      </w:rPr>
    </w:lvl>
    <w:lvl w:ilvl="5">
      <w:start w:val="0"/>
      <w:numFmt w:val="bullet"/>
      <w:lvlText w:val="•"/>
      <w:lvlJc w:val="left"/>
      <w:pPr>
        <w:ind w:left="2607" w:hanging="363"/>
      </w:pPr>
      <w:rPr>
        <w:rFonts w:hint="default"/>
      </w:rPr>
    </w:lvl>
    <w:lvl w:ilvl="6">
      <w:start w:val="0"/>
      <w:numFmt w:val="bullet"/>
      <w:lvlText w:val="•"/>
      <w:lvlJc w:val="left"/>
      <w:pPr>
        <w:ind w:left="3056" w:hanging="363"/>
      </w:pPr>
      <w:rPr>
        <w:rFonts w:hint="default"/>
      </w:rPr>
    </w:lvl>
    <w:lvl w:ilvl="7">
      <w:start w:val="0"/>
      <w:numFmt w:val="bullet"/>
      <w:lvlText w:val="•"/>
      <w:lvlJc w:val="left"/>
      <w:pPr>
        <w:ind w:left="3505" w:hanging="363"/>
      </w:pPr>
      <w:rPr>
        <w:rFonts w:hint="default"/>
      </w:rPr>
    </w:lvl>
    <w:lvl w:ilvl="8">
      <w:start w:val="0"/>
      <w:numFmt w:val="bullet"/>
      <w:lvlText w:val="•"/>
      <w:lvlJc w:val="left"/>
      <w:pPr>
        <w:ind w:left="3955" w:hanging="363"/>
      </w:pPr>
      <w:rPr>
        <w:rFonts w:hint="default"/>
      </w:rPr>
    </w:lvl>
  </w:abstractNum>
  <w:abstractNum w:abstractNumId="33">
    <w:multiLevelType w:val="hybridMultilevel"/>
    <w:lvl w:ilvl="0">
      <w:start w:val="0"/>
      <w:numFmt w:val="bullet"/>
      <w:lvlText w:val="●"/>
      <w:lvlJc w:val="left"/>
      <w:pPr>
        <w:ind w:left="354" w:hanging="380"/>
      </w:pPr>
      <w:rPr>
        <w:rFonts w:hint="default" w:ascii="Microsoft JhengHei UI" w:hAnsi="Microsoft JhengHei UI" w:eastAsia="Microsoft JhengHei UI" w:cs="Microsoft JhengHei UI"/>
        <w:spacing w:val="-27"/>
        <w:w w:val="100"/>
        <w:position w:val="3"/>
        <w:sz w:val="24"/>
        <w:szCs w:val="24"/>
      </w:rPr>
    </w:lvl>
    <w:lvl w:ilvl="1">
      <w:start w:val="0"/>
      <w:numFmt w:val="bullet"/>
      <w:lvlText w:val="•"/>
      <w:lvlJc w:val="left"/>
      <w:pPr>
        <w:ind w:left="809" w:hanging="380"/>
      </w:pPr>
      <w:rPr>
        <w:rFonts w:hint="default"/>
      </w:rPr>
    </w:lvl>
    <w:lvl w:ilvl="2">
      <w:start w:val="0"/>
      <w:numFmt w:val="bullet"/>
      <w:lvlText w:val="•"/>
      <w:lvlJc w:val="left"/>
      <w:pPr>
        <w:ind w:left="1258" w:hanging="380"/>
      </w:pPr>
      <w:rPr>
        <w:rFonts w:hint="default"/>
      </w:rPr>
    </w:lvl>
    <w:lvl w:ilvl="3">
      <w:start w:val="0"/>
      <w:numFmt w:val="bullet"/>
      <w:lvlText w:val="•"/>
      <w:lvlJc w:val="left"/>
      <w:pPr>
        <w:ind w:left="1708" w:hanging="380"/>
      </w:pPr>
      <w:rPr>
        <w:rFonts w:hint="default"/>
      </w:rPr>
    </w:lvl>
    <w:lvl w:ilvl="4">
      <w:start w:val="0"/>
      <w:numFmt w:val="bullet"/>
      <w:lvlText w:val="•"/>
      <w:lvlJc w:val="left"/>
      <w:pPr>
        <w:ind w:left="2157" w:hanging="380"/>
      </w:pPr>
      <w:rPr>
        <w:rFonts w:hint="default"/>
      </w:rPr>
    </w:lvl>
    <w:lvl w:ilvl="5">
      <w:start w:val="0"/>
      <w:numFmt w:val="bullet"/>
      <w:lvlText w:val="•"/>
      <w:lvlJc w:val="left"/>
      <w:pPr>
        <w:ind w:left="2607" w:hanging="380"/>
      </w:pPr>
      <w:rPr>
        <w:rFonts w:hint="default"/>
      </w:rPr>
    </w:lvl>
    <w:lvl w:ilvl="6">
      <w:start w:val="0"/>
      <w:numFmt w:val="bullet"/>
      <w:lvlText w:val="•"/>
      <w:lvlJc w:val="left"/>
      <w:pPr>
        <w:ind w:left="3056" w:hanging="380"/>
      </w:pPr>
      <w:rPr>
        <w:rFonts w:hint="default"/>
      </w:rPr>
    </w:lvl>
    <w:lvl w:ilvl="7">
      <w:start w:val="0"/>
      <w:numFmt w:val="bullet"/>
      <w:lvlText w:val="•"/>
      <w:lvlJc w:val="left"/>
      <w:pPr>
        <w:ind w:left="3505" w:hanging="380"/>
      </w:pPr>
      <w:rPr>
        <w:rFonts w:hint="default"/>
      </w:rPr>
    </w:lvl>
    <w:lvl w:ilvl="8">
      <w:start w:val="0"/>
      <w:numFmt w:val="bullet"/>
      <w:lvlText w:val="•"/>
      <w:lvlJc w:val="left"/>
      <w:pPr>
        <w:ind w:left="3955" w:hanging="380"/>
      </w:pPr>
      <w:rPr>
        <w:rFonts w:hint="default"/>
      </w:rPr>
    </w:lvl>
  </w:abstractNum>
  <w:abstractNum w:abstractNumId="32">
    <w:multiLevelType w:val="hybridMultilevel"/>
    <w:lvl w:ilvl="0">
      <w:start w:val="0"/>
      <w:numFmt w:val="bullet"/>
      <w:lvlText w:val="●"/>
      <w:lvlJc w:val="left"/>
      <w:pPr>
        <w:ind w:left="354" w:hanging="401"/>
      </w:pPr>
      <w:rPr>
        <w:rFonts w:hint="default" w:ascii="Microsoft JhengHei UI" w:hAnsi="Microsoft JhengHei UI" w:eastAsia="Microsoft JhengHei UI" w:cs="Microsoft JhengHei UI"/>
        <w:spacing w:val="-28"/>
        <w:w w:val="100"/>
        <w:position w:val="3"/>
        <w:sz w:val="24"/>
        <w:szCs w:val="24"/>
      </w:rPr>
    </w:lvl>
    <w:lvl w:ilvl="1">
      <w:start w:val="0"/>
      <w:numFmt w:val="bullet"/>
      <w:lvlText w:val="•"/>
      <w:lvlJc w:val="left"/>
      <w:pPr>
        <w:ind w:left="809" w:hanging="401"/>
      </w:pPr>
      <w:rPr>
        <w:rFonts w:hint="default"/>
      </w:rPr>
    </w:lvl>
    <w:lvl w:ilvl="2">
      <w:start w:val="0"/>
      <w:numFmt w:val="bullet"/>
      <w:lvlText w:val="•"/>
      <w:lvlJc w:val="left"/>
      <w:pPr>
        <w:ind w:left="1258" w:hanging="401"/>
      </w:pPr>
      <w:rPr>
        <w:rFonts w:hint="default"/>
      </w:rPr>
    </w:lvl>
    <w:lvl w:ilvl="3">
      <w:start w:val="0"/>
      <w:numFmt w:val="bullet"/>
      <w:lvlText w:val="•"/>
      <w:lvlJc w:val="left"/>
      <w:pPr>
        <w:ind w:left="1708" w:hanging="401"/>
      </w:pPr>
      <w:rPr>
        <w:rFonts w:hint="default"/>
      </w:rPr>
    </w:lvl>
    <w:lvl w:ilvl="4">
      <w:start w:val="0"/>
      <w:numFmt w:val="bullet"/>
      <w:lvlText w:val="•"/>
      <w:lvlJc w:val="left"/>
      <w:pPr>
        <w:ind w:left="2157" w:hanging="401"/>
      </w:pPr>
      <w:rPr>
        <w:rFonts w:hint="default"/>
      </w:rPr>
    </w:lvl>
    <w:lvl w:ilvl="5">
      <w:start w:val="0"/>
      <w:numFmt w:val="bullet"/>
      <w:lvlText w:val="•"/>
      <w:lvlJc w:val="left"/>
      <w:pPr>
        <w:ind w:left="2607" w:hanging="401"/>
      </w:pPr>
      <w:rPr>
        <w:rFonts w:hint="default"/>
      </w:rPr>
    </w:lvl>
    <w:lvl w:ilvl="6">
      <w:start w:val="0"/>
      <w:numFmt w:val="bullet"/>
      <w:lvlText w:val="•"/>
      <w:lvlJc w:val="left"/>
      <w:pPr>
        <w:ind w:left="3056" w:hanging="401"/>
      </w:pPr>
      <w:rPr>
        <w:rFonts w:hint="default"/>
      </w:rPr>
    </w:lvl>
    <w:lvl w:ilvl="7">
      <w:start w:val="0"/>
      <w:numFmt w:val="bullet"/>
      <w:lvlText w:val="•"/>
      <w:lvlJc w:val="left"/>
      <w:pPr>
        <w:ind w:left="3505" w:hanging="401"/>
      </w:pPr>
      <w:rPr>
        <w:rFonts w:hint="default"/>
      </w:rPr>
    </w:lvl>
    <w:lvl w:ilvl="8">
      <w:start w:val="0"/>
      <w:numFmt w:val="bullet"/>
      <w:lvlText w:val="•"/>
      <w:lvlJc w:val="left"/>
      <w:pPr>
        <w:ind w:left="3955" w:hanging="401"/>
      </w:pPr>
      <w:rPr>
        <w:rFonts w:hint="default"/>
      </w:rPr>
    </w:lvl>
  </w:abstractNum>
  <w:abstractNum w:abstractNumId="30">
    <w:multiLevelType w:val="hybridMultilevel"/>
    <w:lvl w:ilvl="0">
      <w:start w:val="1"/>
      <w:numFmt w:val="decimal"/>
      <w:lvlText w:val="%1."/>
      <w:lvlJc w:val="left"/>
      <w:pPr>
        <w:ind w:left="510" w:hanging="480"/>
        <w:jc w:val="left"/>
      </w:pPr>
      <w:rPr>
        <w:rFonts w:hint="default" w:ascii="Microsoft JhengHei UI" w:hAnsi="Microsoft JhengHei UI" w:eastAsia="Microsoft JhengHei UI" w:cs="Microsoft JhengHei UI"/>
        <w:spacing w:val="-15"/>
        <w:w w:val="100"/>
        <w:sz w:val="24"/>
        <w:szCs w:val="24"/>
      </w:rPr>
    </w:lvl>
    <w:lvl w:ilvl="1">
      <w:start w:val="0"/>
      <w:numFmt w:val="bullet"/>
      <w:lvlText w:val="•"/>
      <w:lvlJc w:val="left"/>
      <w:pPr>
        <w:ind w:left="778" w:hanging="480"/>
      </w:pPr>
      <w:rPr>
        <w:rFonts w:hint="default"/>
      </w:rPr>
    </w:lvl>
    <w:lvl w:ilvl="2">
      <w:start w:val="0"/>
      <w:numFmt w:val="bullet"/>
      <w:lvlText w:val="•"/>
      <w:lvlJc w:val="left"/>
      <w:pPr>
        <w:ind w:left="1036" w:hanging="480"/>
      </w:pPr>
      <w:rPr>
        <w:rFonts w:hint="default"/>
      </w:rPr>
    </w:lvl>
    <w:lvl w:ilvl="3">
      <w:start w:val="0"/>
      <w:numFmt w:val="bullet"/>
      <w:lvlText w:val="•"/>
      <w:lvlJc w:val="left"/>
      <w:pPr>
        <w:ind w:left="1295" w:hanging="480"/>
      </w:pPr>
      <w:rPr>
        <w:rFonts w:hint="default"/>
      </w:rPr>
    </w:lvl>
    <w:lvl w:ilvl="4">
      <w:start w:val="0"/>
      <w:numFmt w:val="bullet"/>
      <w:lvlText w:val="•"/>
      <w:lvlJc w:val="left"/>
      <w:pPr>
        <w:ind w:left="1553" w:hanging="480"/>
      </w:pPr>
      <w:rPr>
        <w:rFonts w:hint="default"/>
      </w:rPr>
    </w:lvl>
    <w:lvl w:ilvl="5">
      <w:start w:val="0"/>
      <w:numFmt w:val="bullet"/>
      <w:lvlText w:val="•"/>
      <w:lvlJc w:val="left"/>
      <w:pPr>
        <w:ind w:left="1812" w:hanging="480"/>
      </w:pPr>
      <w:rPr>
        <w:rFonts w:hint="default"/>
      </w:rPr>
    </w:lvl>
    <w:lvl w:ilvl="6">
      <w:start w:val="0"/>
      <w:numFmt w:val="bullet"/>
      <w:lvlText w:val="•"/>
      <w:lvlJc w:val="left"/>
      <w:pPr>
        <w:ind w:left="2070" w:hanging="480"/>
      </w:pPr>
      <w:rPr>
        <w:rFonts w:hint="default"/>
      </w:rPr>
    </w:lvl>
    <w:lvl w:ilvl="7">
      <w:start w:val="0"/>
      <w:numFmt w:val="bullet"/>
      <w:lvlText w:val="•"/>
      <w:lvlJc w:val="left"/>
      <w:pPr>
        <w:ind w:left="2328" w:hanging="480"/>
      </w:pPr>
      <w:rPr>
        <w:rFonts w:hint="default"/>
      </w:rPr>
    </w:lvl>
    <w:lvl w:ilvl="8">
      <w:start w:val="0"/>
      <w:numFmt w:val="bullet"/>
      <w:lvlText w:val="•"/>
      <w:lvlJc w:val="left"/>
      <w:pPr>
        <w:ind w:left="2587" w:hanging="480"/>
      </w:pPr>
      <w:rPr>
        <w:rFonts w:hint="default"/>
      </w:rPr>
    </w:lvl>
  </w:abstractNum>
  <w:abstractNum w:abstractNumId="31">
    <w:multiLevelType w:val="hybridMultilevel"/>
    <w:lvl w:ilvl="0">
      <w:start w:val="0"/>
      <w:numFmt w:val="bullet"/>
      <w:lvlText w:val="*"/>
      <w:lvlJc w:val="left"/>
      <w:pPr>
        <w:ind w:left="1676" w:hanging="167"/>
      </w:pPr>
      <w:rPr>
        <w:rFonts w:hint="default" w:ascii="Microsoft JhengHei UI" w:hAnsi="Microsoft JhengHei UI" w:eastAsia="Microsoft JhengHei UI" w:cs="Microsoft JhengHei UI"/>
        <w:w w:val="100"/>
        <w:sz w:val="24"/>
        <w:szCs w:val="24"/>
      </w:rPr>
    </w:lvl>
    <w:lvl w:ilvl="1">
      <w:start w:val="0"/>
      <w:numFmt w:val="bullet"/>
      <w:lvlText w:val="●"/>
      <w:lvlJc w:val="left"/>
      <w:pPr>
        <w:ind w:left="1890" w:hanging="242"/>
      </w:pPr>
      <w:rPr>
        <w:rFonts w:hint="default"/>
        <w:w w:val="99"/>
        <w:position w:val="3"/>
      </w:rPr>
    </w:lvl>
    <w:lvl w:ilvl="2">
      <w:start w:val="0"/>
      <w:numFmt w:val="bullet"/>
      <w:lvlText w:val="•"/>
      <w:lvlJc w:val="left"/>
      <w:pPr>
        <w:ind w:left="2966" w:hanging="242"/>
      </w:pPr>
      <w:rPr>
        <w:rFonts w:hint="default"/>
      </w:rPr>
    </w:lvl>
    <w:lvl w:ilvl="3">
      <w:start w:val="0"/>
      <w:numFmt w:val="bullet"/>
      <w:lvlText w:val="•"/>
      <w:lvlJc w:val="left"/>
      <w:pPr>
        <w:ind w:left="4033" w:hanging="242"/>
      </w:pPr>
      <w:rPr>
        <w:rFonts w:hint="default"/>
      </w:rPr>
    </w:lvl>
    <w:lvl w:ilvl="4">
      <w:start w:val="0"/>
      <w:numFmt w:val="bullet"/>
      <w:lvlText w:val="•"/>
      <w:lvlJc w:val="left"/>
      <w:pPr>
        <w:ind w:left="5099" w:hanging="242"/>
      </w:pPr>
      <w:rPr>
        <w:rFonts w:hint="default"/>
      </w:rPr>
    </w:lvl>
    <w:lvl w:ilvl="5">
      <w:start w:val="0"/>
      <w:numFmt w:val="bullet"/>
      <w:lvlText w:val="•"/>
      <w:lvlJc w:val="left"/>
      <w:pPr>
        <w:ind w:left="6166" w:hanging="242"/>
      </w:pPr>
      <w:rPr>
        <w:rFonts w:hint="default"/>
      </w:rPr>
    </w:lvl>
    <w:lvl w:ilvl="6">
      <w:start w:val="0"/>
      <w:numFmt w:val="bullet"/>
      <w:lvlText w:val="•"/>
      <w:lvlJc w:val="left"/>
      <w:pPr>
        <w:ind w:left="7233" w:hanging="242"/>
      </w:pPr>
      <w:rPr>
        <w:rFonts w:hint="default"/>
      </w:rPr>
    </w:lvl>
    <w:lvl w:ilvl="7">
      <w:start w:val="0"/>
      <w:numFmt w:val="bullet"/>
      <w:lvlText w:val="•"/>
      <w:lvlJc w:val="left"/>
      <w:pPr>
        <w:ind w:left="8299" w:hanging="242"/>
      </w:pPr>
      <w:rPr>
        <w:rFonts w:hint="default"/>
      </w:rPr>
    </w:lvl>
    <w:lvl w:ilvl="8">
      <w:start w:val="0"/>
      <w:numFmt w:val="bullet"/>
      <w:lvlText w:val="•"/>
      <w:lvlJc w:val="left"/>
      <w:pPr>
        <w:ind w:left="9366" w:hanging="242"/>
      </w:pPr>
      <w:rPr>
        <w:rFonts w:hint="default"/>
      </w:rPr>
    </w:lvl>
  </w:abstractNum>
  <w:abstractNum w:abstractNumId="29">
    <w:multiLevelType w:val="hybridMultilevel"/>
    <w:lvl w:ilvl="0">
      <w:start w:val="0"/>
      <w:numFmt w:val="bullet"/>
      <w:lvlText w:val=""/>
      <w:lvlJc w:val="left"/>
      <w:pPr>
        <w:ind w:left="429" w:hanging="240"/>
      </w:pPr>
      <w:rPr>
        <w:rFonts w:hint="default" w:ascii="Wingdings" w:hAnsi="Wingdings" w:eastAsia="Wingdings" w:cs="Wingdings"/>
        <w:w w:val="163"/>
        <w:sz w:val="24"/>
        <w:szCs w:val="24"/>
      </w:rPr>
    </w:lvl>
    <w:lvl w:ilvl="1">
      <w:start w:val="0"/>
      <w:numFmt w:val="bullet"/>
      <w:lvlText w:val="•"/>
      <w:lvlJc w:val="left"/>
      <w:pPr>
        <w:ind w:left="809" w:hanging="240"/>
      </w:pPr>
      <w:rPr>
        <w:rFonts w:hint="default"/>
      </w:rPr>
    </w:lvl>
    <w:lvl w:ilvl="2">
      <w:start w:val="0"/>
      <w:numFmt w:val="bullet"/>
      <w:lvlText w:val="•"/>
      <w:lvlJc w:val="left"/>
      <w:pPr>
        <w:ind w:left="1199" w:hanging="240"/>
      </w:pPr>
      <w:rPr>
        <w:rFonts w:hint="default"/>
      </w:rPr>
    </w:lvl>
    <w:lvl w:ilvl="3">
      <w:start w:val="0"/>
      <w:numFmt w:val="bullet"/>
      <w:lvlText w:val="•"/>
      <w:lvlJc w:val="left"/>
      <w:pPr>
        <w:ind w:left="1588" w:hanging="240"/>
      </w:pPr>
      <w:rPr>
        <w:rFonts w:hint="default"/>
      </w:rPr>
    </w:lvl>
    <w:lvl w:ilvl="4">
      <w:start w:val="0"/>
      <w:numFmt w:val="bullet"/>
      <w:lvlText w:val="•"/>
      <w:lvlJc w:val="left"/>
      <w:pPr>
        <w:ind w:left="1978" w:hanging="240"/>
      </w:pPr>
      <w:rPr>
        <w:rFonts w:hint="default"/>
      </w:rPr>
    </w:lvl>
    <w:lvl w:ilvl="5">
      <w:start w:val="0"/>
      <w:numFmt w:val="bullet"/>
      <w:lvlText w:val="•"/>
      <w:lvlJc w:val="left"/>
      <w:pPr>
        <w:ind w:left="2368" w:hanging="240"/>
      </w:pPr>
      <w:rPr>
        <w:rFonts w:hint="default"/>
      </w:rPr>
    </w:lvl>
    <w:lvl w:ilvl="6">
      <w:start w:val="0"/>
      <w:numFmt w:val="bullet"/>
      <w:lvlText w:val="•"/>
      <w:lvlJc w:val="left"/>
      <w:pPr>
        <w:ind w:left="2757" w:hanging="240"/>
      </w:pPr>
      <w:rPr>
        <w:rFonts w:hint="default"/>
      </w:rPr>
    </w:lvl>
    <w:lvl w:ilvl="7">
      <w:start w:val="0"/>
      <w:numFmt w:val="bullet"/>
      <w:lvlText w:val="•"/>
      <w:lvlJc w:val="left"/>
      <w:pPr>
        <w:ind w:left="3147" w:hanging="240"/>
      </w:pPr>
      <w:rPr>
        <w:rFonts w:hint="default"/>
      </w:rPr>
    </w:lvl>
    <w:lvl w:ilvl="8">
      <w:start w:val="0"/>
      <w:numFmt w:val="bullet"/>
      <w:lvlText w:val="•"/>
      <w:lvlJc w:val="left"/>
      <w:pPr>
        <w:ind w:left="3537" w:hanging="240"/>
      </w:pPr>
      <w:rPr>
        <w:rFonts w:hint="default"/>
      </w:rPr>
    </w:lvl>
  </w:abstractNum>
  <w:abstractNum w:abstractNumId="28">
    <w:multiLevelType w:val="hybridMultilevel"/>
    <w:lvl w:ilvl="0">
      <w:start w:val="0"/>
      <w:numFmt w:val="bullet"/>
      <w:lvlText w:val=""/>
      <w:lvlJc w:val="left"/>
      <w:pPr>
        <w:ind w:left="464" w:hanging="240"/>
      </w:pPr>
      <w:rPr>
        <w:rFonts w:hint="default" w:ascii="Wingdings" w:hAnsi="Wingdings" w:eastAsia="Wingdings" w:cs="Wingdings"/>
        <w:w w:val="163"/>
        <w:sz w:val="24"/>
        <w:szCs w:val="24"/>
      </w:rPr>
    </w:lvl>
    <w:lvl w:ilvl="1">
      <w:start w:val="0"/>
      <w:numFmt w:val="bullet"/>
      <w:lvlText w:val="•"/>
      <w:lvlJc w:val="left"/>
      <w:pPr>
        <w:ind w:left="807" w:hanging="240"/>
      </w:pPr>
      <w:rPr>
        <w:rFonts w:hint="default"/>
      </w:rPr>
    </w:lvl>
    <w:lvl w:ilvl="2">
      <w:start w:val="0"/>
      <w:numFmt w:val="bullet"/>
      <w:lvlText w:val="•"/>
      <w:lvlJc w:val="left"/>
      <w:pPr>
        <w:ind w:left="1155" w:hanging="240"/>
      </w:pPr>
      <w:rPr>
        <w:rFonts w:hint="default"/>
      </w:rPr>
    </w:lvl>
    <w:lvl w:ilvl="3">
      <w:start w:val="0"/>
      <w:numFmt w:val="bullet"/>
      <w:lvlText w:val="•"/>
      <w:lvlJc w:val="left"/>
      <w:pPr>
        <w:ind w:left="1503" w:hanging="240"/>
      </w:pPr>
      <w:rPr>
        <w:rFonts w:hint="default"/>
      </w:rPr>
    </w:lvl>
    <w:lvl w:ilvl="4">
      <w:start w:val="0"/>
      <w:numFmt w:val="bullet"/>
      <w:lvlText w:val="•"/>
      <w:lvlJc w:val="left"/>
      <w:pPr>
        <w:ind w:left="1851" w:hanging="240"/>
      </w:pPr>
      <w:rPr>
        <w:rFonts w:hint="default"/>
      </w:rPr>
    </w:lvl>
    <w:lvl w:ilvl="5">
      <w:start w:val="0"/>
      <w:numFmt w:val="bullet"/>
      <w:lvlText w:val="•"/>
      <w:lvlJc w:val="left"/>
      <w:pPr>
        <w:ind w:left="2199" w:hanging="240"/>
      </w:pPr>
      <w:rPr>
        <w:rFonts w:hint="default"/>
      </w:rPr>
    </w:lvl>
    <w:lvl w:ilvl="6">
      <w:start w:val="0"/>
      <w:numFmt w:val="bullet"/>
      <w:lvlText w:val="•"/>
      <w:lvlJc w:val="left"/>
      <w:pPr>
        <w:ind w:left="2547" w:hanging="240"/>
      </w:pPr>
      <w:rPr>
        <w:rFonts w:hint="default"/>
      </w:rPr>
    </w:lvl>
    <w:lvl w:ilvl="7">
      <w:start w:val="0"/>
      <w:numFmt w:val="bullet"/>
      <w:lvlText w:val="•"/>
      <w:lvlJc w:val="left"/>
      <w:pPr>
        <w:ind w:left="2895" w:hanging="240"/>
      </w:pPr>
      <w:rPr>
        <w:rFonts w:hint="default"/>
      </w:rPr>
    </w:lvl>
    <w:lvl w:ilvl="8">
      <w:start w:val="0"/>
      <w:numFmt w:val="bullet"/>
      <w:lvlText w:val="•"/>
      <w:lvlJc w:val="left"/>
      <w:pPr>
        <w:ind w:left="3243" w:hanging="240"/>
      </w:pPr>
      <w:rPr>
        <w:rFonts w:hint="default"/>
      </w:rPr>
    </w:lvl>
  </w:abstractNum>
  <w:abstractNum w:abstractNumId="27">
    <w:multiLevelType w:val="hybridMultilevel"/>
    <w:lvl w:ilvl="0">
      <w:start w:val="0"/>
      <w:numFmt w:val="bullet"/>
      <w:lvlText w:val=""/>
      <w:lvlJc w:val="left"/>
      <w:pPr>
        <w:ind w:left="581" w:hanging="358"/>
      </w:pPr>
      <w:rPr>
        <w:rFonts w:hint="default" w:ascii="Wingdings" w:hAnsi="Wingdings" w:eastAsia="Wingdings" w:cs="Wingdings"/>
        <w:w w:val="163"/>
        <w:sz w:val="24"/>
        <w:szCs w:val="24"/>
      </w:rPr>
    </w:lvl>
    <w:lvl w:ilvl="1">
      <w:start w:val="0"/>
      <w:numFmt w:val="bullet"/>
      <w:lvlText w:val="•"/>
      <w:lvlJc w:val="left"/>
      <w:pPr>
        <w:ind w:left="780" w:hanging="358"/>
      </w:pPr>
      <w:rPr>
        <w:rFonts w:hint="default"/>
      </w:rPr>
    </w:lvl>
    <w:lvl w:ilvl="2">
      <w:start w:val="0"/>
      <w:numFmt w:val="bullet"/>
      <w:lvlText w:val="•"/>
      <w:lvlJc w:val="left"/>
      <w:pPr>
        <w:ind w:left="1611" w:hanging="358"/>
      </w:pPr>
      <w:rPr>
        <w:rFonts w:hint="default"/>
      </w:rPr>
    </w:lvl>
    <w:lvl w:ilvl="3">
      <w:start w:val="0"/>
      <w:numFmt w:val="bullet"/>
      <w:lvlText w:val="•"/>
      <w:lvlJc w:val="left"/>
      <w:pPr>
        <w:ind w:left="2443" w:hanging="358"/>
      </w:pPr>
      <w:rPr>
        <w:rFonts w:hint="default"/>
      </w:rPr>
    </w:lvl>
    <w:lvl w:ilvl="4">
      <w:start w:val="0"/>
      <w:numFmt w:val="bullet"/>
      <w:lvlText w:val="•"/>
      <w:lvlJc w:val="left"/>
      <w:pPr>
        <w:ind w:left="3275" w:hanging="358"/>
      </w:pPr>
      <w:rPr>
        <w:rFonts w:hint="default"/>
      </w:rPr>
    </w:lvl>
    <w:lvl w:ilvl="5">
      <w:start w:val="0"/>
      <w:numFmt w:val="bullet"/>
      <w:lvlText w:val="•"/>
      <w:lvlJc w:val="left"/>
      <w:pPr>
        <w:ind w:left="4107" w:hanging="358"/>
      </w:pPr>
      <w:rPr>
        <w:rFonts w:hint="default"/>
      </w:rPr>
    </w:lvl>
    <w:lvl w:ilvl="6">
      <w:start w:val="0"/>
      <w:numFmt w:val="bullet"/>
      <w:lvlText w:val="•"/>
      <w:lvlJc w:val="left"/>
      <w:pPr>
        <w:ind w:left="4938" w:hanging="358"/>
      </w:pPr>
      <w:rPr>
        <w:rFonts w:hint="default"/>
      </w:rPr>
    </w:lvl>
    <w:lvl w:ilvl="7">
      <w:start w:val="0"/>
      <w:numFmt w:val="bullet"/>
      <w:lvlText w:val="•"/>
      <w:lvlJc w:val="left"/>
      <w:pPr>
        <w:ind w:left="5770" w:hanging="358"/>
      </w:pPr>
      <w:rPr>
        <w:rFonts w:hint="default"/>
      </w:rPr>
    </w:lvl>
    <w:lvl w:ilvl="8">
      <w:start w:val="0"/>
      <w:numFmt w:val="bullet"/>
      <w:lvlText w:val="•"/>
      <w:lvlJc w:val="left"/>
      <w:pPr>
        <w:ind w:left="6602" w:hanging="358"/>
      </w:pPr>
      <w:rPr>
        <w:rFonts w:hint="default"/>
      </w:rPr>
    </w:lvl>
  </w:abstractNum>
  <w:abstractNum w:abstractNumId="26">
    <w:multiLevelType w:val="hybridMultilevel"/>
    <w:lvl w:ilvl="0">
      <w:start w:val="1"/>
      <w:numFmt w:val="decimal"/>
      <w:lvlText w:val="%1."/>
      <w:lvlJc w:val="left"/>
      <w:pPr>
        <w:ind w:left="368" w:hanging="255"/>
        <w:jc w:val="left"/>
      </w:pPr>
      <w:rPr>
        <w:rFonts w:hint="default" w:ascii="Microsoft JhengHei UI" w:hAnsi="Microsoft JhengHei UI" w:eastAsia="Microsoft JhengHei UI" w:cs="Microsoft JhengHei UI"/>
        <w:w w:val="100"/>
        <w:sz w:val="24"/>
        <w:szCs w:val="24"/>
      </w:rPr>
    </w:lvl>
    <w:lvl w:ilvl="1">
      <w:start w:val="0"/>
      <w:numFmt w:val="bullet"/>
      <w:lvlText w:val="•"/>
      <w:lvlJc w:val="left"/>
      <w:pPr>
        <w:ind w:left="634" w:hanging="255"/>
      </w:pPr>
      <w:rPr>
        <w:rFonts w:hint="default"/>
      </w:rPr>
    </w:lvl>
    <w:lvl w:ilvl="2">
      <w:start w:val="0"/>
      <w:numFmt w:val="bullet"/>
      <w:lvlText w:val="•"/>
      <w:lvlJc w:val="left"/>
      <w:pPr>
        <w:ind w:left="908" w:hanging="255"/>
      </w:pPr>
      <w:rPr>
        <w:rFonts w:hint="default"/>
      </w:rPr>
    </w:lvl>
    <w:lvl w:ilvl="3">
      <w:start w:val="0"/>
      <w:numFmt w:val="bullet"/>
      <w:lvlText w:val="•"/>
      <w:lvlJc w:val="left"/>
      <w:pPr>
        <w:ind w:left="1182" w:hanging="255"/>
      </w:pPr>
      <w:rPr>
        <w:rFonts w:hint="default"/>
      </w:rPr>
    </w:lvl>
    <w:lvl w:ilvl="4">
      <w:start w:val="0"/>
      <w:numFmt w:val="bullet"/>
      <w:lvlText w:val="•"/>
      <w:lvlJc w:val="left"/>
      <w:pPr>
        <w:ind w:left="1457" w:hanging="255"/>
      </w:pPr>
      <w:rPr>
        <w:rFonts w:hint="default"/>
      </w:rPr>
    </w:lvl>
    <w:lvl w:ilvl="5">
      <w:start w:val="0"/>
      <w:numFmt w:val="bullet"/>
      <w:lvlText w:val="•"/>
      <w:lvlJc w:val="left"/>
      <w:pPr>
        <w:ind w:left="1731" w:hanging="255"/>
      </w:pPr>
      <w:rPr>
        <w:rFonts w:hint="default"/>
      </w:rPr>
    </w:lvl>
    <w:lvl w:ilvl="6">
      <w:start w:val="0"/>
      <w:numFmt w:val="bullet"/>
      <w:lvlText w:val="•"/>
      <w:lvlJc w:val="left"/>
      <w:pPr>
        <w:ind w:left="2005" w:hanging="255"/>
      </w:pPr>
      <w:rPr>
        <w:rFonts w:hint="default"/>
      </w:rPr>
    </w:lvl>
    <w:lvl w:ilvl="7">
      <w:start w:val="0"/>
      <w:numFmt w:val="bullet"/>
      <w:lvlText w:val="•"/>
      <w:lvlJc w:val="left"/>
      <w:pPr>
        <w:ind w:left="2280" w:hanging="255"/>
      </w:pPr>
      <w:rPr>
        <w:rFonts w:hint="default"/>
      </w:rPr>
    </w:lvl>
    <w:lvl w:ilvl="8">
      <w:start w:val="0"/>
      <w:numFmt w:val="bullet"/>
      <w:lvlText w:val="•"/>
      <w:lvlJc w:val="left"/>
      <w:pPr>
        <w:ind w:left="2554" w:hanging="255"/>
      </w:pPr>
      <w:rPr>
        <w:rFonts w:hint="default"/>
      </w:rPr>
    </w:lvl>
  </w:abstractNum>
  <w:abstractNum w:abstractNumId="25">
    <w:multiLevelType w:val="hybridMultilevel"/>
    <w:lvl w:ilvl="0">
      <w:start w:val="1"/>
      <w:numFmt w:val="decimal"/>
      <w:lvlText w:val="%1."/>
      <w:lvlJc w:val="left"/>
      <w:pPr>
        <w:ind w:left="354" w:hanging="196"/>
        <w:jc w:val="left"/>
      </w:pPr>
      <w:rPr>
        <w:rFonts w:hint="default" w:ascii="Microsoft JhengHei UI" w:hAnsi="Microsoft JhengHei UI" w:eastAsia="Microsoft JhengHei UI" w:cs="Microsoft JhengHei UI"/>
        <w:spacing w:val="-1"/>
        <w:w w:val="100"/>
        <w:sz w:val="22"/>
        <w:szCs w:val="22"/>
      </w:rPr>
    </w:lvl>
    <w:lvl w:ilvl="1">
      <w:start w:val="0"/>
      <w:numFmt w:val="bullet"/>
      <w:lvlText w:val="•"/>
      <w:lvlJc w:val="left"/>
      <w:pPr>
        <w:ind w:left="634" w:hanging="196"/>
      </w:pPr>
      <w:rPr>
        <w:rFonts w:hint="default"/>
      </w:rPr>
    </w:lvl>
    <w:lvl w:ilvl="2">
      <w:start w:val="0"/>
      <w:numFmt w:val="bullet"/>
      <w:lvlText w:val="•"/>
      <w:lvlJc w:val="left"/>
      <w:pPr>
        <w:ind w:left="908" w:hanging="196"/>
      </w:pPr>
      <w:rPr>
        <w:rFonts w:hint="default"/>
      </w:rPr>
    </w:lvl>
    <w:lvl w:ilvl="3">
      <w:start w:val="0"/>
      <w:numFmt w:val="bullet"/>
      <w:lvlText w:val="•"/>
      <w:lvlJc w:val="left"/>
      <w:pPr>
        <w:ind w:left="1182" w:hanging="196"/>
      </w:pPr>
      <w:rPr>
        <w:rFonts w:hint="default"/>
      </w:rPr>
    </w:lvl>
    <w:lvl w:ilvl="4">
      <w:start w:val="0"/>
      <w:numFmt w:val="bullet"/>
      <w:lvlText w:val="•"/>
      <w:lvlJc w:val="left"/>
      <w:pPr>
        <w:ind w:left="1457" w:hanging="196"/>
      </w:pPr>
      <w:rPr>
        <w:rFonts w:hint="default"/>
      </w:rPr>
    </w:lvl>
    <w:lvl w:ilvl="5">
      <w:start w:val="0"/>
      <w:numFmt w:val="bullet"/>
      <w:lvlText w:val="•"/>
      <w:lvlJc w:val="left"/>
      <w:pPr>
        <w:ind w:left="1731" w:hanging="196"/>
      </w:pPr>
      <w:rPr>
        <w:rFonts w:hint="default"/>
      </w:rPr>
    </w:lvl>
    <w:lvl w:ilvl="6">
      <w:start w:val="0"/>
      <w:numFmt w:val="bullet"/>
      <w:lvlText w:val="•"/>
      <w:lvlJc w:val="left"/>
      <w:pPr>
        <w:ind w:left="2005" w:hanging="196"/>
      </w:pPr>
      <w:rPr>
        <w:rFonts w:hint="default"/>
      </w:rPr>
    </w:lvl>
    <w:lvl w:ilvl="7">
      <w:start w:val="0"/>
      <w:numFmt w:val="bullet"/>
      <w:lvlText w:val="•"/>
      <w:lvlJc w:val="left"/>
      <w:pPr>
        <w:ind w:left="2280" w:hanging="196"/>
      </w:pPr>
      <w:rPr>
        <w:rFonts w:hint="default"/>
      </w:rPr>
    </w:lvl>
    <w:lvl w:ilvl="8">
      <w:start w:val="0"/>
      <w:numFmt w:val="bullet"/>
      <w:lvlText w:val="•"/>
      <w:lvlJc w:val="left"/>
      <w:pPr>
        <w:ind w:left="2554" w:hanging="196"/>
      </w:pPr>
      <w:rPr>
        <w:rFonts w:hint="default"/>
      </w:rPr>
    </w:lvl>
  </w:abstractNum>
  <w:abstractNum w:abstractNumId="24">
    <w:multiLevelType w:val="hybridMultilevel"/>
    <w:lvl w:ilvl="0">
      <w:start w:val="0"/>
      <w:numFmt w:val="bullet"/>
      <w:lvlText w:val="●"/>
      <w:lvlJc w:val="left"/>
      <w:pPr>
        <w:ind w:left="357" w:hanging="226"/>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626" w:hanging="226"/>
      </w:pPr>
      <w:rPr>
        <w:rFonts w:hint="default"/>
      </w:rPr>
    </w:lvl>
    <w:lvl w:ilvl="2">
      <w:start w:val="0"/>
      <w:numFmt w:val="bullet"/>
      <w:lvlText w:val="•"/>
      <w:lvlJc w:val="left"/>
      <w:pPr>
        <w:ind w:left="893" w:hanging="226"/>
      </w:pPr>
      <w:rPr>
        <w:rFonts w:hint="default"/>
      </w:rPr>
    </w:lvl>
    <w:lvl w:ilvl="3">
      <w:start w:val="0"/>
      <w:numFmt w:val="bullet"/>
      <w:lvlText w:val="•"/>
      <w:lvlJc w:val="left"/>
      <w:pPr>
        <w:ind w:left="1160" w:hanging="226"/>
      </w:pPr>
      <w:rPr>
        <w:rFonts w:hint="default"/>
      </w:rPr>
    </w:lvl>
    <w:lvl w:ilvl="4">
      <w:start w:val="0"/>
      <w:numFmt w:val="bullet"/>
      <w:lvlText w:val="•"/>
      <w:lvlJc w:val="left"/>
      <w:pPr>
        <w:ind w:left="1427" w:hanging="226"/>
      </w:pPr>
      <w:rPr>
        <w:rFonts w:hint="default"/>
      </w:rPr>
    </w:lvl>
    <w:lvl w:ilvl="5">
      <w:start w:val="0"/>
      <w:numFmt w:val="bullet"/>
      <w:lvlText w:val="•"/>
      <w:lvlJc w:val="left"/>
      <w:pPr>
        <w:ind w:left="1694" w:hanging="226"/>
      </w:pPr>
      <w:rPr>
        <w:rFonts w:hint="default"/>
      </w:rPr>
    </w:lvl>
    <w:lvl w:ilvl="6">
      <w:start w:val="0"/>
      <w:numFmt w:val="bullet"/>
      <w:lvlText w:val="•"/>
      <w:lvlJc w:val="left"/>
      <w:pPr>
        <w:ind w:left="1961" w:hanging="226"/>
      </w:pPr>
      <w:rPr>
        <w:rFonts w:hint="default"/>
      </w:rPr>
    </w:lvl>
    <w:lvl w:ilvl="7">
      <w:start w:val="0"/>
      <w:numFmt w:val="bullet"/>
      <w:lvlText w:val="•"/>
      <w:lvlJc w:val="left"/>
      <w:pPr>
        <w:ind w:left="2228" w:hanging="226"/>
      </w:pPr>
      <w:rPr>
        <w:rFonts w:hint="default"/>
      </w:rPr>
    </w:lvl>
    <w:lvl w:ilvl="8">
      <w:start w:val="0"/>
      <w:numFmt w:val="bullet"/>
      <w:lvlText w:val="•"/>
      <w:lvlJc w:val="left"/>
      <w:pPr>
        <w:ind w:left="2495" w:hanging="226"/>
      </w:pPr>
      <w:rPr>
        <w:rFonts w:hint="default"/>
      </w:rPr>
    </w:lvl>
  </w:abstractNum>
  <w:abstractNum w:abstractNumId="23">
    <w:multiLevelType w:val="hybridMultilevel"/>
    <w:lvl w:ilvl="0">
      <w:start w:val="1"/>
      <w:numFmt w:val="decimal"/>
      <w:lvlText w:val="%1."/>
      <w:lvlJc w:val="left"/>
      <w:pPr>
        <w:ind w:left="354" w:hanging="196"/>
        <w:jc w:val="left"/>
      </w:pPr>
      <w:rPr>
        <w:rFonts w:hint="default" w:ascii="Microsoft JhengHei UI" w:hAnsi="Microsoft JhengHei UI" w:eastAsia="Microsoft JhengHei UI" w:cs="Microsoft JhengHei UI"/>
        <w:spacing w:val="-1"/>
        <w:w w:val="100"/>
        <w:sz w:val="22"/>
        <w:szCs w:val="22"/>
      </w:rPr>
    </w:lvl>
    <w:lvl w:ilvl="1">
      <w:start w:val="1"/>
      <w:numFmt w:val="decimal"/>
      <w:lvlText w:val="(%2)"/>
      <w:lvlJc w:val="left"/>
      <w:pPr>
        <w:ind w:left="573" w:hanging="299"/>
        <w:jc w:val="left"/>
      </w:pPr>
      <w:rPr>
        <w:rFonts w:hint="default" w:ascii="Microsoft JhengHei UI" w:hAnsi="Microsoft JhengHei UI" w:eastAsia="Microsoft JhengHei UI" w:cs="Microsoft JhengHei UI"/>
        <w:w w:val="100"/>
        <w:sz w:val="22"/>
        <w:szCs w:val="22"/>
      </w:rPr>
    </w:lvl>
    <w:lvl w:ilvl="2">
      <w:start w:val="0"/>
      <w:numFmt w:val="bullet"/>
      <w:lvlText w:val="•"/>
      <w:lvlJc w:val="left"/>
      <w:pPr>
        <w:ind w:left="860" w:hanging="299"/>
      </w:pPr>
      <w:rPr>
        <w:rFonts w:hint="default"/>
      </w:rPr>
    </w:lvl>
    <w:lvl w:ilvl="3">
      <w:start w:val="0"/>
      <w:numFmt w:val="bullet"/>
      <w:lvlText w:val="•"/>
      <w:lvlJc w:val="left"/>
      <w:pPr>
        <w:ind w:left="1140" w:hanging="299"/>
      </w:pPr>
      <w:rPr>
        <w:rFonts w:hint="default"/>
      </w:rPr>
    </w:lvl>
    <w:lvl w:ilvl="4">
      <w:start w:val="0"/>
      <w:numFmt w:val="bullet"/>
      <w:lvlText w:val="•"/>
      <w:lvlJc w:val="left"/>
      <w:pPr>
        <w:ind w:left="1421" w:hanging="299"/>
      </w:pPr>
      <w:rPr>
        <w:rFonts w:hint="default"/>
      </w:rPr>
    </w:lvl>
    <w:lvl w:ilvl="5">
      <w:start w:val="0"/>
      <w:numFmt w:val="bullet"/>
      <w:lvlText w:val="•"/>
      <w:lvlJc w:val="left"/>
      <w:pPr>
        <w:ind w:left="1701" w:hanging="299"/>
      </w:pPr>
      <w:rPr>
        <w:rFonts w:hint="default"/>
      </w:rPr>
    </w:lvl>
    <w:lvl w:ilvl="6">
      <w:start w:val="0"/>
      <w:numFmt w:val="bullet"/>
      <w:lvlText w:val="•"/>
      <w:lvlJc w:val="left"/>
      <w:pPr>
        <w:ind w:left="1981" w:hanging="299"/>
      </w:pPr>
      <w:rPr>
        <w:rFonts w:hint="default"/>
      </w:rPr>
    </w:lvl>
    <w:lvl w:ilvl="7">
      <w:start w:val="0"/>
      <w:numFmt w:val="bullet"/>
      <w:lvlText w:val="•"/>
      <w:lvlJc w:val="left"/>
      <w:pPr>
        <w:ind w:left="2262" w:hanging="299"/>
      </w:pPr>
      <w:rPr>
        <w:rFonts w:hint="default"/>
      </w:rPr>
    </w:lvl>
    <w:lvl w:ilvl="8">
      <w:start w:val="0"/>
      <w:numFmt w:val="bullet"/>
      <w:lvlText w:val="•"/>
      <w:lvlJc w:val="left"/>
      <w:pPr>
        <w:ind w:left="2542" w:hanging="299"/>
      </w:pPr>
      <w:rPr>
        <w:rFonts w:hint="default"/>
      </w:rPr>
    </w:lvl>
  </w:abstractNum>
  <w:abstractNum w:abstractNumId="22">
    <w:multiLevelType w:val="hybridMultilevel"/>
    <w:lvl w:ilvl="0">
      <w:start w:val="0"/>
      <w:numFmt w:val="bullet"/>
      <w:lvlText w:val="●"/>
      <w:lvlJc w:val="left"/>
      <w:pPr>
        <w:ind w:left="313" w:hanging="200"/>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598" w:hanging="200"/>
      </w:pPr>
      <w:rPr>
        <w:rFonts w:hint="default"/>
      </w:rPr>
    </w:lvl>
    <w:lvl w:ilvl="2">
      <w:start w:val="0"/>
      <w:numFmt w:val="bullet"/>
      <w:lvlText w:val="•"/>
      <w:lvlJc w:val="left"/>
      <w:pPr>
        <w:ind w:left="876" w:hanging="200"/>
      </w:pPr>
      <w:rPr>
        <w:rFonts w:hint="default"/>
      </w:rPr>
    </w:lvl>
    <w:lvl w:ilvl="3">
      <w:start w:val="0"/>
      <w:numFmt w:val="bullet"/>
      <w:lvlText w:val="•"/>
      <w:lvlJc w:val="left"/>
      <w:pPr>
        <w:ind w:left="1154" w:hanging="200"/>
      </w:pPr>
      <w:rPr>
        <w:rFonts w:hint="default"/>
      </w:rPr>
    </w:lvl>
    <w:lvl w:ilvl="4">
      <w:start w:val="0"/>
      <w:numFmt w:val="bullet"/>
      <w:lvlText w:val="•"/>
      <w:lvlJc w:val="left"/>
      <w:pPr>
        <w:ind w:left="1433" w:hanging="200"/>
      </w:pPr>
      <w:rPr>
        <w:rFonts w:hint="default"/>
      </w:rPr>
    </w:lvl>
    <w:lvl w:ilvl="5">
      <w:start w:val="0"/>
      <w:numFmt w:val="bullet"/>
      <w:lvlText w:val="•"/>
      <w:lvlJc w:val="left"/>
      <w:pPr>
        <w:ind w:left="1711" w:hanging="200"/>
      </w:pPr>
      <w:rPr>
        <w:rFonts w:hint="default"/>
      </w:rPr>
    </w:lvl>
    <w:lvl w:ilvl="6">
      <w:start w:val="0"/>
      <w:numFmt w:val="bullet"/>
      <w:lvlText w:val="•"/>
      <w:lvlJc w:val="left"/>
      <w:pPr>
        <w:ind w:left="1989" w:hanging="200"/>
      </w:pPr>
      <w:rPr>
        <w:rFonts w:hint="default"/>
      </w:rPr>
    </w:lvl>
    <w:lvl w:ilvl="7">
      <w:start w:val="0"/>
      <w:numFmt w:val="bullet"/>
      <w:lvlText w:val="•"/>
      <w:lvlJc w:val="left"/>
      <w:pPr>
        <w:ind w:left="2268" w:hanging="200"/>
      </w:pPr>
      <w:rPr>
        <w:rFonts w:hint="default"/>
      </w:rPr>
    </w:lvl>
    <w:lvl w:ilvl="8">
      <w:start w:val="0"/>
      <w:numFmt w:val="bullet"/>
      <w:lvlText w:val="•"/>
      <w:lvlJc w:val="left"/>
      <w:pPr>
        <w:ind w:left="2546" w:hanging="200"/>
      </w:pPr>
      <w:rPr>
        <w:rFonts w:hint="default"/>
      </w:rPr>
    </w:lvl>
  </w:abstractNum>
  <w:abstractNum w:abstractNumId="21">
    <w:multiLevelType w:val="hybridMultilevel"/>
    <w:lvl w:ilvl="0">
      <w:start w:val="0"/>
      <w:numFmt w:val="bullet"/>
      <w:lvlText w:val="●"/>
      <w:lvlJc w:val="left"/>
      <w:pPr>
        <w:ind w:left="353" w:hanging="242"/>
      </w:pPr>
      <w:rPr>
        <w:rFonts w:hint="default" w:ascii="Microsoft JhengHei UI" w:hAnsi="Microsoft JhengHei UI" w:eastAsia="Microsoft JhengHei UI" w:cs="Microsoft JhengHei UI"/>
        <w:w w:val="99"/>
        <w:position w:val="3"/>
        <w:sz w:val="16"/>
        <w:szCs w:val="16"/>
      </w:rPr>
    </w:lvl>
    <w:lvl w:ilvl="1">
      <w:start w:val="0"/>
      <w:numFmt w:val="bullet"/>
      <w:lvlText w:val="•"/>
      <w:lvlJc w:val="left"/>
      <w:pPr>
        <w:ind w:left="618" w:hanging="242"/>
      </w:pPr>
      <w:rPr>
        <w:rFonts w:hint="default"/>
      </w:rPr>
    </w:lvl>
    <w:lvl w:ilvl="2">
      <w:start w:val="0"/>
      <w:numFmt w:val="bullet"/>
      <w:lvlText w:val="•"/>
      <w:lvlJc w:val="left"/>
      <w:pPr>
        <w:ind w:left="877" w:hanging="242"/>
      </w:pPr>
      <w:rPr>
        <w:rFonts w:hint="default"/>
      </w:rPr>
    </w:lvl>
    <w:lvl w:ilvl="3">
      <w:start w:val="0"/>
      <w:numFmt w:val="bullet"/>
      <w:lvlText w:val="•"/>
      <w:lvlJc w:val="left"/>
      <w:pPr>
        <w:ind w:left="1136" w:hanging="242"/>
      </w:pPr>
      <w:rPr>
        <w:rFonts w:hint="default"/>
      </w:rPr>
    </w:lvl>
    <w:lvl w:ilvl="4">
      <w:start w:val="0"/>
      <w:numFmt w:val="bullet"/>
      <w:lvlText w:val="•"/>
      <w:lvlJc w:val="left"/>
      <w:pPr>
        <w:ind w:left="1395" w:hanging="242"/>
      </w:pPr>
      <w:rPr>
        <w:rFonts w:hint="default"/>
      </w:rPr>
    </w:lvl>
    <w:lvl w:ilvl="5">
      <w:start w:val="0"/>
      <w:numFmt w:val="bullet"/>
      <w:lvlText w:val="•"/>
      <w:lvlJc w:val="left"/>
      <w:pPr>
        <w:ind w:left="1654" w:hanging="242"/>
      </w:pPr>
      <w:rPr>
        <w:rFonts w:hint="default"/>
      </w:rPr>
    </w:lvl>
    <w:lvl w:ilvl="6">
      <w:start w:val="0"/>
      <w:numFmt w:val="bullet"/>
      <w:lvlText w:val="•"/>
      <w:lvlJc w:val="left"/>
      <w:pPr>
        <w:ind w:left="1913" w:hanging="242"/>
      </w:pPr>
      <w:rPr>
        <w:rFonts w:hint="default"/>
      </w:rPr>
    </w:lvl>
    <w:lvl w:ilvl="7">
      <w:start w:val="0"/>
      <w:numFmt w:val="bullet"/>
      <w:lvlText w:val="•"/>
      <w:lvlJc w:val="left"/>
      <w:pPr>
        <w:ind w:left="2172" w:hanging="242"/>
      </w:pPr>
      <w:rPr>
        <w:rFonts w:hint="default"/>
      </w:rPr>
    </w:lvl>
    <w:lvl w:ilvl="8">
      <w:start w:val="0"/>
      <w:numFmt w:val="bullet"/>
      <w:lvlText w:val="•"/>
      <w:lvlJc w:val="left"/>
      <w:pPr>
        <w:ind w:left="2431" w:hanging="242"/>
      </w:pPr>
      <w:rPr>
        <w:rFonts w:hint="default"/>
      </w:rPr>
    </w:lvl>
  </w:abstractNum>
  <w:abstractNum w:abstractNumId="20">
    <w:multiLevelType w:val="hybridMultilevel"/>
    <w:lvl w:ilvl="0">
      <w:start w:val="0"/>
      <w:numFmt w:val="bullet"/>
      <w:lvlText w:val="●"/>
      <w:lvlJc w:val="left"/>
      <w:pPr>
        <w:ind w:left="355" w:hanging="244"/>
      </w:pPr>
      <w:rPr>
        <w:rFonts w:hint="default" w:ascii="Microsoft JhengHei UI" w:hAnsi="Microsoft JhengHei UI" w:eastAsia="Microsoft JhengHei UI" w:cs="Microsoft JhengHei UI"/>
        <w:w w:val="100"/>
        <w:position w:val="3"/>
        <w:sz w:val="17"/>
        <w:szCs w:val="17"/>
      </w:rPr>
    </w:lvl>
    <w:lvl w:ilvl="1">
      <w:start w:val="0"/>
      <w:numFmt w:val="bullet"/>
      <w:lvlText w:val="•"/>
      <w:lvlJc w:val="left"/>
      <w:pPr>
        <w:ind w:left="589" w:hanging="244"/>
      </w:pPr>
      <w:rPr>
        <w:rFonts w:hint="default"/>
      </w:rPr>
    </w:lvl>
    <w:lvl w:ilvl="2">
      <w:start w:val="0"/>
      <w:numFmt w:val="bullet"/>
      <w:lvlText w:val="•"/>
      <w:lvlJc w:val="left"/>
      <w:pPr>
        <w:ind w:left="819" w:hanging="244"/>
      </w:pPr>
      <w:rPr>
        <w:rFonts w:hint="default"/>
      </w:rPr>
    </w:lvl>
    <w:lvl w:ilvl="3">
      <w:start w:val="0"/>
      <w:numFmt w:val="bullet"/>
      <w:lvlText w:val="•"/>
      <w:lvlJc w:val="left"/>
      <w:pPr>
        <w:ind w:left="1048" w:hanging="244"/>
      </w:pPr>
      <w:rPr>
        <w:rFonts w:hint="default"/>
      </w:rPr>
    </w:lvl>
    <w:lvl w:ilvl="4">
      <w:start w:val="0"/>
      <w:numFmt w:val="bullet"/>
      <w:lvlText w:val="•"/>
      <w:lvlJc w:val="left"/>
      <w:pPr>
        <w:ind w:left="1278" w:hanging="244"/>
      </w:pPr>
      <w:rPr>
        <w:rFonts w:hint="default"/>
      </w:rPr>
    </w:lvl>
    <w:lvl w:ilvl="5">
      <w:start w:val="0"/>
      <w:numFmt w:val="bullet"/>
      <w:lvlText w:val="•"/>
      <w:lvlJc w:val="left"/>
      <w:pPr>
        <w:ind w:left="1508" w:hanging="244"/>
      </w:pPr>
      <w:rPr>
        <w:rFonts w:hint="default"/>
      </w:rPr>
    </w:lvl>
    <w:lvl w:ilvl="6">
      <w:start w:val="0"/>
      <w:numFmt w:val="bullet"/>
      <w:lvlText w:val="•"/>
      <w:lvlJc w:val="left"/>
      <w:pPr>
        <w:ind w:left="1737" w:hanging="244"/>
      </w:pPr>
      <w:rPr>
        <w:rFonts w:hint="default"/>
      </w:rPr>
    </w:lvl>
    <w:lvl w:ilvl="7">
      <w:start w:val="0"/>
      <w:numFmt w:val="bullet"/>
      <w:lvlText w:val="•"/>
      <w:lvlJc w:val="left"/>
      <w:pPr>
        <w:ind w:left="1967" w:hanging="244"/>
      </w:pPr>
      <w:rPr>
        <w:rFonts w:hint="default"/>
      </w:rPr>
    </w:lvl>
    <w:lvl w:ilvl="8">
      <w:start w:val="0"/>
      <w:numFmt w:val="bullet"/>
      <w:lvlText w:val="•"/>
      <w:lvlJc w:val="left"/>
      <w:pPr>
        <w:ind w:left="2196" w:hanging="244"/>
      </w:pPr>
      <w:rPr>
        <w:rFonts w:hint="default"/>
      </w:rPr>
    </w:lvl>
  </w:abstractNum>
  <w:abstractNum w:abstractNumId="19">
    <w:multiLevelType w:val="hybridMultilevel"/>
    <w:lvl w:ilvl="0">
      <w:start w:val="0"/>
      <w:numFmt w:val="bullet"/>
      <w:lvlText w:val="●"/>
      <w:lvlJc w:val="left"/>
      <w:pPr>
        <w:ind w:left="355" w:hanging="256"/>
      </w:pPr>
      <w:rPr>
        <w:rFonts w:hint="default" w:ascii="Microsoft JhengHei UI" w:hAnsi="Microsoft JhengHei UI" w:eastAsia="Microsoft JhengHei UI" w:cs="Microsoft JhengHei UI"/>
        <w:w w:val="100"/>
        <w:position w:val="1"/>
        <w:sz w:val="17"/>
        <w:szCs w:val="17"/>
      </w:rPr>
    </w:lvl>
    <w:lvl w:ilvl="1">
      <w:start w:val="0"/>
      <w:numFmt w:val="bullet"/>
      <w:lvlText w:val="•"/>
      <w:lvlJc w:val="left"/>
      <w:pPr>
        <w:ind w:left="760" w:hanging="256"/>
      </w:pPr>
      <w:rPr>
        <w:rFonts w:hint="default"/>
      </w:rPr>
    </w:lvl>
    <w:lvl w:ilvl="2">
      <w:start w:val="0"/>
      <w:numFmt w:val="bullet"/>
      <w:lvlText w:val="•"/>
      <w:lvlJc w:val="left"/>
      <w:pPr>
        <w:ind w:left="1161" w:hanging="256"/>
      </w:pPr>
      <w:rPr>
        <w:rFonts w:hint="default"/>
      </w:rPr>
    </w:lvl>
    <w:lvl w:ilvl="3">
      <w:start w:val="0"/>
      <w:numFmt w:val="bullet"/>
      <w:lvlText w:val="•"/>
      <w:lvlJc w:val="left"/>
      <w:pPr>
        <w:ind w:left="1561" w:hanging="256"/>
      </w:pPr>
      <w:rPr>
        <w:rFonts w:hint="default"/>
      </w:rPr>
    </w:lvl>
    <w:lvl w:ilvl="4">
      <w:start w:val="0"/>
      <w:numFmt w:val="bullet"/>
      <w:lvlText w:val="•"/>
      <w:lvlJc w:val="left"/>
      <w:pPr>
        <w:ind w:left="1962" w:hanging="256"/>
      </w:pPr>
      <w:rPr>
        <w:rFonts w:hint="default"/>
      </w:rPr>
    </w:lvl>
    <w:lvl w:ilvl="5">
      <w:start w:val="0"/>
      <w:numFmt w:val="bullet"/>
      <w:lvlText w:val="•"/>
      <w:lvlJc w:val="left"/>
      <w:pPr>
        <w:ind w:left="2362" w:hanging="256"/>
      </w:pPr>
      <w:rPr>
        <w:rFonts w:hint="default"/>
      </w:rPr>
    </w:lvl>
    <w:lvl w:ilvl="6">
      <w:start w:val="0"/>
      <w:numFmt w:val="bullet"/>
      <w:lvlText w:val="•"/>
      <w:lvlJc w:val="left"/>
      <w:pPr>
        <w:ind w:left="2763" w:hanging="256"/>
      </w:pPr>
      <w:rPr>
        <w:rFonts w:hint="default"/>
      </w:rPr>
    </w:lvl>
    <w:lvl w:ilvl="7">
      <w:start w:val="0"/>
      <w:numFmt w:val="bullet"/>
      <w:lvlText w:val="•"/>
      <w:lvlJc w:val="left"/>
      <w:pPr>
        <w:ind w:left="3163" w:hanging="256"/>
      </w:pPr>
      <w:rPr>
        <w:rFonts w:hint="default"/>
      </w:rPr>
    </w:lvl>
    <w:lvl w:ilvl="8">
      <w:start w:val="0"/>
      <w:numFmt w:val="bullet"/>
      <w:lvlText w:val="•"/>
      <w:lvlJc w:val="left"/>
      <w:pPr>
        <w:ind w:left="3564" w:hanging="256"/>
      </w:pPr>
      <w:rPr>
        <w:rFonts w:hint="default"/>
      </w:rPr>
    </w:lvl>
  </w:abstractNum>
  <w:abstractNum w:abstractNumId="18">
    <w:multiLevelType w:val="hybridMultilevel"/>
    <w:lvl w:ilvl="0">
      <w:start w:val="0"/>
      <w:numFmt w:val="bullet"/>
      <w:lvlText w:val="●"/>
      <w:lvlJc w:val="left"/>
      <w:pPr>
        <w:ind w:left="355" w:hanging="244"/>
      </w:pPr>
      <w:rPr>
        <w:rFonts w:hint="default" w:ascii="Microsoft JhengHei UI" w:hAnsi="Microsoft JhengHei UI" w:eastAsia="Microsoft JhengHei UI" w:cs="Microsoft JhengHei UI"/>
        <w:w w:val="100"/>
        <w:position w:val="3"/>
        <w:sz w:val="17"/>
        <w:szCs w:val="17"/>
      </w:rPr>
    </w:lvl>
    <w:lvl w:ilvl="1">
      <w:start w:val="0"/>
      <w:numFmt w:val="bullet"/>
      <w:lvlText w:val="•"/>
      <w:lvlJc w:val="left"/>
      <w:pPr>
        <w:ind w:left="589" w:hanging="244"/>
      </w:pPr>
      <w:rPr>
        <w:rFonts w:hint="default"/>
      </w:rPr>
    </w:lvl>
    <w:lvl w:ilvl="2">
      <w:start w:val="0"/>
      <w:numFmt w:val="bullet"/>
      <w:lvlText w:val="•"/>
      <w:lvlJc w:val="left"/>
      <w:pPr>
        <w:ind w:left="819" w:hanging="244"/>
      </w:pPr>
      <w:rPr>
        <w:rFonts w:hint="default"/>
      </w:rPr>
    </w:lvl>
    <w:lvl w:ilvl="3">
      <w:start w:val="0"/>
      <w:numFmt w:val="bullet"/>
      <w:lvlText w:val="•"/>
      <w:lvlJc w:val="left"/>
      <w:pPr>
        <w:ind w:left="1048" w:hanging="244"/>
      </w:pPr>
      <w:rPr>
        <w:rFonts w:hint="default"/>
      </w:rPr>
    </w:lvl>
    <w:lvl w:ilvl="4">
      <w:start w:val="0"/>
      <w:numFmt w:val="bullet"/>
      <w:lvlText w:val="•"/>
      <w:lvlJc w:val="left"/>
      <w:pPr>
        <w:ind w:left="1278" w:hanging="244"/>
      </w:pPr>
      <w:rPr>
        <w:rFonts w:hint="default"/>
      </w:rPr>
    </w:lvl>
    <w:lvl w:ilvl="5">
      <w:start w:val="0"/>
      <w:numFmt w:val="bullet"/>
      <w:lvlText w:val="•"/>
      <w:lvlJc w:val="left"/>
      <w:pPr>
        <w:ind w:left="1508" w:hanging="244"/>
      </w:pPr>
      <w:rPr>
        <w:rFonts w:hint="default"/>
      </w:rPr>
    </w:lvl>
    <w:lvl w:ilvl="6">
      <w:start w:val="0"/>
      <w:numFmt w:val="bullet"/>
      <w:lvlText w:val="•"/>
      <w:lvlJc w:val="left"/>
      <w:pPr>
        <w:ind w:left="1737" w:hanging="244"/>
      </w:pPr>
      <w:rPr>
        <w:rFonts w:hint="default"/>
      </w:rPr>
    </w:lvl>
    <w:lvl w:ilvl="7">
      <w:start w:val="0"/>
      <w:numFmt w:val="bullet"/>
      <w:lvlText w:val="•"/>
      <w:lvlJc w:val="left"/>
      <w:pPr>
        <w:ind w:left="1967" w:hanging="244"/>
      </w:pPr>
      <w:rPr>
        <w:rFonts w:hint="default"/>
      </w:rPr>
    </w:lvl>
    <w:lvl w:ilvl="8">
      <w:start w:val="0"/>
      <w:numFmt w:val="bullet"/>
      <w:lvlText w:val="•"/>
      <w:lvlJc w:val="left"/>
      <w:pPr>
        <w:ind w:left="2196" w:hanging="244"/>
      </w:pPr>
      <w:rPr>
        <w:rFonts w:hint="default"/>
      </w:rPr>
    </w:lvl>
  </w:abstractNum>
  <w:abstractNum w:abstractNumId="17">
    <w:multiLevelType w:val="hybridMultilevel"/>
    <w:lvl w:ilvl="0">
      <w:start w:val="1"/>
      <w:numFmt w:val="decimal"/>
      <w:lvlText w:val="%1."/>
      <w:lvlJc w:val="left"/>
      <w:pPr>
        <w:ind w:left="365" w:hanging="256"/>
        <w:jc w:val="left"/>
      </w:pPr>
      <w:rPr>
        <w:rFonts w:hint="default" w:ascii="Microsoft JhengHei UI" w:hAnsi="Microsoft JhengHei UI" w:eastAsia="Microsoft JhengHei UI" w:cs="Microsoft JhengHei UI"/>
        <w:w w:val="100"/>
        <w:sz w:val="24"/>
        <w:szCs w:val="24"/>
      </w:rPr>
    </w:lvl>
    <w:lvl w:ilvl="1">
      <w:start w:val="1"/>
      <w:numFmt w:val="decimal"/>
      <w:lvlText w:val="(%2)"/>
      <w:lvlJc w:val="left"/>
      <w:pPr>
        <w:ind w:left="605" w:hanging="353"/>
        <w:jc w:val="left"/>
      </w:pPr>
      <w:rPr>
        <w:rFonts w:hint="default" w:ascii="Microsoft JhengHei UI" w:hAnsi="Microsoft JhengHei UI" w:eastAsia="Microsoft JhengHei UI" w:cs="Microsoft JhengHei UI"/>
        <w:w w:val="100"/>
        <w:sz w:val="24"/>
        <w:szCs w:val="24"/>
      </w:rPr>
    </w:lvl>
    <w:lvl w:ilvl="2">
      <w:start w:val="0"/>
      <w:numFmt w:val="bullet"/>
      <w:lvlText w:val="•"/>
      <w:lvlJc w:val="left"/>
      <w:pPr>
        <w:ind w:left="1018" w:hanging="353"/>
      </w:pPr>
      <w:rPr>
        <w:rFonts w:hint="default"/>
      </w:rPr>
    </w:lvl>
    <w:lvl w:ilvl="3">
      <w:start w:val="0"/>
      <w:numFmt w:val="bullet"/>
      <w:lvlText w:val="•"/>
      <w:lvlJc w:val="left"/>
      <w:pPr>
        <w:ind w:left="1436" w:hanging="353"/>
      </w:pPr>
      <w:rPr>
        <w:rFonts w:hint="default"/>
      </w:rPr>
    </w:lvl>
    <w:lvl w:ilvl="4">
      <w:start w:val="0"/>
      <w:numFmt w:val="bullet"/>
      <w:lvlText w:val="•"/>
      <w:lvlJc w:val="left"/>
      <w:pPr>
        <w:ind w:left="1855" w:hanging="353"/>
      </w:pPr>
      <w:rPr>
        <w:rFonts w:hint="default"/>
      </w:rPr>
    </w:lvl>
    <w:lvl w:ilvl="5">
      <w:start w:val="0"/>
      <w:numFmt w:val="bullet"/>
      <w:lvlText w:val="•"/>
      <w:lvlJc w:val="left"/>
      <w:pPr>
        <w:ind w:left="2273" w:hanging="353"/>
      </w:pPr>
      <w:rPr>
        <w:rFonts w:hint="default"/>
      </w:rPr>
    </w:lvl>
    <w:lvl w:ilvl="6">
      <w:start w:val="0"/>
      <w:numFmt w:val="bullet"/>
      <w:lvlText w:val="•"/>
      <w:lvlJc w:val="left"/>
      <w:pPr>
        <w:ind w:left="2691" w:hanging="353"/>
      </w:pPr>
      <w:rPr>
        <w:rFonts w:hint="default"/>
      </w:rPr>
    </w:lvl>
    <w:lvl w:ilvl="7">
      <w:start w:val="0"/>
      <w:numFmt w:val="bullet"/>
      <w:lvlText w:val="•"/>
      <w:lvlJc w:val="left"/>
      <w:pPr>
        <w:ind w:left="3110" w:hanging="353"/>
      </w:pPr>
      <w:rPr>
        <w:rFonts w:hint="default"/>
      </w:rPr>
    </w:lvl>
    <w:lvl w:ilvl="8">
      <w:start w:val="0"/>
      <w:numFmt w:val="bullet"/>
      <w:lvlText w:val="•"/>
      <w:lvlJc w:val="left"/>
      <w:pPr>
        <w:ind w:left="3528" w:hanging="353"/>
      </w:pPr>
      <w:rPr>
        <w:rFonts w:hint="default"/>
      </w:rPr>
    </w:lvl>
  </w:abstractNum>
  <w:abstractNum w:abstractNumId="16">
    <w:multiLevelType w:val="hybridMultilevel"/>
    <w:lvl w:ilvl="0">
      <w:start w:val="0"/>
      <w:numFmt w:val="bullet"/>
      <w:lvlText w:val="●"/>
      <w:lvlJc w:val="left"/>
      <w:pPr>
        <w:ind w:left="358"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874" w:hanging="244"/>
      </w:pPr>
      <w:rPr>
        <w:rFonts w:hint="default"/>
      </w:rPr>
    </w:lvl>
    <w:lvl w:ilvl="2">
      <w:start w:val="0"/>
      <w:numFmt w:val="bullet"/>
      <w:lvlText w:val="•"/>
      <w:lvlJc w:val="left"/>
      <w:pPr>
        <w:ind w:left="1389" w:hanging="244"/>
      </w:pPr>
      <w:rPr>
        <w:rFonts w:hint="default"/>
      </w:rPr>
    </w:lvl>
    <w:lvl w:ilvl="3">
      <w:start w:val="0"/>
      <w:numFmt w:val="bullet"/>
      <w:lvlText w:val="•"/>
      <w:lvlJc w:val="left"/>
      <w:pPr>
        <w:ind w:left="1903" w:hanging="244"/>
      </w:pPr>
      <w:rPr>
        <w:rFonts w:hint="default"/>
      </w:rPr>
    </w:lvl>
    <w:lvl w:ilvl="4">
      <w:start w:val="0"/>
      <w:numFmt w:val="bullet"/>
      <w:lvlText w:val="•"/>
      <w:lvlJc w:val="left"/>
      <w:pPr>
        <w:ind w:left="2418" w:hanging="244"/>
      </w:pPr>
      <w:rPr>
        <w:rFonts w:hint="default"/>
      </w:rPr>
    </w:lvl>
    <w:lvl w:ilvl="5">
      <w:start w:val="0"/>
      <w:numFmt w:val="bullet"/>
      <w:lvlText w:val="•"/>
      <w:lvlJc w:val="left"/>
      <w:pPr>
        <w:ind w:left="2932" w:hanging="244"/>
      </w:pPr>
      <w:rPr>
        <w:rFonts w:hint="default"/>
      </w:rPr>
    </w:lvl>
    <w:lvl w:ilvl="6">
      <w:start w:val="0"/>
      <w:numFmt w:val="bullet"/>
      <w:lvlText w:val="•"/>
      <w:lvlJc w:val="left"/>
      <w:pPr>
        <w:ind w:left="3447" w:hanging="244"/>
      </w:pPr>
      <w:rPr>
        <w:rFonts w:hint="default"/>
      </w:rPr>
    </w:lvl>
    <w:lvl w:ilvl="7">
      <w:start w:val="0"/>
      <w:numFmt w:val="bullet"/>
      <w:lvlText w:val="•"/>
      <w:lvlJc w:val="left"/>
      <w:pPr>
        <w:ind w:left="3961" w:hanging="244"/>
      </w:pPr>
      <w:rPr>
        <w:rFonts w:hint="default"/>
      </w:rPr>
    </w:lvl>
    <w:lvl w:ilvl="8">
      <w:start w:val="0"/>
      <w:numFmt w:val="bullet"/>
      <w:lvlText w:val="•"/>
      <w:lvlJc w:val="left"/>
      <w:pPr>
        <w:ind w:left="4476" w:hanging="244"/>
      </w:pPr>
      <w:rPr>
        <w:rFonts w:hint="default"/>
      </w:rPr>
    </w:lvl>
  </w:abstractNum>
  <w:abstractNum w:abstractNumId="15">
    <w:multiLevelType w:val="hybridMultilevel"/>
    <w:lvl w:ilvl="0">
      <w:start w:val="1"/>
      <w:numFmt w:val="decimal"/>
      <w:lvlText w:val="%1."/>
      <w:lvlJc w:val="left"/>
      <w:pPr>
        <w:ind w:left="1808"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2132" w:hanging="256"/>
        <w:jc w:val="left"/>
      </w:pPr>
      <w:rPr>
        <w:rFonts w:hint="default" w:ascii="Microsoft JhengHei UI" w:hAnsi="Microsoft JhengHei UI" w:eastAsia="Microsoft JhengHei UI" w:cs="Microsoft JhengHei UI"/>
        <w:w w:val="100"/>
        <w:sz w:val="24"/>
        <w:szCs w:val="24"/>
      </w:rPr>
    </w:lvl>
    <w:lvl w:ilvl="2">
      <w:start w:val="1"/>
      <w:numFmt w:val="decimal"/>
      <w:lvlText w:val="(%3)"/>
      <w:lvlJc w:val="left"/>
      <w:pPr>
        <w:ind w:left="2373" w:hanging="384"/>
        <w:jc w:val="left"/>
      </w:pPr>
      <w:rPr>
        <w:rFonts w:hint="default" w:ascii="Microsoft JhengHei UI" w:hAnsi="Microsoft JhengHei UI" w:eastAsia="Microsoft JhengHei UI" w:cs="Microsoft JhengHei UI"/>
        <w:spacing w:val="-30"/>
        <w:w w:val="100"/>
        <w:sz w:val="24"/>
        <w:szCs w:val="24"/>
      </w:rPr>
    </w:lvl>
    <w:lvl w:ilvl="3">
      <w:start w:val="0"/>
      <w:numFmt w:val="bullet"/>
      <w:lvlText w:val="•"/>
      <w:lvlJc w:val="left"/>
      <w:pPr>
        <w:ind w:left="2380" w:hanging="384"/>
      </w:pPr>
      <w:rPr>
        <w:rFonts w:hint="default"/>
      </w:rPr>
    </w:lvl>
    <w:lvl w:ilvl="4">
      <w:start w:val="0"/>
      <w:numFmt w:val="bullet"/>
      <w:lvlText w:val="•"/>
      <w:lvlJc w:val="left"/>
      <w:pPr>
        <w:ind w:left="2460" w:hanging="384"/>
      </w:pPr>
      <w:rPr>
        <w:rFonts w:hint="default"/>
      </w:rPr>
    </w:lvl>
    <w:lvl w:ilvl="5">
      <w:start w:val="0"/>
      <w:numFmt w:val="bullet"/>
      <w:lvlText w:val="•"/>
      <w:lvlJc w:val="left"/>
      <w:pPr>
        <w:ind w:left="2800" w:hanging="384"/>
      </w:pPr>
      <w:rPr>
        <w:rFonts w:hint="default"/>
      </w:rPr>
    </w:lvl>
    <w:lvl w:ilvl="6">
      <w:start w:val="0"/>
      <w:numFmt w:val="bullet"/>
      <w:lvlText w:val="•"/>
      <w:lvlJc w:val="left"/>
      <w:pPr>
        <w:ind w:left="8400" w:hanging="384"/>
      </w:pPr>
      <w:rPr>
        <w:rFonts w:hint="default"/>
      </w:rPr>
    </w:lvl>
    <w:lvl w:ilvl="7">
      <w:start w:val="0"/>
      <w:numFmt w:val="bullet"/>
      <w:lvlText w:val="•"/>
      <w:lvlJc w:val="left"/>
      <w:pPr>
        <w:ind w:left="8881" w:hanging="384"/>
      </w:pPr>
      <w:rPr>
        <w:rFonts w:hint="default"/>
      </w:rPr>
    </w:lvl>
    <w:lvl w:ilvl="8">
      <w:start w:val="0"/>
      <w:numFmt w:val="bullet"/>
      <w:lvlText w:val="•"/>
      <w:lvlJc w:val="left"/>
      <w:pPr>
        <w:ind w:left="9362" w:hanging="384"/>
      </w:pPr>
      <w:rPr>
        <w:rFonts w:hint="default"/>
      </w:rPr>
    </w:lvl>
  </w:abstractNum>
  <w:abstractNum w:abstractNumId="14">
    <w:multiLevelType w:val="hybridMultilevel"/>
    <w:lvl w:ilvl="0">
      <w:start w:val="1"/>
      <w:numFmt w:val="decimal"/>
      <w:lvlText w:val="%1."/>
      <w:lvlJc w:val="left"/>
      <w:pPr>
        <w:ind w:left="180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698" w:hanging="255"/>
      </w:pPr>
      <w:rPr>
        <w:rFonts w:hint="default"/>
      </w:rPr>
    </w:lvl>
    <w:lvl w:ilvl="2">
      <w:start w:val="0"/>
      <w:numFmt w:val="bullet"/>
      <w:lvlText w:val="•"/>
      <w:lvlJc w:val="left"/>
      <w:pPr>
        <w:ind w:left="3596" w:hanging="255"/>
      </w:pPr>
      <w:rPr>
        <w:rFonts w:hint="default"/>
      </w:rPr>
    </w:lvl>
    <w:lvl w:ilvl="3">
      <w:start w:val="0"/>
      <w:numFmt w:val="bullet"/>
      <w:lvlText w:val="•"/>
      <w:lvlJc w:val="left"/>
      <w:pPr>
        <w:ind w:left="4495" w:hanging="255"/>
      </w:pPr>
      <w:rPr>
        <w:rFonts w:hint="default"/>
      </w:rPr>
    </w:lvl>
    <w:lvl w:ilvl="4">
      <w:start w:val="0"/>
      <w:numFmt w:val="bullet"/>
      <w:lvlText w:val="•"/>
      <w:lvlJc w:val="left"/>
      <w:pPr>
        <w:ind w:left="5393" w:hanging="255"/>
      </w:pPr>
      <w:rPr>
        <w:rFonts w:hint="default"/>
      </w:rPr>
    </w:lvl>
    <w:lvl w:ilvl="5">
      <w:start w:val="0"/>
      <w:numFmt w:val="bullet"/>
      <w:lvlText w:val="•"/>
      <w:lvlJc w:val="left"/>
      <w:pPr>
        <w:ind w:left="6292" w:hanging="255"/>
      </w:pPr>
      <w:rPr>
        <w:rFonts w:hint="default"/>
      </w:rPr>
    </w:lvl>
    <w:lvl w:ilvl="6">
      <w:start w:val="0"/>
      <w:numFmt w:val="bullet"/>
      <w:lvlText w:val="•"/>
      <w:lvlJc w:val="left"/>
      <w:pPr>
        <w:ind w:left="7190" w:hanging="255"/>
      </w:pPr>
      <w:rPr>
        <w:rFonts w:hint="default"/>
      </w:rPr>
    </w:lvl>
    <w:lvl w:ilvl="7">
      <w:start w:val="0"/>
      <w:numFmt w:val="bullet"/>
      <w:lvlText w:val="•"/>
      <w:lvlJc w:val="left"/>
      <w:pPr>
        <w:ind w:left="8089" w:hanging="255"/>
      </w:pPr>
      <w:rPr>
        <w:rFonts w:hint="default"/>
      </w:rPr>
    </w:lvl>
    <w:lvl w:ilvl="8">
      <w:start w:val="0"/>
      <w:numFmt w:val="bullet"/>
      <w:lvlText w:val="•"/>
      <w:lvlJc w:val="left"/>
      <w:pPr>
        <w:ind w:left="8987" w:hanging="255"/>
      </w:pPr>
      <w:rPr>
        <w:rFonts w:hint="default"/>
      </w:rPr>
    </w:lvl>
  </w:abstractNum>
  <w:abstractNum w:abstractNumId="13">
    <w:multiLevelType w:val="hybridMultilevel"/>
    <w:lvl w:ilvl="0">
      <w:start w:val="1"/>
      <w:numFmt w:val="decimal"/>
      <w:lvlText w:val="%1."/>
      <w:lvlJc w:val="left"/>
      <w:pPr>
        <w:ind w:left="1809" w:hanging="255"/>
        <w:jc w:val="left"/>
      </w:pPr>
      <w:rPr>
        <w:rFonts w:hint="default" w:ascii="Arial Unicode MS" w:hAnsi="Arial Unicode MS" w:eastAsia="Arial Unicode MS" w:cs="Arial Unicode MS"/>
        <w:color w:val="231F20"/>
        <w:w w:val="82"/>
        <w:sz w:val="24"/>
        <w:szCs w:val="24"/>
      </w:rPr>
    </w:lvl>
    <w:lvl w:ilvl="1">
      <w:start w:val="1"/>
      <w:numFmt w:val="decimal"/>
      <w:lvlText w:val="(%2)"/>
      <w:lvlJc w:val="left"/>
      <w:pPr>
        <w:ind w:left="2051" w:hanging="354"/>
        <w:jc w:val="left"/>
      </w:pPr>
      <w:rPr>
        <w:rFonts w:hint="default" w:ascii="Arial Unicode MS" w:hAnsi="Arial Unicode MS" w:eastAsia="Arial Unicode MS" w:cs="Arial Unicode MS"/>
        <w:color w:val="231F20"/>
        <w:w w:val="99"/>
        <w:sz w:val="24"/>
        <w:szCs w:val="24"/>
      </w:rPr>
    </w:lvl>
    <w:lvl w:ilvl="2">
      <w:start w:val="0"/>
      <w:numFmt w:val="bullet"/>
      <w:lvlText w:val="•"/>
      <w:lvlJc w:val="left"/>
      <w:pPr>
        <w:ind w:left="3029" w:hanging="354"/>
      </w:pPr>
      <w:rPr>
        <w:rFonts w:hint="default"/>
      </w:rPr>
    </w:lvl>
    <w:lvl w:ilvl="3">
      <w:start w:val="0"/>
      <w:numFmt w:val="bullet"/>
      <w:lvlText w:val="•"/>
      <w:lvlJc w:val="left"/>
      <w:pPr>
        <w:ind w:left="3998" w:hanging="354"/>
      </w:pPr>
      <w:rPr>
        <w:rFonts w:hint="default"/>
      </w:rPr>
    </w:lvl>
    <w:lvl w:ilvl="4">
      <w:start w:val="0"/>
      <w:numFmt w:val="bullet"/>
      <w:lvlText w:val="•"/>
      <w:lvlJc w:val="left"/>
      <w:pPr>
        <w:ind w:left="4968" w:hanging="354"/>
      </w:pPr>
      <w:rPr>
        <w:rFonts w:hint="default"/>
      </w:rPr>
    </w:lvl>
    <w:lvl w:ilvl="5">
      <w:start w:val="0"/>
      <w:numFmt w:val="bullet"/>
      <w:lvlText w:val="•"/>
      <w:lvlJc w:val="left"/>
      <w:pPr>
        <w:ind w:left="5937" w:hanging="354"/>
      </w:pPr>
      <w:rPr>
        <w:rFonts w:hint="default"/>
      </w:rPr>
    </w:lvl>
    <w:lvl w:ilvl="6">
      <w:start w:val="0"/>
      <w:numFmt w:val="bullet"/>
      <w:lvlText w:val="•"/>
      <w:lvlJc w:val="left"/>
      <w:pPr>
        <w:ind w:left="6906" w:hanging="354"/>
      </w:pPr>
      <w:rPr>
        <w:rFonts w:hint="default"/>
      </w:rPr>
    </w:lvl>
    <w:lvl w:ilvl="7">
      <w:start w:val="0"/>
      <w:numFmt w:val="bullet"/>
      <w:lvlText w:val="•"/>
      <w:lvlJc w:val="left"/>
      <w:pPr>
        <w:ind w:left="7876" w:hanging="354"/>
      </w:pPr>
      <w:rPr>
        <w:rFonts w:hint="default"/>
      </w:rPr>
    </w:lvl>
    <w:lvl w:ilvl="8">
      <w:start w:val="0"/>
      <w:numFmt w:val="bullet"/>
      <w:lvlText w:val="•"/>
      <w:lvlJc w:val="left"/>
      <w:pPr>
        <w:ind w:left="8845" w:hanging="354"/>
      </w:pPr>
      <w:rPr>
        <w:rFonts w:hint="default"/>
      </w:rPr>
    </w:lvl>
  </w:abstractNum>
  <w:abstractNum w:abstractNumId="12">
    <w:multiLevelType w:val="hybridMultilevel"/>
    <w:lvl w:ilvl="0">
      <w:start w:val="1"/>
      <w:numFmt w:val="decimal"/>
      <w:lvlText w:val="%1."/>
      <w:lvlJc w:val="left"/>
      <w:pPr>
        <w:ind w:left="1809"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2698" w:hanging="255"/>
      </w:pPr>
      <w:rPr>
        <w:rFonts w:hint="default"/>
      </w:rPr>
    </w:lvl>
    <w:lvl w:ilvl="2">
      <w:start w:val="0"/>
      <w:numFmt w:val="bullet"/>
      <w:lvlText w:val="•"/>
      <w:lvlJc w:val="left"/>
      <w:pPr>
        <w:ind w:left="3596" w:hanging="255"/>
      </w:pPr>
      <w:rPr>
        <w:rFonts w:hint="default"/>
      </w:rPr>
    </w:lvl>
    <w:lvl w:ilvl="3">
      <w:start w:val="0"/>
      <w:numFmt w:val="bullet"/>
      <w:lvlText w:val="•"/>
      <w:lvlJc w:val="left"/>
      <w:pPr>
        <w:ind w:left="4495" w:hanging="255"/>
      </w:pPr>
      <w:rPr>
        <w:rFonts w:hint="default"/>
      </w:rPr>
    </w:lvl>
    <w:lvl w:ilvl="4">
      <w:start w:val="0"/>
      <w:numFmt w:val="bullet"/>
      <w:lvlText w:val="•"/>
      <w:lvlJc w:val="left"/>
      <w:pPr>
        <w:ind w:left="5393" w:hanging="255"/>
      </w:pPr>
      <w:rPr>
        <w:rFonts w:hint="default"/>
      </w:rPr>
    </w:lvl>
    <w:lvl w:ilvl="5">
      <w:start w:val="0"/>
      <w:numFmt w:val="bullet"/>
      <w:lvlText w:val="•"/>
      <w:lvlJc w:val="left"/>
      <w:pPr>
        <w:ind w:left="6292" w:hanging="255"/>
      </w:pPr>
      <w:rPr>
        <w:rFonts w:hint="default"/>
      </w:rPr>
    </w:lvl>
    <w:lvl w:ilvl="6">
      <w:start w:val="0"/>
      <w:numFmt w:val="bullet"/>
      <w:lvlText w:val="•"/>
      <w:lvlJc w:val="left"/>
      <w:pPr>
        <w:ind w:left="7190" w:hanging="255"/>
      </w:pPr>
      <w:rPr>
        <w:rFonts w:hint="default"/>
      </w:rPr>
    </w:lvl>
    <w:lvl w:ilvl="7">
      <w:start w:val="0"/>
      <w:numFmt w:val="bullet"/>
      <w:lvlText w:val="•"/>
      <w:lvlJc w:val="left"/>
      <w:pPr>
        <w:ind w:left="8089" w:hanging="255"/>
      </w:pPr>
      <w:rPr>
        <w:rFonts w:hint="default"/>
      </w:rPr>
    </w:lvl>
    <w:lvl w:ilvl="8">
      <w:start w:val="0"/>
      <w:numFmt w:val="bullet"/>
      <w:lvlText w:val="•"/>
      <w:lvlJc w:val="left"/>
      <w:pPr>
        <w:ind w:left="8987" w:hanging="255"/>
      </w:pPr>
      <w:rPr>
        <w:rFonts w:hint="default"/>
      </w:rPr>
    </w:lvl>
  </w:abstractNum>
  <w:abstractNum w:abstractNumId="11">
    <w:multiLevelType w:val="hybridMultilevel"/>
    <w:lvl w:ilvl="0">
      <w:start w:val="0"/>
      <w:numFmt w:val="bullet"/>
      <w:lvlText w:val="●"/>
      <w:lvlJc w:val="left"/>
      <w:pPr>
        <w:ind w:left="355" w:hanging="244"/>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867" w:hanging="244"/>
      </w:pPr>
      <w:rPr>
        <w:rFonts w:hint="default"/>
      </w:rPr>
    </w:lvl>
    <w:lvl w:ilvl="2">
      <w:start w:val="0"/>
      <w:numFmt w:val="bullet"/>
      <w:lvlText w:val="•"/>
      <w:lvlJc w:val="left"/>
      <w:pPr>
        <w:ind w:left="1374" w:hanging="244"/>
      </w:pPr>
      <w:rPr>
        <w:rFonts w:hint="default"/>
      </w:rPr>
    </w:lvl>
    <w:lvl w:ilvl="3">
      <w:start w:val="0"/>
      <w:numFmt w:val="bullet"/>
      <w:lvlText w:val="•"/>
      <w:lvlJc w:val="left"/>
      <w:pPr>
        <w:ind w:left="1881" w:hanging="244"/>
      </w:pPr>
      <w:rPr>
        <w:rFonts w:hint="default"/>
      </w:rPr>
    </w:lvl>
    <w:lvl w:ilvl="4">
      <w:start w:val="0"/>
      <w:numFmt w:val="bullet"/>
      <w:lvlText w:val="•"/>
      <w:lvlJc w:val="left"/>
      <w:pPr>
        <w:ind w:left="2389" w:hanging="244"/>
      </w:pPr>
      <w:rPr>
        <w:rFonts w:hint="default"/>
      </w:rPr>
    </w:lvl>
    <w:lvl w:ilvl="5">
      <w:start w:val="0"/>
      <w:numFmt w:val="bullet"/>
      <w:lvlText w:val="•"/>
      <w:lvlJc w:val="left"/>
      <w:pPr>
        <w:ind w:left="2896" w:hanging="244"/>
      </w:pPr>
      <w:rPr>
        <w:rFonts w:hint="default"/>
      </w:rPr>
    </w:lvl>
    <w:lvl w:ilvl="6">
      <w:start w:val="0"/>
      <w:numFmt w:val="bullet"/>
      <w:lvlText w:val="•"/>
      <w:lvlJc w:val="left"/>
      <w:pPr>
        <w:ind w:left="3403" w:hanging="244"/>
      </w:pPr>
      <w:rPr>
        <w:rFonts w:hint="default"/>
      </w:rPr>
    </w:lvl>
    <w:lvl w:ilvl="7">
      <w:start w:val="0"/>
      <w:numFmt w:val="bullet"/>
      <w:lvlText w:val="•"/>
      <w:lvlJc w:val="left"/>
      <w:pPr>
        <w:ind w:left="3911" w:hanging="244"/>
      </w:pPr>
      <w:rPr>
        <w:rFonts w:hint="default"/>
      </w:rPr>
    </w:lvl>
    <w:lvl w:ilvl="8">
      <w:start w:val="0"/>
      <w:numFmt w:val="bullet"/>
      <w:lvlText w:val="•"/>
      <w:lvlJc w:val="left"/>
      <w:pPr>
        <w:ind w:left="4418" w:hanging="244"/>
      </w:pPr>
      <w:rPr>
        <w:rFonts w:hint="default"/>
      </w:rPr>
    </w:lvl>
  </w:abstractNum>
  <w:abstractNum w:abstractNumId="9">
    <w:multiLevelType w:val="hybridMultilevel"/>
    <w:lvl w:ilvl="0">
      <w:start w:val="1"/>
      <w:numFmt w:val="decimal"/>
      <w:lvlText w:val="%1."/>
      <w:lvlJc w:val="left"/>
      <w:pPr>
        <w:ind w:left="368"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19" w:hanging="255"/>
      </w:pPr>
      <w:rPr>
        <w:rFonts w:hint="default"/>
      </w:rPr>
    </w:lvl>
    <w:lvl w:ilvl="2">
      <w:start w:val="0"/>
      <w:numFmt w:val="bullet"/>
      <w:lvlText w:val="•"/>
      <w:lvlJc w:val="left"/>
      <w:pPr>
        <w:ind w:left="1078" w:hanging="255"/>
      </w:pPr>
      <w:rPr>
        <w:rFonts w:hint="default"/>
      </w:rPr>
    </w:lvl>
    <w:lvl w:ilvl="3">
      <w:start w:val="0"/>
      <w:numFmt w:val="bullet"/>
      <w:lvlText w:val="•"/>
      <w:lvlJc w:val="left"/>
      <w:pPr>
        <w:ind w:left="1437" w:hanging="255"/>
      </w:pPr>
      <w:rPr>
        <w:rFonts w:hint="default"/>
      </w:rPr>
    </w:lvl>
    <w:lvl w:ilvl="4">
      <w:start w:val="0"/>
      <w:numFmt w:val="bullet"/>
      <w:lvlText w:val="•"/>
      <w:lvlJc w:val="left"/>
      <w:pPr>
        <w:ind w:left="1796" w:hanging="255"/>
      </w:pPr>
      <w:rPr>
        <w:rFonts w:hint="default"/>
      </w:rPr>
    </w:lvl>
    <w:lvl w:ilvl="5">
      <w:start w:val="0"/>
      <w:numFmt w:val="bullet"/>
      <w:lvlText w:val="•"/>
      <w:lvlJc w:val="left"/>
      <w:pPr>
        <w:ind w:left="2156" w:hanging="255"/>
      </w:pPr>
      <w:rPr>
        <w:rFonts w:hint="default"/>
      </w:rPr>
    </w:lvl>
    <w:lvl w:ilvl="6">
      <w:start w:val="0"/>
      <w:numFmt w:val="bullet"/>
      <w:lvlText w:val="•"/>
      <w:lvlJc w:val="left"/>
      <w:pPr>
        <w:ind w:left="2515" w:hanging="255"/>
      </w:pPr>
      <w:rPr>
        <w:rFonts w:hint="default"/>
      </w:rPr>
    </w:lvl>
    <w:lvl w:ilvl="7">
      <w:start w:val="0"/>
      <w:numFmt w:val="bullet"/>
      <w:lvlText w:val="•"/>
      <w:lvlJc w:val="left"/>
      <w:pPr>
        <w:ind w:left="2874" w:hanging="255"/>
      </w:pPr>
      <w:rPr>
        <w:rFonts w:hint="default"/>
      </w:rPr>
    </w:lvl>
    <w:lvl w:ilvl="8">
      <w:start w:val="0"/>
      <w:numFmt w:val="bullet"/>
      <w:lvlText w:val="•"/>
      <w:lvlJc w:val="left"/>
      <w:pPr>
        <w:ind w:left="3233" w:hanging="255"/>
      </w:pPr>
      <w:rPr>
        <w:rFonts w:hint="default"/>
      </w:rPr>
    </w:lvl>
  </w:abstractNum>
  <w:abstractNum w:abstractNumId="8">
    <w:multiLevelType w:val="hybridMultilevel"/>
    <w:lvl w:ilvl="0">
      <w:start w:val="1"/>
      <w:numFmt w:val="decimal"/>
      <w:lvlText w:val="%1."/>
      <w:lvlJc w:val="left"/>
      <w:pPr>
        <w:ind w:left="368"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19" w:hanging="255"/>
      </w:pPr>
      <w:rPr>
        <w:rFonts w:hint="default"/>
      </w:rPr>
    </w:lvl>
    <w:lvl w:ilvl="2">
      <w:start w:val="0"/>
      <w:numFmt w:val="bullet"/>
      <w:lvlText w:val="•"/>
      <w:lvlJc w:val="left"/>
      <w:pPr>
        <w:ind w:left="1078" w:hanging="255"/>
      </w:pPr>
      <w:rPr>
        <w:rFonts w:hint="default"/>
      </w:rPr>
    </w:lvl>
    <w:lvl w:ilvl="3">
      <w:start w:val="0"/>
      <w:numFmt w:val="bullet"/>
      <w:lvlText w:val="•"/>
      <w:lvlJc w:val="left"/>
      <w:pPr>
        <w:ind w:left="1437" w:hanging="255"/>
      </w:pPr>
      <w:rPr>
        <w:rFonts w:hint="default"/>
      </w:rPr>
    </w:lvl>
    <w:lvl w:ilvl="4">
      <w:start w:val="0"/>
      <w:numFmt w:val="bullet"/>
      <w:lvlText w:val="•"/>
      <w:lvlJc w:val="left"/>
      <w:pPr>
        <w:ind w:left="1796" w:hanging="255"/>
      </w:pPr>
      <w:rPr>
        <w:rFonts w:hint="default"/>
      </w:rPr>
    </w:lvl>
    <w:lvl w:ilvl="5">
      <w:start w:val="0"/>
      <w:numFmt w:val="bullet"/>
      <w:lvlText w:val="•"/>
      <w:lvlJc w:val="left"/>
      <w:pPr>
        <w:ind w:left="2156" w:hanging="255"/>
      </w:pPr>
      <w:rPr>
        <w:rFonts w:hint="default"/>
      </w:rPr>
    </w:lvl>
    <w:lvl w:ilvl="6">
      <w:start w:val="0"/>
      <w:numFmt w:val="bullet"/>
      <w:lvlText w:val="•"/>
      <w:lvlJc w:val="left"/>
      <w:pPr>
        <w:ind w:left="2515" w:hanging="255"/>
      </w:pPr>
      <w:rPr>
        <w:rFonts w:hint="default"/>
      </w:rPr>
    </w:lvl>
    <w:lvl w:ilvl="7">
      <w:start w:val="0"/>
      <w:numFmt w:val="bullet"/>
      <w:lvlText w:val="•"/>
      <w:lvlJc w:val="left"/>
      <w:pPr>
        <w:ind w:left="2874" w:hanging="255"/>
      </w:pPr>
      <w:rPr>
        <w:rFonts w:hint="default"/>
      </w:rPr>
    </w:lvl>
    <w:lvl w:ilvl="8">
      <w:start w:val="0"/>
      <w:numFmt w:val="bullet"/>
      <w:lvlText w:val="•"/>
      <w:lvlJc w:val="left"/>
      <w:pPr>
        <w:ind w:left="3233" w:hanging="255"/>
      </w:pPr>
      <w:rPr>
        <w:rFonts w:hint="default"/>
      </w:rPr>
    </w:lvl>
  </w:abstractNum>
  <w:abstractNum w:abstractNumId="7">
    <w:multiLevelType w:val="hybridMultilevel"/>
    <w:lvl w:ilvl="0">
      <w:start w:val="1"/>
      <w:numFmt w:val="decimal"/>
      <w:lvlText w:val="%1."/>
      <w:lvlJc w:val="left"/>
      <w:pPr>
        <w:ind w:left="368" w:hanging="255"/>
        <w:jc w:val="left"/>
      </w:pPr>
      <w:rPr>
        <w:rFonts w:hint="default" w:ascii="Arial Unicode MS" w:hAnsi="Arial Unicode MS" w:eastAsia="Arial Unicode MS" w:cs="Arial Unicode MS"/>
        <w:color w:val="231F20"/>
        <w:w w:val="82"/>
        <w:sz w:val="24"/>
        <w:szCs w:val="24"/>
      </w:rPr>
    </w:lvl>
    <w:lvl w:ilvl="1">
      <w:start w:val="0"/>
      <w:numFmt w:val="bullet"/>
      <w:lvlText w:val="•"/>
      <w:lvlJc w:val="left"/>
      <w:pPr>
        <w:ind w:left="719" w:hanging="255"/>
      </w:pPr>
      <w:rPr>
        <w:rFonts w:hint="default"/>
      </w:rPr>
    </w:lvl>
    <w:lvl w:ilvl="2">
      <w:start w:val="0"/>
      <w:numFmt w:val="bullet"/>
      <w:lvlText w:val="•"/>
      <w:lvlJc w:val="left"/>
      <w:pPr>
        <w:ind w:left="1078" w:hanging="255"/>
      </w:pPr>
      <w:rPr>
        <w:rFonts w:hint="default"/>
      </w:rPr>
    </w:lvl>
    <w:lvl w:ilvl="3">
      <w:start w:val="0"/>
      <w:numFmt w:val="bullet"/>
      <w:lvlText w:val="•"/>
      <w:lvlJc w:val="left"/>
      <w:pPr>
        <w:ind w:left="1437" w:hanging="255"/>
      </w:pPr>
      <w:rPr>
        <w:rFonts w:hint="default"/>
      </w:rPr>
    </w:lvl>
    <w:lvl w:ilvl="4">
      <w:start w:val="0"/>
      <w:numFmt w:val="bullet"/>
      <w:lvlText w:val="•"/>
      <w:lvlJc w:val="left"/>
      <w:pPr>
        <w:ind w:left="1796" w:hanging="255"/>
      </w:pPr>
      <w:rPr>
        <w:rFonts w:hint="default"/>
      </w:rPr>
    </w:lvl>
    <w:lvl w:ilvl="5">
      <w:start w:val="0"/>
      <w:numFmt w:val="bullet"/>
      <w:lvlText w:val="•"/>
      <w:lvlJc w:val="left"/>
      <w:pPr>
        <w:ind w:left="2156" w:hanging="255"/>
      </w:pPr>
      <w:rPr>
        <w:rFonts w:hint="default"/>
      </w:rPr>
    </w:lvl>
    <w:lvl w:ilvl="6">
      <w:start w:val="0"/>
      <w:numFmt w:val="bullet"/>
      <w:lvlText w:val="•"/>
      <w:lvlJc w:val="left"/>
      <w:pPr>
        <w:ind w:left="2515" w:hanging="255"/>
      </w:pPr>
      <w:rPr>
        <w:rFonts w:hint="default"/>
      </w:rPr>
    </w:lvl>
    <w:lvl w:ilvl="7">
      <w:start w:val="0"/>
      <w:numFmt w:val="bullet"/>
      <w:lvlText w:val="•"/>
      <w:lvlJc w:val="left"/>
      <w:pPr>
        <w:ind w:left="2874" w:hanging="255"/>
      </w:pPr>
      <w:rPr>
        <w:rFonts w:hint="default"/>
      </w:rPr>
    </w:lvl>
    <w:lvl w:ilvl="8">
      <w:start w:val="0"/>
      <w:numFmt w:val="bullet"/>
      <w:lvlText w:val="•"/>
      <w:lvlJc w:val="left"/>
      <w:pPr>
        <w:ind w:left="3233" w:hanging="255"/>
      </w:pPr>
      <w:rPr>
        <w:rFonts w:hint="default"/>
      </w:rPr>
    </w:lvl>
  </w:abstractNum>
  <w:abstractNum w:abstractNumId="10">
    <w:multiLevelType w:val="hybridMultilevel"/>
    <w:lvl w:ilvl="0">
      <w:start w:val="0"/>
      <w:numFmt w:val="bullet"/>
      <w:lvlText w:val="●"/>
      <w:lvlJc w:val="left"/>
      <w:pPr>
        <w:ind w:left="1812" w:hanging="256"/>
      </w:pPr>
      <w:rPr>
        <w:rFonts w:hint="default" w:ascii="Arial Unicode MS" w:hAnsi="Arial Unicode MS" w:eastAsia="Arial Unicode MS" w:cs="Arial Unicode MS"/>
        <w:color w:val="231F20"/>
        <w:w w:val="174"/>
        <w:position w:val="3"/>
        <w:sz w:val="16"/>
        <w:szCs w:val="16"/>
      </w:rPr>
    </w:lvl>
    <w:lvl w:ilvl="1">
      <w:start w:val="0"/>
      <w:numFmt w:val="bullet"/>
      <w:lvlText w:val="•"/>
      <w:lvlJc w:val="left"/>
      <w:pPr>
        <w:ind w:left="2716" w:hanging="256"/>
      </w:pPr>
      <w:rPr>
        <w:rFonts w:hint="default"/>
      </w:rPr>
    </w:lvl>
    <w:lvl w:ilvl="2">
      <w:start w:val="0"/>
      <w:numFmt w:val="bullet"/>
      <w:lvlText w:val="•"/>
      <w:lvlJc w:val="left"/>
      <w:pPr>
        <w:ind w:left="3612" w:hanging="256"/>
      </w:pPr>
      <w:rPr>
        <w:rFonts w:hint="default"/>
      </w:rPr>
    </w:lvl>
    <w:lvl w:ilvl="3">
      <w:start w:val="0"/>
      <w:numFmt w:val="bullet"/>
      <w:lvlText w:val="•"/>
      <w:lvlJc w:val="left"/>
      <w:pPr>
        <w:ind w:left="4509" w:hanging="256"/>
      </w:pPr>
      <w:rPr>
        <w:rFonts w:hint="default"/>
      </w:rPr>
    </w:lvl>
    <w:lvl w:ilvl="4">
      <w:start w:val="0"/>
      <w:numFmt w:val="bullet"/>
      <w:lvlText w:val="•"/>
      <w:lvlJc w:val="left"/>
      <w:pPr>
        <w:ind w:left="5405" w:hanging="256"/>
      </w:pPr>
      <w:rPr>
        <w:rFonts w:hint="default"/>
      </w:rPr>
    </w:lvl>
    <w:lvl w:ilvl="5">
      <w:start w:val="0"/>
      <w:numFmt w:val="bullet"/>
      <w:lvlText w:val="•"/>
      <w:lvlJc w:val="left"/>
      <w:pPr>
        <w:ind w:left="6302" w:hanging="256"/>
      </w:pPr>
      <w:rPr>
        <w:rFonts w:hint="default"/>
      </w:rPr>
    </w:lvl>
    <w:lvl w:ilvl="6">
      <w:start w:val="0"/>
      <w:numFmt w:val="bullet"/>
      <w:lvlText w:val="•"/>
      <w:lvlJc w:val="left"/>
      <w:pPr>
        <w:ind w:left="7198" w:hanging="256"/>
      </w:pPr>
      <w:rPr>
        <w:rFonts w:hint="default"/>
      </w:rPr>
    </w:lvl>
    <w:lvl w:ilvl="7">
      <w:start w:val="0"/>
      <w:numFmt w:val="bullet"/>
      <w:lvlText w:val="•"/>
      <w:lvlJc w:val="left"/>
      <w:pPr>
        <w:ind w:left="8095" w:hanging="256"/>
      </w:pPr>
      <w:rPr>
        <w:rFonts w:hint="default"/>
      </w:rPr>
    </w:lvl>
    <w:lvl w:ilvl="8">
      <w:start w:val="0"/>
      <w:numFmt w:val="bullet"/>
      <w:lvlText w:val="•"/>
      <w:lvlJc w:val="left"/>
      <w:pPr>
        <w:ind w:left="8991" w:hanging="256"/>
      </w:pPr>
      <w:rPr>
        <w:rFonts w:hint="default"/>
      </w:rPr>
    </w:lvl>
  </w:abstractNum>
  <w:abstractNum w:abstractNumId="6">
    <w:multiLevelType w:val="hybridMultilevel"/>
    <w:lvl w:ilvl="0">
      <w:start w:val="1"/>
      <w:numFmt w:val="decimal"/>
      <w:lvlText w:val="%1."/>
      <w:lvlJc w:val="left"/>
      <w:pPr>
        <w:ind w:left="1809" w:hanging="256"/>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698" w:hanging="256"/>
      </w:pPr>
      <w:rPr>
        <w:rFonts w:hint="default"/>
      </w:rPr>
    </w:lvl>
    <w:lvl w:ilvl="2">
      <w:start w:val="0"/>
      <w:numFmt w:val="bullet"/>
      <w:lvlText w:val="•"/>
      <w:lvlJc w:val="left"/>
      <w:pPr>
        <w:ind w:left="3596" w:hanging="256"/>
      </w:pPr>
      <w:rPr>
        <w:rFonts w:hint="default"/>
      </w:rPr>
    </w:lvl>
    <w:lvl w:ilvl="3">
      <w:start w:val="0"/>
      <w:numFmt w:val="bullet"/>
      <w:lvlText w:val="•"/>
      <w:lvlJc w:val="left"/>
      <w:pPr>
        <w:ind w:left="4495" w:hanging="256"/>
      </w:pPr>
      <w:rPr>
        <w:rFonts w:hint="default"/>
      </w:rPr>
    </w:lvl>
    <w:lvl w:ilvl="4">
      <w:start w:val="0"/>
      <w:numFmt w:val="bullet"/>
      <w:lvlText w:val="•"/>
      <w:lvlJc w:val="left"/>
      <w:pPr>
        <w:ind w:left="5393" w:hanging="256"/>
      </w:pPr>
      <w:rPr>
        <w:rFonts w:hint="default"/>
      </w:rPr>
    </w:lvl>
    <w:lvl w:ilvl="5">
      <w:start w:val="0"/>
      <w:numFmt w:val="bullet"/>
      <w:lvlText w:val="•"/>
      <w:lvlJc w:val="left"/>
      <w:pPr>
        <w:ind w:left="6292" w:hanging="256"/>
      </w:pPr>
      <w:rPr>
        <w:rFonts w:hint="default"/>
      </w:rPr>
    </w:lvl>
    <w:lvl w:ilvl="6">
      <w:start w:val="0"/>
      <w:numFmt w:val="bullet"/>
      <w:lvlText w:val="•"/>
      <w:lvlJc w:val="left"/>
      <w:pPr>
        <w:ind w:left="7190" w:hanging="256"/>
      </w:pPr>
      <w:rPr>
        <w:rFonts w:hint="default"/>
      </w:rPr>
    </w:lvl>
    <w:lvl w:ilvl="7">
      <w:start w:val="0"/>
      <w:numFmt w:val="bullet"/>
      <w:lvlText w:val="•"/>
      <w:lvlJc w:val="left"/>
      <w:pPr>
        <w:ind w:left="8089" w:hanging="256"/>
      </w:pPr>
      <w:rPr>
        <w:rFonts w:hint="default"/>
      </w:rPr>
    </w:lvl>
    <w:lvl w:ilvl="8">
      <w:start w:val="0"/>
      <w:numFmt w:val="bullet"/>
      <w:lvlText w:val="•"/>
      <w:lvlJc w:val="left"/>
      <w:pPr>
        <w:ind w:left="8987" w:hanging="256"/>
      </w:pPr>
      <w:rPr>
        <w:rFonts w:hint="default"/>
      </w:rPr>
    </w:lvl>
  </w:abstractNum>
  <w:abstractNum w:abstractNumId="5">
    <w:multiLevelType w:val="hybridMultilevel"/>
    <w:lvl w:ilvl="0">
      <w:start w:val="1"/>
      <w:numFmt w:val="decimal"/>
      <w:lvlText w:val="%1."/>
      <w:lvlJc w:val="left"/>
      <w:pPr>
        <w:ind w:left="1809" w:hanging="256"/>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698" w:hanging="256"/>
      </w:pPr>
      <w:rPr>
        <w:rFonts w:hint="default"/>
      </w:rPr>
    </w:lvl>
    <w:lvl w:ilvl="2">
      <w:start w:val="0"/>
      <w:numFmt w:val="bullet"/>
      <w:lvlText w:val="•"/>
      <w:lvlJc w:val="left"/>
      <w:pPr>
        <w:ind w:left="3596" w:hanging="256"/>
      </w:pPr>
      <w:rPr>
        <w:rFonts w:hint="default"/>
      </w:rPr>
    </w:lvl>
    <w:lvl w:ilvl="3">
      <w:start w:val="0"/>
      <w:numFmt w:val="bullet"/>
      <w:lvlText w:val="•"/>
      <w:lvlJc w:val="left"/>
      <w:pPr>
        <w:ind w:left="4495" w:hanging="256"/>
      </w:pPr>
      <w:rPr>
        <w:rFonts w:hint="default"/>
      </w:rPr>
    </w:lvl>
    <w:lvl w:ilvl="4">
      <w:start w:val="0"/>
      <w:numFmt w:val="bullet"/>
      <w:lvlText w:val="•"/>
      <w:lvlJc w:val="left"/>
      <w:pPr>
        <w:ind w:left="5393" w:hanging="256"/>
      </w:pPr>
      <w:rPr>
        <w:rFonts w:hint="default"/>
      </w:rPr>
    </w:lvl>
    <w:lvl w:ilvl="5">
      <w:start w:val="0"/>
      <w:numFmt w:val="bullet"/>
      <w:lvlText w:val="•"/>
      <w:lvlJc w:val="left"/>
      <w:pPr>
        <w:ind w:left="6292" w:hanging="256"/>
      </w:pPr>
      <w:rPr>
        <w:rFonts w:hint="default"/>
      </w:rPr>
    </w:lvl>
    <w:lvl w:ilvl="6">
      <w:start w:val="0"/>
      <w:numFmt w:val="bullet"/>
      <w:lvlText w:val="•"/>
      <w:lvlJc w:val="left"/>
      <w:pPr>
        <w:ind w:left="7190" w:hanging="256"/>
      </w:pPr>
      <w:rPr>
        <w:rFonts w:hint="default"/>
      </w:rPr>
    </w:lvl>
    <w:lvl w:ilvl="7">
      <w:start w:val="0"/>
      <w:numFmt w:val="bullet"/>
      <w:lvlText w:val="•"/>
      <w:lvlJc w:val="left"/>
      <w:pPr>
        <w:ind w:left="8089" w:hanging="256"/>
      </w:pPr>
      <w:rPr>
        <w:rFonts w:hint="default"/>
      </w:rPr>
    </w:lvl>
    <w:lvl w:ilvl="8">
      <w:start w:val="0"/>
      <w:numFmt w:val="bullet"/>
      <w:lvlText w:val="•"/>
      <w:lvlJc w:val="left"/>
      <w:pPr>
        <w:ind w:left="8987" w:hanging="256"/>
      </w:pPr>
      <w:rPr>
        <w:rFonts w:hint="default"/>
      </w:rPr>
    </w:lvl>
  </w:abstractNum>
  <w:abstractNum w:abstractNumId="4">
    <w:multiLevelType w:val="hybridMultilevel"/>
    <w:lvl w:ilvl="0">
      <w:start w:val="1"/>
      <w:numFmt w:val="decimal"/>
      <w:lvlText w:val="%1."/>
      <w:lvlJc w:val="left"/>
      <w:pPr>
        <w:ind w:left="1808"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2051" w:hanging="355"/>
        <w:jc w:val="left"/>
      </w:pPr>
      <w:rPr>
        <w:rFonts w:hint="default" w:ascii="Arial Unicode MS" w:hAnsi="Arial Unicode MS" w:eastAsia="Arial Unicode MS" w:cs="Arial Unicode MS"/>
        <w:color w:val="231F20"/>
        <w:w w:val="99"/>
        <w:sz w:val="24"/>
        <w:szCs w:val="24"/>
      </w:rPr>
    </w:lvl>
    <w:lvl w:ilvl="2">
      <w:start w:val="0"/>
      <w:numFmt w:val="bullet"/>
      <w:lvlText w:val="•"/>
      <w:lvlJc w:val="left"/>
      <w:pPr>
        <w:ind w:left="3029" w:hanging="355"/>
      </w:pPr>
      <w:rPr>
        <w:rFonts w:hint="default"/>
      </w:rPr>
    </w:lvl>
    <w:lvl w:ilvl="3">
      <w:start w:val="0"/>
      <w:numFmt w:val="bullet"/>
      <w:lvlText w:val="•"/>
      <w:lvlJc w:val="left"/>
      <w:pPr>
        <w:ind w:left="3998" w:hanging="355"/>
      </w:pPr>
      <w:rPr>
        <w:rFonts w:hint="default"/>
      </w:rPr>
    </w:lvl>
    <w:lvl w:ilvl="4">
      <w:start w:val="0"/>
      <w:numFmt w:val="bullet"/>
      <w:lvlText w:val="•"/>
      <w:lvlJc w:val="left"/>
      <w:pPr>
        <w:ind w:left="4968" w:hanging="355"/>
      </w:pPr>
      <w:rPr>
        <w:rFonts w:hint="default"/>
      </w:rPr>
    </w:lvl>
    <w:lvl w:ilvl="5">
      <w:start w:val="0"/>
      <w:numFmt w:val="bullet"/>
      <w:lvlText w:val="•"/>
      <w:lvlJc w:val="left"/>
      <w:pPr>
        <w:ind w:left="5937" w:hanging="355"/>
      </w:pPr>
      <w:rPr>
        <w:rFonts w:hint="default"/>
      </w:rPr>
    </w:lvl>
    <w:lvl w:ilvl="6">
      <w:start w:val="0"/>
      <w:numFmt w:val="bullet"/>
      <w:lvlText w:val="•"/>
      <w:lvlJc w:val="left"/>
      <w:pPr>
        <w:ind w:left="6906" w:hanging="355"/>
      </w:pPr>
      <w:rPr>
        <w:rFonts w:hint="default"/>
      </w:rPr>
    </w:lvl>
    <w:lvl w:ilvl="7">
      <w:start w:val="0"/>
      <w:numFmt w:val="bullet"/>
      <w:lvlText w:val="•"/>
      <w:lvlJc w:val="left"/>
      <w:pPr>
        <w:ind w:left="7876" w:hanging="355"/>
      </w:pPr>
      <w:rPr>
        <w:rFonts w:hint="default"/>
      </w:rPr>
    </w:lvl>
    <w:lvl w:ilvl="8">
      <w:start w:val="0"/>
      <w:numFmt w:val="bullet"/>
      <w:lvlText w:val="•"/>
      <w:lvlJc w:val="left"/>
      <w:pPr>
        <w:ind w:left="8845" w:hanging="355"/>
      </w:pPr>
      <w:rPr>
        <w:rFonts w:hint="default"/>
      </w:rPr>
    </w:lvl>
  </w:abstractNum>
  <w:abstractNum w:abstractNumId="3">
    <w:multiLevelType w:val="hybridMultilevel"/>
    <w:lvl w:ilvl="0">
      <w:start w:val="1"/>
      <w:numFmt w:val="decimal"/>
      <w:lvlText w:val="%1."/>
      <w:lvlJc w:val="left"/>
      <w:pPr>
        <w:ind w:left="1808" w:hanging="255"/>
        <w:jc w:val="left"/>
      </w:pPr>
      <w:rPr>
        <w:rFonts w:hint="default" w:ascii="Arial Unicode MS" w:hAnsi="Arial Unicode MS" w:eastAsia="Arial Unicode MS" w:cs="Arial Unicode MS"/>
        <w:color w:val="231F20"/>
        <w:w w:val="97"/>
        <w:sz w:val="24"/>
        <w:szCs w:val="24"/>
      </w:rPr>
    </w:lvl>
    <w:lvl w:ilvl="1">
      <w:start w:val="0"/>
      <w:numFmt w:val="bullet"/>
      <w:lvlText w:val="•"/>
      <w:lvlJc w:val="left"/>
      <w:pPr>
        <w:ind w:left="2698" w:hanging="255"/>
      </w:pPr>
      <w:rPr>
        <w:rFonts w:hint="default"/>
      </w:rPr>
    </w:lvl>
    <w:lvl w:ilvl="2">
      <w:start w:val="0"/>
      <w:numFmt w:val="bullet"/>
      <w:lvlText w:val="•"/>
      <w:lvlJc w:val="left"/>
      <w:pPr>
        <w:ind w:left="3596" w:hanging="255"/>
      </w:pPr>
      <w:rPr>
        <w:rFonts w:hint="default"/>
      </w:rPr>
    </w:lvl>
    <w:lvl w:ilvl="3">
      <w:start w:val="0"/>
      <w:numFmt w:val="bullet"/>
      <w:lvlText w:val="•"/>
      <w:lvlJc w:val="left"/>
      <w:pPr>
        <w:ind w:left="4495" w:hanging="255"/>
      </w:pPr>
      <w:rPr>
        <w:rFonts w:hint="default"/>
      </w:rPr>
    </w:lvl>
    <w:lvl w:ilvl="4">
      <w:start w:val="0"/>
      <w:numFmt w:val="bullet"/>
      <w:lvlText w:val="•"/>
      <w:lvlJc w:val="left"/>
      <w:pPr>
        <w:ind w:left="5393" w:hanging="255"/>
      </w:pPr>
      <w:rPr>
        <w:rFonts w:hint="default"/>
      </w:rPr>
    </w:lvl>
    <w:lvl w:ilvl="5">
      <w:start w:val="0"/>
      <w:numFmt w:val="bullet"/>
      <w:lvlText w:val="•"/>
      <w:lvlJc w:val="left"/>
      <w:pPr>
        <w:ind w:left="6292" w:hanging="255"/>
      </w:pPr>
      <w:rPr>
        <w:rFonts w:hint="default"/>
      </w:rPr>
    </w:lvl>
    <w:lvl w:ilvl="6">
      <w:start w:val="0"/>
      <w:numFmt w:val="bullet"/>
      <w:lvlText w:val="•"/>
      <w:lvlJc w:val="left"/>
      <w:pPr>
        <w:ind w:left="7190" w:hanging="255"/>
      </w:pPr>
      <w:rPr>
        <w:rFonts w:hint="default"/>
      </w:rPr>
    </w:lvl>
    <w:lvl w:ilvl="7">
      <w:start w:val="0"/>
      <w:numFmt w:val="bullet"/>
      <w:lvlText w:val="•"/>
      <w:lvlJc w:val="left"/>
      <w:pPr>
        <w:ind w:left="8089" w:hanging="255"/>
      </w:pPr>
      <w:rPr>
        <w:rFonts w:hint="default"/>
      </w:rPr>
    </w:lvl>
    <w:lvl w:ilvl="8">
      <w:start w:val="0"/>
      <w:numFmt w:val="bullet"/>
      <w:lvlText w:val="•"/>
      <w:lvlJc w:val="left"/>
      <w:pPr>
        <w:ind w:left="8987" w:hanging="255"/>
      </w:pPr>
      <w:rPr>
        <w:rFonts w:hint="default"/>
      </w:rPr>
    </w:lvl>
  </w:abstractNum>
  <w:abstractNum w:abstractNumId="2">
    <w:multiLevelType w:val="hybridMultilevel"/>
    <w:lvl w:ilvl="0">
      <w:start w:val="1"/>
      <w:numFmt w:val="decimal"/>
      <w:lvlText w:val="%1."/>
      <w:lvlJc w:val="left"/>
      <w:pPr>
        <w:ind w:left="1809"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2051" w:hanging="358"/>
        <w:jc w:val="left"/>
      </w:pPr>
      <w:rPr>
        <w:rFonts w:hint="default" w:ascii="Arial Unicode MS" w:hAnsi="Arial Unicode MS" w:eastAsia="Arial Unicode MS" w:cs="Arial Unicode MS"/>
        <w:color w:val="231F20"/>
        <w:spacing w:val="0"/>
        <w:w w:val="99"/>
        <w:sz w:val="24"/>
        <w:szCs w:val="24"/>
      </w:rPr>
    </w:lvl>
    <w:lvl w:ilvl="2">
      <w:start w:val="0"/>
      <w:numFmt w:val="bullet"/>
      <w:lvlText w:val="•"/>
      <w:lvlJc w:val="left"/>
      <w:pPr>
        <w:ind w:left="3029" w:hanging="358"/>
      </w:pPr>
      <w:rPr>
        <w:rFonts w:hint="default"/>
      </w:rPr>
    </w:lvl>
    <w:lvl w:ilvl="3">
      <w:start w:val="0"/>
      <w:numFmt w:val="bullet"/>
      <w:lvlText w:val="•"/>
      <w:lvlJc w:val="left"/>
      <w:pPr>
        <w:ind w:left="3998" w:hanging="358"/>
      </w:pPr>
      <w:rPr>
        <w:rFonts w:hint="default"/>
      </w:rPr>
    </w:lvl>
    <w:lvl w:ilvl="4">
      <w:start w:val="0"/>
      <w:numFmt w:val="bullet"/>
      <w:lvlText w:val="•"/>
      <w:lvlJc w:val="left"/>
      <w:pPr>
        <w:ind w:left="4968" w:hanging="358"/>
      </w:pPr>
      <w:rPr>
        <w:rFonts w:hint="default"/>
      </w:rPr>
    </w:lvl>
    <w:lvl w:ilvl="5">
      <w:start w:val="0"/>
      <w:numFmt w:val="bullet"/>
      <w:lvlText w:val="•"/>
      <w:lvlJc w:val="left"/>
      <w:pPr>
        <w:ind w:left="5937" w:hanging="358"/>
      </w:pPr>
      <w:rPr>
        <w:rFonts w:hint="default"/>
      </w:rPr>
    </w:lvl>
    <w:lvl w:ilvl="6">
      <w:start w:val="0"/>
      <w:numFmt w:val="bullet"/>
      <w:lvlText w:val="•"/>
      <w:lvlJc w:val="left"/>
      <w:pPr>
        <w:ind w:left="6906" w:hanging="358"/>
      </w:pPr>
      <w:rPr>
        <w:rFonts w:hint="default"/>
      </w:rPr>
    </w:lvl>
    <w:lvl w:ilvl="7">
      <w:start w:val="0"/>
      <w:numFmt w:val="bullet"/>
      <w:lvlText w:val="•"/>
      <w:lvlJc w:val="left"/>
      <w:pPr>
        <w:ind w:left="7876" w:hanging="358"/>
      </w:pPr>
      <w:rPr>
        <w:rFonts w:hint="default"/>
      </w:rPr>
    </w:lvl>
    <w:lvl w:ilvl="8">
      <w:start w:val="0"/>
      <w:numFmt w:val="bullet"/>
      <w:lvlText w:val="•"/>
      <w:lvlJc w:val="left"/>
      <w:pPr>
        <w:ind w:left="8845" w:hanging="358"/>
      </w:pPr>
      <w:rPr>
        <w:rFonts w:hint="default"/>
      </w:rPr>
    </w:lvl>
  </w:abstractNum>
  <w:abstractNum w:abstractNumId="1">
    <w:multiLevelType w:val="hybridMultilevel"/>
    <w:lvl w:ilvl="0">
      <w:start w:val="1"/>
      <w:numFmt w:val="decimal"/>
      <w:lvlText w:val="%1."/>
      <w:lvlJc w:val="left"/>
      <w:pPr>
        <w:ind w:left="1809" w:hanging="255"/>
        <w:jc w:val="left"/>
      </w:pPr>
      <w:rPr>
        <w:rFonts w:hint="default" w:ascii="Arial Unicode MS" w:hAnsi="Arial Unicode MS" w:eastAsia="Arial Unicode MS" w:cs="Arial Unicode MS"/>
        <w:color w:val="231F20"/>
        <w:w w:val="97"/>
        <w:sz w:val="24"/>
        <w:szCs w:val="24"/>
      </w:rPr>
    </w:lvl>
    <w:lvl w:ilvl="1">
      <w:start w:val="1"/>
      <w:numFmt w:val="decimal"/>
      <w:lvlText w:val="(%2)"/>
      <w:lvlJc w:val="left"/>
      <w:pPr>
        <w:ind w:left="2051" w:hanging="358"/>
        <w:jc w:val="left"/>
      </w:pPr>
      <w:rPr>
        <w:rFonts w:hint="default" w:ascii="Arial Unicode MS" w:hAnsi="Arial Unicode MS" w:eastAsia="Arial Unicode MS" w:cs="Arial Unicode MS"/>
        <w:color w:val="231F20"/>
        <w:spacing w:val="0"/>
        <w:w w:val="99"/>
        <w:sz w:val="24"/>
        <w:szCs w:val="24"/>
      </w:rPr>
    </w:lvl>
    <w:lvl w:ilvl="2">
      <w:start w:val="0"/>
      <w:numFmt w:val="bullet"/>
      <w:lvlText w:val="•"/>
      <w:lvlJc w:val="left"/>
      <w:pPr>
        <w:ind w:left="3029" w:hanging="358"/>
      </w:pPr>
      <w:rPr>
        <w:rFonts w:hint="default"/>
      </w:rPr>
    </w:lvl>
    <w:lvl w:ilvl="3">
      <w:start w:val="0"/>
      <w:numFmt w:val="bullet"/>
      <w:lvlText w:val="•"/>
      <w:lvlJc w:val="left"/>
      <w:pPr>
        <w:ind w:left="3998" w:hanging="358"/>
      </w:pPr>
      <w:rPr>
        <w:rFonts w:hint="default"/>
      </w:rPr>
    </w:lvl>
    <w:lvl w:ilvl="4">
      <w:start w:val="0"/>
      <w:numFmt w:val="bullet"/>
      <w:lvlText w:val="•"/>
      <w:lvlJc w:val="left"/>
      <w:pPr>
        <w:ind w:left="4968" w:hanging="358"/>
      </w:pPr>
      <w:rPr>
        <w:rFonts w:hint="default"/>
      </w:rPr>
    </w:lvl>
    <w:lvl w:ilvl="5">
      <w:start w:val="0"/>
      <w:numFmt w:val="bullet"/>
      <w:lvlText w:val="•"/>
      <w:lvlJc w:val="left"/>
      <w:pPr>
        <w:ind w:left="5937" w:hanging="358"/>
      </w:pPr>
      <w:rPr>
        <w:rFonts w:hint="default"/>
      </w:rPr>
    </w:lvl>
    <w:lvl w:ilvl="6">
      <w:start w:val="0"/>
      <w:numFmt w:val="bullet"/>
      <w:lvlText w:val="•"/>
      <w:lvlJc w:val="left"/>
      <w:pPr>
        <w:ind w:left="6906" w:hanging="358"/>
      </w:pPr>
      <w:rPr>
        <w:rFonts w:hint="default"/>
      </w:rPr>
    </w:lvl>
    <w:lvl w:ilvl="7">
      <w:start w:val="0"/>
      <w:numFmt w:val="bullet"/>
      <w:lvlText w:val="•"/>
      <w:lvlJc w:val="left"/>
      <w:pPr>
        <w:ind w:left="7876" w:hanging="358"/>
      </w:pPr>
      <w:rPr>
        <w:rFonts w:hint="default"/>
      </w:rPr>
    </w:lvl>
    <w:lvl w:ilvl="8">
      <w:start w:val="0"/>
      <w:numFmt w:val="bullet"/>
      <w:lvlText w:val="•"/>
      <w:lvlJc w:val="left"/>
      <w:pPr>
        <w:ind w:left="8845" w:hanging="358"/>
      </w:pPr>
      <w:rPr>
        <w:rFonts w:hint="default"/>
      </w:rPr>
    </w:lvl>
  </w:abstractNum>
  <w:abstractNum w:abstractNumId="0">
    <w:multiLevelType w:val="hybridMultilevel"/>
    <w:lvl w:ilvl="0">
      <w:start w:val="1"/>
      <w:numFmt w:val="decimal"/>
      <w:lvlText w:val="%1."/>
      <w:lvlJc w:val="left"/>
      <w:pPr>
        <w:ind w:left="1809" w:hanging="255"/>
        <w:jc w:val="left"/>
      </w:pPr>
      <w:rPr>
        <w:rFonts w:hint="default" w:ascii="Arial Unicode MS" w:hAnsi="Arial Unicode MS" w:eastAsia="Arial Unicode MS" w:cs="Arial Unicode MS"/>
        <w:color w:val="231F20"/>
        <w:w w:val="82"/>
        <w:sz w:val="24"/>
        <w:szCs w:val="24"/>
      </w:rPr>
    </w:lvl>
    <w:lvl w:ilvl="1">
      <w:start w:val="1"/>
      <w:numFmt w:val="decimal"/>
      <w:lvlText w:val="(%2)"/>
      <w:lvlJc w:val="left"/>
      <w:pPr>
        <w:ind w:left="2051" w:hanging="358"/>
        <w:jc w:val="left"/>
      </w:pPr>
      <w:rPr>
        <w:rFonts w:hint="default" w:ascii="Arial Unicode MS" w:hAnsi="Arial Unicode MS" w:eastAsia="Arial Unicode MS" w:cs="Arial Unicode MS"/>
        <w:color w:val="231F20"/>
        <w:spacing w:val="0"/>
        <w:w w:val="99"/>
        <w:sz w:val="24"/>
        <w:szCs w:val="24"/>
      </w:rPr>
    </w:lvl>
    <w:lvl w:ilvl="2">
      <w:start w:val="0"/>
      <w:numFmt w:val="bullet"/>
      <w:lvlText w:val="•"/>
      <w:lvlJc w:val="left"/>
      <w:pPr>
        <w:ind w:left="3029" w:hanging="358"/>
      </w:pPr>
      <w:rPr>
        <w:rFonts w:hint="default"/>
      </w:rPr>
    </w:lvl>
    <w:lvl w:ilvl="3">
      <w:start w:val="0"/>
      <w:numFmt w:val="bullet"/>
      <w:lvlText w:val="•"/>
      <w:lvlJc w:val="left"/>
      <w:pPr>
        <w:ind w:left="3998" w:hanging="358"/>
      </w:pPr>
      <w:rPr>
        <w:rFonts w:hint="default"/>
      </w:rPr>
    </w:lvl>
    <w:lvl w:ilvl="4">
      <w:start w:val="0"/>
      <w:numFmt w:val="bullet"/>
      <w:lvlText w:val="•"/>
      <w:lvlJc w:val="left"/>
      <w:pPr>
        <w:ind w:left="4968" w:hanging="358"/>
      </w:pPr>
      <w:rPr>
        <w:rFonts w:hint="default"/>
      </w:rPr>
    </w:lvl>
    <w:lvl w:ilvl="5">
      <w:start w:val="0"/>
      <w:numFmt w:val="bullet"/>
      <w:lvlText w:val="•"/>
      <w:lvlJc w:val="left"/>
      <w:pPr>
        <w:ind w:left="5937" w:hanging="358"/>
      </w:pPr>
      <w:rPr>
        <w:rFonts w:hint="default"/>
      </w:rPr>
    </w:lvl>
    <w:lvl w:ilvl="6">
      <w:start w:val="0"/>
      <w:numFmt w:val="bullet"/>
      <w:lvlText w:val="•"/>
      <w:lvlJc w:val="left"/>
      <w:pPr>
        <w:ind w:left="6906" w:hanging="358"/>
      </w:pPr>
      <w:rPr>
        <w:rFonts w:hint="default"/>
      </w:rPr>
    </w:lvl>
    <w:lvl w:ilvl="7">
      <w:start w:val="0"/>
      <w:numFmt w:val="bullet"/>
      <w:lvlText w:val="•"/>
      <w:lvlJc w:val="left"/>
      <w:pPr>
        <w:ind w:left="7876" w:hanging="358"/>
      </w:pPr>
      <w:rPr>
        <w:rFonts w:hint="default"/>
      </w:rPr>
    </w:lvl>
    <w:lvl w:ilvl="8">
      <w:start w:val="0"/>
      <w:numFmt w:val="bullet"/>
      <w:lvlText w:val="•"/>
      <w:lvlJc w:val="left"/>
      <w:pPr>
        <w:ind w:left="8845" w:hanging="358"/>
      </w:pPr>
      <w:rPr>
        <w:rFonts w:hint="default"/>
      </w:rPr>
    </w:lvl>
  </w:abstractNum>
  <w:num w:numId="188">
    <w:abstractNumId w:val="187"/>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7">
    <w:abstractNumId w:val="296"/>
  </w:num>
  <w:num w:numId="298">
    <w:abstractNumId w:val="297"/>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6">
    <w:abstractNumId w:val="275"/>
  </w:num>
  <w:num w:numId="278">
    <w:abstractNumId w:val="277"/>
  </w:num>
  <w:num w:numId="277">
    <w:abstractNumId w:val="276"/>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1">
    <w:abstractNumId w:val="30"/>
  </w:num>
  <w:num w:numId="32">
    <w:abstractNumId w:val="31"/>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11">
    <w:abstractNumId w:val="10"/>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Unicode MS" w:hAnsi="Arial Unicode MS" w:eastAsia="Arial Unicode MS" w:cs="Arial Unicode MS"/>
    </w:rPr>
  </w:style>
  <w:style w:styleId="TOC1" w:type="paragraph">
    <w:name w:val="TOC 1"/>
    <w:basedOn w:val="Normal"/>
    <w:uiPriority w:val="1"/>
    <w:qFormat/>
    <w:pPr>
      <w:spacing w:before="202"/>
      <w:ind w:left="613"/>
    </w:pPr>
    <w:rPr>
      <w:rFonts w:ascii="Arial Unicode MS" w:hAnsi="Arial Unicode MS" w:eastAsia="Arial Unicode MS" w:cs="Arial Unicode MS"/>
      <w:sz w:val="24"/>
      <w:szCs w:val="24"/>
    </w:rPr>
  </w:style>
  <w:style w:styleId="BodyText" w:type="paragraph">
    <w:name w:val="Body Text"/>
    <w:basedOn w:val="Normal"/>
    <w:uiPriority w:val="1"/>
    <w:qFormat/>
    <w:pPr/>
    <w:rPr>
      <w:rFonts w:ascii="Arial Unicode MS" w:hAnsi="Arial Unicode MS" w:eastAsia="Arial Unicode MS" w:cs="Arial Unicode MS"/>
      <w:sz w:val="24"/>
      <w:szCs w:val="24"/>
    </w:rPr>
  </w:style>
  <w:style w:styleId="Heading1" w:type="paragraph">
    <w:name w:val="Heading 1"/>
    <w:basedOn w:val="Normal"/>
    <w:uiPriority w:val="1"/>
    <w:qFormat/>
    <w:pPr>
      <w:spacing w:line="581" w:lineRule="exact"/>
      <w:ind w:left="1535"/>
      <w:outlineLvl w:val="1"/>
    </w:pPr>
    <w:rPr>
      <w:rFonts w:ascii="微軟正黑體" w:hAnsi="微軟正黑體" w:eastAsia="微軟正黑體" w:cs="微軟正黑體"/>
      <w:b/>
      <w:bCs/>
      <w:sz w:val="32"/>
      <w:szCs w:val="32"/>
    </w:rPr>
  </w:style>
  <w:style w:styleId="Heading2" w:type="paragraph">
    <w:name w:val="Heading 2"/>
    <w:basedOn w:val="Normal"/>
    <w:uiPriority w:val="1"/>
    <w:qFormat/>
    <w:pPr>
      <w:spacing w:line="436" w:lineRule="exact"/>
      <w:ind w:left="153"/>
      <w:outlineLvl w:val="2"/>
    </w:pPr>
    <w:rPr>
      <w:rFonts w:ascii="微軟正黑體" w:hAnsi="微軟正黑體" w:eastAsia="微軟正黑體" w:cs="微軟正黑體"/>
      <w:b/>
      <w:bCs/>
      <w:sz w:val="24"/>
      <w:szCs w:val="24"/>
    </w:rPr>
  </w:style>
  <w:style w:styleId="ListParagraph" w:type="paragraph">
    <w:name w:val="List Paragraph"/>
    <w:basedOn w:val="Normal"/>
    <w:uiPriority w:val="1"/>
    <w:qFormat/>
    <w:pPr>
      <w:ind w:left="1349" w:hanging="255"/>
    </w:pPr>
    <w:rPr>
      <w:rFonts w:ascii="Arial Unicode MS" w:hAnsi="Arial Unicode MS" w:eastAsia="Arial Unicode MS" w:cs="Arial Unicode MS"/>
    </w:rPr>
  </w:style>
  <w:style w:styleId="TableParagraph" w:type="paragraph">
    <w:name w:val="Table Paragraph"/>
    <w:basedOn w:val="Normal"/>
    <w:uiPriority w:val="1"/>
    <w:qFormat/>
    <w:pPr/>
    <w:rPr>
      <w:rFonts w:ascii="Arial Unicode MS" w:hAnsi="Arial Unicode MS" w:eastAsia="Arial Unicode MS" w:cs="Arial Unicode M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jpe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jpe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jpe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jpe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image" Target="media/image205.png"/><Relationship Id="rId210" Type="http://schemas.openxmlformats.org/officeDocument/2006/relationships/image" Target="media/image206.png"/><Relationship Id="rId211" Type="http://schemas.openxmlformats.org/officeDocument/2006/relationships/image" Target="media/image207.png"/><Relationship Id="rId212" Type="http://schemas.openxmlformats.org/officeDocument/2006/relationships/image" Target="media/image208.png"/><Relationship Id="rId213" Type="http://schemas.openxmlformats.org/officeDocument/2006/relationships/image" Target="media/image209.png"/><Relationship Id="rId214" Type="http://schemas.openxmlformats.org/officeDocument/2006/relationships/image" Target="media/image210.png"/><Relationship Id="rId215" Type="http://schemas.openxmlformats.org/officeDocument/2006/relationships/image" Target="media/image211.png"/><Relationship Id="rId216" Type="http://schemas.openxmlformats.org/officeDocument/2006/relationships/image" Target="media/image212.png"/><Relationship Id="rId217" Type="http://schemas.openxmlformats.org/officeDocument/2006/relationships/image" Target="media/image213.png"/><Relationship Id="rId218" Type="http://schemas.openxmlformats.org/officeDocument/2006/relationships/image" Target="media/image214.png"/><Relationship Id="rId219" Type="http://schemas.openxmlformats.org/officeDocument/2006/relationships/image" Target="media/image215.png"/><Relationship Id="rId220" Type="http://schemas.openxmlformats.org/officeDocument/2006/relationships/image" Target="media/image216.png"/><Relationship Id="rId221" Type="http://schemas.openxmlformats.org/officeDocument/2006/relationships/image" Target="media/image217.png"/><Relationship Id="rId222" Type="http://schemas.openxmlformats.org/officeDocument/2006/relationships/image" Target="media/image218.png"/><Relationship Id="rId223" Type="http://schemas.openxmlformats.org/officeDocument/2006/relationships/image" Target="media/image219.png"/><Relationship Id="rId224" Type="http://schemas.openxmlformats.org/officeDocument/2006/relationships/image" Target="media/image220.png"/><Relationship Id="rId225" Type="http://schemas.openxmlformats.org/officeDocument/2006/relationships/image" Target="media/image221.png"/><Relationship Id="rId226" Type="http://schemas.openxmlformats.org/officeDocument/2006/relationships/image" Target="media/image222.png"/><Relationship Id="rId227" Type="http://schemas.openxmlformats.org/officeDocument/2006/relationships/image" Target="media/image223.png"/><Relationship Id="rId228" Type="http://schemas.openxmlformats.org/officeDocument/2006/relationships/image" Target="media/image224.png"/><Relationship Id="rId229" Type="http://schemas.openxmlformats.org/officeDocument/2006/relationships/image" Target="media/image225.png"/><Relationship Id="rId230" Type="http://schemas.openxmlformats.org/officeDocument/2006/relationships/image" Target="media/image226.png"/><Relationship Id="rId231" Type="http://schemas.openxmlformats.org/officeDocument/2006/relationships/image" Target="media/image227.png"/><Relationship Id="rId232" Type="http://schemas.openxmlformats.org/officeDocument/2006/relationships/image" Target="media/image228.png"/><Relationship Id="rId233" Type="http://schemas.openxmlformats.org/officeDocument/2006/relationships/image" Target="media/image229.png"/><Relationship Id="rId234" Type="http://schemas.openxmlformats.org/officeDocument/2006/relationships/image" Target="media/image230.png"/><Relationship Id="rId235" Type="http://schemas.openxmlformats.org/officeDocument/2006/relationships/image" Target="media/image231.png"/><Relationship Id="rId236" Type="http://schemas.openxmlformats.org/officeDocument/2006/relationships/image" Target="media/image232.png"/><Relationship Id="rId237" Type="http://schemas.openxmlformats.org/officeDocument/2006/relationships/image" Target="media/image233.png"/><Relationship Id="rId238" Type="http://schemas.openxmlformats.org/officeDocument/2006/relationships/image" Target="media/image234.png"/><Relationship Id="rId239" Type="http://schemas.openxmlformats.org/officeDocument/2006/relationships/image" Target="media/image235.png"/><Relationship Id="rId240" Type="http://schemas.openxmlformats.org/officeDocument/2006/relationships/image" Target="media/image236.png"/><Relationship Id="rId241" Type="http://schemas.openxmlformats.org/officeDocument/2006/relationships/image" Target="media/image237.png"/><Relationship Id="rId242" Type="http://schemas.openxmlformats.org/officeDocument/2006/relationships/image" Target="media/image238.png"/><Relationship Id="rId243" Type="http://schemas.openxmlformats.org/officeDocument/2006/relationships/image" Target="media/image239.png"/><Relationship Id="rId244" Type="http://schemas.openxmlformats.org/officeDocument/2006/relationships/image" Target="media/image240.png"/><Relationship Id="rId245" Type="http://schemas.openxmlformats.org/officeDocument/2006/relationships/image" Target="media/image241.png"/><Relationship Id="rId246" Type="http://schemas.openxmlformats.org/officeDocument/2006/relationships/image" Target="media/image242.png"/><Relationship Id="rId247" Type="http://schemas.openxmlformats.org/officeDocument/2006/relationships/image" Target="media/image243.png"/><Relationship Id="rId248" Type="http://schemas.openxmlformats.org/officeDocument/2006/relationships/image" Target="media/image244.png"/><Relationship Id="rId249" Type="http://schemas.openxmlformats.org/officeDocument/2006/relationships/image" Target="media/image245.png"/><Relationship Id="rId250" Type="http://schemas.openxmlformats.org/officeDocument/2006/relationships/image" Target="media/image246.png"/><Relationship Id="rId251" Type="http://schemas.openxmlformats.org/officeDocument/2006/relationships/image" Target="media/image247.png"/><Relationship Id="rId252" Type="http://schemas.openxmlformats.org/officeDocument/2006/relationships/image" Target="media/image248.png"/><Relationship Id="rId253" Type="http://schemas.openxmlformats.org/officeDocument/2006/relationships/image" Target="media/image249.png"/><Relationship Id="rId254" Type="http://schemas.openxmlformats.org/officeDocument/2006/relationships/image" Target="media/image250.png"/><Relationship Id="rId255" Type="http://schemas.openxmlformats.org/officeDocument/2006/relationships/image" Target="media/image251.png"/><Relationship Id="rId256" Type="http://schemas.openxmlformats.org/officeDocument/2006/relationships/image" Target="media/image252.png"/><Relationship Id="rId257" Type="http://schemas.openxmlformats.org/officeDocument/2006/relationships/image" Target="media/image253.png"/><Relationship Id="rId258" Type="http://schemas.openxmlformats.org/officeDocument/2006/relationships/image" Target="media/image254.png"/><Relationship Id="rId259" Type="http://schemas.openxmlformats.org/officeDocument/2006/relationships/image" Target="media/image255.png"/><Relationship Id="rId260" Type="http://schemas.openxmlformats.org/officeDocument/2006/relationships/image" Target="media/image256.png"/><Relationship Id="rId261" Type="http://schemas.openxmlformats.org/officeDocument/2006/relationships/image" Target="media/image257.png"/><Relationship Id="rId262" Type="http://schemas.openxmlformats.org/officeDocument/2006/relationships/image" Target="media/image258.png"/><Relationship Id="rId263" Type="http://schemas.openxmlformats.org/officeDocument/2006/relationships/image" Target="media/image259.png"/><Relationship Id="rId264" Type="http://schemas.openxmlformats.org/officeDocument/2006/relationships/image" Target="media/image260.png"/><Relationship Id="rId265" Type="http://schemas.openxmlformats.org/officeDocument/2006/relationships/image" Target="media/image261.png"/><Relationship Id="rId266" Type="http://schemas.openxmlformats.org/officeDocument/2006/relationships/image" Target="media/image262.png"/><Relationship Id="rId267" Type="http://schemas.openxmlformats.org/officeDocument/2006/relationships/image" Target="media/image263.png"/><Relationship Id="rId268" Type="http://schemas.openxmlformats.org/officeDocument/2006/relationships/image" Target="media/image264.png"/><Relationship Id="rId269" Type="http://schemas.openxmlformats.org/officeDocument/2006/relationships/image" Target="media/image265.png"/><Relationship Id="rId270" Type="http://schemas.openxmlformats.org/officeDocument/2006/relationships/image" Target="media/image266.png"/><Relationship Id="rId271" Type="http://schemas.openxmlformats.org/officeDocument/2006/relationships/image" Target="media/image267.png"/><Relationship Id="rId272" Type="http://schemas.openxmlformats.org/officeDocument/2006/relationships/image" Target="media/image268.png"/><Relationship Id="rId273" Type="http://schemas.openxmlformats.org/officeDocument/2006/relationships/image" Target="media/image269.png"/><Relationship Id="rId274" Type="http://schemas.openxmlformats.org/officeDocument/2006/relationships/image" Target="media/image270.png"/><Relationship Id="rId275" Type="http://schemas.openxmlformats.org/officeDocument/2006/relationships/image" Target="media/image271.png"/><Relationship Id="rId276" Type="http://schemas.openxmlformats.org/officeDocument/2006/relationships/image" Target="media/image272.png"/><Relationship Id="rId277" Type="http://schemas.openxmlformats.org/officeDocument/2006/relationships/image" Target="media/image273.png"/><Relationship Id="rId278" Type="http://schemas.openxmlformats.org/officeDocument/2006/relationships/image" Target="media/image274.png"/><Relationship Id="rId279" Type="http://schemas.openxmlformats.org/officeDocument/2006/relationships/image" Target="media/image275.png"/><Relationship Id="rId280" Type="http://schemas.openxmlformats.org/officeDocument/2006/relationships/image" Target="media/image276.png"/><Relationship Id="rId281" Type="http://schemas.openxmlformats.org/officeDocument/2006/relationships/image" Target="media/image277.png"/><Relationship Id="rId282" Type="http://schemas.openxmlformats.org/officeDocument/2006/relationships/image" Target="media/image278.png"/><Relationship Id="rId283" Type="http://schemas.openxmlformats.org/officeDocument/2006/relationships/image" Target="media/image279.png"/><Relationship Id="rId284" Type="http://schemas.openxmlformats.org/officeDocument/2006/relationships/image" Target="media/image280.png"/><Relationship Id="rId285" Type="http://schemas.openxmlformats.org/officeDocument/2006/relationships/image" Target="media/image281.png"/><Relationship Id="rId286" Type="http://schemas.openxmlformats.org/officeDocument/2006/relationships/image" Target="media/image282.png"/><Relationship Id="rId287" Type="http://schemas.openxmlformats.org/officeDocument/2006/relationships/image" Target="media/image283.png"/><Relationship Id="rId288" Type="http://schemas.openxmlformats.org/officeDocument/2006/relationships/image" Target="media/image284.png"/><Relationship Id="rId289" Type="http://schemas.openxmlformats.org/officeDocument/2006/relationships/image" Target="media/image285.png"/><Relationship Id="rId290" Type="http://schemas.openxmlformats.org/officeDocument/2006/relationships/image" Target="media/image286.png"/><Relationship Id="rId291" Type="http://schemas.openxmlformats.org/officeDocument/2006/relationships/image" Target="media/image287.png"/><Relationship Id="rId292" Type="http://schemas.openxmlformats.org/officeDocument/2006/relationships/image" Target="media/image288.png"/><Relationship Id="rId293" Type="http://schemas.openxmlformats.org/officeDocument/2006/relationships/image" Target="media/image289.png"/><Relationship Id="rId294" Type="http://schemas.openxmlformats.org/officeDocument/2006/relationships/image" Target="media/image290.png"/><Relationship Id="rId295" Type="http://schemas.openxmlformats.org/officeDocument/2006/relationships/image" Target="media/image291.png"/><Relationship Id="rId296" Type="http://schemas.openxmlformats.org/officeDocument/2006/relationships/image" Target="media/image292.png"/><Relationship Id="rId297" Type="http://schemas.openxmlformats.org/officeDocument/2006/relationships/image" Target="media/image293.png"/><Relationship Id="rId298" Type="http://schemas.openxmlformats.org/officeDocument/2006/relationships/image" Target="media/image294.png"/><Relationship Id="rId299" Type="http://schemas.openxmlformats.org/officeDocument/2006/relationships/image" Target="media/image295.png"/><Relationship Id="rId300" Type="http://schemas.openxmlformats.org/officeDocument/2006/relationships/image" Target="media/image296.png"/><Relationship Id="rId301" Type="http://schemas.openxmlformats.org/officeDocument/2006/relationships/image" Target="media/image297.png"/><Relationship Id="rId302" Type="http://schemas.openxmlformats.org/officeDocument/2006/relationships/image" Target="media/image298.png"/><Relationship Id="rId303" Type="http://schemas.openxmlformats.org/officeDocument/2006/relationships/image" Target="media/image299.png"/><Relationship Id="rId304" Type="http://schemas.openxmlformats.org/officeDocument/2006/relationships/image" Target="media/image300.png"/><Relationship Id="rId305" Type="http://schemas.openxmlformats.org/officeDocument/2006/relationships/image" Target="media/image301.png"/><Relationship Id="rId306" Type="http://schemas.openxmlformats.org/officeDocument/2006/relationships/image" Target="media/image302.png"/><Relationship Id="rId307" Type="http://schemas.openxmlformats.org/officeDocument/2006/relationships/image" Target="media/image303.png"/><Relationship Id="rId308" Type="http://schemas.openxmlformats.org/officeDocument/2006/relationships/image" Target="media/image304.png"/><Relationship Id="rId309" Type="http://schemas.openxmlformats.org/officeDocument/2006/relationships/image" Target="media/image305.png"/><Relationship Id="rId310" Type="http://schemas.openxmlformats.org/officeDocument/2006/relationships/image" Target="media/image306.png"/><Relationship Id="rId311" Type="http://schemas.openxmlformats.org/officeDocument/2006/relationships/image" Target="media/image307.png"/><Relationship Id="rId312" Type="http://schemas.openxmlformats.org/officeDocument/2006/relationships/image" Target="media/image308.png"/><Relationship Id="rId313" Type="http://schemas.openxmlformats.org/officeDocument/2006/relationships/image" Target="media/image309.png"/><Relationship Id="rId314" Type="http://schemas.openxmlformats.org/officeDocument/2006/relationships/image" Target="media/image310.png"/><Relationship Id="rId315" Type="http://schemas.openxmlformats.org/officeDocument/2006/relationships/image" Target="media/image311.png"/><Relationship Id="rId316" Type="http://schemas.openxmlformats.org/officeDocument/2006/relationships/image" Target="media/image312.png"/><Relationship Id="rId317" Type="http://schemas.openxmlformats.org/officeDocument/2006/relationships/image" Target="media/image313.png"/><Relationship Id="rId318" Type="http://schemas.openxmlformats.org/officeDocument/2006/relationships/image" Target="media/image314.png"/><Relationship Id="rId319" Type="http://schemas.openxmlformats.org/officeDocument/2006/relationships/image" Target="media/image315.png"/><Relationship Id="rId320" Type="http://schemas.openxmlformats.org/officeDocument/2006/relationships/image" Target="media/image316.png"/><Relationship Id="rId321" Type="http://schemas.openxmlformats.org/officeDocument/2006/relationships/image" Target="media/image317.png"/><Relationship Id="rId322" Type="http://schemas.openxmlformats.org/officeDocument/2006/relationships/image" Target="media/image318.png"/><Relationship Id="rId323" Type="http://schemas.openxmlformats.org/officeDocument/2006/relationships/image" Target="media/image319.png"/><Relationship Id="rId324" Type="http://schemas.openxmlformats.org/officeDocument/2006/relationships/image" Target="media/image320.png"/><Relationship Id="rId325" Type="http://schemas.openxmlformats.org/officeDocument/2006/relationships/image" Target="media/image321.png"/><Relationship Id="rId326" Type="http://schemas.openxmlformats.org/officeDocument/2006/relationships/image" Target="media/image322.png"/><Relationship Id="rId327" Type="http://schemas.openxmlformats.org/officeDocument/2006/relationships/image" Target="media/image323.png"/><Relationship Id="rId328" Type="http://schemas.openxmlformats.org/officeDocument/2006/relationships/image" Target="media/image324.png"/><Relationship Id="rId329" Type="http://schemas.openxmlformats.org/officeDocument/2006/relationships/image" Target="media/image325.png"/><Relationship Id="rId330" Type="http://schemas.openxmlformats.org/officeDocument/2006/relationships/image" Target="media/image326.png"/><Relationship Id="rId331" Type="http://schemas.openxmlformats.org/officeDocument/2006/relationships/image" Target="media/image327.png"/><Relationship Id="rId332" Type="http://schemas.openxmlformats.org/officeDocument/2006/relationships/image" Target="media/image328.png"/><Relationship Id="rId333" Type="http://schemas.openxmlformats.org/officeDocument/2006/relationships/image" Target="media/image329.png"/><Relationship Id="rId334" Type="http://schemas.openxmlformats.org/officeDocument/2006/relationships/image" Target="media/image330.png"/><Relationship Id="rId335" Type="http://schemas.openxmlformats.org/officeDocument/2006/relationships/image" Target="media/image331.png"/><Relationship Id="rId336" Type="http://schemas.openxmlformats.org/officeDocument/2006/relationships/image" Target="media/image332.png"/><Relationship Id="rId337" Type="http://schemas.openxmlformats.org/officeDocument/2006/relationships/image" Target="media/image333.png"/><Relationship Id="rId338" Type="http://schemas.openxmlformats.org/officeDocument/2006/relationships/image" Target="media/image334.png"/><Relationship Id="rId339" Type="http://schemas.openxmlformats.org/officeDocument/2006/relationships/image" Target="media/image335.png"/><Relationship Id="rId340" Type="http://schemas.openxmlformats.org/officeDocument/2006/relationships/image" Target="media/image336.png"/><Relationship Id="rId341" Type="http://schemas.openxmlformats.org/officeDocument/2006/relationships/image" Target="media/image337.png"/><Relationship Id="rId342" Type="http://schemas.openxmlformats.org/officeDocument/2006/relationships/image" Target="media/image338.png"/><Relationship Id="rId343" Type="http://schemas.openxmlformats.org/officeDocument/2006/relationships/image" Target="media/image339.png"/><Relationship Id="rId344" Type="http://schemas.openxmlformats.org/officeDocument/2006/relationships/image" Target="media/image340.png"/><Relationship Id="rId345" Type="http://schemas.openxmlformats.org/officeDocument/2006/relationships/image" Target="media/image341.png"/><Relationship Id="rId346" Type="http://schemas.openxmlformats.org/officeDocument/2006/relationships/image" Target="media/image342.png"/><Relationship Id="rId347" Type="http://schemas.openxmlformats.org/officeDocument/2006/relationships/image" Target="media/image343.png"/><Relationship Id="rId348" Type="http://schemas.openxmlformats.org/officeDocument/2006/relationships/image" Target="media/image344.png"/><Relationship Id="rId349" Type="http://schemas.openxmlformats.org/officeDocument/2006/relationships/image" Target="media/image345.png"/><Relationship Id="rId350" Type="http://schemas.openxmlformats.org/officeDocument/2006/relationships/image" Target="media/image346.png"/><Relationship Id="rId351" Type="http://schemas.openxmlformats.org/officeDocument/2006/relationships/image" Target="media/image347.png"/><Relationship Id="rId352" Type="http://schemas.openxmlformats.org/officeDocument/2006/relationships/image" Target="media/image348.png"/><Relationship Id="rId353" Type="http://schemas.openxmlformats.org/officeDocument/2006/relationships/image" Target="media/image349.png"/><Relationship Id="rId354" Type="http://schemas.openxmlformats.org/officeDocument/2006/relationships/image" Target="media/image350.png"/><Relationship Id="rId355" Type="http://schemas.openxmlformats.org/officeDocument/2006/relationships/image" Target="media/image351.png"/><Relationship Id="rId356" Type="http://schemas.openxmlformats.org/officeDocument/2006/relationships/image" Target="media/image352.png"/><Relationship Id="rId357" Type="http://schemas.openxmlformats.org/officeDocument/2006/relationships/image" Target="media/image353.png"/><Relationship Id="rId358" Type="http://schemas.openxmlformats.org/officeDocument/2006/relationships/image" Target="media/image354.png"/><Relationship Id="rId359" Type="http://schemas.openxmlformats.org/officeDocument/2006/relationships/image" Target="media/image355.png"/><Relationship Id="rId360" Type="http://schemas.openxmlformats.org/officeDocument/2006/relationships/image" Target="media/image356.png"/><Relationship Id="rId361" Type="http://schemas.openxmlformats.org/officeDocument/2006/relationships/image" Target="media/image357.png"/><Relationship Id="rId362" Type="http://schemas.openxmlformats.org/officeDocument/2006/relationships/image" Target="media/image358.png"/><Relationship Id="rId363" Type="http://schemas.openxmlformats.org/officeDocument/2006/relationships/image" Target="media/image359.png"/><Relationship Id="rId364" Type="http://schemas.openxmlformats.org/officeDocument/2006/relationships/image" Target="media/image360.png"/><Relationship Id="rId365" Type="http://schemas.openxmlformats.org/officeDocument/2006/relationships/image" Target="media/image361.png"/><Relationship Id="rId366" Type="http://schemas.openxmlformats.org/officeDocument/2006/relationships/image" Target="media/image362.png"/><Relationship Id="rId367" Type="http://schemas.openxmlformats.org/officeDocument/2006/relationships/image" Target="media/image363.png"/><Relationship Id="rId368" Type="http://schemas.openxmlformats.org/officeDocument/2006/relationships/image" Target="media/image364.png"/><Relationship Id="rId369" Type="http://schemas.openxmlformats.org/officeDocument/2006/relationships/image" Target="media/image365.png"/><Relationship Id="rId370" Type="http://schemas.openxmlformats.org/officeDocument/2006/relationships/image" Target="media/image366.png"/><Relationship Id="rId371" Type="http://schemas.openxmlformats.org/officeDocument/2006/relationships/image" Target="media/image367.png"/><Relationship Id="rId372" Type="http://schemas.openxmlformats.org/officeDocument/2006/relationships/image" Target="media/image368.png"/><Relationship Id="rId373" Type="http://schemas.openxmlformats.org/officeDocument/2006/relationships/image" Target="media/image369.png"/><Relationship Id="rId374" Type="http://schemas.openxmlformats.org/officeDocument/2006/relationships/image" Target="media/image370.png"/><Relationship Id="rId375" Type="http://schemas.openxmlformats.org/officeDocument/2006/relationships/image" Target="media/image371.png"/><Relationship Id="rId376" Type="http://schemas.openxmlformats.org/officeDocument/2006/relationships/image" Target="media/image372.png"/><Relationship Id="rId377" Type="http://schemas.openxmlformats.org/officeDocument/2006/relationships/image" Target="media/image373.png"/><Relationship Id="rId378" Type="http://schemas.openxmlformats.org/officeDocument/2006/relationships/image" Target="media/image374.png"/><Relationship Id="rId379" Type="http://schemas.openxmlformats.org/officeDocument/2006/relationships/image" Target="media/image375.png"/><Relationship Id="rId380" Type="http://schemas.openxmlformats.org/officeDocument/2006/relationships/image" Target="media/image376.png"/><Relationship Id="rId381" Type="http://schemas.openxmlformats.org/officeDocument/2006/relationships/image" Target="media/image377.png"/><Relationship Id="rId382" Type="http://schemas.openxmlformats.org/officeDocument/2006/relationships/image" Target="media/image378.png"/><Relationship Id="rId383" Type="http://schemas.openxmlformats.org/officeDocument/2006/relationships/image" Target="media/image379.png"/><Relationship Id="rId384" Type="http://schemas.openxmlformats.org/officeDocument/2006/relationships/image" Target="media/image380.png"/><Relationship Id="rId385" Type="http://schemas.openxmlformats.org/officeDocument/2006/relationships/image" Target="media/image381.png"/><Relationship Id="rId386" Type="http://schemas.openxmlformats.org/officeDocument/2006/relationships/image" Target="media/image382.png"/><Relationship Id="rId387" Type="http://schemas.openxmlformats.org/officeDocument/2006/relationships/image" Target="media/image383.png"/><Relationship Id="rId388" Type="http://schemas.openxmlformats.org/officeDocument/2006/relationships/image" Target="media/image384.png"/><Relationship Id="rId389" Type="http://schemas.openxmlformats.org/officeDocument/2006/relationships/image" Target="media/image385.png"/><Relationship Id="rId390" Type="http://schemas.openxmlformats.org/officeDocument/2006/relationships/image" Target="media/image386.png"/><Relationship Id="rId391" Type="http://schemas.openxmlformats.org/officeDocument/2006/relationships/image" Target="media/image387.png"/><Relationship Id="rId392" Type="http://schemas.openxmlformats.org/officeDocument/2006/relationships/image" Target="media/image388.png"/><Relationship Id="rId393" Type="http://schemas.openxmlformats.org/officeDocument/2006/relationships/image" Target="media/image389.png"/><Relationship Id="rId394" Type="http://schemas.openxmlformats.org/officeDocument/2006/relationships/image" Target="media/image390.png"/><Relationship Id="rId395" Type="http://schemas.openxmlformats.org/officeDocument/2006/relationships/image" Target="media/image391.png"/><Relationship Id="rId396" Type="http://schemas.openxmlformats.org/officeDocument/2006/relationships/image" Target="media/image392.png"/><Relationship Id="rId397" Type="http://schemas.openxmlformats.org/officeDocument/2006/relationships/image" Target="media/image393.png"/><Relationship Id="rId398" Type="http://schemas.openxmlformats.org/officeDocument/2006/relationships/image" Target="media/image394.png"/><Relationship Id="rId399" Type="http://schemas.openxmlformats.org/officeDocument/2006/relationships/image" Target="media/image395.png"/><Relationship Id="rId400" Type="http://schemas.openxmlformats.org/officeDocument/2006/relationships/image" Target="media/image396.png"/><Relationship Id="rId401" Type="http://schemas.openxmlformats.org/officeDocument/2006/relationships/image" Target="media/image397.png"/><Relationship Id="rId402" Type="http://schemas.openxmlformats.org/officeDocument/2006/relationships/image" Target="media/image398.png"/><Relationship Id="rId403" Type="http://schemas.openxmlformats.org/officeDocument/2006/relationships/image" Target="media/image399.png"/><Relationship Id="rId404" Type="http://schemas.openxmlformats.org/officeDocument/2006/relationships/image" Target="media/image400.png"/><Relationship Id="rId405" Type="http://schemas.openxmlformats.org/officeDocument/2006/relationships/image" Target="media/image401.png"/><Relationship Id="rId406" Type="http://schemas.openxmlformats.org/officeDocument/2006/relationships/image" Target="media/image402.png"/><Relationship Id="rId407" Type="http://schemas.openxmlformats.org/officeDocument/2006/relationships/image" Target="media/image403.png"/><Relationship Id="rId408" Type="http://schemas.openxmlformats.org/officeDocument/2006/relationships/image" Target="media/image404.png"/><Relationship Id="rId409" Type="http://schemas.openxmlformats.org/officeDocument/2006/relationships/image" Target="media/image405.png"/><Relationship Id="rId410" Type="http://schemas.openxmlformats.org/officeDocument/2006/relationships/image" Target="media/image406.png"/><Relationship Id="rId411" Type="http://schemas.openxmlformats.org/officeDocument/2006/relationships/image" Target="media/image407.png"/><Relationship Id="rId412" Type="http://schemas.openxmlformats.org/officeDocument/2006/relationships/image" Target="media/image408.png"/><Relationship Id="rId413" Type="http://schemas.openxmlformats.org/officeDocument/2006/relationships/image" Target="media/image409.png"/><Relationship Id="rId414" Type="http://schemas.openxmlformats.org/officeDocument/2006/relationships/image" Target="media/image410.png"/><Relationship Id="rId415" Type="http://schemas.openxmlformats.org/officeDocument/2006/relationships/image" Target="media/image411.png"/><Relationship Id="rId416" Type="http://schemas.openxmlformats.org/officeDocument/2006/relationships/image" Target="media/image412.png"/><Relationship Id="rId417" Type="http://schemas.openxmlformats.org/officeDocument/2006/relationships/image" Target="media/image413.png"/><Relationship Id="rId418" Type="http://schemas.openxmlformats.org/officeDocument/2006/relationships/image" Target="media/image414.png"/><Relationship Id="rId419" Type="http://schemas.openxmlformats.org/officeDocument/2006/relationships/image" Target="media/image415.png"/><Relationship Id="rId420" Type="http://schemas.openxmlformats.org/officeDocument/2006/relationships/image" Target="media/image416.png"/><Relationship Id="rId421" Type="http://schemas.openxmlformats.org/officeDocument/2006/relationships/image" Target="media/image417.png"/><Relationship Id="rId422" Type="http://schemas.openxmlformats.org/officeDocument/2006/relationships/image" Target="media/image418.png"/><Relationship Id="rId423" Type="http://schemas.openxmlformats.org/officeDocument/2006/relationships/image" Target="media/image419.png"/><Relationship Id="rId424" Type="http://schemas.openxmlformats.org/officeDocument/2006/relationships/image" Target="media/image420.png"/><Relationship Id="rId425" Type="http://schemas.openxmlformats.org/officeDocument/2006/relationships/image" Target="media/image421.png"/><Relationship Id="rId426" Type="http://schemas.openxmlformats.org/officeDocument/2006/relationships/image" Target="media/image422.png"/><Relationship Id="rId427" Type="http://schemas.openxmlformats.org/officeDocument/2006/relationships/image" Target="media/image423.png"/><Relationship Id="rId428" Type="http://schemas.openxmlformats.org/officeDocument/2006/relationships/image" Target="media/image424.png"/><Relationship Id="rId429" Type="http://schemas.openxmlformats.org/officeDocument/2006/relationships/image" Target="media/image425.png"/><Relationship Id="rId430" Type="http://schemas.openxmlformats.org/officeDocument/2006/relationships/image" Target="media/image426.png"/><Relationship Id="rId431" Type="http://schemas.openxmlformats.org/officeDocument/2006/relationships/image" Target="media/image427.png"/><Relationship Id="rId432" Type="http://schemas.openxmlformats.org/officeDocument/2006/relationships/image" Target="media/image428.png"/><Relationship Id="rId433" Type="http://schemas.openxmlformats.org/officeDocument/2006/relationships/image" Target="media/image429.png"/><Relationship Id="rId434" Type="http://schemas.openxmlformats.org/officeDocument/2006/relationships/image" Target="media/image430.png"/><Relationship Id="rId435" Type="http://schemas.openxmlformats.org/officeDocument/2006/relationships/image" Target="media/image431.png"/><Relationship Id="rId436" Type="http://schemas.openxmlformats.org/officeDocument/2006/relationships/image" Target="media/image432.png"/><Relationship Id="rId437" Type="http://schemas.openxmlformats.org/officeDocument/2006/relationships/image" Target="media/image433.png"/><Relationship Id="rId438" Type="http://schemas.openxmlformats.org/officeDocument/2006/relationships/image" Target="media/image434.png"/><Relationship Id="rId439" Type="http://schemas.openxmlformats.org/officeDocument/2006/relationships/image" Target="media/image435.png"/><Relationship Id="rId440" Type="http://schemas.openxmlformats.org/officeDocument/2006/relationships/image" Target="media/image436.png"/><Relationship Id="rId441" Type="http://schemas.openxmlformats.org/officeDocument/2006/relationships/image" Target="media/image437.png"/><Relationship Id="rId442" Type="http://schemas.openxmlformats.org/officeDocument/2006/relationships/image" Target="media/image438.png"/><Relationship Id="rId443" Type="http://schemas.openxmlformats.org/officeDocument/2006/relationships/image" Target="media/image439.png"/><Relationship Id="rId444" Type="http://schemas.openxmlformats.org/officeDocument/2006/relationships/image" Target="media/image440.png"/><Relationship Id="rId445" Type="http://schemas.openxmlformats.org/officeDocument/2006/relationships/image" Target="media/image441.png"/><Relationship Id="rId446" Type="http://schemas.openxmlformats.org/officeDocument/2006/relationships/image" Target="media/image442.png"/><Relationship Id="rId447" Type="http://schemas.openxmlformats.org/officeDocument/2006/relationships/image" Target="media/image443.png"/><Relationship Id="rId448" Type="http://schemas.openxmlformats.org/officeDocument/2006/relationships/image" Target="media/image444.png"/><Relationship Id="rId449" Type="http://schemas.openxmlformats.org/officeDocument/2006/relationships/image" Target="media/image445.png"/><Relationship Id="rId450" Type="http://schemas.openxmlformats.org/officeDocument/2006/relationships/image" Target="media/image446.png"/><Relationship Id="rId451" Type="http://schemas.openxmlformats.org/officeDocument/2006/relationships/image" Target="media/image447.png"/><Relationship Id="rId452" Type="http://schemas.openxmlformats.org/officeDocument/2006/relationships/image" Target="media/image448.png"/><Relationship Id="rId453" Type="http://schemas.openxmlformats.org/officeDocument/2006/relationships/image" Target="media/image449.png"/><Relationship Id="rId454" Type="http://schemas.openxmlformats.org/officeDocument/2006/relationships/image" Target="media/image450.png"/><Relationship Id="rId455" Type="http://schemas.openxmlformats.org/officeDocument/2006/relationships/image" Target="media/image451.png"/><Relationship Id="rId456" Type="http://schemas.openxmlformats.org/officeDocument/2006/relationships/hyperlink" Target="http://www.cdc.gov.tw/" TargetMode="External"/><Relationship Id="rId457" Type="http://schemas.openxmlformats.org/officeDocument/2006/relationships/image" Target="media/image452.png"/><Relationship Id="rId458" Type="http://schemas.openxmlformats.org/officeDocument/2006/relationships/image" Target="media/image453.png"/><Relationship Id="rId459" Type="http://schemas.openxmlformats.org/officeDocument/2006/relationships/hyperlink" Target="http://www.mohw.gov.tw/" TargetMode="External"/><Relationship Id="rId460" Type="http://schemas.openxmlformats.org/officeDocument/2006/relationships/image" Target="media/image454.png"/><Relationship Id="rId461" Type="http://schemas.openxmlformats.org/officeDocument/2006/relationships/image" Target="media/image455.png"/><Relationship Id="rId462" Type="http://schemas.openxmlformats.org/officeDocument/2006/relationships/image" Target="media/image456.jpeg"/><Relationship Id="rId463" Type="http://schemas.openxmlformats.org/officeDocument/2006/relationships/image" Target="media/image457.jpeg"/><Relationship Id="rId464" Type="http://schemas.openxmlformats.org/officeDocument/2006/relationships/image" Target="media/image458.jpeg"/><Relationship Id="rId465" Type="http://schemas.openxmlformats.org/officeDocument/2006/relationships/image" Target="media/image459.jpeg"/><Relationship Id="rId466" Type="http://schemas.openxmlformats.org/officeDocument/2006/relationships/image" Target="media/image460.jpeg"/><Relationship Id="rId467" Type="http://schemas.openxmlformats.org/officeDocument/2006/relationships/image" Target="media/image461.jpeg"/><Relationship Id="rId468" Type="http://schemas.openxmlformats.org/officeDocument/2006/relationships/image" Target="media/image462.png"/><Relationship Id="rId469" Type="http://schemas.openxmlformats.org/officeDocument/2006/relationships/image" Target="media/image463.png"/><Relationship Id="rId470" Type="http://schemas.openxmlformats.org/officeDocument/2006/relationships/image" Target="media/image464.png"/><Relationship Id="rId471" Type="http://schemas.openxmlformats.org/officeDocument/2006/relationships/image" Target="media/image465.png"/><Relationship Id="rId472" Type="http://schemas.openxmlformats.org/officeDocument/2006/relationships/image" Target="media/image466.png"/><Relationship Id="rId473" Type="http://schemas.openxmlformats.org/officeDocument/2006/relationships/image" Target="media/image467.png"/><Relationship Id="rId474" Type="http://schemas.openxmlformats.org/officeDocument/2006/relationships/image" Target="media/image468.png"/><Relationship Id="rId475" Type="http://schemas.openxmlformats.org/officeDocument/2006/relationships/image" Target="media/image469.png"/><Relationship Id="rId476" Type="http://schemas.openxmlformats.org/officeDocument/2006/relationships/image" Target="media/image470.png"/><Relationship Id="rId477" Type="http://schemas.openxmlformats.org/officeDocument/2006/relationships/image" Target="media/image471.png"/><Relationship Id="rId478" Type="http://schemas.openxmlformats.org/officeDocument/2006/relationships/image" Target="media/image472.png"/><Relationship Id="rId479" Type="http://schemas.openxmlformats.org/officeDocument/2006/relationships/image" Target="media/image473.png"/><Relationship Id="rId480" Type="http://schemas.openxmlformats.org/officeDocument/2006/relationships/image" Target="media/image474.png"/><Relationship Id="rId481" Type="http://schemas.openxmlformats.org/officeDocument/2006/relationships/image" Target="media/image475.png"/><Relationship Id="rId482" Type="http://schemas.openxmlformats.org/officeDocument/2006/relationships/hyperlink" Target="http://www.govbooks.com.tw/" TargetMode="External"/><Relationship Id="rId483" Type="http://schemas.openxmlformats.org/officeDocument/2006/relationships/hyperlink" Target="http://www.wunanbooks.com.tw/" TargetMode="External"/><Relationship Id="rId484" Type="http://schemas.openxmlformats.org/officeDocument/2006/relationships/hyperlink" Target="http://www.eslitebooks.com/" TargetMode="External"/><Relationship Id="rId485" Type="http://schemas.openxmlformats.org/officeDocument/2006/relationships/hyperlink" Target="http://www.books.com.tw/" TargetMode="External"/><Relationship Id="rId486" Type="http://schemas.openxmlformats.org/officeDocument/2006/relationships/image" Target="media/image476.png"/><Relationship Id="rId4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s05240039</dc:creator>
  <dcterms:created xsi:type="dcterms:W3CDTF">2026-04-24T06:32:11Z</dcterms:created>
  <dcterms:modified xsi:type="dcterms:W3CDTF">2026-04-24T06:32:11Z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2023-10-31T00:00:00Z</vt:filetime>
  </property>
  <property fmtid="{D5CDD505-2E9C-101B-9397-08002B2CF9AE}" pid="3" name="Creator">
    <vt:lpwstr>Adobe InDesign CS5 (7.0)</vt:lpwstr>
  </property>
  <property fmtid="{D5CDD505-2E9C-101B-9397-08002B2CF9AE}" pid="4" name="LastSaved">
    <vt:filetime>2026-04-24T00:00:00Z</vt:filetime>
  </property>
</Properties>
</file>