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Updated Minutes of Meeting</w:t>
      </w:r>
    </w:p>
    <w:p>
      <w:pPr>
        <w:spacing w:after="260"/>
      </w:pPr>
      <w:r>
        <w:rPr>
          <w:b/>
          <w:bCs/>
          <w:color w:val="2E74B5"/>
          <w:sz w:val="26"/>
          <w:szCs w:val="26"/>
        </w:rPr>
        <w:t xml:space="preserve">searce-ai-strategist — Persona-Level Personalization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Original meeting: </w:t>
            </w:r>
            <w:r>
              <w:rPr>
                <w:sz w:val="22"/>
                <w:szCs w:val="22"/>
              </w:rPr>
              <w:t xml:space="preserve">17 June 2026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This update: </w:t>
            </w:r>
            <w:r>
              <w:rPr>
                <w:sz w:val="22"/>
                <w:szCs w:val="22"/>
              </w:rPr>
              <w:t xml:space="preserve">6 July 2026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Project: </w:t>
            </w:r>
            <w:r>
              <w:rPr>
                <w:sz w:val="22"/>
                <w:szCs w:val="22"/>
              </w:rPr>
              <w:t xml:space="preserve">searce-ai-strategist (marketing content generator)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Prepared by: </w:t>
            </w:r>
            <w:r>
              <w:rPr>
                <w:sz w:val="22"/>
                <w:szCs w:val="22"/>
              </w:rPr>
              <w:t xml:space="preserve">Rushil</w:t>
            </w:r>
          </w:p>
        </w:tc>
      </w:tr>
    </w:tbl>
    <w:p>
      <w:pPr>
        <w:spacing w:after="100" w:before="200"/>
      </w:pP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Why this update</w:t>
      </w:r>
    </w:p>
    <w:p>
      <w:pPr>
        <w:spacing w:after="160" w:line="276"/>
      </w:pPr>
      <w:r>
        <w:rPr>
          <w:sz w:val="22"/>
          <w:szCs w:val="22"/>
        </w:rPr>
        <w:t xml:space="preserve">The 17 June meeting wasn't recorded and notes weren't taken in full at the time, so the original write-up only captured item 1 clearly. This version reconstructs and clarifies items 2 and 3 by going back through the reference material shared after the meeting (the outbound playbook, the persona/title list, and the AI research protocol). Items 2 and 3 turned out to be the same piece of work — both are about </w:t>
      </w:r>
      <w:r>
        <w:rPr>
          <w:b/>
          <w:bCs/>
          <w:sz w:val="22"/>
          <w:szCs w:val="22"/>
        </w:rPr>
        <w:t xml:space="preserve">adding a persona (1:1) level</w:t>
      </w:r>
      <w:r>
        <w:rPr>
          <w:sz w:val="22"/>
          <w:szCs w:val="22"/>
        </w:rPr>
        <w:t xml:space="preserve"> of personalization on top of the account-level generation that already exists — so they're combined below under Item 2.</w:t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Status at a glance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5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(from 17/06 MoM)</w:t>
            </w:r>
          </w:p>
        </w:tc>
        <w:tc>
          <w:tcPr>
            <w:tcW w:type="dxa" w:w="3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Connect the web app (searce-ai-strategist) with HubSpot so generated content is pushed there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7A34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persona-level touch (1:1 personalization to a specific named contact)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Pending — detailed below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more reference data (account level + persona level), per material shared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Pending — folded into Item 2</w:t>
            </w:r>
          </w:p>
        </w:tc>
      </w:tr>
    </w:tbl>
    <w:p>
      <w:pPr>
        <w:spacing w:before="200"/>
      </w:pP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What “persona touch” means</w:t>
      </w:r>
    </w:p>
    <w:p>
      <w:pPr>
        <w:spacing w:after="160" w:line="276"/>
      </w:pPr>
      <w:r>
        <w:rPr>
          <w:sz w:val="22"/>
          <w:szCs w:val="22"/>
        </w:rPr>
        <w:t xml:space="preserve">The app today generates content at the </w:t>
      </w:r>
      <w:r>
        <w:rPr>
          <w:b/>
          <w:bCs/>
          <w:sz w:val="22"/>
          <w:szCs w:val="22"/>
        </w:rPr>
        <w:t xml:space="preserve">account level</w:t>
      </w:r>
      <w:r>
        <w:rPr>
          <w:sz w:val="22"/>
          <w:szCs w:val="22"/>
        </w:rPr>
        <w:t xml:space="preserve">: the config form takes an industry, a category, and a job title, and the AI writes to that role in general. “Persona touch” (Item 2) means going one level deeper — generating content for </w:t>
      </w:r>
      <w:r>
        <w:rPr>
          <w:b/>
          <w:bCs/>
          <w:sz w:val="22"/>
          <w:szCs w:val="22"/>
        </w:rPr>
        <w:t xml:space="preserve">one specific, named person</w:t>
      </w:r>
      <w:r>
        <w:rPr>
          <w:sz w:val="22"/>
          <w:szCs w:val="22"/>
        </w:rPr>
        <w:t xml:space="preserve"> at the target account, personalized using real signals about that person rather than just their title. The table below lines up the two side by side.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6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 Level (built today)</w:t>
            </w:r>
          </w:p>
        </w:tc>
        <w:tc>
          <w:tcPr>
            <w:tcW w:type="dxa" w:w="36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 Level (pending)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Target of the email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role in general — e.g. “VP of IT at a fintech company”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One named individual — e.g. “Frank, VP of IT at SOFIE”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Inputs used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Industry, category, job title (generic config fields)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title, LinkedIn URL, seniority, persona type of one contact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Personalization source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Company-level facts (industry, cloud stack, region)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Person-level signals: their LinkedIn posts, recent moves, quoted priorities, company triggers tied to their role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Opening line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Generic problem statement for the industry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specific hook about that person or their recent context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Cast a wide, consistent first touch across an account</w:t>
            </w:r>
          </w:p>
        </w:tc>
        <w:tc>
          <w:tcPr>
            <w:tcW w:type="dxa" w:w="3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Land a meeting by proving “we did our homework on you”</w:t>
            </w:r>
          </w:p>
        </w:tc>
      </w:tr>
    </w:tbl>
    <w:p>
      <w:pPr>
        <w:spacing w:before="200"/>
      </w:pP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The building blocks of persona-level content</w:t>
      </w:r>
    </w:p>
    <w:p>
      <w:pPr>
        <w:spacing w:after="160" w:line="276"/>
      </w:pPr>
      <w:r>
        <w:rPr>
          <w:sz w:val="22"/>
          <w:szCs w:val="22"/>
        </w:rPr>
        <w:t xml:space="preserve">Based on the outbound playbook shared, persona-level personalization is made up of six pieces: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Persona type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Classify the contact as Champion/Coach, Economic Buyer, Influencer/User, or Blocker — this decides how we pitch them and whether we lead the outreach with them at all.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Entrance path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Decide whether to approach bottoms-up (ICs/managers first), top-down (C-suite first), or middle-out (Directors/VPs first, the recommended default).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Messaging matrix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 that specific role, capture their priorities, how they solve the problem today, what it costs them, and what they want 6–12 months out — this is different per persona, not per industry.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Triggers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Hard evidence (e.g. a job post naming the exact pain) or soft evidence (e.g. an active related initiative) pulled from the person's LinkedIn profile, the company site, company social profiles, third-party news, or inbound activity.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Personalized hook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first line of the email references something true and specific about that person or their recent context, not a generic industry statement.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Sequence design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Senior personas (Director/VP/C-suite) get a high-touch, multi-channel sequence (email + call + LinkedIn) over 3–4 weeks; mid-level personas (Managers) get a lighter, mostly automated email sequence.</w:t>
            </w:r>
          </w:p>
        </w:tc>
      </w:tr>
    </w:tbl>
    <w:p>
      <w:pPr>
        <w:spacing w:before="200"/>
      </w:pP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Worked example (from the playbook)</w:t>
      </w:r>
    </w:p>
    <w:p>
      <w:pPr>
        <w:spacing w:after="160" w:line="276"/>
      </w:pPr>
      <w:r>
        <w:rPr>
          <w:sz w:val="22"/>
          <w:szCs w:val="22"/>
        </w:rPr>
        <w:t xml:space="preserve">Account-level version would open with a generic line like </w:t>
      </w:r>
      <w:r>
        <w:rPr>
          <w:i/>
          <w:iCs/>
          <w:color w:val="595959"/>
          <w:sz w:val="22"/>
          <w:szCs w:val="22"/>
        </w:rPr>
        <w:t xml:space="preserve">“Companies in your industry often struggle with manual, spreadsheet-based processes.”</w:t>
      </w:r>
    </w:p>
    <w:p>
      <w:pPr>
        <w:spacing w:after="160" w:line="276"/>
      </w:pPr>
      <w:r>
        <w:rPr>
          <w:sz w:val="22"/>
          <w:szCs w:val="22"/>
        </w:rPr>
        <w:t xml:space="preserve">Persona-level version opens with: </w:t>
      </w:r>
      <w:r>
        <w:rPr>
          <w:i/>
          <w:iCs/>
          <w:color w:val="595959"/>
          <w:sz w:val="22"/>
          <w:szCs w:val="22"/>
        </w:rPr>
        <w:t xml:space="preserve">“Congrats on the FDA approval to move forward with the FAPI clinical trial”</w:t>
      </w:r>
      <w:r>
        <w:rPr>
          <w:sz w:val="22"/>
          <w:szCs w:val="22"/>
        </w:rPr>
        <w:t xml:space="preserve"> — addressed to a named contact (Frank), referencing a specific, recent, verifiable trigger about him and his company, then tying that trigger to the same underlying problem and case study.</w:t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Updated pending task list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Add a Persona-Level tab to searce-ai-strategist, separate from the existing Account-Level tab — it should capture one named contact (name, title, LinkedIn URL, seniority, persona type) instead of a generic industry/job-title combination.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Extend the AI research step to run person-level research on that named contact (LinkedIn activity, recent quotes, career moves), the same way the app already researches a company — the existing outbound research protocol already does this at the company level and needs a persona-level counterpart.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Build the messaging-matrix logic per persona type (priorities, current solutions, problems, aspirations) so copy changes based on who is being addressed, not just which industry the account is in.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Add trigger detection — surface hard vs. soft triggers for the named contact from LinkedIn, company site, company social, and third-party sources, and let the strategist note cite which trigger drove the angle.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Update the HubSpot mapping so persona-level content is associated with the specific Contact record, distinct from the account/company-level content already syncing (Item 1).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2"/>
          <w:szCs w:val="22"/>
        </w:rPr>
        <w:t xml:space="preserve">Re-confirm Searce's HubSpot plan tier — this determines whether we can use Custom Objects (Enterprise-only) or need the Notes-on-Contact / sas_-prefixed custom-property fallback; this was flagged as an open question during the HubSpot integration work and is still unresolved.</w:t>
      </w:r>
    </w:p>
    <w:p>
      <w:pPr>
        <w:pStyle w:val="Heading1"/>
        <w:spacing w:after="140" w:before="320"/>
      </w:pPr>
      <w:r>
        <w:rPr>
          <w:b/>
          <w:bCs/>
          <w:color w:val="1F3864"/>
        </w:rPr>
        <w:t xml:space="preserve">Reference material used for this write-up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Outbound playbook (“CES 2026” workbook) — Account vs. Persona fit criteria, messaging matrix, trigger sourcing, high-touch/low-touch sequences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Target persona / job-title mapping sheet (Google Sheets)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Final Outbound Research &amp; Personalization Protocol v5.0 (Google Doc) — the AI prompt currently used for account-level company research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sz w:val="22"/>
          <w:szCs w:val="22"/>
        </w:rPr>
        <w:t xml:space="preserve">Prior architecture decisions on the HubSpot integration (Item 1, already completed)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2026-07-06T07:26:47.258Z</dcterms:created>
  <dcterms:modified xsi:type="dcterms:W3CDTF">2026-07-06T07:26:47.258Z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