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8DD20" w14:textId="77777777" w:rsidR="0033084D" w:rsidRDefault="0033084D" w:rsidP="0033084D">
      <w:pPr>
        <w:pStyle w:val="2"/>
        <w:jc w:val="center"/>
      </w:pPr>
      <w:r>
        <w:rPr>
          <w:rFonts w:hint="eastAsia"/>
        </w:rPr>
        <w:t>镇静镇痛试题</w:t>
      </w:r>
    </w:p>
    <w:p w14:paraId="084F4AFE" w14:textId="6853CC3D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 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成绩：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</w:t>
      </w:r>
    </w:p>
    <w:p w14:paraId="5E97F80E" w14:textId="32C9F1D5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1. 下列哪项为第五生命体征（）</w:t>
      </w:r>
    </w:p>
    <w:p w14:paraId="7E1B8E14" w14:textId="51E8F4D2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A体温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B脉搏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C呼吸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D疼痛</w:t>
      </w:r>
    </w:p>
    <w:p w14:paraId="02269133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2. 以下描述正确的是（）</w:t>
      </w:r>
    </w:p>
    <w:p w14:paraId="2332C257" w14:textId="3769E88F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A疼痛有双重含义，痛觉和病理反应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B痛觉是个体的客观体验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C疼痛是机体对有害刺激的适应性反应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D疼痛是人体最强烈的的应对策略之一</w:t>
      </w:r>
    </w:p>
    <w:p w14:paraId="6D563AAD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3. 患者陆某，男，阑尾炎切除术后第一天，主诉伤口疼痛。以0～10数字评分法为例，以下护理措施正确的是（）</w:t>
      </w:r>
    </w:p>
    <w:p w14:paraId="2015EC18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A其疼痛程度≤5分时，护士可选择护理权限范围内的方法止痛，并报告医生</w:t>
      </w:r>
    </w:p>
    <w:p w14:paraId="040F2845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B其疼痛程度≥5分时，护士可选择护理权限范围内的方法止痛，并报告医生</w:t>
      </w:r>
    </w:p>
    <w:p w14:paraId="5488807C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C其疼痛程度≥5分时，护士应报告医生，给予有效止痛药物</w:t>
      </w:r>
    </w:p>
    <w:p w14:paraId="13B5EF57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D其疼痛程度≤6分时，护士可选择护理权限范围内的方法止痛，并报告医生</w:t>
      </w:r>
    </w:p>
    <w:p w14:paraId="45AB8B5C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4. 使用药物止痛，下列哪项是错误的（）</w:t>
      </w:r>
    </w:p>
    <w:p w14:paraId="6BE862AB" w14:textId="645274FB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A、在使用药物前，护士须有药物的基本知识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B、在给予止痛药时，护士应严格掌握剂量和时间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C、在疼痛发生前给药比疼痛发生后给药效果好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D、在病情未确诊前，就开始使用止疼药</w:t>
      </w:r>
    </w:p>
    <w:p w14:paraId="4D1E2D36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5. 数字评分法重度疼痛的分值是多少?（）</w:t>
      </w:r>
    </w:p>
    <w:p w14:paraId="736617F5" w14:textId="2982323E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A5-9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B7-11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C6-8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D7-10</w:t>
      </w:r>
    </w:p>
    <w:p w14:paraId="2EB20B17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6. 丙泊酚起效时间是多少?（）</w:t>
      </w:r>
    </w:p>
    <w:p w14:paraId="487E52A7" w14:textId="451B901B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A1-2分钟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B2-3分钟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C3-4分钟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D4-5分钟</w:t>
      </w:r>
    </w:p>
    <w:p w14:paraId="3135BBBE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7. 同时具有镇静与镇痛作用的药物是（）</w:t>
      </w:r>
    </w:p>
    <w:p w14:paraId="1A832FA6" w14:textId="10877C09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A咪达唑仑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B劳拉西泮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C地西泮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D右美托咪啶</w:t>
      </w:r>
    </w:p>
    <w:p w14:paraId="35C7AD9A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8. 镇痛药物的治疗不包括（）</w:t>
      </w:r>
    </w:p>
    <w:p w14:paraId="349A7EA2" w14:textId="17CF959F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A苯二氮卓类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B阿片类镇痛药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C非阿片类中枢镇痛药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D非甾体抗炎药</w:t>
      </w:r>
    </w:p>
    <w:p w14:paraId="25F8E485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9. 在ICU治疗过程中，对疼痛程度和意识状态的评估是进行镇痛镇静的基础，下列哪项疼痛评估是临床推荐使用的评分方法（）</w:t>
      </w:r>
    </w:p>
    <w:p w14:paraId="4BC17693" w14:textId="64AF407C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A语言评分法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B视觉模拟法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C数字评分法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D面部表情评分法</w:t>
      </w:r>
    </w:p>
    <w:p w14:paraId="57EECE73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10. 下列关于危重病人的镇痛镇静治疗说法不正确的是（）</w:t>
      </w:r>
    </w:p>
    <w:p w14:paraId="7F7304F0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A在充分祛除可逆诱因的前提下，躁动的病人才考虑镇静镇痛</w:t>
      </w:r>
    </w:p>
    <w:p w14:paraId="7A91725B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B为改善机械通气病人的舒适度和人机同步性，可给予镇静镇痛治疗</w:t>
      </w:r>
    </w:p>
    <w:p w14:paraId="38DD00F9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C为提高诊疗和治疗操作的安全性和依从性，可预防性采取镇静镇痛</w:t>
      </w:r>
    </w:p>
    <w:p w14:paraId="117B2A4D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D对焦虑病人应在去除各种诱因的基础上采取镇静镇痛</w:t>
      </w:r>
    </w:p>
    <w:p w14:paraId="3D127748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lastRenderedPageBreak/>
        <w:t>11. 持续输注哪种药物48小时后需要监测患者的血浆三酰甘油浓度（）</w:t>
      </w:r>
    </w:p>
    <w:p w14:paraId="0B19ED5E" w14:textId="045F27D4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A咪达唑仑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B劳拉西泮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C地西泮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D丙泊酚</w:t>
      </w:r>
    </w:p>
    <w:p w14:paraId="7CB3E9AA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12. 下列哪种药物是苯二氮卓类药物的拮抗剂:</w:t>
      </w:r>
    </w:p>
    <w:p w14:paraId="626DC802" w14:textId="62592F7F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A纳洛酮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B氟马西尼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C氟哌啶醇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D氯丙嗪</w:t>
      </w:r>
    </w:p>
    <w:p w14:paraId="289ED456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13. 急性疼痛病人短期镇痛可选用:</w:t>
      </w:r>
    </w:p>
    <w:p w14:paraId="601DD13B" w14:textId="04D1E3F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A曲马多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B吗啡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C芬太尼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D舒芬太尼</w:t>
      </w:r>
    </w:p>
    <w:p w14:paraId="72F0A0D1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14. 下列哪项不属于过度镇静的不良反应</w:t>
      </w:r>
    </w:p>
    <w:p w14:paraId="23904A65" w14:textId="03DA4B7D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A高血压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B昏迷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C肾功能不全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D深静脉血栓形成</w:t>
      </w:r>
    </w:p>
    <w:p w14:paraId="7182C6A0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15. 预防谵妄的非药物方法不包括</w:t>
      </w:r>
    </w:p>
    <w:p w14:paraId="748EBEE8" w14:textId="58CC3283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A.改善认知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B.早期活动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C.早期约束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D.改善睡眠</w:t>
      </w:r>
    </w:p>
    <w:p w14:paraId="233ECA09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16. 轻度ARDS镇痛镇静策略目的为（）</w:t>
      </w:r>
    </w:p>
    <w:p w14:paraId="3316C5EC" w14:textId="636CEBAF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A.保护自主呼吸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B.避免非计划性拔管发生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C.肺保护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D.使患者处于浅镇静状态</w:t>
      </w:r>
    </w:p>
    <w:p w14:paraId="0BB3BFBC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17. 数字评分法重度疼痛的分值是多少?（）</w:t>
      </w:r>
    </w:p>
    <w:p w14:paraId="733D1174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A5-9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B7-10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C6-11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D7-10</w:t>
      </w:r>
      <w:r w:rsidRPr="0033084D">
        <w:rPr>
          <w:rFonts w:ascii="宋体" w:eastAsia="宋体" w:hAnsi="宋体"/>
          <w:sz w:val="24"/>
          <w:szCs w:val="24"/>
        </w:rPr>
        <w:tab/>
      </w:r>
    </w:p>
    <w:p w14:paraId="01E581E1" w14:textId="2D821A70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18. 根据描述性疼痛分级法，疼痛明显不能忍受，要求服用止痛药睡眠受干扰，属于几度?</w:t>
      </w:r>
    </w:p>
    <w:p w14:paraId="787E4A76" w14:textId="47F64A7B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A2级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B3级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C4级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D0级</w:t>
      </w:r>
    </w:p>
    <w:p w14:paraId="1FFB8E26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19. 丙泊酚代谢途径?（）</w:t>
      </w:r>
    </w:p>
    <w:p w14:paraId="4CD32D14" w14:textId="1AD7CF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A肾脏代谢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B肝脏代谢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C肝肾代谢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D肠道循环代谢</w:t>
      </w:r>
    </w:p>
    <w:p w14:paraId="5C752930" w14:textId="77777777" w:rsidR="0033084D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20. 对手术后较大创伤后的病人镇静评分应在多少分?（）</w:t>
      </w:r>
    </w:p>
    <w:p w14:paraId="5C39CE97" w14:textId="32393742" w:rsidR="00E51817" w:rsidRPr="0033084D" w:rsidRDefault="0033084D" w:rsidP="0033084D">
      <w:pPr>
        <w:spacing w:line="300" w:lineRule="auto"/>
        <w:rPr>
          <w:rFonts w:ascii="宋体" w:eastAsia="宋体" w:hAnsi="宋体"/>
          <w:sz w:val="24"/>
          <w:szCs w:val="24"/>
        </w:rPr>
      </w:pPr>
      <w:r w:rsidRPr="0033084D">
        <w:rPr>
          <w:rFonts w:ascii="宋体" w:eastAsia="宋体" w:hAnsi="宋体"/>
          <w:sz w:val="24"/>
          <w:szCs w:val="24"/>
        </w:rPr>
        <w:t>A2-3分</w:t>
      </w:r>
      <w:r w:rsidRPr="0033084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 w:rsidRPr="0033084D">
        <w:rPr>
          <w:rFonts w:ascii="宋体" w:eastAsia="宋体" w:hAnsi="宋体"/>
          <w:sz w:val="24"/>
          <w:szCs w:val="24"/>
        </w:rPr>
        <w:t>B3-4分</w:t>
      </w:r>
      <w:r w:rsidRPr="0033084D">
        <w:rPr>
          <w:rFonts w:ascii="宋体" w:eastAsia="宋体" w:hAnsi="宋体"/>
          <w:sz w:val="24"/>
          <w:szCs w:val="24"/>
        </w:rPr>
        <w:tab/>
      </w:r>
      <w:r w:rsidRPr="0033084D">
        <w:rPr>
          <w:rFonts w:ascii="宋体" w:eastAsia="宋体" w:hAnsi="宋体"/>
          <w:sz w:val="24"/>
          <w:szCs w:val="24"/>
        </w:rPr>
        <w:t>C5-6分</w:t>
      </w:r>
      <w:r w:rsidRPr="0033084D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 w:rsidRPr="0033084D">
        <w:rPr>
          <w:rFonts w:ascii="宋体" w:eastAsia="宋体" w:hAnsi="宋体"/>
          <w:sz w:val="24"/>
          <w:szCs w:val="24"/>
        </w:rPr>
        <w:t>D1-2分</w:t>
      </w:r>
    </w:p>
    <w:sectPr w:rsidR="00E51817" w:rsidRPr="00330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D"/>
    <w:rsid w:val="0033084D"/>
    <w:rsid w:val="00E5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7DC9"/>
  <w15:chartTrackingRefBased/>
  <w15:docId w15:val="{798FF701-58A8-4DE3-BBE1-6895BC55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08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08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zhiqiang</dc:creator>
  <cp:keywords/>
  <dc:description/>
  <cp:lastModifiedBy>guo zhiqiang</cp:lastModifiedBy>
  <cp:revision>1</cp:revision>
  <dcterms:created xsi:type="dcterms:W3CDTF">2021-07-13T08:22:00Z</dcterms:created>
  <dcterms:modified xsi:type="dcterms:W3CDTF">2021-07-13T08:25:00Z</dcterms:modified>
</cp:coreProperties>
</file>