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Code of Conduct and Acceptable Use Policy</w:t>
      </w:r>
    </w:p>
    <w:p>
      <w:r>
        <w:rPr>
          <w:b/>
          <w:i w:val="0"/>
          <w:color w:val="0E2A35"/>
        </w:rPr>
        <w:t>[Company Name]</w:t>
      </w:r>
      <w:r>
        <w:rPr>
          <w:b w:val="0"/>
          <w:i w:val="0"/>
          <w:color w:val="5C6F78"/>
        </w:rPr>
        <w:t xml:space="preserve">  ·  P-02</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P-02</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Code of Conduct and Acceptable Use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HR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CC1.1, CC1.5, CC2.2 · ISO 27001:2022: A.5.10, A.6.2, A.6.4, A.8.1</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GOV-04</w:t>
            </w:r>
          </w:p>
        </w:tc>
      </w:tr>
    </w:tbl>
    <w:p/>
    <w:p>
      <w:pPr>
        <w:pStyle w:val="Heading1"/>
      </w:pPr>
      <w:r>
        <w:t>1. Purpose</w:t>
      </w:r>
    </w:p>
    <w:p>
      <w:r>
        <w:t>To set the standards of ethical behavior and the acceptable use of [Company Name] information, systems and equipment.</w:t>
      </w:r>
    </w:p>
    <w:p>
      <w:pPr>
        <w:pStyle w:val="Heading1"/>
      </w:pPr>
      <w:r>
        <w:t>2. Scope and applicability</w:t>
      </w:r>
    </w:p>
    <w:p>
      <w:r>
        <w:t>All personnel, on company and (where permitted) personal devices, in the office and when working remotely.</w:t>
      </w:r>
    </w:p>
    <w:p>
      <w:pPr>
        <w:pStyle w:val="Heading1"/>
      </w:pPr>
      <w:r>
        <w:t>3. Code of conduct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Personnel act honestly, respect confidentiality and avoid conflicts of interest, and disclose any potential conflict to [role].</w:t>
            </w:r>
          </w:p>
        </w:tc>
        <w:tc>
          <w:tcPr>
            <w:tcW w:type="dxa" w:w="3231"/>
          </w:tcPr>
          <w:p>
            <w:pPr>
              <w:spacing w:after="40"/>
            </w:pPr>
            <w:r/>
            <w:r>
              <w:rPr>
                <w:b w:val="0"/>
                <w:i w:val="0"/>
                <w:sz w:val="20"/>
              </w:rPr>
              <w:t>Conflict-of-interest disclosures</w:t>
            </w:r>
          </w:p>
        </w:tc>
      </w:tr>
      <w:tr>
        <w:tc>
          <w:tcPr>
            <w:tcW w:type="dxa" w:w="737"/>
          </w:tcPr>
          <w:p>
            <w:pPr>
              <w:spacing w:after="40"/>
            </w:pPr>
            <w:r/>
            <w:r>
              <w:rPr>
                <w:b w:val="0"/>
                <w:i w:val="0"/>
                <w:sz w:val="20"/>
              </w:rPr>
              <w:t>3.2</w:t>
            </w:r>
          </w:p>
        </w:tc>
        <w:tc>
          <w:tcPr>
            <w:tcW w:type="dxa" w:w="5443"/>
          </w:tcPr>
          <w:p>
            <w:pPr>
              <w:spacing w:after="40"/>
            </w:pPr>
            <w:r/>
            <w:r>
              <w:rPr>
                <w:b w:val="0"/>
                <w:i w:val="0"/>
                <w:sz w:val="20"/>
              </w:rPr>
              <w:t>Concerns can be raised confidentially through [channel], and retaliation against anyone who raises a concern in good faith is not tolerated.</w:t>
            </w:r>
          </w:p>
        </w:tc>
        <w:tc>
          <w:tcPr>
            <w:tcW w:type="dxa" w:w="3231"/>
          </w:tcPr>
          <w:p>
            <w:pPr>
              <w:spacing w:after="40"/>
            </w:pPr>
            <w:r/>
            <w:r>
              <w:rPr>
                <w:b w:val="0"/>
                <w:i w:val="0"/>
                <w:sz w:val="20"/>
              </w:rPr>
              <w:t>Whistleblower channel description; case log</w:t>
            </w:r>
          </w:p>
        </w:tc>
      </w:tr>
      <w:tr>
        <w:tc>
          <w:tcPr>
            <w:tcW w:type="dxa" w:w="737"/>
          </w:tcPr>
          <w:p>
            <w:pPr>
              <w:spacing w:after="40"/>
            </w:pPr>
            <w:r/>
            <w:r>
              <w:rPr>
                <w:b w:val="0"/>
                <w:i w:val="0"/>
                <w:sz w:val="20"/>
              </w:rPr>
              <w:t>3.3</w:t>
            </w:r>
          </w:p>
        </w:tc>
        <w:tc>
          <w:tcPr>
            <w:tcW w:type="dxa" w:w="5443"/>
          </w:tcPr>
          <w:p>
            <w:pPr>
              <w:spacing w:after="40"/>
            </w:pPr>
            <w:r/>
            <w:r>
              <w:rPr>
                <w:b w:val="0"/>
                <w:i w:val="0"/>
                <w:sz w:val="20"/>
              </w:rPr>
              <w:t>Personnel read and sign the code of conduct at hire and annually.</w:t>
            </w:r>
          </w:p>
        </w:tc>
        <w:tc>
          <w:tcPr>
            <w:tcW w:type="dxa" w:w="3231"/>
          </w:tcPr>
          <w:p>
            <w:pPr>
              <w:spacing w:after="40"/>
            </w:pPr>
            <w:r/>
            <w:r>
              <w:rPr>
                <w:b w:val="0"/>
                <w:i w:val="0"/>
                <w:sz w:val="20"/>
              </w:rPr>
              <w:t>Acknowledgment records</w:t>
            </w:r>
          </w:p>
        </w:tc>
      </w:tr>
    </w:tbl>
    <w:p/>
    <w:p>
      <w:pPr>
        <w:pStyle w:val="Heading1"/>
      </w:pPr>
      <w:r>
        <w:t>4. Acceptable use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Company systems and data are used for business purposes; limited personal use is allowed where it does not create risk.</w:t>
            </w:r>
          </w:p>
        </w:tc>
        <w:tc>
          <w:tcPr>
            <w:tcW w:type="dxa" w:w="3231"/>
          </w:tcPr>
          <w:p>
            <w:pPr>
              <w:spacing w:after="40"/>
            </w:pPr>
            <w:r/>
            <w:r>
              <w:rPr>
                <w:b w:val="0"/>
                <w:i w:val="0"/>
                <w:sz w:val="20"/>
              </w:rPr>
              <w:t>Policy text; sample of monitoring alerts</w:t>
            </w:r>
          </w:p>
        </w:tc>
      </w:tr>
      <w:tr>
        <w:tc>
          <w:tcPr>
            <w:tcW w:type="dxa" w:w="737"/>
          </w:tcPr>
          <w:p>
            <w:pPr>
              <w:spacing w:after="40"/>
            </w:pPr>
            <w:r/>
            <w:r>
              <w:rPr>
                <w:b w:val="0"/>
                <w:i w:val="0"/>
                <w:sz w:val="20"/>
              </w:rPr>
              <w:t>4.2</w:t>
            </w:r>
          </w:p>
        </w:tc>
        <w:tc>
          <w:tcPr>
            <w:tcW w:type="dxa" w:w="5443"/>
          </w:tcPr>
          <w:p>
            <w:pPr>
              <w:spacing w:after="40"/>
            </w:pPr>
            <w:r/>
            <w:r>
              <w:rPr>
                <w:b w:val="0"/>
                <w:i w:val="0"/>
                <w:sz w:val="20"/>
              </w:rPr>
              <w:t>Personnel must not share credentials, bypass security controls or install unapproved software on company devices.</w:t>
            </w:r>
          </w:p>
        </w:tc>
        <w:tc>
          <w:tcPr>
            <w:tcW w:type="dxa" w:w="3231"/>
          </w:tcPr>
          <w:p>
            <w:pPr>
              <w:spacing w:after="40"/>
            </w:pPr>
            <w:r/>
            <w:r>
              <w:rPr>
                <w:b w:val="0"/>
                <w:i w:val="0"/>
                <w:sz w:val="20"/>
              </w:rPr>
              <w:t>Endpoint management configuration</w:t>
            </w:r>
          </w:p>
        </w:tc>
      </w:tr>
      <w:tr>
        <w:tc>
          <w:tcPr>
            <w:tcW w:type="dxa" w:w="737"/>
          </w:tcPr>
          <w:p>
            <w:pPr>
              <w:spacing w:after="40"/>
            </w:pPr>
            <w:r/>
            <w:r>
              <w:rPr>
                <w:b w:val="0"/>
                <w:i w:val="0"/>
                <w:sz w:val="20"/>
              </w:rPr>
              <w:t>4.3</w:t>
            </w:r>
          </w:p>
        </w:tc>
        <w:tc>
          <w:tcPr>
            <w:tcW w:type="dxa" w:w="5443"/>
          </w:tcPr>
          <w:p>
            <w:pPr>
              <w:spacing w:after="40"/>
            </w:pPr>
            <w:r/>
            <w:r>
              <w:rPr>
                <w:b w:val="0"/>
                <w:i w:val="0"/>
                <w:sz w:val="20"/>
              </w:rPr>
              <w:t>Company data is stored and shared only in approved systems.</w:t>
            </w:r>
          </w:p>
        </w:tc>
        <w:tc>
          <w:tcPr>
            <w:tcW w:type="dxa" w:w="3231"/>
          </w:tcPr>
          <w:p>
            <w:pPr>
              <w:spacing w:after="40"/>
            </w:pPr>
            <w:r/>
            <w:r>
              <w:rPr>
                <w:b w:val="0"/>
                <w:i w:val="0"/>
                <w:sz w:val="20"/>
              </w:rPr>
              <w:t>Approved systems list</w:t>
            </w:r>
          </w:p>
        </w:tc>
      </w:tr>
      <w:tr>
        <w:tc>
          <w:tcPr>
            <w:tcW w:type="dxa" w:w="737"/>
          </w:tcPr>
          <w:p>
            <w:pPr>
              <w:spacing w:after="40"/>
            </w:pPr>
            <w:r/>
            <w:r>
              <w:rPr>
                <w:b w:val="0"/>
                <w:i w:val="0"/>
                <w:sz w:val="20"/>
              </w:rPr>
              <w:t>4.4</w:t>
            </w:r>
          </w:p>
        </w:tc>
        <w:tc>
          <w:tcPr>
            <w:tcW w:type="dxa" w:w="5443"/>
          </w:tcPr>
          <w:p>
            <w:pPr>
              <w:spacing w:after="40"/>
            </w:pPr>
            <w:r/>
            <w:r>
              <w:rPr>
                <w:b w:val="0"/>
                <w:i w:val="0"/>
                <w:sz w:val="20"/>
              </w:rPr>
              <w:t>Personnel report lost devices, suspected phishing and other incidents immediately via [channel].</w:t>
            </w:r>
          </w:p>
        </w:tc>
        <w:tc>
          <w:tcPr>
            <w:tcW w:type="dxa" w:w="3231"/>
          </w:tcPr>
          <w:p>
            <w:pPr>
              <w:spacing w:after="40"/>
            </w:pPr>
            <w:r/>
            <w:r>
              <w:rPr>
                <w:b w:val="0"/>
                <w:i w:val="0"/>
                <w:sz w:val="20"/>
              </w:rPr>
              <w:t>Incident tickets</w:t>
            </w:r>
          </w:p>
        </w:tc>
      </w:tr>
    </w:tbl>
    <w:p/>
    <w:p>
      <w:pPr>
        <w:pStyle w:val="Heading1"/>
      </w:pPr>
      <w:r>
        <w:t>5. Remote work</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Remote work uses company-managed or approved devices, current software, a secured network and a locked screen when unattended.</w:t>
            </w:r>
          </w:p>
        </w:tc>
        <w:tc>
          <w:tcPr>
            <w:tcW w:type="dxa" w:w="3231"/>
          </w:tcPr>
          <w:p>
            <w:pPr>
              <w:spacing w:after="40"/>
            </w:pPr>
            <w:r/>
            <w:r>
              <w:rPr>
                <w:b w:val="0"/>
                <w:i w:val="0"/>
                <w:sz w:val="20"/>
              </w:rPr>
              <w:t>Device compliance report</w:t>
            </w:r>
          </w:p>
        </w:tc>
      </w:tr>
    </w:tbl>
    <w:p/>
    <w:p>
      <w:pPr>
        <w:pStyle w:val="Heading1"/>
      </w:pPr>
      <w:r>
        <w:t>6. Discipline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Violations are handled under the disciplinary process, proportionate to the severity and consistently applied.</w:t>
            </w:r>
          </w:p>
        </w:tc>
        <w:tc>
          <w:tcPr>
            <w:tcW w:type="dxa" w:w="3231"/>
          </w:tcPr>
          <w:p>
            <w:pPr>
              <w:spacing w:after="40"/>
            </w:pPr>
            <w:r/>
            <w:r>
              <w:rPr>
                <w:b w:val="0"/>
                <w:i w:val="0"/>
                <w:sz w:val="20"/>
              </w:rPr>
              <w:t>Disciplinary case log</w:t>
            </w:r>
          </w:p>
        </w:tc>
      </w:tr>
    </w:tbl>
    <w:p/>
    <w:p>
      <w:pPr>
        <w:pStyle w:val="Heading1"/>
      </w:pPr>
      <w:r>
        <w:t>7.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HR lead</w:t>
            </w:r>
          </w:p>
        </w:tc>
        <w:tc>
          <w:tcPr>
            <w:tcW w:type="dxa" w:w="6803"/>
          </w:tcPr>
          <w:p>
            <w:pPr>
              <w:spacing w:after="40"/>
            </w:pPr>
            <w:r/>
            <w:r>
              <w:rPr>
                <w:b w:val="0"/>
                <w:i w:val="0"/>
                <w:sz w:val="20"/>
              </w:rPr>
              <w:t>Owns the code and the disciplinary process</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the acceptable use rules and monitoring</w:t>
            </w:r>
          </w:p>
        </w:tc>
      </w:tr>
      <w:tr>
        <w:tc>
          <w:tcPr>
            <w:tcW w:type="dxa" w:w="2608"/>
          </w:tcPr>
          <w:p>
            <w:pPr>
              <w:spacing w:after="40"/>
            </w:pPr>
            <w:r/>
            <w:r>
              <w:rPr>
                <w:b w:val="0"/>
                <w:i w:val="0"/>
                <w:sz w:val="20"/>
              </w:rPr>
              <w:t>All personnel</w:t>
            </w:r>
          </w:p>
        </w:tc>
        <w:tc>
          <w:tcPr>
            <w:tcW w:type="dxa" w:w="6803"/>
          </w:tcPr>
          <w:p>
            <w:pPr>
              <w:spacing w:after="40"/>
            </w:pPr>
            <w:r/>
            <w:r>
              <w:rPr>
                <w:b w:val="0"/>
                <w:i w:val="0"/>
                <w:sz w:val="20"/>
              </w:rPr>
              <w:t>Follow the code and report concerns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Human Resources Security Policy; Asset Management and Data Classification Policy; AI Acceptable Use and Governance Policy</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P-02  ·  Code of Conduct and Acceptable Use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 and Acceptable Use Policy</dc:title>
  <dc:subject>P-02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