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Asset Management and Data Classification Policy</w:t>
      </w:r>
    </w:p>
    <w:p>
      <w:r>
        <w:rPr>
          <w:b/>
          <w:i w:val="0"/>
          <w:color w:val="0E2A35"/>
        </w:rPr>
        <w:t>[Company Name]</w:t>
      </w:r>
      <w:r>
        <w:rPr>
          <w:b w:val="0"/>
          <w:i w:val="0"/>
          <w:color w:val="5C6F78"/>
        </w:rPr>
        <w:t xml:space="preserve">  ·  P-04</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P-04</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Asset Management and Data Classification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IT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CC2.1, CC6.1, CC6.5, C1.1, C1.2 · ISO 27001:2022: A.5.9-A.5.14, A.5.33, A.7.10, A.7.14, A.8.10</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AST-01 to AST-03, DAT-01 to DAT-03</w:t>
            </w:r>
          </w:p>
        </w:tc>
      </w:tr>
    </w:tbl>
    <w:p/>
    <w:p>
      <w:pPr>
        <w:pStyle w:val="Heading1"/>
      </w:pPr>
      <w:r>
        <w:t>1. Purpose</w:t>
      </w:r>
    </w:p>
    <w:p>
      <w:r>
        <w:t>To know what information and assets [Company Name] has, classify information by sensitivity, and handle, retain and dispose of it appropriately.</w:t>
      </w:r>
    </w:p>
    <w:p>
      <w:pPr>
        <w:pStyle w:val="Heading1"/>
      </w:pPr>
      <w:r>
        <w:t>2. Scope and applicability</w:t>
      </w:r>
    </w:p>
    <w:p>
      <w:r>
        <w:t>All information assets, hardware, software, cloud services and data in any form or location.</w:t>
      </w:r>
    </w:p>
    <w:p>
      <w:pPr>
        <w:pStyle w:val="Heading1"/>
      </w:pPr>
      <w:r>
        <w:t>3. Asset management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An inventory of systems, devices and cloud services is maintained with an owner for each asset and reviewed at least [quarterly].</w:t>
            </w:r>
          </w:p>
        </w:tc>
        <w:tc>
          <w:tcPr>
            <w:tcW w:type="dxa" w:w="3231"/>
          </w:tcPr>
          <w:p>
            <w:pPr>
              <w:spacing w:after="40"/>
            </w:pPr>
            <w:r/>
            <w:r>
              <w:rPr>
                <w:b w:val="0"/>
                <w:i w:val="0"/>
                <w:sz w:val="20"/>
              </w:rPr>
              <w:t>Inventory export with review dates</w:t>
            </w:r>
          </w:p>
        </w:tc>
      </w:tr>
      <w:tr>
        <w:tc>
          <w:tcPr>
            <w:tcW w:type="dxa" w:w="737"/>
          </w:tcPr>
          <w:p>
            <w:pPr>
              <w:spacing w:after="40"/>
            </w:pPr>
            <w:r/>
            <w:r>
              <w:rPr>
                <w:b w:val="0"/>
                <w:i w:val="0"/>
                <w:sz w:val="20"/>
              </w:rPr>
              <w:t>3.2</w:t>
            </w:r>
          </w:p>
        </w:tc>
        <w:tc>
          <w:tcPr>
            <w:tcW w:type="dxa" w:w="5443"/>
          </w:tcPr>
          <w:p>
            <w:pPr>
              <w:spacing w:after="40"/>
            </w:pPr>
            <w:r/>
            <w:r>
              <w:rPr>
                <w:b w:val="0"/>
                <w:i w:val="0"/>
                <w:sz w:val="20"/>
              </w:rPr>
              <w:t>Assets are returned or wiped before reuse or disposal.</w:t>
            </w:r>
          </w:p>
        </w:tc>
        <w:tc>
          <w:tcPr>
            <w:tcW w:type="dxa" w:w="3231"/>
          </w:tcPr>
          <w:p>
            <w:pPr>
              <w:spacing w:after="40"/>
            </w:pPr>
            <w:r/>
            <w:r>
              <w:rPr>
                <w:b w:val="0"/>
                <w:i w:val="0"/>
                <w:sz w:val="20"/>
              </w:rPr>
              <w:t>Wipe or disposal certificates</w:t>
            </w:r>
          </w:p>
        </w:tc>
      </w:tr>
    </w:tbl>
    <w:p/>
    <w:p>
      <w:pPr>
        <w:pStyle w:val="Heading1"/>
      </w:pPr>
      <w:r>
        <w:t>4. Data classification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Information is classified as [Public, Internal, Confidential, Restricted] according to the Data Classification and Handling Standard.</w:t>
            </w:r>
          </w:p>
        </w:tc>
        <w:tc>
          <w:tcPr>
            <w:tcW w:type="dxa" w:w="3231"/>
          </w:tcPr>
          <w:p>
            <w:pPr>
              <w:spacing w:after="40"/>
            </w:pPr>
            <w:r/>
            <w:r>
              <w:rPr>
                <w:b w:val="0"/>
                <w:i w:val="0"/>
                <w:sz w:val="20"/>
              </w:rPr>
              <w:t>Classification scheme; sample labeled documents</w:t>
            </w:r>
          </w:p>
        </w:tc>
      </w:tr>
      <w:tr>
        <w:tc>
          <w:tcPr>
            <w:tcW w:type="dxa" w:w="737"/>
          </w:tcPr>
          <w:p>
            <w:pPr>
              <w:spacing w:after="40"/>
            </w:pPr>
            <w:r/>
            <w:r>
              <w:rPr>
                <w:b w:val="0"/>
                <w:i w:val="0"/>
                <w:sz w:val="20"/>
              </w:rPr>
              <w:t>4.2</w:t>
            </w:r>
          </w:p>
        </w:tc>
        <w:tc>
          <w:tcPr>
            <w:tcW w:type="dxa" w:w="5443"/>
          </w:tcPr>
          <w:p>
            <w:pPr>
              <w:spacing w:after="40"/>
            </w:pPr>
            <w:r/>
            <w:r>
              <w:rPr>
                <w:b w:val="0"/>
                <w:i w:val="0"/>
                <w:sz w:val="20"/>
              </w:rPr>
              <w:t>Information has an owner who decides its classification and who may access it.</w:t>
            </w:r>
          </w:p>
        </w:tc>
        <w:tc>
          <w:tcPr>
            <w:tcW w:type="dxa" w:w="3231"/>
          </w:tcPr>
          <w:p>
            <w:pPr>
              <w:spacing w:after="40"/>
            </w:pPr>
            <w:r/>
            <w:r>
              <w:rPr>
                <w:b w:val="0"/>
                <w:i w:val="0"/>
                <w:sz w:val="20"/>
              </w:rPr>
              <w:t>Data inventory with owners</w:t>
            </w:r>
          </w:p>
        </w:tc>
      </w:tr>
    </w:tbl>
    <w:p/>
    <w:p>
      <w:pPr>
        <w:pStyle w:val="Heading1"/>
      </w:pPr>
      <w:r>
        <w:t>5. Handling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Each classification level has rules for storage, sharing and transmission, and personnel follow them.</w:t>
            </w:r>
          </w:p>
        </w:tc>
        <w:tc>
          <w:tcPr>
            <w:tcW w:type="dxa" w:w="3231"/>
          </w:tcPr>
          <w:p>
            <w:pPr>
              <w:spacing w:after="40"/>
            </w:pPr>
            <w:r/>
            <w:r>
              <w:rPr>
                <w:b w:val="0"/>
                <w:i w:val="0"/>
                <w:sz w:val="20"/>
              </w:rPr>
              <w:t>Handling standard; DLP or sharing settings</w:t>
            </w:r>
          </w:p>
        </w:tc>
      </w:tr>
      <w:tr>
        <w:tc>
          <w:tcPr>
            <w:tcW w:type="dxa" w:w="737"/>
          </w:tcPr>
          <w:p>
            <w:pPr>
              <w:spacing w:after="40"/>
            </w:pPr>
            <w:r/>
            <w:r>
              <w:rPr>
                <w:b w:val="0"/>
                <w:i w:val="0"/>
                <w:sz w:val="20"/>
              </w:rPr>
              <w:t>5.2</w:t>
            </w:r>
          </w:p>
        </w:tc>
        <w:tc>
          <w:tcPr>
            <w:tcW w:type="dxa" w:w="5443"/>
          </w:tcPr>
          <w:p>
            <w:pPr>
              <w:spacing w:after="40"/>
            </w:pPr>
            <w:r/>
            <w:r>
              <w:rPr>
                <w:b w:val="0"/>
                <w:i w:val="0"/>
                <w:sz w:val="20"/>
              </w:rPr>
              <w:t>Customer data is used only for the purposes agreed in the contract.</w:t>
            </w:r>
          </w:p>
        </w:tc>
        <w:tc>
          <w:tcPr>
            <w:tcW w:type="dxa" w:w="3231"/>
          </w:tcPr>
          <w:p>
            <w:pPr>
              <w:spacing w:after="40"/>
            </w:pPr>
            <w:r/>
            <w:r>
              <w:rPr>
                <w:b w:val="0"/>
                <w:i w:val="0"/>
                <w:sz w:val="20"/>
              </w:rPr>
              <w:t>Contract and data flow review</w:t>
            </w:r>
          </w:p>
        </w:tc>
      </w:tr>
    </w:tbl>
    <w:p/>
    <w:p>
      <w:pPr>
        <w:pStyle w:val="Heading1"/>
      </w:pPr>
      <w:r>
        <w:t>6. Retention and disposal</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Data is retained only as long as the Data Retention Schedule requires and is securely deleted afterwards.</w:t>
            </w:r>
          </w:p>
        </w:tc>
        <w:tc>
          <w:tcPr>
            <w:tcW w:type="dxa" w:w="3231"/>
          </w:tcPr>
          <w:p>
            <w:pPr>
              <w:spacing w:after="40"/>
            </w:pPr>
            <w:r/>
            <w:r>
              <w:rPr>
                <w:b w:val="0"/>
                <w:i w:val="0"/>
                <w:sz w:val="20"/>
              </w:rPr>
              <w:t>Retention schedule; deletion logs</w:t>
            </w:r>
          </w:p>
        </w:tc>
      </w:tr>
      <w:tr>
        <w:tc>
          <w:tcPr>
            <w:tcW w:type="dxa" w:w="737"/>
          </w:tcPr>
          <w:p>
            <w:pPr>
              <w:spacing w:after="40"/>
            </w:pPr>
            <w:r/>
            <w:r>
              <w:rPr>
                <w:b w:val="0"/>
                <w:i w:val="0"/>
                <w:sz w:val="20"/>
              </w:rPr>
              <w:t>6.2</w:t>
            </w:r>
          </w:p>
        </w:tc>
        <w:tc>
          <w:tcPr>
            <w:tcW w:type="dxa" w:w="5443"/>
          </w:tcPr>
          <w:p>
            <w:pPr>
              <w:spacing w:after="40"/>
            </w:pPr>
            <w:r/>
            <w:r>
              <w:rPr>
                <w:b w:val="0"/>
                <w:i w:val="0"/>
                <w:sz w:val="20"/>
              </w:rPr>
              <w:t>Customer data is returned or deleted at contract end within [days] and confirmed on request.</w:t>
            </w:r>
          </w:p>
        </w:tc>
        <w:tc>
          <w:tcPr>
            <w:tcW w:type="dxa" w:w="3231"/>
          </w:tcPr>
          <w:p>
            <w:pPr>
              <w:spacing w:after="40"/>
            </w:pPr>
            <w:r/>
            <w:r>
              <w:rPr>
                <w:b w:val="0"/>
                <w:i w:val="0"/>
                <w:sz w:val="20"/>
              </w:rPr>
              <w:t>Offboarding records</w:t>
            </w:r>
          </w:p>
        </w:tc>
      </w:tr>
    </w:tbl>
    <w:p/>
    <w:p>
      <w:pPr>
        <w:pStyle w:val="Heading1"/>
      </w:pPr>
      <w:r>
        <w:t>7.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IT lead</w:t>
            </w:r>
          </w:p>
        </w:tc>
        <w:tc>
          <w:tcPr>
            <w:tcW w:type="dxa" w:w="6803"/>
          </w:tcPr>
          <w:p>
            <w:pPr>
              <w:spacing w:after="40"/>
            </w:pPr>
            <w:r/>
            <w:r>
              <w:rPr>
                <w:b w:val="0"/>
                <w:i w:val="0"/>
                <w:sz w:val="20"/>
              </w:rPr>
              <w:t>Maintains the asset inventory and disposal process</w:t>
            </w:r>
          </w:p>
        </w:tc>
      </w:tr>
      <w:tr>
        <w:tc>
          <w:tcPr>
            <w:tcW w:type="dxa" w:w="2608"/>
          </w:tcPr>
          <w:p>
            <w:pPr>
              <w:spacing w:after="40"/>
            </w:pPr>
            <w:r/>
            <w:r>
              <w:rPr>
                <w:b w:val="0"/>
                <w:i w:val="0"/>
                <w:sz w:val="20"/>
              </w:rPr>
              <w:t>Data owners</w:t>
            </w:r>
          </w:p>
        </w:tc>
        <w:tc>
          <w:tcPr>
            <w:tcW w:type="dxa" w:w="6803"/>
          </w:tcPr>
          <w:p>
            <w:pPr>
              <w:spacing w:after="40"/>
            </w:pPr>
            <w:r/>
            <w:r>
              <w:rPr>
                <w:b w:val="0"/>
                <w:i w:val="0"/>
                <w:sz w:val="20"/>
              </w:rPr>
              <w:t>Classify data and approve access</w:t>
            </w:r>
          </w:p>
        </w:tc>
      </w:tr>
      <w:tr>
        <w:tc>
          <w:tcPr>
            <w:tcW w:type="dxa" w:w="2608"/>
          </w:tcPr>
          <w:p>
            <w:pPr>
              <w:spacing w:after="40"/>
            </w:pPr>
            <w:r/>
            <w:r>
              <w:rPr>
                <w:b w:val="0"/>
                <w:i w:val="0"/>
                <w:sz w:val="20"/>
              </w:rPr>
              <w:t>Legal lead</w:t>
            </w:r>
          </w:p>
        </w:tc>
        <w:tc>
          <w:tcPr>
            <w:tcW w:type="dxa" w:w="6803"/>
          </w:tcPr>
          <w:p>
            <w:pPr>
              <w:spacing w:after="40"/>
            </w:pPr>
            <w:r/>
            <w:r>
              <w:rPr>
                <w:b w:val="0"/>
                <w:i w:val="0"/>
                <w:sz w:val="20"/>
              </w:rPr>
              <w:t>Sets retention requirements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Data Classification and Handling Standard; Data Retention Schedule; Asset Inventory Procedure; Media and Data Disposal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P-04  ·  Asset Management and Data Classification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Management and Data Classification Policy</dc:title>
  <dc:subject>P-04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