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F8B8D"/>
          <w:sz w:val="18"/>
        </w:rPr>
        <w:t>POLICY TEMPLATE</w:t>
      </w:r>
    </w:p>
    <w:p>
      <w:pPr>
        <w:pStyle w:val="Title"/>
      </w:pPr>
      <w:r>
        <w:t>Secure Development and Change Management Policy</w:t>
      </w:r>
    </w:p>
    <w:p>
      <w:r>
        <w:rPr>
          <w:b/>
          <w:i w:val="0"/>
          <w:color w:val="0E2A35"/>
        </w:rPr>
        <w:t>[Company Name]</w:t>
      </w:r>
      <w:r>
        <w:rPr>
          <w:b w:val="0"/>
          <w:i w:val="0"/>
          <w:color w:val="5C6F78"/>
        </w:rPr>
        <w:t xml:space="preserve">  ·  P-08</w:t>
      </w:r>
    </w:p>
    <w:tbl>
      <w:tblPr>
        <w:tblW w:type="auto" w:w="0"/>
        <w:tblLook w:firstColumn="1" w:firstRow="1" w:lastColumn="0" w:lastRow="0" w:noHBand="0" w:noVBand="1" w:val="04A0"/>
        <w:tblBorders>
          <w:top w:val="single" w:sz="4" w:space="0" w:color="0F8B8D"/>
          <w:left w:val="single" w:sz="4" w:space="0" w:color="0F8B8D"/>
          <w:bottom w:val="single" w:sz="4" w:space="0" w:color="0F8B8D"/>
          <w:right w:val="single" w:sz="4" w:space="0" w:color="0F8B8D"/>
          <w:insideH w:val="single" w:sz="4" w:space="0" w:color="0F8B8D"/>
          <w:insideV w:val="single" w:sz="4" w:space="0" w:color="0F8B8D"/>
        </w:tblBorders>
      </w:tblPr>
      <w:tblGrid>
        <w:gridCol w:w="9746"/>
      </w:tblGrid>
      <w:tr>
        <w:tc>
          <w:tcPr>
            <w:tcW w:type="dxa" w:w="9746"/>
            <w:shd w:val="clear" w:color="auto" w:fill="EEF3F4"/>
          </w:tcPr>
          <w:p>
            <w:pPr>
              <w:spacing w:after="40"/>
            </w:pPr>
            <w:r/>
            <w:r>
              <w:rPr>
                <w:b w:val="0"/>
                <w:i w:val="0"/>
                <w:color w:val="0E2A35"/>
                <w:sz w:val="19"/>
              </w:rPr>
              <w:t>TEMPLATE. Replace every [bracketed] text with what [Company Name] actually does, delete the grey guidance lines, and remove statements that are not true today. Every "must" is something an auditor can test, so keep the "How it is tested" column accurate. Set the document owner, approver and review dates in the document control table.</w:t>
            </w:r>
          </w:p>
        </w:tc>
      </w:tr>
    </w:tbl>
    <w:p/>
    <w:tbl>
      <w:tblPr>
        <w:tblW w:type="auto" w:w="0"/>
        <w:jc w:val="center"/>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2381"/>
        <w:gridCol w:w="7030"/>
      </w:tblGrid>
      <w:tr>
        <w:tc>
          <w:tcPr>
            <w:tcW w:type="dxa" w:w="2381"/>
            <w:shd w:val="clear" w:color="auto" w:fill="EEF3F4"/>
          </w:tcPr>
          <w:p>
            <w:pPr>
              <w:spacing w:after="40"/>
            </w:pPr>
            <w:r/>
            <w:r>
              <w:rPr>
                <w:b/>
                <w:i w:val="0"/>
                <w:color w:val="0E2A35"/>
                <w:sz w:val="20"/>
              </w:rPr>
              <w:t>Document number</w:t>
            </w:r>
          </w:p>
        </w:tc>
        <w:tc>
          <w:tcPr>
            <w:tcW w:type="dxa" w:w="7030"/>
          </w:tcPr>
          <w:p>
            <w:pPr>
              <w:spacing w:after="40"/>
            </w:pPr>
            <w:r/>
            <w:r>
              <w:rPr>
                <w:b w:val="0"/>
                <w:i w:val="0"/>
                <w:sz w:val="20"/>
              </w:rPr>
              <w:t>P-08</w:t>
            </w:r>
          </w:p>
        </w:tc>
      </w:tr>
      <w:tr>
        <w:tc>
          <w:tcPr>
            <w:tcW w:type="dxa" w:w="2381"/>
            <w:shd w:val="clear" w:color="auto" w:fill="EEF3F4"/>
          </w:tcPr>
          <w:p>
            <w:pPr>
              <w:spacing w:after="40"/>
            </w:pPr>
            <w:r/>
            <w:r>
              <w:rPr>
                <w:b/>
                <w:i w:val="0"/>
                <w:color w:val="0E2A35"/>
                <w:sz w:val="20"/>
              </w:rPr>
              <w:t>Title</w:t>
            </w:r>
          </w:p>
        </w:tc>
        <w:tc>
          <w:tcPr>
            <w:tcW w:type="dxa" w:w="7030"/>
          </w:tcPr>
          <w:p>
            <w:pPr>
              <w:spacing w:after="40"/>
            </w:pPr>
            <w:r/>
            <w:r>
              <w:rPr>
                <w:b w:val="0"/>
                <w:i w:val="0"/>
                <w:sz w:val="20"/>
              </w:rPr>
              <w:t>Secure Development and Change Management Policy</w:t>
            </w:r>
          </w:p>
        </w:tc>
      </w:tr>
      <w:tr>
        <w:tc>
          <w:tcPr>
            <w:tcW w:type="dxa" w:w="2381"/>
            <w:shd w:val="clear" w:color="auto" w:fill="EEF3F4"/>
          </w:tcPr>
          <w:p>
            <w:pPr>
              <w:spacing w:after="40"/>
            </w:pPr>
            <w:r/>
            <w:r>
              <w:rPr>
                <w:b/>
                <w:i w:val="0"/>
                <w:color w:val="0E2A35"/>
                <w:sz w:val="20"/>
              </w:rPr>
              <w:t>Type</w:t>
            </w:r>
          </w:p>
        </w:tc>
        <w:tc>
          <w:tcPr>
            <w:tcW w:type="dxa" w:w="7030"/>
          </w:tcPr>
          <w:p>
            <w:pPr>
              <w:spacing w:after="40"/>
            </w:pPr>
            <w:r/>
            <w:r>
              <w:rPr>
                <w:b w:val="0"/>
                <w:i w:val="0"/>
                <w:sz w:val="20"/>
              </w:rPr>
              <w:t>Policy</w:t>
            </w:r>
          </w:p>
        </w:tc>
      </w:tr>
      <w:tr>
        <w:tc>
          <w:tcPr>
            <w:tcW w:type="dxa" w:w="2381"/>
            <w:shd w:val="clear" w:color="auto" w:fill="EEF3F4"/>
          </w:tcPr>
          <w:p>
            <w:pPr>
              <w:spacing w:after="40"/>
            </w:pPr>
            <w:r/>
            <w:r>
              <w:rPr>
                <w:b/>
                <w:i w:val="0"/>
                <w:color w:val="0E2A35"/>
                <w:sz w:val="20"/>
              </w:rPr>
              <w:t>Owner</w:t>
            </w:r>
          </w:p>
        </w:tc>
        <w:tc>
          <w:tcPr>
            <w:tcW w:type="dxa" w:w="7030"/>
          </w:tcPr>
          <w:p>
            <w:pPr>
              <w:spacing w:after="40"/>
            </w:pPr>
            <w:r/>
            <w:r>
              <w:rPr>
                <w:b w:val="0"/>
                <w:i w:val="0"/>
                <w:sz w:val="20"/>
              </w:rPr>
              <w:t>[Named person in the role: Engineering lead]</w:t>
            </w:r>
          </w:p>
        </w:tc>
      </w:tr>
      <w:tr>
        <w:tc>
          <w:tcPr>
            <w:tcW w:type="dxa" w:w="2381"/>
            <w:shd w:val="clear" w:color="auto" w:fill="EEF3F4"/>
          </w:tcPr>
          <w:p>
            <w:pPr>
              <w:spacing w:after="40"/>
            </w:pPr>
            <w:r/>
            <w:r>
              <w:rPr>
                <w:b/>
                <w:i w:val="0"/>
                <w:color w:val="0E2A35"/>
                <w:sz w:val="20"/>
              </w:rPr>
              <w:t>Approver</w:t>
            </w:r>
          </w:p>
        </w:tc>
        <w:tc>
          <w:tcPr>
            <w:tcW w:type="dxa" w:w="7030"/>
          </w:tcPr>
          <w:p>
            <w:pPr>
              <w:spacing w:after="40"/>
            </w:pPr>
            <w:r/>
            <w:r>
              <w:rPr>
                <w:b w:val="0"/>
                <w:i w:val="0"/>
                <w:sz w:val="20"/>
              </w:rPr>
              <w:t>Executive sponsor</w:t>
            </w:r>
          </w:p>
        </w:tc>
      </w:tr>
      <w:tr>
        <w:tc>
          <w:tcPr>
            <w:tcW w:type="dxa" w:w="2381"/>
            <w:shd w:val="clear" w:color="auto" w:fill="EEF3F4"/>
          </w:tcPr>
          <w:p>
            <w:pPr>
              <w:spacing w:after="40"/>
            </w:pPr>
            <w:r/>
            <w:r>
              <w:rPr>
                <w:b/>
                <w:i w:val="0"/>
                <w:color w:val="0E2A35"/>
                <w:sz w:val="20"/>
              </w:rPr>
              <w:t>Version</w:t>
            </w:r>
          </w:p>
        </w:tc>
        <w:tc>
          <w:tcPr>
            <w:tcW w:type="dxa" w:w="7030"/>
          </w:tcPr>
          <w:p>
            <w:pPr>
              <w:spacing w:after="40"/>
            </w:pPr>
            <w:r/>
            <w:r>
              <w:rPr>
                <w:b w:val="0"/>
                <w:i w:val="0"/>
                <w:sz w:val="20"/>
              </w:rPr>
              <w:t>[1.0]  (major on any change to a commitment; minor for wording)</w:t>
            </w:r>
          </w:p>
        </w:tc>
      </w:tr>
      <w:tr>
        <w:tc>
          <w:tcPr>
            <w:tcW w:type="dxa" w:w="2381"/>
            <w:shd w:val="clear" w:color="auto" w:fill="EEF3F4"/>
          </w:tcPr>
          <w:p>
            <w:pPr>
              <w:spacing w:after="40"/>
            </w:pPr>
            <w:r/>
            <w:r>
              <w:rPr>
                <w:b/>
                <w:i w:val="0"/>
                <w:color w:val="0E2A35"/>
                <w:sz w:val="20"/>
              </w:rPr>
              <w:t>Effective date</w:t>
            </w:r>
          </w:p>
        </w:tc>
        <w:tc>
          <w:tcPr>
            <w:tcW w:type="dxa" w:w="7030"/>
          </w:tcPr>
          <w:p>
            <w:pPr>
              <w:spacing w:after="40"/>
            </w:pPr>
            <w:r/>
            <w:r>
              <w:rPr>
                <w:b w:val="0"/>
                <w:i w:val="0"/>
                <w:sz w:val="20"/>
              </w:rPr>
              <w:t>[YYYY-MM-DD]</w:t>
            </w:r>
          </w:p>
        </w:tc>
      </w:tr>
      <w:tr>
        <w:tc>
          <w:tcPr>
            <w:tcW w:type="dxa" w:w="2381"/>
            <w:shd w:val="clear" w:color="auto" w:fill="EEF3F4"/>
          </w:tcPr>
          <w:p>
            <w:pPr>
              <w:spacing w:after="40"/>
            </w:pPr>
            <w:r/>
            <w:r>
              <w:rPr>
                <w:b/>
                <w:i w:val="0"/>
                <w:color w:val="0E2A35"/>
                <w:sz w:val="20"/>
              </w:rPr>
              <w:t>Next review date</w:t>
            </w:r>
          </w:p>
        </w:tc>
        <w:tc>
          <w:tcPr>
            <w:tcW w:type="dxa" w:w="7030"/>
          </w:tcPr>
          <w:p>
            <w:pPr>
              <w:spacing w:after="40"/>
            </w:pPr>
            <w:r/>
            <w:r>
              <w:rPr>
                <w:b w:val="0"/>
                <w:i w:val="0"/>
                <w:sz w:val="20"/>
              </w:rPr>
              <w:t>[Within 12 months of approval]</w:t>
            </w:r>
          </w:p>
        </w:tc>
      </w:tr>
      <w:tr>
        <w:tc>
          <w:tcPr>
            <w:tcW w:type="dxa" w:w="2381"/>
            <w:shd w:val="clear" w:color="auto" w:fill="EEF3F4"/>
          </w:tcPr>
          <w:p>
            <w:pPr>
              <w:spacing w:after="40"/>
            </w:pPr>
            <w:r/>
            <w:r>
              <w:rPr>
                <w:b/>
                <w:i w:val="0"/>
                <w:color w:val="0E2A35"/>
                <w:sz w:val="20"/>
              </w:rPr>
              <w:t>Classification</w:t>
            </w:r>
          </w:p>
        </w:tc>
        <w:tc>
          <w:tcPr>
            <w:tcW w:type="dxa" w:w="7030"/>
          </w:tcPr>
          <w:p>
            <w:pPr>
              <w:spacing w:after="40"/>
            </w:pPr>
            <w:r/>
            <w:r>
              <w:rPr>
                <w:b w:val="0"/>
                <w:i w:val="0"/>
                <w:sz w:val="20"/>
              </w:rPr>
              <w:t>Internal  (mark customer-shareable versions as such)</w:t>
            </w:r>
          </w:p>
        </w:tc>
      </w:tr>
      <w:tr>
        <w:tc>
          <w:tcPr>
            <w:tcW w:type="dxa" w:w="2381"/>
            <w:shd w:val="clear" w:color="auto" w:fill="EEF3F4"/>
          </w:tcPr>
          <w:p>
            <w:pPr>
              <w:spacing w:after="40"/>
            </w:pPr>
            <w:r/>
            <w:r>
              <w:rPr>
                <w:b/>
                <w:i w:val="0"/>
                <w:color w:val="0E2A35"/>
                <w:sz w:val="20"/>
              </w:rPr>
              <w:t>Parent document</w:t>
            </w:r>
          </w:p>
        </w:tc>
        <w:tc>
          <w:tcPr>
            <w:tcW w:type="dxa" w:w="7030"/>
          </w:tcPr>
          <w:p>
            <w:pPr>
              <w:spacing w:after="40"/>
            </w:pPr>
            <w:r/>
            <w:r>
              <w:rPr>
                <w:b w:val="0"/>
                <w:i w:val="0"/>
                <w:sz w:val="20"/>
              </w:rPr>
              <w:t>Information Security Policy</w:t>
            </w:r>
          </w:p>
        </w:tc>
      </w:tr>
      <w:tr>
        <w:tc>
          <w:tcPr>
            <w:tcW w:type="dxa" w:w="2381"/>
            <w:shd w:val="clear" w:color="auto" w:fill="EEF3F4"/>
          </w:tcPr>
          <w:p>
            <w:pPr>
              <w:spacing w:after="40"/>
            </w:pPr>
            <w:r/>
            <w:r>
              <w:rPr>
                <w:b/>
                <w:i w:val="0"/>
                <w:color w:val="0E2A35"/>
                <w:sz w:val="20"/>
              </w:rPr>
              <w:t>Framework mapping</w:t>
            </w:r>
          </w:p>
        </w:tc>
        <w:tc>
          <w:tcPr>
            <w:tcW w:type="dxa" w:w="7030"/>
          </w:tcPr>
          <w:p>
            <w:pPr>
              <w:spacing w:after="40"/>
            </w:pPr>
            <w:r/>
            <w:r>
              <w:rPr>
                <w:b w:val="0"/>
                <w:i w:val="0"/>
                <w:sz w:val="20"/>
              </w:rPr>
              <w:t>SOC 2: CC5.2, CC8.1 · ISO 27001:2022: A.8.25-A.8.32</w:t>
            </w:r>
          </w:p>
        </w:tc>
      </w:tr>
      <w:tr>
        <w:tc>
          <w:tcPr>
            <w:tcW w:type="dxa" w:w="2381"/>
            <w:shd w:val="clear" w:color="auto" w:fill="EEF3F4"/>
          </w:tcPr>
          <w:p>
            <w:pPr>
              <w:spacing w:after="40"/>
            </w:pPr>
            <w:r/>
            <w:r>
              <w:rPr>
                <w:b/>
                <w:i w:val="0"/>
                <w:color w:val="0E2A35"/>
                <w:sz w:val="20"/>
              </w:rPr>
              <w:t>GRC-pal controls</w:t>
            </w:r>
          </w:p>
        </w:tc>
        <w:tc>
          <w:tcPr>
            <w:tcW w:type="dxa" w:w="7030"/>
          </w:tcPr>
          <w:p>
            <w:pPr>
              <w:spacing w:after="40"/>
            </w:pPr>
            <w:r/>
            <w:r>
              <w:rPr>
                <w:b w:val="0"/>
                <w:i w:val="0"/>
                <w:sz w:val="20"/>
              </w:rPr>
              <w:t>CHG-01 to CHG-05</w:t>
            </w:r>
          </w:p>
        </w:tc>
      </w:tr>
    </w:tbl>
    <w:p/>
    <w:p>
      <w:pPr>
        <w:pStyle w:val="Heading1"/>
      </w:pPr>
      <w:r>
        <w:t>1. Purpose</w:t>
      </w:r>
    </w:p>
    <w:p>
      <w:r>
        <w:t>To ensure software and infrastructure changes are designed, reviewed, tested, approved and released in a controlled way.</w:t>
      </w:r>
    </w:p>
    <w:p>
      <w:pPr>
        <w:pStyle w:val="Heading1"/>
      </w:pPr>
      <w:r>
        <w:t>2. Scope and applicability</w:t>
      </w:r>
    </w:p>
    <w:p>
      <w:r>
        <w:t>Application code, infrastructure as code, configuration, third-party components and the environments they run in.</w:t>
      </w:r>
    </w:p>
    <w:p>
      <w:pPr>
        <w:pStyle w:val="Heading1"/>
      </w:pPr>
      <w:r>
        <w:t>3. Secure development</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3.1</w:t>
            </w:r>
          </w:p>
        </w:tc>
        <w:tc>
          <w:tcPr>
            <w:tcW w:type="dxa" w:w="5443"/>
          </w:tcPr>
          <w:p>
            <w:pPr>
              <w:spacing w:after="40"/>
            </w:pPr>
            <w:r/>
            <w:r>
              <w:rPr>
                <w:b w:val="0"/>
                <w:i w:val="0"/>
                <w:sz w:val="20"/>
              </w:rPr>
              <w:t>Security requirements are considered in design for changes that affect customer data, authentication or external interfaces.</w:t>
            </w:r>
          </w:p>
        </w:tc>
        <w:tc>
          <w:tcPr>
            <w:tcW w:type="dxa" w:w="3231"/>
          </w:tcPr>
          <w:p>
            <w:pPr>
              <w:spacing w:after="40"/>
            </w:pPr>
            <w:r/>
            <w:r>
              <w:rPr>
                <w:b w:val="0"/>
                <w:i w:val="0"/>
                <w:sz w:val="20"/>
              </w:rPr>
              <w:t>Design or ticket templates with a security section</w:t>
            </w:r>
          </w:p>
        </w:tc>
      </w:tr>
      <w:tr>
        <w:tc>
          <w:tcPr>
            <w:tcW w:type="dxa" w:w="737"/>
          </w:tcPr>
          <w:p>
            <w:pPr>
              <w:spacing w:after="40"/>
            </w:pPr>
            <w:r/>
            <w:r>
              <w:rPr>
                <w:b w:val="0"/>
                <w:i w:val="0"/>
                <w:sz w:val="20"/>
              </w:rPr>
              <w:t>3.2</w:t>
            </w:r>
          </w:p>
        </w:tc>
        <w:tc>
          <w:tcPr>
            <w:tcW w:type="dxa" w:w="5443"/>
          </w:tcPr>
          <w:p>
            <w:pPr>
              <w:spacing w:after="40"/>
            </w:pPr>
            <w:r/>
            <w:r>
              <w:rPr>
                <w:b w:val="0"/>
                <w:i w:val="0"/>
                <w:sz w:val="20"/>
              </w:rPr>
              <w:t>Developers follow the Secure Coding and Code Review Standard.</w:t>
            </w:r>
          </w:p>
        </w:tc>
        <w:tc>
          <w:tcPr>
            <w:tcW w:type="dxa" w:w="3231"/>
          </w:tcPr>
          <w:p>
            <w:pPr>
              <w:spacing w:after="40"/>
            </w:pPr>
            <w:r/>
            <w:r>
              <w:rPr>
                <w:b w:val="0"/>
                <w:i w:val="0"/>
                <w:sz w:val="20"/>
              </w:rPr>
              <w:t>Standard; repository settings</w:t>
            </w:r>
          </w:p>
        </w:tc>
      </w:tr>
      <w:tr>
        <w:tc>
          <w:tcPr>
            <w:tcW w:type="dxa" w:w="737"/>
          </w:tcPr>
          <w:p>
            <w:pPr>
              <w:spacing w:after="40"/>
            </w:pPr>
            <w:r/>
            <w:r>
              <w:rPr>
                <w:b w:val="0"/>
                <w:i w:val="0"/>
                <w:sz w:val="20"/>
              </w:rPr>
              <w:t>3.3</w:t>
            </w:r>
          </w:p>
        </w:tc>
        <w:tc>
          <w:tcPr>
            <w:tcW w:type="dxa" w:w="5443"/>
          </w:tcPr>
          <w:p>
            <w:pPr>
              <w:spacing w:after="40"/>
            </w:pPr>
            <w:r/>
            <w:r>
              <w:rPr>
                <w:b w:val="0"/>
                <w:i w:val="0"/>
                <w:sz w:val="20"/>
              </w:rPr>
              <w:t>Dependencies and secrets in code are scanned automatically.</w:t>
            </w:r>
          </w:p>
        </w:tc>
        <w:tc>
          <w:tcPr>
            <w:tcW w:type="dxa" w:w="3231"/>
          </w:tcPr>
          <w:p>
            <w:pPr>
              <w:spacing w:after="40"/>
            </w:pPr>
            <w:r/>
            <w:r>
              <w:rPr>
                <w:b w:val="0"/>
                <w:i w:val="0"/>
                <w:sz w:val="20"/>
              </w:rPr>
              <w:t>Scanner results</w:t>
            </w:r>
          </w:p>
        </w:tc>
      </w:tr>
    </w:tbl>
    <w:p/>
    <w:p>
      <w:pPr>
        <w:pStyle w:val="Heading1"/>
      </w:pPr>
      <w:r>
        <w:t>4. Change management</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4.1</w:t>
            </w:r>
          </w:p>
        </w:tc>
        <w:tc>
          <w:tcPr>
            <w:tcW w:type="dxa" w:w="5443"/>
          </w:tcPr>
          <w:p>
            <w:pPr>
              <w:spacing w:after="40"/>
            </w:pPr>
            <w:r/>
            <w:r>
              <w:rPr>
                <w:b w:val="0"/>
                <w:i w:val="0"/>
                <w:sz w:val="20"/>
              </w:rPr>
              <w:t>Every change to production is recorded in a ticket or pull request, reviewed by someone other than the author, and tested before release.</w:t>
            </w:r>
          </w:p>
        </w:tc>
        <w:tc>
          <w:tcPr>
            <w:tcW w:type="dxa" w:w="3231"/>
          </w:tcPr>
          <w:p>
            <w:pPr>
              <w:spacing w:after="40"/>
            </w:pPr>
            <w:r/>
            <w:r>
              <w:rPr>
                <w:b w:val="0"/>
                <w:i w:val="0"/>
                <w:sz w:val="20"/>
              </w:rPr>
              <w:t>Sampled pull requests with reviews</w:t>
            </w:r>
          </w:p>
        </w:tc>
      </w:tr>
      <w:tr>
        <w:tc>
          <w:tcPr>
            <w:tcW w:type="dxa" w:w="737"/>
          </w:tcPr>
          <w:p>
            <w:pPr>
              <w:spacing w:after="40"/>
            </w:pPr>
            <w:r/>
            <w:r>
              <w:rPr>
                <w:b w:val="0"/>
                <w:i w:val="0"/>
                <w:sz w:val="20"/>
              </w:rPr>
              <w:t>4.2</w:t>
            </w:r>
          </w:p>
        </w:tc>
        <w:tc>
          <w:tcPr>
            <w:tcW w:type="dxa" w:w="5443"/>
          </w:tcPr>
          <w:p>
            <w:pPr>
              <w:spacing w:after="40"/>
            </w:pPr>
            <w:r/>
            <w:r>
              <w:rPr>
                <w:b w:val="0"/>
                <w:i w:val="0"/>
                <w:sz w:val="20"/>
              </w:rPr>
              <w:t>Protected branches enforce review and passing checks before merge.</w:t>
            </w:r>
          </w:p>
        </w:tc>
        <w:tc>
          <w:tcPr>
            <w:tcW w:type="dxa" w:w="3231"/>
          </w:tcPr>
          <w:p>
            <w:pPr>
              <w:spacing w:after="40"/>
            </w:pPr>
            <w:r/>
            <w:r>
              <w:rPr>
                <w:b w:val="0"/>
                <w:i w:val="0"/>
                <w:sz w:val="20"/>
              </w:rPr>
              <w:t>Branch protection export</w:t>
            </w:r>
          </w:p>
        </w:tc>
      </w:tr>
      <w:tr>
        <w:tc>
          <w:tcPr>
            <w:tcW w:type="dxa" w:w="737"/>
          </w:tcPr>
          <w:p>
            <w:pPr>
              <w:spacing w:after="40"/>
            </w:pPr>
            <w:r/>
            <w:r>
              <w:rPr>
                <w:b w:val="0"/>
                <w:i w:val="0"/>
                <w:sz w:val="20"/>
              </w:rPr>
              <w:t>4.3</w:t>
            </w:r>
          </w:p>
        </w:tc>
        <w:tc>
          <w:tcPr>
            <w:tcW w:type="dxa" w:w="5443"/>
          </w:tcPr>
          <w:p>
            <w:pPr>
              <w:spacing w:after="40"/>
            </w:pPr>
            <w:r/>
            <w:r>
              <w:rPr>
                <w:b w:val="0"/>
                <w:i w:val="0"/>
                <w:sz w:val="20"/>
              </w:rPr>
              <w:t>Emergency changes follow an expedited path and are reviewed after release within [business days].</w:t>
            </w:r>
          </w:p>
        </w:tc>
        <w:tc>
          <w:tcPr>
            <w:tcW w:type="dxa" w:w="3231"/>
          </w:tcPr>
          <w:p>
            <w:pPr>
              <w:spacing w:after="40"/>
            </w:pPr>
            <w:r/>
            <w:r>
              <w:rPr>
                <w:b w:val="0"/>
                <w:i w:val="0"/>
                <w:sz w:val="20"/>
              </w:rPr>
              <w:t>Emergency change tickets and reviews</w:t>
            </w:r>
          </w:p>
        </w:tc>
      </w:tr>
      <w:tr>
        <w:tc>
          <w:tcPr>
            <w:tcW w:type="dxa" w:w="737"/>
          </w:tcPr>
          <w:p>
            <w:pPr>
              <w:spacing w:after="40"/>
            </w:pPr>
            <w:r/>
            <w:r>
              <w:rPr>
                <w:b w:val="0"/>
                <w:i w:val="0"/>
                <w:sz w:val="20"/>
              </w:rPr>
              <w:t>4.4</w:t>
            </w:r>
          </w:p>
        </w:tc>
        <w:tc>
          <w:tcPr>
            <w:tcW w:type="dxa" w:w="5443"/>
          </w:tcPr>
          <w:p>
            <w:pPr>
              <w:spacing w:after="40"/>
            </w:pPr>
            <w:r/>
            <w:r>
              <w:rPr>
                <w:b w:val="0"/>
                <w:i w:val="0"/>
                <w:sz w:val="20"/>
              </w:rPr>
              <w:t>Failed changes can be rolled back.</w:t>
            </w:r>
          </w:p>
        </w:tc>
        <w:tc>
          <w:tcPr>
            <w:tcW w:type="dxa" w:w="3231"/>
          </w:tcPr>
          <w:p>
            <w:pPr>
              <w:spacing w:after="40"/>
            </w:pPr>
            <w:r/>
            <w:r>
              <w:rPr>
                <w:b w:val="0"/>
                <w:i w:val="0"/>
                <w:sz w:val="20"/>
              </w:rPr>
              <w:t>Deployment logs; rollback records</w:t>
            </w:r>
          </w:p>
        </w:tc>
      </w:tr>
    </w:tbl>
    <w:p/>
    <w:p>
      <w:pPr>
        <w:pStyle w:val="Heading1"/>
      </w:pPr>
      <w:r>
        <w:t>5. Environments</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5.1</w:t>
            </w:r>
          </w:p>
        </w:tc>
        <w:tc>
          <w:tcPr>
            <w:tcW w:type="dxa" w:w="5443"/>
          </w:tcPr>
          <w:p>
            <w:pPr>
              <w:spacing w:after="40"/>
            </w:pPr>
            <w:r/>
            <w:r>
              <w:rPr>
                <w:b w:val="0"/>
                <w:i w:val="0"/>
                <w:sz w:val="20"/>
              </w:rPr>
              <w:t>Development, test and production environments are separated; production data is not used in test unless protected.</w:t>
            </w:r>
          </w:p>
        </w:tc>
        <w:tc>
          <w:tcPr>
            <w:tcW w:type="dxa" w:w="3231"/>
          </w:tcPr>
          <w:p>
            <w:pPr>
              <w:spacing w:after="40"/>
            </w:pPr>
            <w:r/>
            <w:r>
              <w:rPr>
                <w:b w:val="0"/>
                <w:i w:val="0"/>
                <w:sz w:val="20"/>
              </w:rPr>
              <w:t>Environment architecture; access lists</w:t>
            </w:r>
          </w:p>
        </w:tc>
      </w:tr>
      <w:tr>
        <w:tc>
          <w:tcPr>
            <w:tcW w:type="dxa" w:w="737"/>
          </w:tcPr>
          <w:p>
            <w:pPr>
              <w:spacing w:after="40"/>
            </w:pPr>
            <w:r/>
            <w:r>
              <w:rPr>
                <w:b w:val="0"/>
                <w:i w:val="0"/>
                <w:sz w:val="20"/>
              </w:rPr>
              <w:t>5.2</w:t>
            </w:r>
          </w:p>
        </w:tc>
        <w:tc>
          <w:tcPr>
            <w:tcW w:type="dxa" w:w="5443"/>
          </w:tcPr>
          <w:p>
            <w:pPr>
              <w:spacing w:after="40"/>
            </w:pPr>
            <w:r/>
            <w:r>
              <w:rPr>
                <w:b w:val="0"/>
                <w:i w:val="0"/>
                <w:sz w:val="20"/>
              </w:rPr>
              <w:t>Developers do not have unreviewed write access to production.</w:t>
            </w:r>
          </w:p>
        </w:tc>
        <w:tc>
          <w:tcPr>
            <w:tcW w:type="dxa" w:w="3231"/>
          </w:tcPr>
          <w:p>
            <w:pPr>
              <w:spacing w:after="40"/>
            </w:pPr>
            <w:r/>
            <w:r>
              <w:rPr>
                <w:b w:val="0"/>
                <w:i w:val="0"/>
                <w:sz w:val="20"/>
              </w:rPr>
              <w:t>Production access list</w:t>
            </w:r>
          </w:p>
        </w:tc>
      </w:tr>
    </w:tbl>
    <w:p/>
    <w:p>
      <w:pPr>
        <w:pStyle w:val="Heading1"/>
      </w:pPr>
      <w:r>
        <w:t>6. Roles and responsibilities</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2608"/>
        <w:gridCol w:w="6803"/>
      </w:tblGrid>
      <w:tr>
        <w:trPr>
          <w:tblHeader w:val="true"/>
        </w:trPr>
        <w:tc>
          <w:tcPr>
            <w:tcW w:type="dxa" w:w="2608"/>
            <w:shd w:val="clear" w:color="auto" w:fill="0E2A35"/>
          </w:tcPr>
          <w:p>
            <w:pPr>
              <w:spacing w:after="40"/>
            </w:pPr>
            <w:r/>
            <w:r>
              <w:rPr>
                <w:b/>
                <w:i w:val="0"/>
                <w:color w:val="FFFFFF"/>
                <w:sz w:val="19"/>
              </w:rPr>
              <w:t>Role</w:t>
            </w:r>
          </w:p>
        </w:tc>
        <w:tc>
          <w:tcPr>
            <w:tcW w:type="dxa" w:w="6803"/>
            <w:shd w:val="clear" w:color="auto" w:fill="0E2A35"/>
          </w:tcPr>
          <w:p>
            <w:pPr>
              <w:spacing w:after="40"/>
            </w:pPr>
            <w:r/>
            <w:r>
              <w:rPr>
                <w:b/>
                <w:i w:val="0"/>
                <w:color w:val="FFFFFF"/>
                <w:sz w:val="19"/>
              </w:rPr>
              <w:t>Responsibility</w:t>
            </w:r>
          </w:p>
        </w:tc>
      </w:tr>
      <w:tr>
        <w:tc>
          <w:tcPr>
            <w:tcW w:type="dxa" w:w="2608"/>
          </w:tcPr>
          <w:p>
            <w:pPr>
              <w:spacing w:after="40"/>
            </w:pPr>
            <w:r/>
            <w:r>
              <w:rPr>
                <w:b w:val="0"/>
                <w:i w:val="0"/>
                <w:sz w:val="20"/>
              </w:rPr>
              <w:t>Engineering lead</w:t>
            </w:r>
          </w:p>
        </w:tc>
        <w:tc>
          <w:tcPr>
            <w:tcW w:type="dxa" w:w="6803"/>
          </w:tcPr>
          <w:p>
            <w:pPr>
              <w:spacing w:after="40"/>
            </w:pPr>
            <w:r/>
            <w:r>
              <w:rPr>
                <w:b w:val="0"/>
                <w:i w:val="0"/>
                <w:sz w:val="20"/>
              </w:rPr>
              <w:t>Owns this policy and release process</w:t>
            </w:r>
          </w:p>
        </w:tc>
      </w:tr>
      <w:tr>
        <w:tc>
          <w:tcPr>
            <w:tcW w:type="dxa" w:w="2608"/>
          </w:tcPr>
          <w:p>
            <w:pPr>
              <w:spacing w:after="40"/>
            </w:pPr>
            <w:r/>
            <w:r>
              <w:rPr>
                <w:b w:val="0"/>
                <w:i w:val="0"/>
                <w:sz w:val="20"/>
              </w:rPr>
              <w:t>Reviewers</w:t>
            </w:r>
          </w:p>
        </w:tc>
        <w:tc>
          <w:tcPr>
            <w:tcW w:type="dxa" w:w="6803"/>
          </w:tcPr>
          <w:p>
            <w:pPr>
              <w:spacing w:after="40"/>
            </w:pPr>
            <w:r/>
            <w:r>
              <w:rPr>
                <w:b w:val="0"/>
                <w:i w:val="0"/>
                <w:sz w:val="20"/>
              </w:rPr>
              <w:t>Approve changes</w:t>
            </w:r>
          </w:p>
        </w:tc>
      </w:tr>
      <w:tr>
        <w:tc>
          <w:tcPr>
            <w:tcW w:type="dxa" w:w="2608"/>
          </w:tcPr>
          <w:p>
            <w:pPr>
              <w:spacing w:after="40"/>
            </w:pPr>
            <w:r/>
            <w:r>
              <w:rPr>
                <w:b w:val="0"/>
                <w:i w:val="0"/>
                <w:sz w:val="20"/>
              </w:rPr>
              <w:t>Security lead</w:t>
            </w:r>
          </w:p>
        </w:tc>
        <w:tc>
          <w:tcPr>
            <w:tcW w:type="dxa" w:w="6803"/>
          </w:tcPr>
          <w:p>
            <w:pPr>
              <w:spacing w:after="40"/>
            </w:pPr>
            <w:r/>
            <w:r>
              <w:rPr>
                <w:b w:val="0"/>
                <w:i w:val="0"/>
                <w:sz w:val="20"/>
              </w:rPr>
              <w:t>Defines security requirements and reviews exceptions</w:t>
            </w:r>
          </w:p>
        </w:tc>
      </w:tr>
    </w:tbl>
    <w:p/>
    <w:p>
      <w:pPr>
        <w:pStyle w:val="Heading1"/>
      </w:pPr>
      <w:r>
        <w:t>Exceptions</w:t>
      </w:r>
    </w:p>
    <w:p>
      <w:r>
        <w:t>Exceptions are requested in writing with the reason, the risk, compensating controls and an end date, approved by [role] before they take effect, and recorded in the policy exception register.</w:t>
      </w:r>
    </w:p>
    <w:p>
      <w:pPr>
        <w:pStyle w:val="Heading1"/>
      </w:pPr>
      <w:r>
        <w:t>Compliance and enforcement</w:t>
      </w:r>
    </w:p>
    <w:p>
      <w:r>
        <w:t>Violations of this policy may lead to disciplinary action up to and including termination, or contract termination for third parties, as set out in the Human Resources Security Policy.</w:t>
      </w:r>
    </w:p>
    <w:p>
      <w:pPr>
        <w:pStyle w:val="Heading1"/>
      </w:pPr>
      <w:r>
        <w:t>Related documents</w:t>
      </w:r>
    </w:p>
    <w:p>
      <w:r>
        <w:t>Secure Coding and Code Review Standard; Change Management Procedure</w:t>
      </w:r>
    </w:p>
    <w:p>
      <w:pPr>
        <w:pStyle w:val="Heading1"/>
      </w:pPr>
      <w:r>
        <w:t>Revision history</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1701"/>
        <w:gridCol w:w="1247"/>
        <w:gridCol w:w="2154"/>
        <w:gridCol w:w="4309"/>
      </w:tblGrid>
      <w:tr>
        <w:trPr>
          <w:tblHeader w:val="true"/>
        </w:trPr>
        <w:tc>
          <w:tcPr>
            <w:tcW w:type="dxa" w:w="1701"/>
            <w:shd w:val="clear" w:color="auto" w:fill="0E2A35"/>
          </w:tcPr>
          <w:p>
            <w:pPr>
              <w:spacing w:after="40"/>
            </w:pPr>
            <w:r/>
            <w:r>
              <w:rPr>
                <w:b/>
                <w:i w:val="0"/>
                <w:color w:val="FFFFFF"/>
                <w:sz w:val="19"/>
              </w:rPr>
              <w:t>Date</w:t>
            </w:r>
          </w:p>
        </w:tc>
        <w:tc>
          <w:tcPr>
            <w:tcW w:type="dxa" w:w="1247"/>
            <w:shd w:val="clear" w:color="auto" w:fill="0E2A35"/>
          </w:tcPr>
          <w:p>
            <w:pPr>
              <w:spacing w:after="40"/>
            </w:pPr>
            <w:r/>
            <w:r>
              <w:rPr>
                <w:b/>
                <w:i w:val="0"/>
                <w:color w:val="FFFFFF"/>
                <w:sz w:val="19"/>
              </w:rPr>
              <w:t>Version</w:t>
            </w:r>
          </w:p>
        </w:tc>
        <w:tc>
          <w:tcPr>
            <w:tcW w:type="dxa" w:w="2154"/>
            <w:shd w:val="clear" w:color="auto" w:fill="0E2A35"/>
          </w:tcPr>
          <w:p>
            <w:pPr>
              <w:spacing w:after="40"/>
            </w:pPr>
            <w:r/>
            <w:r>
              <w:rPr>
                <w:b/>
                <w:i w:val="0"/>
                <w:color w:val="FFFFFF"/>
                <w:sz w:val="19"/>
              </w:rPr>
              <w:t>Author</w:t>
            </w:r>
          </w:p>
        </w:tc>
        <w:tc>
          <w:tcPr>
            <w:tcW w:type="dxa" w:w="4309"/>
            <w:shd w:val="clear" w:color="auto" w:fill="0E2A35"/>
          </w:tcPr>
          <w:p>
            <w:pPr>
              <w:spacing w:after="40"/>
            </w:pPr>
            <w:r/>
            <w:r>
              <w:rPr>
                <w:b/>
                <w:i w:val="0"/>
                <w:color w:val="FFFFFF"/>
                <w:sz w:val="19"/>
              </w:rPr>
              <w:t>Summary of change</w:t>
            </w:r>
          </w:p>
        </w:tc>
      </w:tr>
      <w:tr>
        <w:tc>
          <w:tcPr>
            <w:tcW w:type="dxa" w:w="1701"/>
          </w:tcPr>
          <w:p>
            <w:pPr>
              <w:spacing w:after="40"/>
            </w:pPr>
            <w:r/>
            <w:r>
              <w:rPr>
                <w:b w:val="0"/>
                <w:i w:val="0"/>
                <w:sz w:val="20"/>
              </w:rPr>
              <w:t>[YYYY-MM-DD]</w:t>
            </w:r>
          </w:p>
        </w:tc>
        <w:tc>
          <w:tcPr>
            <w:tcW w:type="dxa" w:w="1247"/>
          </w:tcPr>
          <w:p>
            <w:pPr>
              <w:spacing w:after="40"/>
            </w:pPr>
            <w:r/>
            <w:r>
              <w:rPr>
                <w:b w:val="0"/>
                <w:i w:val="0"/>
                <w:sz w:val="20"/>
              </w:rPr>
              <w:t>[1.0]</w:t>
            </w:r>
          </w:p>
        </w:tc>
        <w:tc>
          <w:tcPr>
            <w:tcW w:type="dxa" w:w="2154"/>
          </w:tcPr>
          <w:p>
            <w:pPr>
              <w:spacing w:after="40"/>
            </w:pPr>
            <w:r/>
            <w:r>
              <w:rPr>
                <w:b w:val="0"/>
                <w:i w:val="0"/>
                <w:sz w:val="20"/>
              </w:rPr>
              <w:t>[Name]</w:t>
            </w:r>
          </w:p>
        </w:tc>
        <w:tc>
          <w:tcPr>
            <w:tcW w:type="dxa" w:w="4309"/>
          </w:tcPr>
          <w:p>
            <w:pPr>
              <w:spacing w:after="40"/>
            </w:pPr>
            <w:r/>
            <w:r>
              <w:rPr>
                <w:b w:val="0"/>
                <w:i w:val="0"/>
                <w:sz w:val="20"/>
              </w:rPr>
              <w:t>Initial version</w:t>
            </w:r>
          </w:p>
        </w:tc>
      </w:tr>
    </w:tbl>
    <w:p/>
    <w:p>
      <w:pPr>
        <w:pStyle w:val="Heading1"/>
      </w:pPr>
      <w:r>
        <w:t>Acknowledgment</w:t>
      </w:r>
    </w:p>
    <w:p>
      <w:r>
        <w:t>Personnel acknowledge this policy at hire and at least annually. Acknowledgments are recorded per version.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5C6F78"/>
        <w:sz w:val="16"/>
      </w:rPr>
      <w:t xml:space="preserve">Internal  ·  Version [1.0]  ·  Page </w:t>
    </w:r>
    <w:r>
      <w:rPr>
        <w:color w:val="5C6F78"/>
        <w:sz w:val="16"/>
      </w:rPr>
      <w:fldChar w:fldCharType="begin"/>
    </w:r>
    <w:r>
      <w:rPr>
        <w:color w:val="5C6F78"/>
        <w:sz w:val="16"/>
      </w:rPr>
      <w:instrText xml:space="preserve">PAGE</w:instrText>
    </w:r>
    <w:r>
      <w:rPr>
        <w:color w:val="5C6F7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5C6F78"/>
        <w:sz w:val="16"/>
      </w:rPr>
      <w:t>[Company Name]  ·  P-08  ·  Secure Development and Change Management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0E2A3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8B8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E2A3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Development and Change Management Policy</dc:title>
  <dc:subject>P-08 template</dc:subject>
  <dc:creator>[Company Name]</dc:creator>
  <cp:keywords/>
  <dc:description>generated by python-docx</dc:description>
  <cp:lastModifiedBy/>
  <cp:revision>1</cp:revision>
  <dcterms:created xsi:type="dcterms:W3CDTF">2026-01-01T00:00:00Z</dcterms:created>
  <dcterms:modified xsi:type="dcterms:W3CDTF">2026-01-01T00:00:00Z</dcterms:modified>
  <cp:category/>
</cp:coreProperties>
</file>