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Access Control Policy</w:t>
      </w:r>
    </w:p>
    <w:p>
      <w:r>
        <w:rPr>
          <w:b/>
          <w:i w:val="0"/>
          <w:color w:val="0E2A35"/>
        </w:rPr>
        <w:t>[Company Name]</w:t>
      </w:r>
      <w:r>
        <w:rPr>
          <w:b w:val="0"/>
          <w:i w:val="0"/>
          <w:color w:val="5C6F78"/>
        </w:rPr>
        <w:t xml:space="preserve">  ·  P-05</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P-05</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Access Control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Security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CC6.1-CC6.3, CC6.6 · ISO 27001:2022: A.5.15-A.5.18, A.8.2-A.8.5</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IAM-01 to IAM-09</w:t>
            </w:r>
          </w:p>
        </w:tc>
      </w:tr>
    </w:tbl>
    <w:p/>
    <w:p>
      <w:pPr>
        <w:pStyle w:val="Heading1"/>
      </w:pPr>
      <w:r>
        <w:t>1. Purpose</w:t>
      </w:r>
    </w:p>
    <w:p>
      <w:r>
        <w:t>To ensure access to systems and data is limited to authorized people, for the least access they need, for as long as they need it.</w:t>
      </w:r>
    </w:p>
    <w:p>
      <w:pPr>
        <w:pStyle w:val="Heading1"/>
      </w:pPr>
      <w:r>
        <w:t>2. Scope and applicability</w:t>
      </w:r>
    </w:p>
    <w:p>
      <w:r>
        <w:t>All users, accounts (human, service and shared) and systems, including cloud services and third-party applications.</w:t>
      </w:r>
    </w:p>
    <w:p>
      <w:pPr>
        <w:pStyle w:val="Heading1"/>
      </w:pPr>
      <w:r>
        <w:t>3. Principles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Access is granted on need-to-know and least privilege, and approved by the system or data owner.</w:t>
            </w:r>
          </w:p>
        </w:tc>
        <w:tc>
          <w:tcPr>
            <w:tcW w:type="dxa" w:w="3231"/>
          </w:tcPr>
          <w:p>
            <w:pPr>
              <w:spacing w:after="40"/>
            </w:pPr>
            <w:r/>
            <w:r>
              <w:rPr>
                <w:b w:val="0"/>
                <w:i w:val="0"/>
                <w:sz w:val="20"/>
              </w:rPr>
              <w:t>Access request tickets with approval</w:t>
            </w:r>
          </w:p>
        </w:tc>
      </w:tr>
      <w:tr>
        <w:tc>
          <w:tcPr>
            <w:tcW w:type="dxa" w:w="737"/>
          </w:tcPr>
          <w:p>
            <w:pPr>
              <w:spacing w:after="40"/>
            </w:pPr>
            <w:r/>
            <w:r>
              <w:rPr>
                <w:b w:val="0"/>
                <w:i w:val="0"/>
                <w:sz w:val="20"/>
              </w:rPr>
              <w:t>3.2</w:t>
            </w:r>
          </w:p>
        </w:tc>
        <w:tc>
          <w:tcPr>
            <w:tcW w:type="dxa" w:w="5443"/>
          </w:tcPr>
          <w:p>
            <w:pPr>
              <w:spacing w:after="40"/>
            </w:pPr>
            <w:r/>
            <w:r>
              <w:rPr>
                <w:b w:val="0"/>
                <w:i w:val="0"/>
                <w:sz w:val="20"/>
              </w:rPr>
              <w:t>Each user has a unique identity; shared accounts are prohibited unless approved and controlled.</w:t>
            </w:r>
          </w:p>
        </w:tc>
        <w:tc>
          <w:tcPr>
            <w:tcW w:type="dxa" w:w="3231"/>
          </w:tcPr>
          <w:p>
            <w:pPr>
              <w:spacing w:after="40"/>
            </w:pPr>
            <w:r/>
            <w:r>
              <w:rPr>
                <w:b w:val="0"/>
                <w:i w:val="0"/>
                <w:sz w:val="20"/>
              </w:rPr>
              <w:t>Account listing; exception register</w:t>
            </w:r>
          </w:p>
        </w:tc>
      </w:tr>
      <w:tr>
        <w:tc>
          <w:tcPr>
            <w:tcW w:type="dxa" w:w="737"/>
          </w:tcPr>
          <w:p>
            <w:pPr>
              <w:spacing w:after="40"/>
            </w:pPr>
            <w:r/>
            <w:r>
              <w:rPr>
                <w:b w:val="0"/>
                <w:i w:val="0"/>
                <w:sz w:val="20"/>
              </w:rPr>
              <w:t>3.3</w:t>
            </w:r>
          </w:p>
        </w:tc>
        <w:tc>
          <w:tcPr>
            <w:tcW w:type="dxa" w:w="5443"/>
          </w:tcPr>
          <w:p>
            <w:pPr>
              <w:spacing w:after="40"/>
            </w:pPr>
            <w:r/>
            <w:r>
              <w:rPr>
                <w:b w:val="0"/>
                <w:i w:val="0"/>
                <w:sz w:val="20"/>
              </w:rPr>
              <w:t>Duties are separated so that no one person can complete a high-risk action alone, where practical.</w:t>
            </w:r>
          </w:p>
        </w:tc>
        <w:tc>
          <w:tcPr>
            <w:tcW w:type="dxa" w:w="3231"/>
          </w:tcPr>
          <w:p>
            <w:pPr>
              <w:spacing w:after="40"/>
            </w:pPr>
            <w:r/>
            <w:r>
              <w:rPr>
                <w:b w:val="0"/>
                <w:i w:val="0"/>
                <w:sz w:val="20"/>
              </w:rPr>
              <w:t>Role design; approval workflow settings</w:t>
            </w:r>
          </w:p>
        </w:tc>
      </w:tr>
    </w:tbl>
    <w:p/>
    <w:p>
      <w:pPr>
        <w:pStyle w:val="Heading1"/>
      </w:pPr>
      <w:r>
        <w:t>4. Authentication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Multi-factor authentication is required for [all workforce access, remote access and administrator access].</w:t>
            </w:r>
          </w:p>
        </w:tc>
        <w:tc>
          <w:tcPr>
            <w:tcW w:type="dxa" w:w="3231"/>
          </w:tcPr>
          <w:p>
            <w:pPr>
              <w:spacing w:after="40"/>
            </w:pPr>
            <w:r/>
            <w:r>
              <w:rPr>
                <w:b w:val="0"/>
                <w:i w:val="0"/>
                <w:sz w:val="20"/>
              </w:rPr>
              <w:t>Identity provider policy export</w:t>
            </w:r>
          </w:p>
        </w:tc>
      </w:tr>
      <w:tr>
        <w:tc>
          <w:tcPr>
            <w:tcW w:type="dxa" w:w="737"/>
          </w:tcPr>
          <w:p>
            <w:pPr>
              <w:spacing w:after="40"/>
            </w:pPr>
            <w:r/>
            <w:r>
              <w:rPr>
                <w:b w:val="0"/>
                <w:i w:val="0"/>
                <w:sz w:val="20"/>
              </w:rPr>
              <w:t>4.2</w:t>
            </w:r>
          </w:p>
        </w:tc>
        <w:tc>
          <w:tcPr>
            <w:tcW w:type="dxa" w:w="5443"/>
          </w:tcPr>
          <w:p>
            <w:pPr>
              <w:spacing w:after="40"/>
            </w:pPr>
            <w:r/>
            <w:r>
              <w:rPr>
                <w:b w:val="0"/>
                <w:i w:val="0"/>
                <w:sz w:val="20"/>
              </w:rPr>
              <w:t>Passwords or passphrases meet the Authentication and Password Standard.</w:t>
            </w:r>
          </w:p>
        </w:tc>
        <w:tc>
          <w:tcPr>
            <w:tcW w:type="dxa" w:w="3231"/>
          </w:tcPr>
          <w:p>
            <w:pPr>
              <w:spacing w:after="40"/>
            </w:pPr>
            <w:r/>
            <w:r>
              <w:rPr>
                <w:b w:val="0"/>
                <w:i w:val="0"/>
                <w:sz w:val="20"/>
              </w:rPr>
              <w:t>Configuration screenshot or export</w:t>
            </w:r>
          </w:p>
        </w:tc>
      </w:tr>
      <w:tr>
        <w:tc>
          <w:tcPr>
            <w:tcW w:type="dxa" w:w="737"/>
          </w:tcPr>
          <w:p>
            <w:pPr>
              <w:spacing w:after="40"/>
            </w:pPr>
            <w:r/>
            <w:r>
              <w:rPr>
                <w:b w:val="0"/>
                <w:i w:val="0"/>
                <w:sz w:val="20"/>
              </w:rPr>
              <w:t>4.3</w:t>
            </w:r>
          </w:p>
        </w:tc>
        <w:tc>
          <w:tcPr>
            <w:tcW w:type="dxa" w:w="5443"/>
          </w:tcPr>
          <w:p>
            <w:pPr>
              <w:spacing w:after="40"/>
            </w:pPr>
            <w:r/>
            <w:r>
              <w:rPr>
                <w:b w:val="0"/>
                <w:i w:val="0"/>
                <w:sz w:val="20"/>
              </w:rPr>
              <w:t>Service accounts have an owner, a documented purpose and protected credentials.</w:t>
            </w:r>
          </w:p>
        </w:tc>
        <w:tc>
          <w:tcPr>
            <w:tcW w:type="dxa" w:w="3231"/>
          </w:tcPr>
          <w:p>
            <w:pPr>
              <w:spacing w:after="40"/>
            </w:pPr>
            <w:r/>
            <w:r>
              <w:rPr>
                <w:b w:val="0"/>
                <w:i w:val="0"/>
                <w:sz w:val="20"/>
              </w:rPr>
              <w:t>Service account inventory</w:t>
            </w:r>
          </w:p>
        </w:tc>
      </w:tr>
    </w:tbl>
    <w:p/>
    <w:p>
      <w:pPr>
        <w:pStyle w:val="Heading1"/>
      </w:pPr>
      <w:r>
        <w:t>5. Privileged access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Administrator rights are granted separately from normal accounts, approved by [role], and reviewed at least [quarterly].</w:t>
            </w:r>
          </w:p>
        </w:tc>
        <w:tc>
          <w:tcPr>
            <w:tcW w:type="dxa" w:w="3231"/>
          </w:tcPr>
          <w:p>
            <w:pPr>
              <w:spacing w:after="40"/>
            </w:pPr>
            <w:r/>
            <w:r>
              <w:rPr>
                <w:b w:val="0"/>
                <w:i w:val="0"/>
                <w:sz w:val="20"/>
              </w:rPr>
              <w:t>Privileged role listing and review package</w:t>
            </w:r>
          </w:p>
        </w:tc>
      </w:tr>
    </w:tbl>
    <w:p/>
    <w:p>
      <w:pPr>
        <w:pStyle w:val="Heading1"/>
      </w:pPr>
      <w:r>
        <w:t>6. Provisioning, review and removal</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Access is removed within [one business day] of termination and on role change.</w:t>
            </w:r>
          </w:p>
        </w:tc>
        <w:tc>
          <w:tcPr>
            <w:tcW w:type="dxa" w:w="3231"/>
          </w:tcPr>
          <w:p>
            <w:pPr>
              <w:spacing w:after="40"/>
            </w:pPr>
            <w:r/>
            <w:r>
              <w:rPr>
                <w:b w:val="0"/>
                <w:i w:val="0"/>
                <w:sz w:val="20"/>
              </w:rPr>
              <w:t>Termination tickets compared to account disable dates</w:t>
            </w:r>
          </w:p>
        </w:tc>
      </w:tr>
      <w:tr>
        <w:tc>
          <w:tcPr>
            <w:tcW w:type="dxa" w:w="737"/>
          </w:tcPr>
          <w:p>
            <w:pPr>
              <w:spacing w:after="40"/>
            </w:pPr>
            <w:r/>
            <w:r>
              <w:rPr>
                <w:b w:val="0"/>
                <w:i w:val="0"/>
                <w:sz w:val="20"/>
              </w:rPr>
              <w:t>6.2</w:t>
            </w:r>
          </w:p>
        </w:tc>
        <w:tc>
          <w:tcPr>
            <w:tcW w:type="dxa" w:w="5443"/>
          </w:tcPr>
          <w:p>
            <w:pPr>
              <w:spacing w:after="40"/>
            </w:pPr>
            <w:r/>
            <w:r>
              <w:rPr>
                <w:b w:val="0"/>
                <w:i w:val="0"/>
                <w:sz w:val="20"/>
              </w:rPr>
              <w:t>Access to in-scope systems is reviewed at least [quarterly] by the system owner, and findings are corrected within [days].</w:t>
            </w:r>
          </w:p>
        </w:tc>
        <w:tc>
          <w:tcPr>
            <w:tcW w:type="dxa" w:w="3231"/>
          </w:tcPr>
          <w:p>
            <w:pPr>
              <w:spacing w:after="40"/>
            </w:pPr>
            <w:r/>
            <w:r>
              <w:rPr>
                <w:b w:val="0"/>
                <w:i w:val="0"/>
                <w:sz w:val="20"/>
              </w:rPr>
              <w:t>Signed review package</w:t>
            </w:r>
          </w:p>
        </w:tc>
      </w:tr>
      <w:tr>
        <w:tc>
          <w:tcPr>
            <w:tcW w:type="dxa" w:w="737"/>
          </w:tcPr>
          <w:p>
            <w:pPr>
              <w:spacing w:after="40"/>
            </w:pPr>
            <w:r/>
            <w:r>
              <w:rPr>
                <w:b w:val="0"/>
                <w:i w:val="0"/>
                <w:sz w:val="20"/>
              </w:rPr>
              <w:t>6.3</w:t>
            </w:r>
          </w:p>
        </w:tc>
        <w:tc>
          <w:tcPr>
            <w:tcW w:type="dxa" w:w="5443"/>
          </w:tcPr>
          <w:p>
            <w:pPr>
              <w:spacing w:after="40"/>
            </w:pPr>
            <w:r/>
            <w:r>
              <w:rPr>
                <w:b w:val="0"/>
                <w:i w:val="0"/>
                <w:sz w:val="20"/>
              </w:rPr>
              <w:t>Remote and third-party access is restricted to approved methods and is logged.</w:t>
            </w:r>
          </w:p>
        </w:tc>
        <w:tc>
          <w:tcPr>
            <w:tcW w:type="dxa" w:w="3231"/>
          </w:tcPr>
          <w:p>
            <w:pPr>
              <w:spacing w:after="40"/>
            </w:pPr>
            <w:r/>
            <w:r>
              <w:rPr>
                <w:b w:val="0"/>
                <w:i w:val="0"/>
                <w:sz w:val="20"/>
              </w:rPr>
              <w:t>VPN or access gateway configuration</w:t>
            </w:r>
          </w:p>
        </w:tc>
      </w:tr>
    </w:tbl>
    <w:p/>
    <w:p>
      <w:pPr>
        <w:pStyle w:val="Heading1"/>
      </w:pPr>
      <w:r>
        <w:t>7.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this policy and the review process</w:t>
            </w:r>
          </w:p>
        </w:tc>
      </w:tr>
      <w:tr>
        <w:tc>
          <w:tcPr>
            <w:tcW w:type="dxa" w:w="2608"/>
          </w:tcPr>
          <w:p>
            <w:pPr>
              <w:spacing w:after="40"/>
            </w:pPr>
            <w:r/>
            <w:r>
              <w:rPr>
                <w:b w:val="0"/>
                <w:i w:val="0"/>
                <w:sz w:val="20"/>
              </w:rPr>
              <w:t>System and data owners</w:t>
            </w:r>
          </w:p>
        </w:tc>
        <w:tc>
          <w:tcPr>
            <w:tcW w:type="dxa" w:w="6803"/>
          </w:tcPr>
          <w:p>
            <w:pPr>
              <w:spacing w:after="40"/>
            </w:pPr>
            <w:r/>
            <w:r>
              <w:rPr>
                <w:b w:val="0"/>
                <w:i w:val="0"/>
                <w:sz w:val="20"/>
              </w:rPr>
              <w:t>Approve and review access</w:t>
            </w:r>
          </w:p>
        </w:tc>
      </w:tr>
      <w:tr>
        <w:tc>
          <w:tcPr>
            <w:tcW w:type="dxa" w:w="2608"/>
          </w:tcPr>
          <w:p>
            <w:pPr>
              <w:spacing w:after="40"/>
            </w:pPr>
            <w:r/>
            <w:r>
              <w:rPr>
                <w:b w:val="0"/>
                <w:i w:val="0"/>
                <w:sz w:val="20"/>
              </w:rPr>
              <w:t>IT and engineering</w:t>
            </w:r>
          </w:p>
        </w:tc>
        <w:tc>
          <w:tcPr>
            <w:tcW w:type="dxa" w:w="6803"/>
          </w:tcPr>
          <w:p>
            <w:pPr>
              <w:spacing w:after="40"/>
            </w:pPr>
            <w:r/>
            <w:r>
              <w:rPr>
                <w:b w:val="0"/>
                <w:i w:val="0"/>
                <w:sz w:val="20"/>
              </w:rPr>
              <w:t>Provision and remove access as approved</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Authentication and Password Standard; Privileged Access Standard; User Access Provisioning Procedure; User Access Review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P-05  ·  Access Control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Policy</dc:title>
  <dc:subject>P-05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