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F8B8D"/>
          <w:sz w:val="18"/>
        </w:rPr>
        <w:t>POLICY TEMPLATE</w:t>
      </w:r>
    </w:p>
    <w:p>
      <w:pPr>
        <w:pStyle w:val="Title"/>
      </w:pPr>
      <w:r>
        <w:t>Cryptography and Key Management Policy</w:t>
      </w:r>
    </w:p>
    <w:p>
      <w:r>
        <w:rPr>
          <w:b/>
          <w:i w:val="0"/>
          <w:color w:val="0E2A35"/>
        </w:rPr>
        <w:t>[Company Name]</w:t>
      </w:r>
      <w:r>
        <w:rPr>
          <w:b w:val="0"/>
          <w:i w:val="0"/>
          <w:color w:val="5C6F78"/>
        </w:rPr>
        <w:t xml:space="preserve">  ·  P-06</w:t>
      </w:r>
    </w:p>
    <w:tbl>
      <w:tblPr>
        <w:tblW w:type="auto" w:w="0"/>
        <w:tblLook w:firstColumn="1" w:firstRow="1" w:lastColumn="0" w:lastRow="0" w:noHBand="0" w:noVBand="1" w:val="04A0"/>
        <w:tblBorders>
          <w:top w:val="single" w:sz="4" w:space="0" w:color="0F8B8D"/>
          <w:left w:val="single" w:sz="4" w:space="0" w:color="0F8B8D"/>
          <w:bottom w:val="single" w:sz="4" w:space="0" w:color="0F8B8D"/>
          <w:right w:val="single" w:sz="4" w:space="0" w:color="0F8B8D"/>
          <w:insideH w:val="single" w:sz="4" w:space="0" w:color="0F8B8D"/>
          <w:insideV w:val="single" w:sz="4" w:space="0" w:color="0F8B8D"/>
        </w:tblBorders>
      </w:tblPr>
      <w:tblGrid>
        <w:gridCol w:w="9746"/>
      </w:tblGrid>
      <w:tr>
        <w:tc>
          <w:tcPr>
            <w:tcW w:type="dxa" w:w="9746"/>
            <w:shd w:val="clear" w:color="auto" w:fill="EEF3F4"/>
          </w:tcPr>
          <w:p>
            <w:pPr>
              <w:spacing w:after="40"/>
            </w:pPr>
            <w:r/>
            <w:r>
              <w:rPr>
                <w:b w:val="0"/>
                <w:i w:val="0"/>
                <w:color w:val="0E2A35"/>
                <w:sz w:val="19"/>
              </w:rPr>
              <w:t>TEMPLATE. Replace every [bracketed] text with what [Company Name] actually does, delete the grey guidance lines, and remove statements that are not true today. Every "must" is something an auditor can test, so keep the "How it is tested" column accurate. Set the document owner, approver and review dates in the document control table.</w:t>
            </w:r>
          </w:p>
        </w:tc>
      </w:tr>
    </w:tbl>
    <w:p/>
    <w:tbl>
      <w:tblPr>
        <w:tblW w:type="auto" w:w="0"/>
        <w:jc w:val="center"/>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381"/>
        <w:gridCol w:w="7030"/>
      </w:tblGrid>
      <w:tr>
        <w:tc>
          <w:tcPr>
            <w:tcW w:type="dxa" w:w="2381"/>
            <w:shd w:val="clear" w:color="auto" w:fill="EEF3F4"/>
          </w:tcPr>
          <w:p>
            <w:pPr>
              <w:spacing w:after="40"/>
            </w:pPr>
            <w:r/>
            <w:r>
              <w:rPr>
                <w:b/>
                <w:i w:val="0"/>
                <w:color w:val="0E2A35"/>
                <w:sz w:val="20"/>
              </w:rPr>
              <w:t>Document number</w:t>
            </w:r>
          </w:p>
        </w:tc>
        <w:tc>
          <w:tcPr>
            <w:tcW w:type="dxa" w:w="7030"/>
          </w:tcPr>
          <w:p>
            <w:pPr>
              <w:spacing w:after="40"/>
            </w:pPr>
            <w:r/>
            <w:r>
              <w:rPr>
                <w:b w:val="0"/>
                <w:i w:val="0"/>
                <w:sz w:val="20"/>
              </w:rPr>
              <w:t>P-06</w:t>
            </w:r>
          </w:p>
        </w:tc>
      </w:tr>
      <w:tr>
        <w:tc>
          <w:tcPr>
            <w:tcW w:type="dxa" w:w="2381"/>
            <w:shd w:val="clear" w:color="auto" w:fill="EEF3F4"/>
          </w:tcPr>
          <w:p>
            <w:pPr>
              <w:spacing w:after="40"/>
            </w:pPr>
            <w:r/>
            <w:r>
              <w:rPr>
                <w:b/>
                <w:i w:val="0"/>
                <w:color w:val="0E2A35"/>
                <w:sz w:val="20"/>
              </w:rPr>
              <w:t>Title</w:t>
            </w:r>
          </w:p>
        </w:tc>
        <w:tc>
          <w:tcPr>
            <w:tcW w:type="dxa" w:w="7030"/>
          </w:tcPr>
          <w:p>
            <w:pPr>
              <w:spacing w:after="40"/>
            </w:pPr>
            <w:r/>
            <w:r>
              <w:rPr>
                <w:b w:val="0"/>
                <w:i w:val="0"/>
                <w:sz w:val="20"/>
              </w:rPr>
              <w:t>Cryptography and Key Management Policy</w:t>
            </w:r>
          </w:p>
        </w:tc>
      </w:tr>
      <w:tr>
        <w:tc>
          <w:tcPr>
            <w:tcW w:type="dxa" w:w="2381"/>
            <w:shd w:val="clear" w:color="auto" w:fill="EEF3F4"/>
          </w:tcPr>
          <w:p>
            <w:pPr>
              <w:spacing w:after="40"/>
            </w:pPr>
            <w:r/>
            <w:r>
              <w:rPr>
                <w:b/>
                <w:i w:val="0"/>
                <w:color w:val="0E2A35"/>
                <w:sz w:val="20"/>
              </w:rPr>
              <w:t>Type</w:t>
            </w:r>
          </w:p>
        </w:tc>
        <w:tc>
          <w:tcPr>
            <w:tcW w:type="dxa" w:w="7030"/>
          </w:tcPr>
          <w:p>
            <w:pPr>
              <w:spacing w:after="40"/>
            </w:pPr>
            <w:r/>
            <w:r>
              <w:rPr>
                <w:b w:val="0"/>
                <w:i w:val="0"/>
                <w:sz w:val="20"/>
              </w:rPr>
              <w:t>Policy</w:t>
            </w:r>
          </w:p>
        </w:tc>
      </w:tr>
      <w:tr>
        <w:tc>
          <w:tcPr>
            <w:tcW w:type="dxa" w:w="2381"/>
            <w:shd w:val="clear" w:color="auto" w:fill="EEF3F4"/>
          </w:tcPr>
          <w:p>
            <w:pPr>
              <w:spacing w:after="40"/>
            </w:pPr>
            <w:r/>
            <w:r>
              <w:rPr>
                <w:b/>
                <w:i w:val="0"/>
                <w:color w:val="0E2A35"/>
                <w:sz w:val="20"/>
              </w:rPr>
              <w:t>Owner</w:t>
            </w:r>
          </w:p>
        </w:tc>
        <w:tc>
          <w:tcPr>
            <w:tcW w:type="dxa" w:w="7030"/>
          </w:tcPr>
          <w:p>
            <w:pPr>
              <w:spacing w:after="40"/>
            </w:pPr>
            <w:r/>
            <w:r>
              <w:rPr>
                <w:b w:val="0"/>
                <w:i w:val="0"/>
                <w:sz w:val="20"/>
              </w:rPr>
              <w:t>[Named person in the role: Engineering lead]</w:t>
            </w:r>
          </w:p>
        </w:tc>
      </w:tr>
      <w:tr>
        <w:tc>
          <w:tcPr>
            <w:tcW w:type="dxa" w:w="2381"/>
            <w:shd w:val="clear" w:color="auto" w:fill="EEF3F4"/>
          </w:tcPr>
          <w:p>
            <w:pPr>
              <w:spacing w:after="40"/>
            </w:pPr>
            <w:r/>
            <w:r>
              <w:rPr>
                <w:b/>
                <w:i w:val="0"/>
                <w:color w:val="0E2A35"/>
                <w:sz w:val="20"/>
              </w:rPr>
              <w:t>Approver</w:t>
            </w:r>
          </w:p>
        </w:tc>
        <w:tc>
          <w:tcPr>
            <w:tcW w:type="dxa" w:w="7030"/>
          </w:tcPr>
          <w:p>
            <w:pPr>
              <w:spacing w:after="40"/>
            </w:pPr>
            <w:r/>
            <w:r>
              <w:rPr>
                <w:b w:val="0"/>
                <w:i w:val="0"/>
                <w:sz w:val="20"/>
              </w:rPr>
              <w:t>Executive sponsor</w:t>
            </w:r>
          </w:p>
        </w:tc>
      </w:tr>
      <w:tr>
        <w:tc>
          <w:tcPr>
            <w:tcW w:type="dxa" w:w="2381"/>
            <w:shd w:val="clear" w:color="auto" w:fill="EEF3F4"/>
          </w:tcPr>
          <w:p>
            <w:pPr>
              <w:spacing w:after="40"/>
            </w:pPr>
            <w:r/>
            <w:r>
              <w:rPr>
                <w:b/>
                <w:i w:val="0"/>
                <w:color w:val="0E2A35"/>
                <w:sz w:val="20"/>
              </w:rPr>
              <w:t>Version</w:t>
            </w:r>
          </w:p>
        </w:tc>
        <w:tc>
          <w:tcPr>
            <w:tcW w:type="dxa" w:w="7030"/>
          </w:tcPr>
          <w:p>
            <w:pPr>
              <w:spacing w:after="40"/>
            </w:pPr>
            <w:r/>
            <w:r>
              <w:rPr>
                <w:b w:val="0"/>
                <w:i w:val="0"/>
                <w:sz w:val="20"/>
              </w:rPr>
              <w:t>[1.0]  (major on any change to a commitment; minor for wording)</w:t>
            </w:r>
          </w:p>
        </w:tc>
      </w:tr>
      <w:tr>
        <w:tc>
          <w:tcPr>
            <w:tcW w:type="dxa" w:w="2381"/>
            <w:shd w:val="clear" w:color="auto" w:fill="EEF3F4"/>
          </w:tcPr>
          <w:p>
            <w:pPr>
              <w:spacing w:after="40"/>
            </w:pPr>
            <w:r/>
            <w:r>
              <w:rPr>
                <w:b/>
                <w:i w:val="0"/>
                <w:color w:val="0E2A35"/>
                <w:sz w:val="20"/>
              </w:rPr>
              <w:t>Effective date</w:t>
            </w:r>
          </w:p>
        </w:tc>
        <w:tc>
          <w:tcPr>
            <w:tcW w:type="dxa" w:w="7030"/>
          </w:tcPr>
          <w:p>
            <w:pPr>
              <w:spacing w:after="40"/>
            </w:pPr>
            <w:r/>
            <w:r>
              <w:rPr>
                <w:b w:val="0"/>
                <w:i w:val="0"/>
                <w:sz w:val="20"/>
              </w:rPr>
              <w:t>[YYYY-MM-DD]</w:t>
            </w:r>
          </w:p>
        </w:tc>
      </w:tr>
      <w:tr>
        <w:tc>
          <w:tcPr>
            <w:tcW w:type="dxa" w:w="2381"/>
            <w:shd w:val="clear" w:color="auto" w:fill="EEF3F4"/>
          </w:tcPr>
          <w:p>
            <w:pPr>
              <w:spacing w:after="40"/>
            </w:pPr>
            <w:r/>
            <w:r>
              <w:rPr>
                <w:b/>
                <w:i w:val="0"/>
                <w:color w:val="0E2A35"/>
                <w:sz w:val="20"/>
              </w:rPr>
              <w:t>Next review date</w:t>
            </w:r>
          </w:p>
        </w:tc>
        <w:tc>
          <w:tcPr>
            <w:tcW w:type="dxa" w:w="7030"/>
          </w:tcPr>
          <w:p>
            <w:pPr>
              <w:spacing w:after="40"/>
            </w:pPr>
            <w:r/>
            <w:r>
              <w:rPr>
                <w:b w:val="0"/>
                <w:i w:val="0"/>
                <w:sz w:val="20"/>
              </w:rPr>
              <w:t>[Within 12 months of approval]</w:t>
            </w:r>
          </w:p>
        </w:tc>
      </w:tr>
      <w:tr>
        <w:tc>
          <w:tcPr>
            <w:tcW w:type="dxa" w:w="2381"/>
            <w:shd w:val="clear" w:color="auto" w:fill="EEF3F4"/>
          </w:tcPr>
          <w:p>
            <w:pPr>
              <w:spacing w:after="40"/>
            </w:pPr>
            <w:r/>
            <w:r>
              <w:rPr>
                <w:b/>
                <w:i w:val="0"/>
                <w:color w:val="0E2A35"/>
                <w:sz w:val="20"/>
              </w:rPr>
              <w:t>Classification</w:t>
            </w:r>
          </w:p>
        </w:tc>
        <w:tc>
          <w:tcPr>
            <w:tcW w:type="dxa" w:w="7030"/>
          </w:tcPr>
          <w:p>
            <w:pPr>
              <w:spacing w:after="40"/>
            </w:pPr>
            <w:r/>
            <w:r>
              <w:rPr>
                <w:b w:val="0"/>
                <w:i w:val="0"/>
                <w:sz w:val="20"/>
              </w:rPr>
              <w:t>Internal  (mark customer-shareable versions as such)</w:t>
            </w:r>
          </w:p>
        </w:tc>
      </w:tr>
      <w:tr>
        <w:tc>
          <w:tcPr>
            <w:tcW w:type="dxa" w:w="2381"/>
            <w:shd w:val="clear" w:color="auto" w:fill="EEF3F4"/>
          </w:tcPr>
          <w:p>
            <w:pPr>
              <w:spacing w:after="40"/>
            </w:pPr>
            <w:r/>
            <w:r>
              <w:rPr>
                <w:b/>
                <w:i w:val="0"/>
                <w:color w:val="0E2A35"/>
                <w:sz w:val="20"/>
              </w:rPr>
              <w:t>Parent document</w:t>
            </w:r>
          </w:p>
        </w:tc>
        <w:tc>
          <w:tcPr>
            <w:tcW w:type="dxa" w:w="7030"/>
          </w:tcPr>
          <w:p>
            <w:pPr>
              <w:spacing w:after="40"/>
            </w:pPr>
            <w:r/>
            <w:r>
              <w:rPr>
                <w:b w:val="0"/>
                <w:i w:val="0"/>
                <w:sz w:val="20"/>
              </w:rPr>
              <w:t>Information Security Policy</w:t>
            </w:r>
          </w:p>
        </w:tc>
      </w:tr>
      <w:tr>
        <w:tc>
          <w:tcPr>
            <w:tcW w:type="dxa" w:w="2381"/>
            <w:shd w:val="clear" w:color="auto" w:fill="EEF3F4"/>
          </w:tcPr>
          <w:p>
            <w:pPr>
              <w:spacing w:after="40"/>
            </w:pPr>
            <w:r/>
            <w:r>
              <w:rPr>
                <w:b/>
                <w:i w:val="0"/>
                <w:color w:val="0E2A35"/>
                <w:sz w:val="20"/>
              </w:rPr>
              <w:t>Framework mapping</w:t>
            </w:r>
          </w:p>
        </w:tc>
        <w:tc>
          <w:tcPr>
            <w:tcW w:type="dxa" w:w="7030"/>
          </w:tcPr>
          <w:p>
            <w:pPr>
              <w:spacing w:after="40"/>
            </w:pPr>
            <w:r/>
            <w:r>
              <w:rPr>
                <w:b w:val="0"/>
                <w:i w:val="0"/>
                <w:sz w:val="20"/>
              </w:rPr>
              <w:t>SOC 2: CC6.1, CC6.7 · ISO 27001:2022: A.8.24</w:t>
            </w:r>
          </w:p>
        </w:tc>
      </w:tr>
      <w:tr>
        <w:tc>
          <w:tcPr>
            <w:tcW w:type="dxa" w:w="2381"/>
            <w:shd w:val="clear" w:color="auto" w:fill="EEF3F4"/>
          </w:tcPr>
          <w:p>
            <w:pPr>
              <w:spacing w:after="40"/>
            </w:pPr>
            <w:r/>
            <w:r>
              <w:rPr>
                <w:b/>
                <w:i w:val="0"/>
                <w:color w:val="0E2A35"/>
                <w:sz w:val="20"/>
              </w:rPr>
              <w:t>GRC-pal controls</w:t>
            </w:r>
          </w:p>
        </w:tc>
        <w:tc>
          <w:tcPr>
            <w:tcW w:type="dxa" w:w="7030"/>
          </w:tcPr>
          <w:p>
            <w:pPr>
              <w:spacing w:after="40"/>
            </w:pPr>
            <w:r/>
            <w:r>
              <w:rPr>
                <w:b w:val="0"/>
                <w:i w:val="0"/>
                <w:sz w:val="20"/>
              </w:rPr>
              <w:t>CRY-01 to CRY-03</w:t>
            </w:r>
          </w:p>
        </w:tc>
      </w:tr>
    </w:tbl>
    <w:p/>
    <w:p>
      <w:pPr>
        <w:pStyle w:val="Heading1"/>
      </w:pPr>
      <w:r>
        <w:t>1. Purpose</w:t>
      </w:r>
    </w:p>
    <w:p>
      <w:r>
        <w:t>To protect the confidentiality and integrity of information through approved cryptography and sound key management.</w:t>
      </w:r>
    </w:p>
    <w:p>
      <w:pPr>
        <w:pStyle w:val="Heading1"/>
      </w:pPr>
      <w:r>
        <w:t>2. Scope and applicability</w:t>
      </w:r>
    </w:p>
    <w:p>
      <w:r>
        <w:t>Data at rest and in transit, secrets, certificates and cryptographic keys in all company and customer systems.</w:t>
      </w:r>
    </w:p>
    <w:p>
      <w:pPr>
        <w:pStyle w:val="Heading1"/>
      </w:pPr>
      <w:r>
        <w:t>3. Use of encryption</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3.1</w:t>
            </w:r>
          </w:p>
        </w:tc>
        <w:tc>
          <w:tcPr>
            <w:tcW w:type="dxa" w:w="5443"/>
          </w:tcPr>
          <w:p>
            <w:pPr>
              <w:spacing w:after="40"/>
            </w:pPr>
            <w:r/>
            <w:r>
              <w:rPr>
                <w:b w:val="0"/>
                <w:i w:val="0"/>
                <w:sz w:val="20"/>
              </w:rPr>
              <w:t>Customer and confidential data is encrypted in transit using the protocols and versions in the Encryption Standard.</w:t>
            </w:r>
          </w:p>
        </w:tc>
        <w:tc>
          <w:tcPr>
            <w:tcW w:type="dxa" w:w="3231"/>
          </w:tcPr>
          <w:p>
            <w:pPr>
              <w:spacing w:after="40"/>
            </w:pPr>
            <w:r/>
            <w:r>
              <w:rPr>
                <w:b w:val="0"/>
                <w:i w:val="0"/>
                <w:sz w:val="20"/>
              </w:rPr>
              <w:t>TLS scan report</w:t>
            </w:r>
          </w:p>
        </w:tc>
      </w:tr>
      <w:tr>
        <w:tc>
          <w:tcPr>
            <w:tcW w:type="dxa" w:w="737"/>
          </w:tcPr>
          <w:p>
            <w:pPr>
              <w:spacing w:after="40"/>
            </w:pPr>
            <w:r/>
            <w:r>
              <w:rPr>
                <w:b w:val="0"/>
                <w:i w:val="0"/>
                <w:sz w:val="20"/>
              </w:rPr>
              <w:t>3.2</w:t>
            </w:r>
          </w:p>
        </w:tc>
        <w:tc>
          <w:tcPr>
            <w:tcW w:type="dxa" w:w="5443"/>
          </w:tcPr>
          <w:p>
            <w:pPr>
              <w:spacing w:after="40"/>
            </w:pPr>
            <w:r/>
            <w:r>
              <w:rPr>
                <w:b w:val="0"/>
                <w:i w:val="0"/>
                <w:sz w:val="20"/>
              </w:rPr>
              <w:t>Customer and confidential data is encrypted at rest using approved algorithms.</w:t>
            </w:r>
          </w:p>
        </w:tc>
        <w:tc>
          <w:tcPr>
            <w:tcW w:type="dxa" w:w="3231"/>
          </w:tcPr>
          <w:p>
            <w:pPr>
              <w:spacing w:after="40"/>
            </w:pPr>
            <w:r/>
            <w:r>
              <w:rPr>
                <w:b w:val="0"/>
                <w:i w:val="0"/>
                <w:sz w:val="20"/>
              </w:rPr>
              <w:t>Storage and database encryption settings</w:t>
            </w:r>
          </w:p>
        </w:tc>
      </w:tr>
      <w:tr>
        <w:tc>
          <w:tcPr>
            <w:tcW w:type="dxa" w:w="737"/>
          </w:tcPr>
          <w:p>
            <w:pPr>
              <w:spacing w:after="40"/>
            </w:pPr>
            <w:r/>
            <w:r>
              <w:rPr>
                <w:b w:val="0"/>
                <w:i w:val="0"/>
                <w:sz w:val="20"/>
              </w:rPr>
              <w:t>3.3</w:t>
            </w:r>
          </w:p>
        </w:tc>
        <w:tc>
          <w:tcPr>
            <w:tcW w:type="dxa" w:w="5443"/>
          </w:tcPr>
          <w:p>
            <w:pPr>
              <w:spacing w:after="40"/>
            </w:pPr>
            <w:r/>
            <w:r>
              <w:rPr>
                <w:b w:val="0"/>
                <w:i w:val="0"/>
                <w:sz w:val="20"/>
              </w:rPr>
              <w:t>Laptops and mobile devices that hold company data use full-disk encryption.</w:t>
            </w:r>
          </w:p>
        </w:tc>
        <w:tc>
          <w:tcPr>
            <w:tcW w:type="dxa" w:w="3231"/>
          </w:tcPr>
          <w:p>
            <w:pPr>
              <w:spacing w:after="40"/>
            </w:pPr>
            <w:r/>
            <w:r>
              <w:rPr>
                <w:b w:val="0"/>
                <w:i w:val="0"/>
                <w:sz w:val="20"/>
              </w:rPr>
              <w:t>Device compliance report</w:t>
            </w:r>
          </w:p>
        </w:tc>
      </w:tr>
    </w:tbl>
    <w:p/>
    <w:p>
      <w:pPr>
        <w:pStyle w:val="Heading1"/>
      </w:pPr>
      <w:r>
        <w:t>4. Key and secret management</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4.1</w:t>
            </w:r>
          </w:p>
        </w:tc>
        <w:tc>
          <w:tcPr>
            <w:tcW w:type="dxa" w:w="5443"/>
          </w:tcPr>
          <w:p>
            <w:pPr>
              <w:spacing w:after="40"/>
            </w:pPr>
            <w:r/>
            <w:r>
              <w:rPr>
                <w:b w:val="0"/>
                <w:i w:val="0"/>
                <w:sz w:val="20"/>
              </w:rPr>
              <w:t>Keys and secrets are generated, stored and rotated in an approved service and are never kept in source code or shared chat.</w:t>
            </w:r>
          </w:p>
        </w:tc>
        <w:tc>
          <w:tcPr>
            <w:tcW w:type="dxa" w:w="3231"/>
          </w:tcPr>
          <w:p>
            <w:pPr>
              <w:spacing w:after="40"/>
            </w:pPr>
            <w:r/>
            <w:r>
              <w:rPr>
                <w:b w:val="0"/>
                <w:i w:val="0"/>
                <w:sz w:val="20"/>
              </w:rPr>
              <w:t>Key vault configuration; secret scan results</w:t>
            </w:r>
          </w:p>
        </w:tc>
      </w:tr>
      <w:tr>
        <w:tc>
          <w:tcPr>
            <w:tcW w:type="dxa" w:w="737"/>
          </w:tcPr>
          <w:p>
            <w:pPr>
              <w:spacing w:after="40"/>
            </w:pPr>
            <w:r/>
            <w:r>
              <w:rPr>
                <w:b w:val="0"/>
                <w:i w:val="0"/>
                <w:sz w:val="20"/>
              </w:rPr>
              <w:t>4.2</w:t>
            </w:r>
          </w:p>
        </w:tc>
        <w:tc>
          <w:tcPr>
            <w:tcW w:type="dxa" w:w="5443"/>
          </w:tcPr>
          <w:p>
            <w:pPr>
              <w:spacing w:after="40"/>
            </w:pPr>
            <w:r/>
            <w:r>
              <w:rPr>
                <w:b w:val="0"/>
                <w:i w:val="0"/>
                <w:sz w:val="20"/>
              </w:rPr>
              <w:t>Access to keys is limited to the roles that need it and is logged.</w:t>
            </w:r>
          </w:p>
        </w:tc>
        <w:tc>
          <w:tcPr>
            <w:tcW w:type="dxa" w:w="3231"/>
          </w:tcPr>
          <w:p>
            <w:pPr>
              <w:spacing w:after="40"/>
            </w:pPr>
            <w:r/>
            <w:r>
              <w:rPr>
                <w:b w:val="0"/>
                <w:i w:val="0"/>
                <w:sz w:val="20"/>
              </w:rPr>
              <w:t>Key vault access policy and logs</w:t>
            </w:r>
          </w:p>
        </w:tc>
      </w:tr>
      <w:tr>
        <w:tc>
          <w:tcPr>
            <w:tcW w:type="dxa" w:w="737"/>
          </w:tcPr>
          <w:p>
            <w:pPr>
              <w:spacing w:after="40"/>
            </w:pPr>
            <w:r/>
            <w:r>
              <w:rPr>
                <w:b w:val="0"/>
                <w:i w:val="0"/>
                <w:sz w:val="20"/>
              </w:rPr>
              <w:t>4.3</w:t>
            </w:r>
          </w:p>
        </w:tc>
        <w:tc>
          <w:tcPr>
            <w:tcW w:type="dxa" w:w="5443"/>
          </w:tcPr>
          <w:p>
            <w:pPr>
              <w:spacing w:after="40"/>
            </w:pPr>
            <w:r/>
            <w:r>
              <w:rPr>
                <w:b w:val="0"/>
                <w:i w:val="0"/>
                <w:sz w:val="20"/>
              </w:rPr>
              <w:t>Keys are rotated at the intervals in the Encryption Standard and revoked when compromised.</w:t>
            </w:r>
          </w:p>
        </w:tc>
        <w:tc>
          <w:tcPr>
            <w:tcW w:type="dxa" w:w="3231"/>
          </w:tcPr>
          <w:p>
            <w:pPr>
              <w:spacing w:after="40"/>
            </w:pPr>
            <w:r/>
            <w:r>
              <w:rPr>
                <w:b w:val="0"/>
                <w:i w:val="0"/>
                <w:sz w:val="20"/>
              </w:rPr>
              <w:t>Rotation logs</w:t>
            </w:r>
          </w:p>
        </w:tc>
      </w:tr>
    </w:tbl>
    <w:p/>
    <w:p>
      <w:pPr>
        <w:pStyle w:val="Heading1"/>
      </w:pPr>
      <w:r>
        <w:t>5. Certificates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737"/>
        <w:gridCol w:w="5443"/>
        <w:gridCol w:w="3231"/>
      </w:tblGrid>
      <w:tr>
        <w:trPr>
          <w:tblHeader w:val="true"/>
        </w:trPr>
        <w:tc>
          <w:tcPr>
            <w:tcW w:type="dxa" w:w="737"/>
            <w:shd w:val="clear" w:color="auto" w:fill="0E2A35"/>
          </w:tcPr>
          <w:p>
            <w:pPr>
              <w:spacing w:after="40"/>
            </w:pPr>
            <w:r/>
            <w:r>
              <w:rPr>
                <w:b/>
                <w:i w:val="0"/>
                <w:color w:val="FFFFFF"/>
                <w:sz w:val="19"/>
              </w:rPr>
              <w:t>Ref</w:t>
            </w:r>
          </w:p>
        </w:tc>
        <w:tc>
          <w:tcPr>
            <w:tcW w:type="dxa" w:w="5443"/>
            <w:shd w:val="clear" w:color="auto" w:fill="0E2A35"/>
          </w:tcPr>
          <w:p>
            <w:pPr>
              <w:spacing w:after="40"/>
            </w:pPr>
            <w:r/>
            <w:r>
              <w:rPr>
                <w:b/>
                <w:i w:val="0"/>
                <w:color w:val="FFFFFF"/>
                <w:sz w:val="19"/>
              </w:rPr>
              <w:t>Statement</w:t>
            </w:r>
          </w:p>
        </w:tc>
        <w:tc>
          <w:tcPr>
            <w:tcW w:type="dxa" w:w="3231"/>
            <w:shd w:val="clear" w:color="auto" w:fill="0E2A35"/>
          </w:tcPr>
          <w:p>
            <w:pPr>
              <w:spacing w:after="40"/>
            </w:pPr>
            <w:r/>
            <w:r>
              <w:rPr>
                <w:b/>
                <w:i w:val="0"/>
                <w:color w:val="FFFFFF"/>
                <w:sz w:val="19"/>
              </w:rPr>
              <w:t>How it is tested</w:t>
            </w:r>
          </w:p>
        </w:tc>
      </w:tr>
      <w:tr>
        <w:tc>
          <w:tcPr>
            <w:tcW w:type="dxa" w:w="737"/>
          </w:tcPr>
          <w:p>
            <w:pPr>
              <w:spacing w:after="40"/>
            </w:pPr>
            <w:r/>
            <w:r>
              <w:rPr>
                <w:b w:val="0"/>
                <w:i w:val="0"/>
                <w:sz w:val="20"/>
              </w:rPr>
              <w:t>5.1</w:t>
            </w:r>
          </w:p>
        </w:tc>
        <w:tc>
          <w:tcPr>
            <w:tcW w:type="dxa" w:w="5443"/>
          </w:tcPr>
          <w:p>
            <w:pPr>
              <w:spacing w:after="40"/>
            </w:pPr>
            <w:r/>
            <w:r>
              <w:rPr>
                <w:b w:val="0"/>
                <w:i w:val="0"/>
                <w:sz w:val="20"/>
              </w:rPr>
              <w:t>Certificates are inventoried, renewed before expiry and issued by approved authorities.</w:t>
            </w:r>
          </w:p>
        </w:tc>
        <w:tc>
          <w:tcPr>
            <w:tcW w:type="dxa" w:w="3231"/>
          </w:tcPr>
          <w:p>
            <w:pPr>
              <w:spacing w:after="40"/>
            </w:pPr>
            <w:r/>
            <w:r>
              <w:rPr>
                <w:b w:val="0"/>
                <w:i w:val="0"/>
                <w:sz w:val="20"/>
              </w:rPr>
              <w:t>Certificate inventory; expiry monitoring</w:t>
            </w:r>
          </w:p>
        </w:tc>
      </w:tr>
    </w:tbl>
    <w:p/>
    <w:p>
      <w:pPr>
        <w:pStyle w:val="Heading1"/>
      </w:pPr>
      <w:r>
        <w:t>6. Roles and responsibilities</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2608"/>
        <w:gridCol w:w="6803"/>
      </w:tblGrid>
      <w:tr>
        <w:trPr>
          <w:tblHeader w:val="true"/>
        </w:trPr>
        <w:tc>
          <w:tcPr>
            <w:tcW w:type="dxa" w:w="2608"/>
            <w:shd w:val="clear" w:color="auto" w:fill="0E2A35"/>
          </w:tcPr>
          <w:p>
            <w:pPr>
              <w:spacing w:after="40"/>
            </w:pPr>
            <w:r/>
            <w:r>
              <w:rPr>
                <w:b/>
                <w:i w:val="0"/>
                <w:color w:val="FFFFFF"/>
                <w:sz w:val="19"/>
              </w:rPr>
              <w:t>Role</w:t>
            </w:r>
          </w:p>
        </w:tc>
        <w:tc>
          <w:tcPr>
            <w:tcW w:type="dxa" w:w="6803"/>
            <w:shd w:val="clear" w:color="auto" w:fill="0E2A35"/>
          </w:tcPr>
          <w:p>
            <w:pPr>
              <w:spacing w:after="40"/>
            </w:pPr>
            <w:r/>
            <w:r>
              <w:rPr>
                <w:b/>
                <w:i w:val="0"/>
                <w:color w:val="FFFFFF"/>
                <w:sz w:val="19"/>
              </w:rPr>
              <w:t>Responsibility</w:t>
            </w:r>
          </w:p>
        </w:tc>
      </w:tr>
      <w:tr>
        <w:tc>
          <w:tcPr>
            <w:tcW w:type="dxa" w:w="2608"/>
          </w:tcPr>
          <w:p>
            <w:pPr>
              <w:spacing w:after="40"/>
            </w:pPr>
            <w:r/>
            <w:r>
              <w:rPr>
                <w:b w:val="0"/>
                <w:i w:val="0"/>
                <w:sz w:val="20"/>
              </w:rPr>
              <w:t>Engineering lead</w:t>
            </w:r>
          </w:p>
        </w:tc>
        <w:tc>
          <w:tcPr>
            <w:tcW w:type="dxa" w:w="6803"/>
          </w:tcPr>
          <w:p>
            <w:pPr>
              <w:spacing w:after="40"/>
            </w:pPr>
            <w:r/>
            <w:r>
              <w:rPr>
                <w:b w:val="0"/>
                <w:i w:val="0"/>
                <w:sz w:val="20"/>
              </w:rPr>
              <w:t>Owns this policy and key management</w:t>
            </w:r>
          </w:p>
        </w:tc>
      </w:tr>
      <w:tr>
        <w:tc>
          <w:tcPr>
            <w:tcW w:type="dxa" w:w="2608"/>
          </w:tcPr>
          <w:p>
            <w:pPr>
              <w:spacing w:after="40"/>
            </w:pPr>
            <w:r/>
            <w:r>
              <w:rPr>
                <w:b w:val="0"/>
                <w:i w:val="0"/>
                <w:sz w:val="20"/>
              </w:rPr>
              <w:t>Security lead</w:t>
            </w:r>
          </w:p>
        </w:tc>
        <w:tc>
          <w:tcPr>
            <w:tcW w:type="dxa" w:w="6803"/>
          </w:tcPr>
          <w:p>
            <w:pPr>
              <w:spacing w:after="40"/>
            </w:pPr>
            <w:r/>
            <w:r>
              <w:rPr>
                <w:b w:val="0"/>
                <w:i w:val="0"/>
                <w:sz w:val="20"/>
              </w:rPr>
              <w:t>Approves algorithms and reviews exceptions</w:t>
            </w:r>
          </w:p>
        </w:tc>
      </w:tr>
    </w:tbl>
    <w:p/>
    <w:p>
      <w:pPr>
        <w:pStyle w:val="Heading1"/>
      </w:pPr>
      <w:r>
        <w:t>Exceptions</w:t>
      </w:r>
    </w:p>
    <w:p>
      <w:r>
        <w:t>Exceptions are requested in writing with the reason, the risk, compensating controls and an end date, approved by [role] before they take effect, and recorded in the policy exception register.</w:t>
      </w:r>
    </w:p>
    <w:p>
      <w:pPr>
        <w:pStyle w:val="Heading1"/>
      </w:pPr>
      <w:r>
        <w:t>Compliance and enforcement</w:t>
      </w:r>
    </w:p>
    <w:p>
      <w:r>
        <w:t>Violations of this policy may lead to disciplinary action up to and including termination, or contract termination for third parties, as set out in the Human Resources Security Policy.</w:t>
      </w:r>
    </w:p>
    <w:p>
      <w:pPr>
        <w:pStyle w:val="Heading1"/>
      </w:pPr>
      <w:r>
        <w:t>Related documents</w:t>
      </w:r>
    </w:p>
    <w:p>
      <w:r>
        <w:t>Encryption Standard; Secure Coding and Code Review Standard</w:t>
      </w:r>
    </w:p>
    <w:p>
      <w:pPr>
        <w:pStyle w:val="Heading1"/>
      </w:pPr>
      <w:r>
        <w:t>Revision history</w:t>
      </w:r>
    </w:p>
    <w:tbl>
      <w:tblPr>
        <w:tblW w:type="auto" w:w="0"/>
        <w:tblLayout w:type="fixed"/>
        <w:tblLook w:firstColumn="1" w:firstRow="1" w:lastColumn="0" w:lastRow="0" w:noHBand="0" w:noVBand="1" w:val="04A0"/>
        <w:tblBorders>
          <w:top w:val="single" w:sz="4" w:space="0" w:color="DDE5E8"/>
          <w:left w:val="single" w:sz="4" w:space="0" w:color="DDE5E8"/>
          <w:bottom w:val="single" w:sz="4" w:space="0" w:color="DDE5E8"/>
          <w:right w:val="single" w:sz="4" w:space="0" w:color="DDE5E8"/>
          <w:insideH w:val="single" w:sz="4" w:space="0" w:color="DDE5E8"/>
          <w:insideV w:val="single" w:sz="4" w:space="0" w:color="DDE5E8"/>
        </w:tblBorders>
      </w:tblPr>
      <w:tblGrid>
        <w:gridCol w:w="1701"/>
        <w:gridCol w:w="1247"/>
        <w:gridCol w:w="2154"/>
        <w:gridCol w:w="4309"/>
      </w:tblGrid>
      <w:tr>
        <w:trPr>
          <w:tblHeader w:val="true"/>
        </w:trPr>
        <w:tc>
          <w:tcPr>
            <w:tcW w:type="dxa" w:w="1701"/>
            <w:shd w:val="clear" w:color="auto" w:fill="0E2A35"/>
          </w:tcPr>
          <w:p>
            <w:pPr>
              <w:spacing w:after="40"/>
            </w:pPr>
            <w:r/>
            <w:r>
              <w:rPr>
                <w:b/>
                <w:i w:val="0"/>
                <w:color w:val="FFFFFF"/>
                <w:sz w:val="19"/>
              </w:rPr>
              <w:t>Date</w:t>
            </w:r>
          </w:p>
        </w:tc>
        <w:tc>
          <w:tcPr>
            <w:tcW w:type="dxa" w:w="1247"/>
            <w:shd w:val="clear" w:color="auto" w:fill="0E2A35"/>
          </w:tcPr>
          <w:p>
            <w:pPr>
              <w:spacing w:after="40"/>
            </w:pPr>
            <w:r/>
            <w:r>
              <w:rPr>
                <w:b/>
                <w:i w:val="0"/>
                <w:color w:val="FFFFFF"/>
                <w:sz w:val="19"/>
              </w:rPr>
              <w:t>Version</w:t>
            </w:r>
          </w:p>
        </w:tc>
        <w:tc>
          <w:tcPr>
            <w:tcW w:type="dxa" w:w="2154"/>
            <w:shd w:val="clear" w:color="auto" w:fill="0E2A35"/>
          </w:tcPr>
          <w:p>
            <w:pPr>
              <w:spacing w:after="40"/>
            </w:pPr>
            <w:r/>
            <w:r>
              <w:rPr>
                <w:b/>
                <w:i w:val="0"/>
                <w:color w:val="FFFFFF"/>
                <w:sz w:val="19"/>
              </w:rPr>
              <w:t>Author</w:t>
            </w:r>
          </w:p>
        </w:tc>
        <w:tc>
          <w:tcPr>
            <w:tcW w:type="dxa" w:w="4309"/>
            <w:shd w:val="clear" w:color="auto" w:fill="0E2A35"/>
          </w:tcPr>
          <w:p>
            <w:pPr>
              <w:spacing w:after="40"/>
            </w:pPr>
            <w:r/>
            <w:r>
              <w:rPr>
                <w:b/>
                <w:i w:val="0"/>
                <w:color w:val="FFFFFF"/>
                <w:sz w:val="19"/>
              </w:rPr>
              <w:t>Summary of change</w:t>
            </w:r>
          </w:p>
        </w:tc>
      </w:tr>
      <w:tr>
        <w:tc>
          <w:tcPr>
            <w:tcW w:type="dxa" w:w="1701"/>
          </w:tcPr>
          <w:p>
            <w:pPr>
              <w:spacing w:after="40"/>
            </w:pPr>
            <w:r/>
            <w:r>
              <w:rPr>
                <w:b w:val="0"/>
                <w:i w:val="0"/>
                <w:sz w:val="20"/>
              </w:rPr>
              <w:t>[YYYY-MM-DD]</w:t>
            </w:r>
          </w:p>
        </w:tc>
        <w:tc>
          <w:tcPr>
            <w:tcW w:type="dxa" w:w="1247"/>
          </w:tcPr>
          <w:p>
            <w:pPr>
              <w:spacing w:after="40"/>
            </w:pPr>
            <w:r/>
            <w:r>
              <w:rPr>
                <w:b w:val="0"/>
                <w:i w:val="0"/>
                <w:sz w:val="20"/>
              </w:rPr>
              <w:t>[1.0]</w:t>
            </w:r>
          </w:p>
        </w:tc>
        <w:tc>
          <w:tcPr>
            <w:tcW w:type="dxa" w:w="2154"/>
          </w:tcPr>
          <w:p>
            <w:pPr>
              <w:spacing w:after="40"/>
            </w:pPr>
            <w:r/>
            <w:r>
              <w:rPr>
                <w:b w:val="0"/>
                <w:i w:val="0"/>
                <w:sz w:val="20"/>
              </w:rPr>
              <w:t>[Name]</w:t>
            </w:r>
          </w:p>
        </w:tc>
        <w:tc>
          <w:tcPr>
            <w:tcW w:type="dxa" w:w="4309"/>
          </w:tcPr>
          <w:p>
            <w:pPr>
              <w:spacing w:after="40"/>
            </w:pPr>
            <w:r/>
            <w:r>
              <w:rPr>
                <w:b w:val="0"/>
                <w:i w:val="0"/>
                <w:sz w:val="20"/>
              </w:rPr>
              <w:t>Initial version</w:t>
            </w:r>
          </w:p>
        </w:tc>
      </w:tr>
    </w:tbl>
    <w:p/>
    <w:p>
      <w:pPr>
        <w:pStyle w:val="Heading1"/>
      </w:pPr>
      <w:r>
        <w:t>Acknowledgment</w:t>
      </w:r>
    </w:p>
    <w:p>
      <w:r>
        <w:t>Personnel acknowledge this policy at hire and at least annually. Acknowledgments are recorded per version.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C6F78"/>
        <w:sz w:val="16"/>
      </w:rPr>
      <w:t xml:space="preserve">Internal  ·  Version [1.0]  ·  Page </w:t>
    </w:r>
    <w:r>
      <w:rPr>
        <w:color w:val="5C6F78"/>
        <w:sz w:val="16"/>
      </w:rPr>
      <w:fldChar w:fldCharType="begin"/>
    </w:r>
    <w:r>
      <w:rPr>
        <w:color w:val="5C6F78"/>
        <w:sz w:val="16"/>
      </w:rPr>
      <w:instrText xml:space="preserve">PAGE</w:instrText>
    </w:r>
    <w:r>
      <w:rPr>
        <w:color w:val="5C6F7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5C6F78"/>
        <w:sz w:val="16"/>
      </w:rPr>
      <w:t>[Company Name]  ·  P-06  ·  Cryptography and Key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0E2A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8B8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and Key Management Policy</dc:title>
  <dc:subject>P-06 template</dc:subject>
  <dc:creator>[Company Name]</dc:creator>
  <cp:keywords/>
  <dc:description>generated by python-docx</dc:description>
  <cp:lastModifiedBy/>
  <cp:revision>1</cp:revision>
  <dcterms:created xsi:type="dcterms:W3CDTF">2026-01-01T00:00:00Z</dcterms:created>
  <dcterms:modified xsi:type="dcterms:W3CDTF">2026-01-01T00:00:00Z</dcterms:modified>
  <cp:category/>
</cp:coreProperties>
</file>