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STANDARD TEMPLATE</w:t>
      </w:r>
    </w:p>
    <w:p>
      <w:pPr>
        <w:pStyle w:val="Title"/>
      </w:pPr>
      <w:r>
        <w:t>Vendor Risk Tiering Standard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P-09-S1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standard holds the measurable values its parent policy points to, so values can change without re-approving the policy. Decide each value from current practice, then record why.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P-09-S1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Vendor Risk Tiering 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Standard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P-09 Vendor and Third-Party Management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standard sets the parameters for the Vendor and Third-Party Management Policy (P-09).</w:t>
      </w:r>
    </w:p>
    <w:p>
      <w:pPr>
        <w:pStyle w:val="Heading1"/>
      </w:pPr>
      <w:r>
        <w:t>2. Scope</w:t>
      </w:r>
    </w:p>
    <w:p>
      <w:r>
        <w:t>[Systems, data, people and locations the parameters apply to.]</w:t>
      </w:r>
    </w:p>
    <w:p>
      <w:pPr>
        <w:pStyle w:val="Heading1"/>
      </w:pPr>
      <w:r>
        <w:t>3. Parameters</w:t>
      </w:r>
    </w:p>
    <w:p>
      <w:r>
        <w:rPr>
          <w:b w:val="0"/>
          <w:i/>
          <w:color w:val="5C6F78"/>
          <w:sz w:val="18"/>
        </w:rPr>
        <w:t>Guidance: State each value as something that can be measured and evidenced, for example a number of days or a setting name.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1814"/>
        <w:gridCol w:w="2721"/>
        <w:gridCol w:w="2268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Parameter</w:t>
            </w:r>
          </w:p>
        </w:tc>
        <w:tc>
          <w:tcPr>
            <w:tcW w:type="dxa" w:w="181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Value</w:t>
            </w:r>
          </w:p>
        </w:tc>
        <w:tc>
          <w:tcPr>
            <w:tcW w:type="dxa" w:w="272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Why this value / source</w:t>
            </w:r>
          </w:p>
        </w:tc>
        <w:tc>
          <w:tcPr>
            <w:tcW w:type="dxa" w:w="226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Tier criteria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Required due diligence per tier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Review frequency per tier</w:t>
            </w:r>
          </w:p>
        </w:tc>
        <w:tc>
          <w:tcPr>
            <w:tcW w:type="dxa" w:w="181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[value]</w:t>
            </w:r>
          </w:p>
        </w:tc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[decision basis]</w:t>
            </w:r>
          </w:p>
        </w:tc>
        <w:tc>
          <w:tcPr>
            <w:tcW w:type="dxa" w:w="226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[report or setting that proves it]</w:t>
            </w:r>
          </w:p>
        </w:tc>
      </w:tr>
    </w:tbl>
    <w:p/>
    <w:p>
      <w:pPr>
        <w:pStyle w:val="Heading1"/>
      </w:pPr>
      <w:r>
        <w:t>4. Applicability and exceptions</w:t>
      </w:r>
    </w:p>
    <w:p>
      <w:r>
        <w:t>[Systems or groups that follow a different value, and the approved exception route.]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P-09 Vendor and Third-Party Management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P-09-S1  ·  Vendor Risk Tiering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Risk Tiering Standard</dc:title>
  <dc:subject>P-09-S1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