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Vendor and Third-Party Management Policy</w:t>
      </w:r>
    </w:p>
    <w:p>
      <w:r>
        <w:rPr>
          <w:b/>
          <w:i w:val="0"/>
          <w:color w:val="0E2A35"/>
        </w:rPr>
        <w:t>[Company Name]</w:t>
      </w:r>
      <w:r>
        <w:rPr>
          <w:b w:val="0"/>
          <w:i w:val="0"/>
          <w:color w:val="5C6F78"/>
        </w:rPr>
        <w:t xml:space="preserve">  ·  P-09</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P-09</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Vendor and Third-Party Management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CC9.2, CC2.3 · ISO 27001:2022: A.5.19-A.5.23</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VEN-01 to VEN-05</w:t>
            </w:r>
          </w:p>
        </w:tc>
      </w:tr>
    </w:tbl>
    <w:p/>
    <w:p>
      <w:pPr>
        <w:pStyle w:val="Heading1"/>
      </w:pPr>
      <w:r>
        <w:t>1. Purpose</w:t>
      </w:r>
    </w:p>
    <w:p>
      <w:r>
        <w:t>To manage the security risk of vendors, cloud services and other third parties that handle company or customer information or support the service.</w:t>
      </w:r>
    </w:p>
    <w:p>
      <w:pPr>
        <w:pStyle w:val="Heading1"/>
      </w:pPr>
      <w:r>
        <w:t>2. Scope and applicability</w:t>
      </w:r>
    </w:p>
    <w:p>
      <w:r>
        <w:t>All vendors and subservice organizations, from selection through offboarding.</w:t>
      </w:r>
    </w:p>
    <w:p>
      <w:pPr>
        <w:pStyle w:val="Heading1"/>
      </w:pPr>
      <w:r>
        <w:t>3. Selection and onboarding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Each vendor is assigned a risk tier under the Vendor Risk Tiering Standard before data is shared.</w:t>
            </w:r>
          </w:p>
        </w:tc>
        <w:tc>
          <w:tcPr>
            <w:tcW w:type="dxa" w:w="3231"/>
          </w:tcPr>
          <w:p>
            <w:pPr>
              <w:spacing w:after="40"/>
            </w:pPr>
            <w:r/>
            <w:r>
              <w:rPr>
                <w:b w:val="0"/>
                <w:i w:val="0"/>
                <w:sz w:val="20"/>
              </w:rPr>
              <w:t>Vendor register with tier</w:t>
            </w:r>
          </w:p>
        </w:tc>
      </w:tr>
      <w:tr>
        <w:tc>
          <w:tcPr>
            <w:tcW w:type="dxa" w:w="737"/>
          </w:tcPr>
          <w:p>
            <w:pPr>
              <w:spacing w:after="40"/>
            </w:pPr>
            <w:r/>
            <w:r>
              <w:rPr>
                <w:b w:val="0"/>
                <w:i w:val="0"/>
                <w:sz w:val="20"/>
              </w:rPr>
              <w:t>3.2</w:t>
            </w:r>
          </w:p>
        </w:tc>
        <w:tc>
          <w:tcPr>
            <w:tcW w:type="dxa" w:w="5443"/>
          </w:tcPr>
          <w:p>
            <w:pPr>
              <w:spacing w:after="40"/>
            </w:pPr>
            <w:r/>
            <w:r>
              <w:rPr>
                <w:b w:val="0"/>
                <w:i w:val="0"/>
                <w:sz w:val="20"/>
              </w:rPr>
              <w:t>Due diligence is performed in proportion to the tier and includes review of assurance reports or a security questionnaire.</w:t>
            </w:r>
          </w:p>
        </w:tc>
        <w:tc>
          <w:tcPr>
            <w:tcW w:type="dxa" w:w="3231"/>
          </w:tcPr>
          <w:p>
            <w:pPr>
              <w:spacing w:after="40"/>
            </w:pPr>
            <w:r/>
            <w:r>
              <w:rPr>
                <w:b w:val="0"/>
                <w:i w:val="0"/>
                <w:sz w:val="20"/>
              </w:rPr>
              <w:t>Completed assessments; collected reports</w:t>
            </w:r>
          </w:p>
        </w:tc>
      </w:tr>
      <w:tr>
        <w:tc>
          <w:tcPr>
            <w:tcW w:type="dxa" w:w="737"/>
          </w:tcPr>
          <w:p>
            <w:pPr>
              <w:spacing w:after="40"/>
            </w:pPr>
            <w:r/>
            <w:r>
              <w:rPr>
                <w:b w:val="0"/>
                <w:i w:val="0"/>
                <w:sz w:val="20"/>
              </w:rPr>
              <w:t>3.3</w:t>
            </w:r>
          </w:p>
        </w:tc>
        <w:tc>
          <w:tcPr>
            <w:tcW w:type="dxa" w:w="5443"/>
          </w:tcPr>
          <w:p>
            <w:pPr>
              <w:spacing w:after="40"/>
            </w:pPr>
            <w:r/>
            <w:r>
              <w:rPr>
                <w:b w:val="0"/>
                <w:i w:val="0"/>
                <w:sz w:val="20"/>
              </w:rPr>
              <w:t>Contracts include confidentiality, security and incident notification terms.</w:t>
            </w:r>
          </w:p>
        </w:tc>
        <w:tc>
          <w:tcPr>
            <w:tcW w:type="dxa" w:w="3231"/>
          </w:tcPr>
          <w:p>
            <w:pPr>
              <w:spacing w:after="40"/>
            </w:pPr>
            <w:r/>
            <w:r>
              <w:rPr>
                <w:b w:val="0"/>
                <w:i w:val="0"/>
                <w:sz w:val="20"/>
              </w:rPr>
              <w:t>Contract clause review</w:t>
            </w:r>
          </w:p>
        </w:tc>
      </w:tr>
    </w:tbl>
    <w:p/>
    <w:p>
      <w:pPr>
        <w:pStyle w:val="Heading1"/>
      </w:pPr>
      <w:r>
        <w:t>4. Ongoing management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Vendors are reviewed at least annually at the frequency of their tier, including review of the latest assurance report and any exceptions.</w:t>
            </w:r>
          </w:p>
        </w:tc>
        <w:tc>
          <w:tcPr>
            <w:tcW w:type="dxa" w:w="3231"/>
          </w:tcPr>
          <w:p>
            <w:pPr>
              <w:spacing w:after="40"/>
            </w:pPr>
            <w:r/>
            <w:r>
              <w:rPr>
                <w:b w:val="0"/>
                <w:i w:val="0"/>
                <w:sz w:val="20"/>
              </w:rPr>
              <w:t>Annual review records</w:t>
            </w:r>
          </w:p>
        </w:tc>
      </w:tr>
      <w:tr>
        <w:tc>
          <w:tcPr>
            <w:tcW w:type="dxa" w:w="737"/>
          </w:tcPr>
          <w:p>
            <w:pPr>
              <w:spacing w:after="40"/>
            </w:pPr>
            <w:r/>
            <w:r>
              <w:rPr>
                <w:b w:val="0"/>
                <w:i w:val="0"/>
                <w:sz w:val="20"/>
              </w:rPr>
              <w:t>4.2</w:t>
            </w:r>
          </w:p>
        </w:tc>
        <w:tc>
          <w:tcPr>
            <w:tcW w:type="dxa" w:w="5443"/>
          </w:tcPr>
          <w:p>
            <w:pPr>
              <w:spacing w:after="40"/>
            </w:pPr>
            <w:r/>
            <w:r>
              <w:rPr>
                <w:b w:val="0"/>
                <w:i w:val="0"/>
                <w:sz w:val="20"/>
              </w:rPr>
              <w:t>Complementary subservice organization controls and user entity controls are identified and tracked.</w:t>
            </w:r>
          </w:p>
        </w:tc>
        <w:tc>
          <w:tcPr>
            <w:tcW w:type="dxa" w:w="3231"/>
          </w:tcPr>
          <w:p>
            <w:pPr>
              <w:spacing w:after="40"/>
            </w:pPr>
            <w:r/>
            <w:r>
              <w:rPr>
                <w:b w:val="0"/>
                <w:i w:val="0"/>
                <w:sz w:val="20"/>
              </w:rPr>
              <w:t>CSOC and CUEC register</w:t>
            </w:r>
          </w:p>
        </w:tc>
      </w:tr>
      <w:tr>
        <w:tc>
          <w:tcPr>
            <w:tcW w:type="dxa" w:w="737"/>
          </w:tcPr>
          <w:p>
            <w:pPr>
              <w:spacing w:after="40"/>
            </w:pPr>
            <w:r/>
            <w:r>
              <w:rPr>
                <w:b w:val="0"/>
                <w:i w:val="0"/>
                <w:sz w:val="20"/>
              </w:rPr>
              <w:t>4.3</w:t>
            </w:r>
          </w:p>
        </w:tc>
        <w:tc>
          <w:tcPr>
            <w:tcW w:type="dxa" w:w="5443"/>
          </w:tcPr>
          <w:p>
            <w:pPr>
              <w:spacing w:after="40"/>
            </w:pPr>
            <w:r/>
            <w:r>
              <w:rPr>
                <w:b w:val="0"/>
                <w:i w:val="0"/>
                <w:sz w:val="20"/>
              </w:rPr>
              <w:t>Material vendor incidents or changes trigger an off-cycle review.</w:t>
            </w:r>
          </w:p>
        </w:tc>
        <w:tc>
          <w:tcPr>
            <w:tcW w:type="dxa" w:w="3231"/>
          </w:tcPr>
          <w:p>
            <w:pPr>
              <w:spacing w:after="40"/>
            </w:pPr>
            <w:r/>
            <w:r>
              <w:rPr>
                <w:b w:val="0"/>
                <w:i w:val="0"/>
                <w:sz w:val="20"/>
              </w:rPr>
              <w:t>Review log</w:t>
            </w:r>
          </w:p>
        </w:tc>
      </w:tr>
    </w:tbl>
    <w:p/>
    <w:p>
      <w:pPr>
        <w:pStyle w:val="Heading1"/>
      </w:pPr>
      <w:r>
        <w:t>5. Offboarding</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At contract end, access is removed, keys are revoked and data is returned or deleted with confirmation.</w:t>
            </w:r>
          </w:p>
        </w:tc>
        <w:tc>
          <w:tcPr>
            <w:tcW w:type="dxa" w:w="3231"/>
          </w:tcPr>
          <w:p>
            <w:pPr>
              <w:spacing w:after="40"/>
            </w:pPr>
            <w:r/>
            <w:r>
              <w:rPr>
                <w:b w:val="0"/>
                <w:i w:val="0"/>
                <w:sz w:val="20"/>
              </w:rPr>
              <w:t>Offboarding checklist</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the program and reviews high-risk vendors</w:t>
            </w:r>
          </w:p>
        </w:tc>
      </w:tr>
      <w:tr>
        <w:tc>
          <w:tcPr>
            <w:tcW w:type="dxa" w:w="2608"/>
          </w:tcPr>
          <w:p>
            <w:pPr>
              <w:spacing w:after="40"/>
            </w:pPr>
            <w:r/>
            <w:r>
              <w:rPr>
                <w:b w:val="0"/>
                <w:i w:val="0"/>
                <w:sz w:val="20"/>
              </w:rPr>
              <w:t>Business owner of each vendor</w:t>
            </w:r>
          </w:p>
        </w:tc>
        <w:tc>
          <w:tcPr>
            <w:tcW w:type="dxa" w:w="6803"/>
          </w:tcPr>
          <w:p>
            <w:pPr>
              <w:spacing w:after="40"/>
            </w:pPr>
            <w:r/>
            <w:r>
              <w:rPr>
                <w:b w:val="0"/>
                <w:i w:val="0"/>
                <w:sz w:val="20"/>
              </w:rPr>
              <w:t>Manages the relationship and requests reviews</w:t>
            </w:r>
          </w:p>
        </w:tc>
      </w:tr>
      <w:tr>
        <w:tc>
          <w:tcPr>
            <w:tcW w:type="dxa" w:w="2608"/>
          </w:tcPr>
          <w:p>
            <w:pPr>
              <w:spacing w:after="40"/>
            </w:pPr>
            <w:r/>
            <w:r>
              <w:rPr>
                <w:b w:val="0"/>
                <w:i w:val="0"/>
                <w:sz w:val="20"/>
              </w:rPr>
              <w:t>Finance and legal</w:t>
            </w:r>
          </w:p>
        </w:tc>
        <w:tc>
          <w:tcPr>
            <w:tcW w:type="dxa" w:w="6803"/>
          </w:tcPr>
          <w:p>
            <w:pPr>
              <w:spacing w:after="40"/>
            </w:pPr>
            <w:r/>
            <w:r>
              <w:rPr>
                <w:b w:val="0"/>
                <w:i w:val="0"/>
                <w:sz w:val="20"/>
              </w:rPr>
              <w:t>Support contracts and renewals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Vendor Risk Tiering Standard; Vendor Onboarding and Review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P-09  ·  Vendor and Third-Party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and Third-Party Management Policy</dc:title>
  <dc:subject>P-09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