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Incident Response Policy</w:t>
      </w:r>
    </w:p>
    <w:p>
      <w:r>
        <w:rPr>
          <w:b/>
          <w:i w:val="0"/>
          <w:color w:val="0E2A35"/>
        </w:rPr>
        <w:t>[Company Name]</w:t>
      </w:r>
      <w:r>
        <w:rPr>
          <w:b w:val="0"/>
          <w:i w:val="0"/>
          <w:color w:val="5C6F78"/>
        </w:rPr>
        <w:t xml:space="preserve">  ·  P-10</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P-10</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Incident Response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Security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CC7.3-CC7.5, CC2.2, CC2.3 · ISO 27001:2022: A.5.24-A.5.28, A.6.8</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IR-01 to IR-04</w:t>
            </w:r>
          </w:p>
        </w:tc>
      </w:tr>
    </w:tbl>
    <w:p/>
    <w:p>
      <w:pPr>
        <w:pStyle w:val="Heading1"/>
      </w:pPr>
      <w:r>
        <w:t>1. Purpose</w:t>
      </w:r>
    </w:p>
    <w:p>
      <w:r>
        <w:t>To detect, respond to, recover from and learn from security incidents, and to meet notification obligations.</w:t>
      </w:r>
    </w:p>
    <w:p>
      <w:pPr>
        <w:pStyle w:val="Heading1"/>
      </w:pPr>
      <w:r>
        <w:t>2. Scope and applicability</w:t>
      </w:r>
    </w:p>
    <w:p>
      <w:r>
        <w:t>All suspected and confirmed events that affect the confidentiality, integrity or availability of company or customer information.</w:t>
      </w:r>
    </w:p>
    <w:p>
      <w:pPr>
        <w:pStyle w:val="Heading1"/>
      </w:pPr>
      <w:r>
        <w:t>3. Preparation and reporting</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Personnel report suspected incidents immediately through [channel]; there is a 24-hour way to reach the response team.</w:t>
            </w:r>
          </w:p>
        </w:tc>
        <w:tc>
          <w:tcPr>
            <w:tcW w:type="dxa" w:w="3231"/>
          </w:tcPr>
          <w:p>
            <w:pPr>
              <w:spacing w:after="40"/>
            </w:pPr>
            <w:r/>
            <w:r>
              <w:rPr>
                <w:b w:val="0"/>
                <w:i w:val="0"/>
                <w:sz w:val="20"/>
              </w:rPr>
              <w:t>Reporting channel; on-call schedule</w:t>
            </w:r>
          </w:p>
        </w:tc>
      </w:tr>
      <w:tr>
        <w:tc>
          <w:tcPr>
            <w:tcW w:type="dxa" w:w="737"/>
          </w:tcPr>
          <w:p>
            <w:pPr>
              <w:spacing w:after="40"/>
            </w:pPr>
            <w:r/>
            <w:r>
              <w:rPr>
                <w:b w:val="0"/>
                <w:i w:val="0"/>
                <w:sz w:val="20"/>
              </w:rPr>
              <w:t>3.2</w:t>
            </w:r>
          </w:p>
        </w:tc>
        <w:tc>
          <w:tcPr>
            <w:tcW w:type="dxa" w:w="5443"/>
          </w:tcPr>
          <w:p>
            <w:pPr>
              <w:spacing w:after="40"/>
            </w:pPr>
            <w:r/>
            <w:r>
              <w:rPr>
                <w:b w:val="0"/>
                <w:i w:val="0"/>
                <w:sz w:val="20"/>
              </w:rPr>
              <w:t>A documented Incident Response Plan defines roles, severity levels, communication and escalation.</w:t>
            </w:r>
          </w:p>
        </w:tc>
        <w:tc>
          <w:tcPr>
            <w:tcW w:type="dxa" w:w="3231"/>
          </w:tcPr>
          <w:p>
            <w:pPr>
              <w:spacing w:after="40"/>
            </w:pPr>
            <w:r/>
            <w:r>
              <w:rPr>
                <w:b w:val="0"/>
                <w:i w:val="0"/>
                <w:sz w:val="20"/>
              </w:rPr>
              <w:t>Plan with approval date</w:t>
            </w:r>
          </w:p>
        </w:tc>
      </w:tr>
    </w:tbl>
    <w:p/>
    <w:p>
      <w:pPr>
        <w:pStyle w:val="Heading1"/>
      </w:pPr>
      <w:r>
        <w:t>4. Response</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Every incident is recorded, triaged by severity, assigned an incident lead and tracked to closure.</w:t>
            </w:r>
          </w:p>
        </w:tc>
        <w:tc>
          <w:tcPr>
            <w:tcW w:type="dxa" w:w="3231"/>
          </w:tcPr>
          <w:p>
            <w:pPr>
              <w:spacing w:after="40"/>
            </w:pPr>
            <w:r/>
            <w:r>
              <w:rPr>
                <w:b w:val="0"/>
                <w:i w:val="0"/>
                <w:sz w:val="20"/>
              </w:rPr>
              <w:t>Incident ticket sample</w:t>
            </w:r>
          </w:p>
        </w:tc>
      </w:tr>
      <w:tr>
        <w:tc>
          <w:tcPr>
            <w:tcW w:type="dxa" w:w="737"/>
          </w:tcPr>
          <w:p>
            <w:pPr>
              <w:spacing w:after="40"/>
            </w:pPr>
            <w:r/>
            <w:r>
              <w:rPr>
                <w:b w:val="0"/>
                <w:i w:val="0"/>
                <w:sz w:val="20"/>
              </w:rPr>
              <w:t>4.2</w:t>
            </w:r>
          </w:p>
        </w:tc>
        <w:tc>
          <w:tcPr>
            <w:tcW w:type="dxa" w:w="5443"/>
          </w:tcPr>
          <w:p>
            <w:pPr>
              <w:spacing w:after="40"/>
            </w:pPr>
            <w:r/>
            <w:r>
              <w:rPr>
                <w:b w:val="0"/>
                <w:i w:val="0"/>
                <w:sz w:val="20"/>
              </w:rPr>
              <w:t>Evidence is preserved and handled so that it can be relied on.</w:t>
            </w:r>
          </w:p>
        </w:tc>
        <w:tc>
          <w:tcPr>
            <w:tcW w:type="dxa" w:w="3231"/>
          </w:tcPr>
          <w:p>
            <w:pPr>
              <w:spacing w:after="40"/>
            </w:pPr>
            <w:r/>
            <w:r>
              <w:rPr>
                <w:b w:val="0"/>
                <w:i w:val="0"/>
                <w:sz w:val="20"/>
              </w:rPr>
              <w:t>Evidence handling log</w:t>
            </w:r>
          </w:p>
        </w:tc>
      </w:tr>
      <w:tr>
        <w:tc>
          <w:tcPr>
            <w:tcW w:type="dxa" w:w="737"/>
          </w:tcPr>
          <w:p>
            <w:pPr>
              <w:spacing w:after="40"/>
            </w:pPr>
            <w:r/>
            <w:r>
              <w:rPr>
                <w:b w:val="0"/>
                <w:i w:val="0"/>
                <w:sz w:val="20"/>
              </w:rPr>
              <w:t>4.3</w:t>
            </w:r>
          </w:p>
        </w:tc>
        <w:tc>
          <w:tcPr>
            <w:tcW w:type="dxa" w:w="5443"/>
          </w:tcPr>
          <w:p>
            <w:pPr>
              <w:spacing w:after="40"/>
            </w:pPr>
            <w:r/>
            <w:r>
              <w:rPr>
                <w:b w:val="0"/>
                <w:i w:val="0"/>
                <w:sz w:val="20"/>
              </w:rPr>
              <w:t>Containment, eradication and recovery steps are documented in the ticket.</w:t>
            </w:r>
          </w:p>
        </w:tc>
        <w:tc>
          <w:tcPr>
            <w:tcW w:type="dxa" w:w="3231"/>
          </w:tcPr>
          <w:p>
            <w:pPr>
              <w:spacing w:after="40"/>
            </w:pPr>
            <w:r/>
            <w:r>
              <w:rPr>
                <w:b w:val="0"/>
                <w:i w:val="0"/>
                <w:sz w:val="20"/>
              </w:rPr>
              <w:t>Ticket timeline</w:t>
            </w:r>
          </w:p>
        </w:tc>
      </w:tr>
    </w:tbl>
    <w:p/>
    <w:p>
      <w:pPr>
        <w:pStyle w:val="Heading1"/>
      </w:pPr>
      <w:r>
        <w:t>5. Notification</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Affected customers and regulators are notified within the time required by contract and law ([hours/days]), after review by [legal role].</w:t>
            </w:r>
          </w:p>
        </w:tc>
        <w:tc>
          <w:tcPr>
            <w:tcW w:type="dxa" w:w="3231"/>
          </w:tcPr>
          <w:p>
            <w:pPr>
              <w:spacing w:after="40"/>
            </w:pPr>
            <w:r/>
            <w:r>
              <w:rPr>
                <w:b w:val="0"/>
                <w:i w:val="0"/>
                <w:sz w:val="20"/>
              </w:rPr>
              <w:t>Notification records</w:t>
            </w:r>
          </w:p>
        </w:tc>
      </w:tr>
      <w:tr>
        <w:tc>
          <w:tcPr>
            <w:tcW w:type="dxa" w:w="737"/>
          </w:tcPr>
          <w:p>
            <w:pPr>
              <w:spacing w:after="40"/>
            </w:pPr>
            <w:r/>
            <w:r>
              <w:rPr>
                <w:b w:val="0"/>
                <w:i w:val="0"/>
                <w:sz w:val="20"/>
              </w:rPr>
              <w:t>5.2</w:t>
            </w:r>
          </w:p>
        </w:tc>
        <w:tc>
          <w:tcPr>
            <w:tcW w:type="dxa" w:w="5443"/>
          </w:tcPr>
          <w:p>
            <w:pPr>
              <w:spacing w:after="40"/>
            </w:pPr>
            <w:r/>
            <w:r>
              <w:rPr>
                <w:b w:val="0"/>
                <w:i w:val="0"/>
                <w:sz w:val="20"/>
              </w:rPr>
              <w:t>Customer-facing status communications follow the Customer Security Communication Procedure.</w:t>
            </w:r>
          </w:p>
        </w:tc>
        <w:tc>
          <w:tcPr>
            <w:tcW w:type="dxa" w:w="3231"/>
          </w:tcPr>
          <w:p>
            <w:pPr>
              <w:spacing w:after="40"/>
            </w:pPr>
            <w:r/>
            <w:r>
              <w:rPr>
                <w:b w:val="0"/>
                <w:i w:val="0"/>
                <w:sz w:val="20"/>
              </w:rPr>
              <w:t>Status page history</w:t>
            </w:r>
          </w:p>
        </w:tc>
      </w:tr>
    </w:tbl>
    <w:p/>
    <w:p>
      <w:pPr>
        <w:pStyle w:val="Heading1"/>
      </w:pPr>
      <w:r>
        <w:t>6. Learning</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6.1</w:t>
            </w:r>
          </w:p>
        </w:tc>
        <w:tc>
          <w:tcPr>
            <w:tcW w:type="dxa" w:w="5443"/>
          </w:tcPr>
          <w:p>
            <w:pPr>
              <w:spacing w:after="40"/>
            </w:pPr>
            <w:r/>
            <w:r>
              <w:rPr>
                <w:b w:val="0"/>
                <w:i w:val="0"/>
                <w:sz w:val="20"/>
              </w:rPr>
              <w:t>A post-incident review is held for every high-severity incident within [days] and corrective actions are tracked.</w:t>
            </w:r>
          </w:p>
        </w:tc>
        <w:tc>
          <w:tcPr>
            <w:tcW w:type="dxa" w:w="3231"/>
          </w:tcPr>
          <w:p>
            <w:pPr>
              <w:spacing w:after="40"/>
            </w:pPr>
            <w:r/>
            <w:r>
              <w:rPr>
                <w:b w:val="0"/>
                <w:i w:val="0"/>
                <w:sz w:val="20"/>
              </w:rPr>
              <w:t>Post-incident reviews; action log</w:t>
            </w:r>
          </w:p>
        </w:tc>
      </w:tr>
      <w:tr>
        <w:tc>
          <w:tcPr>
            <w:tcW w:type="dxa" w:w="737"/>
          </w:tcPr>
          <w:p>
            <w:pPr>
              <w:spacing w:after="40"/>
            </w:pPr>
            <w:r/>
            <w:r>
              <w:rPr>
                <w:b w:val="0"/>
                <w:i w:val="0"/>
                <w:sz w:val="20"/>
              </w:rPr>
              <w:t>6.2</w:t>
            </w:r>
          </w:p>
        </w:tc>
        <w:tc>
          <w:tcPr>
            <w:tcW w:type="dxa" w:w="5443"/>
          </w:tcPr>
          <w:p>
            <w:pPr>
              <w:spacing w:after="40"/>
            </w:pPr>
            <w:r/>
            <w:r>
              <w:rPr>
                <w:b w:val="0"/>
                <w:i w:val="0"/>
                <w:sz w:val="20"/>
              </w:rPr>
              <w:t>The plan is tested at least annually with a tabletop exercise.</w:t>
            </w:r>
          </w:p>
        </w:tc>
        <w:tc>
          <w:tcPr>
            <w:tcW w:type="dxa" w:w="3231"/>
          </w:tcPr>
          <w:p>
            <w:pPr>
              <w:spacing w:after="40"/>
            </w:pPr>
            <w:r/>
            <w:r>
              <w:rPr>
                <w:b w:val="0"/>
                <w:i w:val="0"/>
                <w:sz w:val="20"/>
              </w:rPr>
              <w:t>Tabletop report</w:t>
            </w:r>
          </w:p>
        </w:tc>
      </w:tr>
    </w:tbl>
    <w:p/>
    <w:p>
      <w:pPr>
        <w:pStyle w:val="Heading1"/>
      </w:pPr>
      <w:r>
        <w:t>7.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Security lead</w:t>
            </w:r>
          </w:p>
        </w:tc>
        <w:tc>
          <w:tcPr>
            <w:tcW w:type="dxa" w:w="6803"/>
          </w:tcPr>
          <w:p>
            <w:pPr>
              <w:spacing w:after="40"/>
            </w:pPr>
            <w:r/>
            <w:r>
              <w:rPr>
                <w:b w:val="0"/>
                <w:i w:val="0"/>
                <w:sz w:val="20"/>
              </w:rPr>
              <w:t>Owns the plan and leads response</w:t>
            </w:r>
          </w:p>
        </w:tc>
      </w:tr>
      <w:tr>
        <w:tc>
          <w:tcPr>
            <w:tcW w:type="dxa" w:w="2608"/>
          </w:tcPr>
          <w:p>
            <w:pPr>
              <w:spacing w:after="40"/>
            </w:pPr>
            <w:r/>
            <w:r>
              <w:rPr>
                <w:b w:val="0"/>
                <w:i w:val="0"/>
                <w:sz w:val="20"/>
              </w:rPr>
              <w:t>Legal lead</w:t>
            </w:r>
          </w:p>
        </w:tc>
        <w:tc>
          <w:tcPr>
            <w:tcW w:type="dxa" w:w="6803"/>
          </w:tcPr>
          <w:p>
            <w:pPr>
              <w:spacing w:after="40"/>
            </w:pPr>
            <w:r/>
            <w:r>
              <w:rPr>
                <w:b w:val="0"/>
                <w:i w:val="0"/>
                <w:sz w:val="20"/>
              </w:rPr>
              <w:t>Advises on notification</w:t>
            </w:r>
          </w:p>
        </w:tc>
      </w:tr>
      <w:tr>
        <w:tc>
          <w:tcPr>
            <w:tcW w:type="dxa" w:w="2608"/>
          </w:tcPr>
          <w:p>
            <w:pPr>
              <w:spacing w:after="40"/>
            </w:pPr>
            <w:r/>
            <w:r>
              <w:rPr>
                <w:b w:val="0"/>
                <w:i w:val="0"/>
                <w:sz w:val="20"/>
              </w:rPr>
              <w:t>All personnel</w:t>
            </w:r>
          </w:p>
        </w:tc>
        <w:tc>
          <w:tcPr>
            <w:tcW w:type="dxa" w:w="6803"/>
          </w:tcPr>
          <w:p>
            <w:pPr>
              <w:spacing w:after="40"/>
            </w:pPr>
            <w:r/>
            <w:r>
              <w:rPr>
                <w:b w:val="0"/>
                <w:i w:val="0"/>
                <w:sz w:val="20"/>
              </w:rPr>
              <w:t>Report suspected incidents</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Incident Response Plan and Playbooks; Tabletop Exercise Procedure; Customer Security Communication Procedure</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P-10  ·  Incident Response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Policy</dc:title>
  <dc:subject>P-10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