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Business Continuity and Disaster Recovery Policy</w:t>
      </w:r>
    </w:p>
    <w:p>
      <w:r>
        <w:rPr>
          <w:b/>
          <w:i w:val="0"/>
          <w:color w:val="0E2A35"/>
        </w:rPr>
        <w:t>[Company Name]</w:t>
      </w:r>
      <w:r>
        <w:rPr>
          <w:b w:val="0"/>
          <w:i w:val="0"/>
          <w:color w:val="5C6F78"/>
        </w:rPr>
        <w:t xml:space="preserve">  ·  P-11</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P-11</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Business Continuity and Disaster Recovery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Engineering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CC9.1, A1.2, A1.3 · ISO 27001:2022: A.5.29, A.5.30, A.8.13, A.8.14</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BCP-01 to BCP-05</w:t>
            </w:r>
          </w:p>
        </w:tc>
      </w:tr>
    </w:tbl>
    <w:p/>
    <w:p>
      <w:pPr>
        <w:pStyle w:val="Heading1"/>
      </w:pPr>
      <w:r>
        <w:t>1. Purpose</w:t>
      </w:r>
    </w:p>
    <w:p>
      <w:r>
        <w:t>To keep critical services available and recoverable through backups, resilience and tested recovery plans.</w:t>
      </w:r>
    </w:p>
    <w:p>
      <w:pPr>
        <w:pStyle w:val="Heading1"/>
      </w:pPr>
      <w:r>
        <w:t>2. Scope and applicability</w:t>
      </w:r>
    </w:p>
    <w:p>
      <w:r>
        <w:t>Production systems, data and the people and suppliers needed to restore them.</w:t>
      </w:r>
    </w:p>
    <w:p>
      <w:pPr>
        <w:pStyle w:val="Heading1"/>
      </w:pPr>
      <w:r>
        <w:t>3. Business impact and planning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Critical services are identified with recovery time and recovery point objectives approved by leadership.</w:t>
            </w:r>
          </w:p>
        </w:tc>
        <w:tc>
          <w:tcPr>
            <w:tcW w:type="dxa" w:w="3231"/>
          </w:tcPr>
          <w:p>
            <w:pPr>
              <w:spacing w:after="40"/>
            </w:pPr>
            <w:r/>
            <w:r>
              <w:rPr>
                <w:b w:val="0"/>
                <w:i w:val="0"/>
                <w:sz w:val="20"/>
              </w:rPr>
              <w:t>Business impact analysis</w:t>
            </w:r>
          </w:p>
        </w:tc>
      </w:tr>
      <w:tr>
        <w:tc>
          <w:tcPr>
            <w:tcW w:type="dxa" w:w="737"/>
          </w:tcPr>
          <w:p>
            <w:pPr>
              <w:spacing w:after="40"/>
            </w:pPr>
            <w:r/>
            <w:r>
              <w:rPr>
                <w:b w:val="0"/>
                <w:i w:val="0"/>
                <w:sz w:val="20"/>
              </w:rPr>
              <w:t>3.2</w:t>
            </w:r>
          </w:p>
        </w:tc>
        <w:tc>
          <w:tcPr>
            <w:tcW w:type="dxa" w:w="5443"/>
          </w:tcPr>
          <w:p>
            <w:pPr>
              <w:spacing w:after="40"/>
            </w:pPr>
            <w:r/>
            <w:r>
              <w:rPr>
                <w:b w:val="0"/>
                <w:i w:val="0"/>
                <w:sz w:val="20"/>
              </w:rPr>
              <w:t>A business continuity and disaster recovery plan covers loss of systems, locations, people and key suppliers.</w:t>
            </w:r>
          </w:p>
        </w:tc>
        <w:tc>
          <w:tcPr>
            <w:tcW w:type="dxa" w:w="3231"/>
          </w:tcPr>
          <w:p>
            <w:pPr>
              <w:spacing w:after="40"/>
            </w:pPr>
            <w:r/>
            <w:r>
              <w:rPr>
                <w:b w:val="0"/>
                <w:i w:val="0"/>
                <w:sz w:val="20"/>
              </w:rPr>
              <w:t>Plan with approval date</w:t>
            </w:r>
          </w:p>
        </w:tc>
      </w:tr>
    </w:tbl>
    <w:p/>
    <w:p>
      <w:pPr>
        <w:pStyle w:val="Heading1"/>
      </w:pPr>
      <w:r>
        <w:t>4. Backup</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Production data is backed up as set in the Backup Standard and stored in a separate, protected location.</w:t>
            </w:r>
          </w:p>
        </w:tc>
        <w:tc>
          <w:tcPr>
            <w:tcW w:type="dxa" w:w="3231"/>
          </w:tcPr>
          <w:p>
            <w:pPr>
              <w:spacing w:after="40"/>
            </w:pPr>
            <w:r/>
            <w:r>
              <w:rPr>
                <w:b w:val="0"/>
                <w:i w:val="0"/>
                <w:sz w:val="20"/>
              </w:rPr>
              <w:t>Backup configuration and job reports</w:t>
            </w:r>
          </w:p>
        </w:tc>
      </w:tr>
      <w:tr>
        <w:tc>
          <w:tcPr>
            <w:tcW w:type="dxa" w:w="737"/>
          </w:tcPr>
          <w:p>
            <w:pPr>
              <w:spacing w:after="40"/>
            </w:pPr>
            <w:r/>
            <w:r>
              <w:rPr>
                <w:b w:val="0"/>
                <w:i w:val="0"/>
                <w:sz w:val="20"/>
              </w:rPr>
              <w:t>4.2</w:t>
            </w:r>
          </w:p>
        </w:tc>
        <w:tc>
          <w:tcPr>
            <w:tcW w:type="dxa" w:w="5443"/>
          </w:tcPr>
          <w:p>
            <w:pPr>
              <w:spacing w:after="40"/>
            </w:pPr>
            <w:r/>
            <w:r>
              <w:rPr>
                <w:b w:val="0"/>
                <w:i w:val="0"/>
                <w:sz w:val="20"/>
              </w:rPr>
              <w:t>Backups are encrypted and access is restricted.</w:t>
            </w:r>
          </w:p>
        </w:tc>
        <w:tc>
          <w:tcPr>
            <w:tcW w:type="dxa" w:w="3231"/>
          </w:tcPr>
          <w:p>
            <w:pPr>
              <w:spacing w:after="40"/>
            </w:pPr>
            <w:r/>
            <w:r>
              <w:rPr>
                <w:b w:val="0"/>
                <w:i w:val="0"/>
                <w:sz w:val="20"/>
              </w:rPr>
              <w:t>Storage settings</w:t>
            </w:r>
          </w:p>
        </w:tc>
      </w:tr>
    </w:tbl>
    <w:p/>
    <w:p>
      <w:pPr>
        <w:pStyle w:val="Heading1"/>
      </w:pPr>
      <w:r>
        <w:t>5. Resilience</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Critical components are designed for availability across [zones/regions] where practical.</w:t>
            </w:r>
          </w:p>
        </w:tc>
        <w:tc>
          <w:tcPr>
            <w:tcW w:type="dxa" w:w="3231"/>
          </w:tcPr>
          <w:p>
            <w:pPr>
              <w:spacing w:after="40"/>
            </w:pPr>
            <w:r/>
            <w:r>
              <w:rPr>
                <w:b w:val="0"/>
                <w:i w:val="0"/>
                <w:sz w:val="20"/>
              </w:rPr>
              <w:t>Architecture diagram</w:t>
            </w:r>
          </w:p>
        </w:tc>
      </w:tr>
      <w:tr>
        <w:tc>
          <w:tcPr>
            <w:tcW w:type="dxa" w:w="737"/>
          </w:tcPr>
          <w:p>
            <w:pPr>
              <w:spacing w:after="40"/>
            </w:pPr>
            <w:r/>
            <w:r>
              <w:rPr>
                <w:b w:val="0"/>
                <w:i w:val="0"/>
                <w:sz w:val="20"/>
              </w:rPr>
              <w:t>5.2</w:t>
            </w:r>
          </w:p>
        </w:tc>
        <w:tc>
          <w:tcPr>
            <w:tcW w:type="dxa" w:w="5443"/>
          </w:tcPr>
          <w:p>
            <w:pPr>
              <w:spacing w:after="40"/>
            </w:pPr>
            <w:r/>
            <w:r>
              <w:rPr>
                <w:b w:val="0"/>
                <w:i w:val="0"/>
                <w:sz w:val="20"/>
              </w:rPr>
              <w:t>Availability is monitored and capacity is reviewed.</w:t>
            </w:r>
          </w:p>
        </w:tc>
        <w:tc>
          <w:tcPr>
            <w:tcW w:type="dxa" w:w="3231"/>
          </w:tcPr>
          <w:p>
            <w:pPr>
              <w:spacing w:after="40"/>
            </w:pPr>
            <w:r/>
            <w:r>
              <w:rPr>
                <w:b w:val="0"/>
                <w:i w:val="0"/>
                <w:sz w:val="20"/>
              </w:rPr>
              <w:t>Monitoring dashboard; capacity notes</w:t>
            </w:r>
          </w:p>
        </w:tc>
      </w:tr>
    </w:tbl>
    <w:p/>
    <w:p>
      <w:pPr>
        <w:pStyle w:val="Heading1"/>
      </w:pPr>
      <w:r>
        <w:t>6. Testing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6.1</w:t>
            </w:r>
          </w:p>
        </w:tc>
        <w:tc>
          <w:tcPr>
            <w:tcW w:type="dxa" w:w="5443"/>
          </w:tcPr>
          <w:p>
            <w:pPr>
              <w:spacing w:after="40"/>
            </w:pPr>
            <w:r/>
            <w:r>
              <w:rPr>
                <w:b w:val="0"/>
                <w:i w:val="0"/>
                <w:sz w:val="20"/>
              </w:rPr>
              <w:t>Restores are tested at least [annually] and the plan is exercised at least [annually]; results and fixes are recorded.</w:t>
            </w:r>
          </w:p>
        </w:tc>
        <w:tc>
          <w:tcPr>
            <w:tcW w:type="dxa" w:w="3231"/>
          </w:tcPr>
          <w:p>
            <w:pPr>
              <w:spacing w:after="40"/>
            </w:pPr>
            <w:r/>
            <w:r>
              <w:rPr>
                <w:b w:val="0"/>
                <w:i w:val="0"/>
                <w:sz w:val="20"/>
              </w:rPr>
              <w:t>Restore test and DR test reports</w:t>
            </w:r>
          </w:p>
        </w:tc>
      </w:tr>
    </w:tbl>
    <w:p/>
    <w:p>
      <w:pPr>
        <w:pStyle w:val="Heading1"/>
      </w:pPr>
      <w:r>
        <w:t>7.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Engineering lead</w:t>
            </w:r>
          </w:p>
        </w:tc>
        <w:tc>
          <w:tcPr>
            <w:tcW w:type="dxa" w:w="6803"/>
          </w:tcPr>
          <w:p>
            <w:pPr>
              <w:spacing w:after="40"/>
            </w:pPr>
            <w:r/>
            <w:r>
              <w:rPr>
                <w:b w:val="0"/>
                <w:i w:val="0"/>
                <w:sz w:val="20"/>
              </w:rPr>
              <w:t>Owns backups, recovery and resilience</w:t>
            </w:r>
          </w:p>
        </w:tc>
      </w:tr>
      <w:tr>
        <w:tc>
          <w:tcPr>
            <w:tcW w:type="dxa" w:w="2608"/>
          </w:tcPr>
          <w:p>
            <w:pPr>
              <w:spacing w:after="40"/>
            </w:pPr>
            <w:r/>
            <w:r>
              <w:rPr>
                <w:b w:val="0"/>
                <w:i w:val="0"/>
                <w:sz w:val="20"/>
              </w:rPr>
              <w:t>Security lead</w:t>
            </w:r>
          </w:p>
        </w:tc>
        <w:tc>
          <w:tcPr>
            <w:tcW w:type="dxa" w:w="6803"/>
          </w:tcPr>
          <w:p>
            <w:pPr>
              <w:spacing w:after="40"/>
            </w:pPr>
            <w:r/>
            <w:r>
              <w:rPr>
                <w:b w:val="0"/>
                <w:i w:val="0"/>
                <w:sz w:val="20"/>
              </w:rPr>
              <w:t>Oversees testing and reporting</w:t>
            </w:r>
          </w:p>
        </w:tc>
      </w:tr>
      <w:tr>
        <w:tc>
          <w:tcPr>
            <w:tcW w:type="dxa" w:w="2608"/>
          </w:tcPr>
          <w:p>
            <w:pPr>
              <w:spacing w:after="40"/>
            </w:pPr>
            <w:r/>
            <w:r>
              <w:rPr>
                <w:b w:val="0"/>
                <w:i w:val="0"/>
                <w:sz w:val="20"/>
              </w:rPr>
              <w:t>Executive leadership</w:t>
            </w:r>
          </w:p>
        </w:tc>
        <w:tc>
          <w:tcPr>
            <w:tcW w:type="dxa" w:w="6803"/>
          </w:tcPr>
          <w:p>
            <w:pPr>
              <w:spacing w:after="40"/>
            </w:pPr>
            <w:r/>
            <w:r>
              <w:rPr>
                <w:b w:val="0"/>
                <w:i w:val="0"/>
                <w:sz w:val="20"/>
              </w:rPr>
              <w:t>Approves objectives and plan</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Backup Standard; Business Continuity and Disaster Recovery Plan; Backup and Restore Test Procedure</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P-11  ·  Business Continuity and Disaster Recovery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and Disaster Recovery Policy</dc:title>
  <dc:subject>P-11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