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Physical and Environmental Security Policy</w:t>
      </w:r>
    </w:p>
    <w:p>
      <w:r>
        <w:rPr>
          <w:b/>
          <w:i w:val="0"/>
          <w:color w:val="0E2A35"/>
        </w:rPr>
        <w:t>[Company Name]</w:t>
      </w:r>
      <w:r>
        <w:rPr>
          <w:b w:val="0"/>
          <w:i w:val="0"/>
          <w:color w:val="5C6F78"/>
        </w:rPr>
        <w:t xml:space="preserve">  ·  P-12</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P-12</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Physical and Environmental Security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IT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CC6.4, A1.2 · ISO 27001:2022: A.7.1-A.7.14</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VEN-04</w:t>
            </w:r>
          </w:p>
        </w:tc>
      </w:tr>
    </w:tbl>
    <w:p/>
    <w:p>
      <w:pPr>
        <w:pStyle w:val="Heading1"/>
      </w:pPr>
      <w:r>
        <w:t>1. Purpose</w:t>
      </w:r>
    </w:p>
    <w:p>
      <w:r>
        <w:t>To prevent unauthorized physical access, damage and loss affecting company information and equipment.</w:t>
      </w:r>
    </w:p>
    <w:p>
      <w:pPr>
        <w:pStyle w:val="Heading1"/>
      </w:pPr>
      <w:r>
        <w:t>2. Scope and applicability</w:t>
      </w:r>
    </w:p>
    <w:p>
      <w:r>
        <w:t>Offices, remote workspaces, equipment and storage media. Data centers operated by cloud providers are covered through the Vendor and Third-Party Management Policy.</w:t>
      </w:r>
    </w:p>
    <w:p>
      <w:pPr>
        <w:pStyle w:val="Heading1"/>
      </w:pPr>
      <w:r>
        <w:t>3. Premises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Entry to company premises is restricted to authorized people and visitors are signed in and escorted.</w:t>
            </w:r>
          </w:p>
        </w:tc>
        <w:tc>
          <w:tcPr>
            <w:tcW w:type="dxa" w:w="3231"/>
          </w:tcPr>
          <w:p>
            <w:pPr>
              <w:spacing w:after="40"/>
            </w:pPr>
            <w:r/>
            <w:r>
              <w:rPr>
                <w:b w:val="0"/>
                <w:i w:val="0"/>
                <w:sz w:val="20"/>
              </w:rPr>
              <w:t>Access list; visitor log</w:t>
            </w:r>
          </w:p>
        </w:tc>
      </w:tr>
      <w:tr>
        <w:tc>
          <w:tcPr>
            <w:tcW w:type="dxa" w:w="737"/>
          </w:tcPr>
          <w:p>
            <w:pPr>
              <w:spacing w:after="40"/>
            </w:pPr>
            <w:r/>
            <w:r>
              <w:rPr>
                <w:b w:val="0"/>
                <w:i w:val="0"/>
                <w:sz w:val="20"/>
              </w:rPr>
              <w:t>3.2</w:t>
            </w:r>
          </w:p>
        </w:tc>
        <w:tc>
          <w:tcPr>
            <w:tcW w:type="dxa" w:w="5443"/>
          </w:tcPr>
          <w:p>
            <w:pPr>
              <w:spacing w:after="40"/>
            </w:pPr>
            <w:r/>
            <w:r>
              <w:rPr>
                <w:b w:val="0"/>
                <w:i w:val="0"/>
                <w:sz w:val="20"/>
              </w:rPr>
              <w:t>Areas with sensitive equipment are locked and access is reviewed at least [annually].</w:t>
            </w:r>
          </w:p>
        </w:tc>
        <w:tc>
          <w:tcPr>
            <w:tcW w:type="dxa" w:w="3231"/>
          </w:tcPr>
          <w:p>
            <w:pPr>
              <w:spacing w:after="40"/>
            </w:pPr>
            <w:r/>
            <w:r>
              <w:rPr>
                <w:b w:val="0"/>
                <w:i w:val="0"/>
                <w:sz w:val="20"/>
              </w:rPr>
              <w:t>Review record</w:t>
            </w:r>
          </w:p>
        </w:tc>
      </w:tr>
    </w:tbl>
    <w:p/>
    <w:p>
      <w:pPr>
        <w:pStyle w:val="Heading1"/>
      </w:pPr>
      <w:r>
        <w:t>4. Equipment and workspace</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Equipment is protected from loss and environmental risk and is recorded in the asset inventory.</w:t>
            </w:r>
          </w:p>
        </w:tc>
        <w:tc>
          <w:tcPr>
            <w:tcW w:type="dxa" w:w="3231"/>
          </w:tcPr>
          <w:p>
            <w:pPr>
              <w:spacing w:after="40"/>
            </w:pPr>
            <w:r/>
            <w:r>
              <w:rPr>
                <w:b w:val="0"/>
                <w:i w:val="0"/>
                <w:sz w:val="20"/>
              </w:rPr>
              <w:t>Inventory</w:t>
            </w:r>
          </w:p>
        </w:tc>
      </w:tr>
      <w:tr>
        <w:tc>
          <w:tcPr>
            <w:tcW w:type="dxa" w:w="737"/>
          </w:tcPr>
          <w:p>
            <w:pPr>
              <w:spacing w:after="40"/>
            </w:pPr>
            <w:r/>
            <w:r>
              <w:rPr>
                <w:b w:val="0"/>
                <w:i w:val="0"/>
                <w:sz w:val="20"/>
              </w:rPr>
              <w:t>4.2</w:t>
            </w:r>
          </w:p>
        </w:tc>
        <w:tc>
          <w:tcPr>
            <w:tcW w:type="dxa" w:w="5443"/>
          </w:tcPr>
          <w:p>
            <w:pPr>
              <w:spacing w:after="40"/>
            </w:pPr>
            <w:r/>
            <w:r>
              <w:rPr>
                <w:b w:val="0"/>
                <w:i w:val="0"/>
                <w:sz w:val="20"/>
              </w:rPr>
              <w:t>Screens are locked when unattended and sensitive material is cleared from desks and printers.</w:t>
            </w:r>
          </w:p>
        </w:tc>
        <w:tc>
          <w:tcPr>
            <w:tcW w:type="dxa" w:w="3231"/>
          </w:tcPr>
          <w:p>
            <w:pPr>
              <w:spacing w:after="40"/>
            </w:pPr>
            <w:r/>
            <w:r>
              <w:rPr>
                <w:b w:val="0"/>
                <w:i w:val="0"/>
                <w:sz w:val="20"/>
              </w:rPr>
              <w:t>Spot-check records</w:t>
            </w:r>
          </w:p>
        </w:tc>
      </w:tr>
      <w:tr>
        <w:tc>
          <w:tcPr>
            <w:tcW w:type="dxa" w:w="737"/>
          </w:tcPr>
          <w:p>
            <w:pPr>
              <w:spacing w:after="40"/>
            </w:pPr>
            <w:r/>
            <w:r>
              <w:rPr>
                <w:b w:val="0"/>
                <w:i w:val="0"/>
                <w:sz w:val="20"/>
              </w:rPr>
              <w:t>4.3</w:t>
            </w:r>
          </w:p>
        </w:tc>
        <w:tc>
          <w:tcPr>
            <w:tcW w:type="dxa" w:w="5443"/>
          </w:tcPr>
          <w:p>
            <w:pPr>
              <w:spacing w:after="40"/>
            </w:pPr>
            <w:r/>
            <w:r>
              <w:rPr>
                <w:b w:val="0"/>
                <w:i w:val="0"/>
                <w:sz w:val="20"/>
              </w:rPr>
              <w:t>Lost or stolen equipment is reported immediately and remote wipe is used where available.</w:t>
            </w:r>
          </w:p>
        </w:tc>
        <w:tc>
          <w:tcPr>
            <w:tcW w:type="dxa" w:w="3231"/>
          </w:tcPr>
          <w:p>
            <w:pPr>
              <w:spacing w:after="40"/>
            </w:pPr>
            <w:r/>
            <w:r>
              <w:rPr>
                <w:b w:val="0"/>
                <w:i w:val="0"/>
                <w:sz w:val="20"/>
              </w:rPr>
              <w:t>Incident tickets</w:t>
            </w:r>
          </w:p>
        </w:tc>
      </w:tr>
    </w:tbl>
    <w:p/>
    <w:p>
      <w:pPr>
        <w:pStyle w:val="Heading1"/>
      </w:pPr>
      <w:r>
        <w:t>5. Cloud provider facilities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Physical security of cloud data centers is covered by the provider's assurance report, reviewed annually.</w:t>
            </w:r>
          </w:p>
        </w:tc>
        <w:tc>
          <w:tcPr>
            <w:tcW w:type="dxa" w:w="3231"/>
          </w:tcPr>
          <w:p>
            <w:pPr>
              <w:spacing w:after="40"/>
            </w:pPr>
            <w:r/>
            <w:r>
              <w:rPr>
                <w:b w:val="0"/>
                <w:i w:val="0"/>
                <w:sz w:val="20"/>
              </w:rPr>
              <w:t>Collected report and review notes</w:t>
            </w:r>
          </w:p>
        </w:tc>
      </w:tr>
    </w:tbl>
    <w:p/>
    <w:p>
      <w:pPr>
        <w:pStyle w:val="Heading1"/>
      </w:pPr>
      <w:r>
        <w:t>6.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IT lead</w:t>
            </w:r>
          </w:p>
        </w:tc>
        <w:tc>
          <w:tcPr>
            <w:tcW w:type="dxa" w:w="6803"/>
          </w:tcPr>
          <w:p>
            <w:pPr>
              <w:spacing w:after="40"/>
            </w:pPr>
            <w:r/>
            <w:r>
              <w:rPr>
                <w:b w:val="0"/>
                <w:i w:val="0"/>
                <w:sz w:val="20"/>
              </w:rPr>
              <w:t>Owns this policy</w:t>
            </w:r>
          </w:p>
        </w:tc>
      </w:tr>
      <w:tr>
        <w:tc>
          <w:tcPr>
            <w:tcW w:type="dxa" w:w="2608"/>
          </w:tcPr>
          <w:p>
            <w:pPr>
              <w:spacing w:after="40"/>
            </w:pPr>
            <w:r/>
            <w:r>
              <w:rPr>
                <w:b w:val="0"/>
                <w:i w:val="0"/>
                <w:sz w:val="20"/>
              </w:rPr>
              <w:t>Facilities or office manager</w:t>
            </w:r>
          </w:p>
        </w:tc>
        <w:tc>
          <w:tcPr>
            <w:tcW w:type="dxa" w:w="6803"/>
          </w:tcPr>
          <w:p>
            <w:pPr>
              <w:spacing w:after="40"/>
            </w:pPr>
            <w:r/>
            <w:r>
              <w:rPr>
                <w:b w:val="0"/>
                <w:i w:val="0"/>
                <w:sz w:val="20"/>
              </w:rPr>
              <w:t>Operates physical controls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Asset Management and Data Classification Policy; Vendor and Third-Party Management Policy</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P-12  ·  Physical and Environmental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and Environmental Security Policy</dc:title>
  <dc:subject>P-12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