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Risk Management Policy</w:t>
      </w:r>
    </w:p>
    <w:p>
      <w:r>
        <w:rPr>
          <w:b/>
          <w:i w:val="0"/>
          <w:color w:val="0E2A35"/>
        </w:rPr>
        <w:t>[Company Name]</w:t>
      </w:r>
      <w:r>
        <w:rPr>
          <w:b w:val="0"/>
          <w:i w:val="0"/>
          <w:color w:val="5C6F78"/>
        </w:rPr>
        <w:t xml:space="preserve">  ·  P-01</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P-01</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Risk Management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CC3.1-CC3.4, CC4.1-CC4.2, CC5.1, CC9.1 · ISO 27001:2022: 6.1, 8.2, 8.3, 9.1, A.5.7</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RSK-01, RSK-02</w:t>
            </w:r>
          </w:p>
        </w:tc>
      </w:tr>
    </w:tbl>
    <w:p/>
    <w:p>
      <w:pPr>
        <w:pStyle w:val="Heading1"/>
      </w:pPr>
      <w:r>
        <w:t>1. Purpose</w:t>
      </w:r>
    </w:p>
    <w:p>
      <w:r>
        <w:t>To identify, assess, treat and monitor risks to [Company Name]'s information, systems and service commitments in a consistent, documented way.</w:t>
      </w:r>
    </w:p>
    <w:p>
      <w:pPr>
        <w:pStyle w:val="Heading1"/>
      </w:pPr>
      <w:r>
        <w:t>2. Scope and applicability</w:t>
      </w:r>
    </w:p>
    <w:p>
      <w:r>
        <w:t>Risks to confidentiality, integrity and availability across all systems, processes, vendors and people in scope of the Information Security Policy, including fraud risk and emerging threats.</w:t>
      </w:r>
    </w:p>
    <w:p>
      <w:pPr>
        <w:pStyle w:val="Heading1"/>
      </w:pPr>
      <w:r>
        <w:t>3. Risk assessment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A formal risk assessment is performed at least [annually] and after a significant change to systems, vendors, services or the threat landscape.</w:t>
            </w:r>
          </w:p>
        </w:tc>
        <w:tc>
          <w:tcPr>
            <w:tcW w:type="dxa" w:w="3231"/>
          </w:tcPr>
          <w:p>
            <w:pPr>
              <w:spacing w:after="40"/>
            </w:pPr>
            <w:r/>
            <w:r>
              <w:rPr>
                <w:b w:val="0"/>
                <w:i w:val="0"/>
                <w:sz w:val="20"/>
              </w:rPr>
              <w:t>Risk assessment report with date; trigger list</w:t>
            </w:r>
          </w:p>
        </w:tc>
      </w:tr>
      <w:tr>
        <w:tc>
          <w:tcPr>
            <w:tcW w:type="dxa" w:w="737"/>
          </w:tcPr>
          <w:p>
            <w:pPr>
              <w:spacing w:after="40"/>
            </w:pPr>
            <w:r/>
            <w:r>
              <w:rPr>
                <w:b w:val="0"/>
                <w:i w:val="0"/>
                <w:sz w:val="20"/>
              </w:rPr>
              <w:t>3.2</w:t>
            </w:r>
          </w:p>
        </w:tc>
        <w:tc>
          <w:tcPr>
            <w:tcW w:type="dxa" w:w="5443"/>
          </w:tcPr>
          <w:p>
            <w:pPr>
              <w:spacing w:after="40"/>
            </w:pPr>
            <w:r/>
            <w:r>
              <w:rPr>
                <w:b w:val="0"/>
                <w:i w:val="0"/>
                <w:sz w:val="20"/>
              </w:rPr>
              <w:t>Risks are recorded in a risk register with owner, likelihood, impact, rating and treatment decision.</w:t>
            </w:r>
          </w:p>
        </w:tc>
        <w:tc>
          <w:tcPr>
            <w:tcW w:type="dxa" w:w="3231"/>
          </w:tcPr>
          <w:p>
            <w:pPr>
              <w:spacing w:after="40"/>
            </w:pPr>
            <w:r/>
            <w:r>
              <w:rPr>
                <w:b w:val="0"/>
                <w:i w:val="0"/>
                <w:sz w:val="20"/>
              </w:rPr>
              <w:t>Risk register extract</w:t>
            </w:r>
          </w:p>
        </w:tc>
      </w:tr>
      <w:tr>
        <w:tc>
          <w:tcPr>
            <w:tcW w:type="dxa" w:w="737"/>
          </w:tcPr>
          <w:p>
            <w:pPr>
              <w:spacing w:after="40"/>
            </w:pPr>
            <w:r/>
            <w:r>
              <w:rPr>
                <w:b w:val="0"/>
                <w:i w:val="0"/>
                <w:sz w:val="20"/>
              </w:rPr>
              <w:t>3.3</w:t>
            </w:r>
          </w:p>
        </w:tc>
        <w:tc>
          <w:tcPr>
            <w:tcW w:type="dxa" w:w="5443"/>
          </w:tcPr>
          <w:p>
            <w:pPr>
              <w:spacing w:after="40"/>
            </w:pPr>
            <w:r/>
            <w:r>
              <w:rPr>
                <w:b w:val="0"/>
                <w:i w:val="0"/>
                <w:sz w:val="20"/>
              </w:rPr>
              <w:t>The assessment includes the risk of fraud, including incentives, opportunity and rationalization.</w:t>
            </w:r>
          </w:p>
        </w:tc>
        <w:tc>
          <w:tcPr>
            <w:tcW w:type="dxa" w:w="3231"/>
          </w:tcPr>
          <w:p>
            <w:pPr>
              <w:spacing w:after="40"/>
            </w:pPr>
            <w:r/>
            <w:r>
              <w:rPr>
                <w:b w:val="0"/>
                <w:i w:val="0"/>
                <w:sz w:val="20"/>
              </w:rPr>
              <w:t>Fraud risk section of the register</w:t>
            </w:r>
          </w:p>
        </w:tc>
      </w:tr>
      <w:tr>
        <w:tc>
          <w:tcPr>
            <w:tcW w:type="dxa" w:w="737"/>
          </w:tcPr>
          <w:p>
            <w:pPr>
              <w:spacing w:after="40"/>
            </w:pPr>
            <w:r/>
            <w:r>
              <w:rPr>
                <w:b w:val="0"/>
                <w:i w:val="0"/>
                <w:sz w:val="20"/>
              </w:rPr>
              <w:t>3.4</w:t>
            </w:r>
          </w:p>
        </w:tc>
        <w:tc>
          <w:tcPr>
            <w:tcW w:type="dxa" w:w="5443"/>
          </w:tcPr>
          <w:p>
            <w:pPr>
              <w:spacing w:after="40"/>
            </w:pPr>
            <w:r/>
            <w:r>
              <w:rPr>
                <w:b w:val="0"/>
                <w:i w:val="0"/>
                <w:sz w:val="20"/>
              </w:rPr>
              <w:t>Threat information from [sources] is reviewed at least [monthly] and fed into the register.</w:t>
            </w:r>
          </w:p>
        </w:tc>
        <w:tc>
          <w:tcPr>
            <w:tcW w:type="dxa" w:w="3231"/>
          </w:tcPr>
          <w:p>
            <w:pPr>
              <w:spacing w:after="40"/>
            </w:pPr>
            <w:r/>
            <w:r>
              <w:rPr>
                <w:b w:val="0"/>
                <w:i w:val="0"/>
                <w:sz w:val="20"/>
              </w:rPr>
              <w:t>Threat review notes</w:t>
            </w:r>
          </w:p>
        </w:tc>
      </w:tr>
    </w:tbl>
    <w:p/>
    <w:p>
      <w:pPr>
        <w:pStyle w:val="Heading1"/>
      </w:pPr>
      <w:r>
        <w:t>4. Risk treatment and acceptance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Each risk is treated (mitigate, transfer, avoid or accept) and has a named owner and target date.</w:t>
            </w:r>
          </w:p>
        </w:tc>
        <w:tc>
          <w:tcPr>
            <w:tcW w:type="dxa" w:w="3231"/>
          </w:tcPr>
          <w:p>
            <w:pPr>
              <w:spacing w:after="40"/>
            </w:pPr>
            <w:r/>
            <w:r>
              <w:rPr>
                <w:b w:val="0"/>
                <w:i w:val="0"/>
                <w:sz w:val="20"/>
              </w:rPr>
              <w:t>Treatment columns in the register</w:t>
            </w:r>
          </w:p>
        </w:tc>
      </w:tr>
      <w:tr>
        <w:tc>
          <w:tcPr>
            <w:tcW w:type="dxa" w:w="737"/>
          </w:tcPr>
          <w:p>
            <w:pPr>
              <w:spacing w:after="40"/>
            </w:pPr>
            <w:r/>
            <w:r>
              <w:rPr>
                <w:b w:val="0"/>
                <w:i w:val="0"/>
                <w:sz w:val="20"/>
              </w:rPr>
              <w:t>4.2</w:t>
            </w:r>
          </w:p>
        </w:tc>
        <w:tc>
          <w:tcPr>
            <w:tcW w:type="dxa" w:w="5443"/>
          </w:tcPr>
          <w:p>
            <w:pPr>
              <w:spacing w:after="40"/>
            </w:pPr>
            <w:r/>
            <w:r>
              <w:rPr>
                <w:b w:val="0"/>
                <w:i w:val="0"/>
                <w:sz w:val="20"/>
              </w:rPr>
              <w:t>Risks above [threshold] are accepted only by [role] in writing, with an expiry date.</w:t>
            </w:r>
          </w:p>
        </w:tc>
        <w:tc>
          <w:tcPr>
            <w:tcW w:type="dxa" w:w="3231"/>
          </w:tcPr>
          <w:p>
            <w:pPr>
              <w:spacing w:after="40"/>
            </w:pPr>
            <w:r/>
            <w:r>
              <w:rPr>
                <w:b w:val="0"/>
                <w:i w:val="0"/>
                <w:sz w:val="20"/>
              </w:rPr>
              <w:t>Risk acceptance records</w:t>
            </w:r>
          </w:p>
        </w:tc>
      </w:tr>
    </w:tbl>
    <w:p/>
    <w:p>
      <w:pPr>
        <w:pStyle w:val="Heading1"/>
      </w:pPr>
      <w:r>
        <w:t>5. Monitoring and reporting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The register is reviewed at least [quarterly] by the security oversight forum.</w:t>
            </w:r>
          </w:p>
        </w:tc>
        <w:tc>
          <w:tcPr>
            <w:tcW w:type="dxa" w:w="3231"/>
          </w:tcPr>
          <w:p>
            <w:pPr>
              <w:spacing w:after="40"/>
            </w:pPr>
            <w:r/>
            <w:r>
              <w:rPr>
                <w:b w:val="0"/>
                <w:i w:val="0"/>
                <w:sz w:val="20"/>
              </w:rPr>
              <w:t>Meeting minutes</w:t>
            </w:r>
          </w:p>
        </w:tc>
      </w:tr>
      <w:tr>
        <w:tc>
          <w:tcPr>
            <w:tcW w:type="dxa" w:w="737"/>
          </w:tcPr>
          <w:p>
            <w:pPr>
              <w:spacing w:after="40"/>
            </w:pPr>
            <w:r/>
            <w:r>
              <w:rPr>
                <w:b w:val="0"/>
                <w:i w:val="0"/>
                <w:sz w:val="20"/>
              </w:rPr>
              <w:t>5.2</w:t>
            </w:r>
          </w:p>
        </w:tc>
        <w:tc>
          <w:tcPr>
            <w:tcW w:type="dxa" w:w="5443"/>
          </w:tcPr>
          <w:p>
            <w:pPr>
              <w:spacing w:after="40"/>
            </w:pPr>
            <w:r/>
            <w:r>
              <w:rPr>
                <w:b w:val="0"/>
                <w:i w:val="0"/>
                <w:sz w:val="20"/>
              </w:rPr>
              <w:t>Control effectiveness is monitored [monthly]; failures are logged as deficiencies and tracked to closure.</w:t>
            </w:r>
          </w:p>
        </w:tc>
        <w:tc>
          <w:tcPr>
            <w:tcW w:type="dxa" w:w="3231"/>
          </w:tcPr>
          <w:p>
            <w:pPr>
              <w:spacing w:after="40"/>
            </w:pPr>
            <w:r/>
            <w:r>
              <w:rPr>
                <w:b w:val="0"/>
                <w:i w:val="0"/>
                <w:sz w:val="20"/>
              </w:rPr>
              <w:t>Control health reviews; deficiency log</w:t>
            </w:r>
          </w:p>
        </w:tc>
      </w:tr>
      <w:tr>
        <w:tc>
          <w:tcPr>
            <w:tcW w:type="dxa" w:w="737"/>
          </w:tcPr>
          <w:p>
            <w:pPr>
              <w:spacing w:after="40"/>
            </w:pPr>
            <w:r/>
            <w:r>
              <w:rPr>
                <w:b w:val="0"/>
                <w:i w:val="0"/>
                <w:sz w:val="20"/>
              </w:rPr>
              <w:t>5.3</w:t>
            </w:r>
          </w:p>
        </w:tc>
        <w:tc>
          <w:tcPr>
            <w:tcW w:type="dxa" w:w="5443"/>
          </w:tcPr>
          <w:p>
            <w:pPr>
              <w:spacing w:after="40"/>
            </w:pPr>
            <w:r/>
            <w:r>
              <w:rPr>
                <w:b w:val="0"/>
                <w:i w:val="0"/>
                <w:sz w:val="20"/>
              </w:rPr>
              <w:t>Significant changes in business, vendors or systems trigger an update of the register.</w:t>
            </w:r>
          </w:p>
        </w:tc>
        <w:tc>
          <w:tcPr>
            <w:tcW w:type="dxa" w:w="3231"/>
          </w:tcPr>
          <w:p>
            <w:pPr>
              <w:spacing w:after="40"/>
            </w:pPr>
            <w:r/>
            <w:r>
              <w:rPr>
                <w:b w:val="0"/>
                <w:i w:val="0"/>
                <w:sz w:val="20"/>
              </w:rPr>
              <w:t>Change tickets linked to register entries</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the process and the register</w:t>
            </w:r>
          </w:p>
        </w:tc>
      </w:tr>
      <w:tr>
        <w:tc>
          <w:tcPr>
            <w:tcW w:type="dxa" w:w="2608"/>
          </w:tcPr>
          <w:p>
            <w:pPr>
              <w:spacing w:after="40"/>
            </w:pPr>
            <w:r/>
            <w:r>
              <w:rPr>
                <w:b w:val="0"/>
                <w:i w:val="0"/>
                <w:sz w:val="20"/>
              </w:rPr>
              <w:t>Risk owners</w:t>
            </w:r>
          </w:p>
        </w:tc>
        <w:tc>
          <w:tcPr>
            <w:tcW w:type="dxa" w:w="6803"/>
          </w:tcPr>
          <w:p>
            <w:pPr>
              <w:spacing w:after="40"/>
            </w:pPr>
            <w:r/>
            <w:r>
              <w:rPr>
                <w:b w:val="0"/>
                <w:i w:val="0"/>
                <w:sz w:val="20"/>
              </w:rPr>
              <w:t>Treat and report on assigned risks</w:t>
            </w:r>
          </w:p>
        </w:tc>
      </w:tr>
      <w:tr>
        <w:tc>
          <w:tcPr>
            <w:tcW w:type="dxa" w:w="2608"/>
          </w:tcPr>
          <w:p>
            <w:pPr>
              <w:spacing w:after="40"/>
            </w:pPr>
            <w:r/>
            <w:r>
              <w:rPr>
                <w:b w:val="0"/>
                <w:i w:val="0"/>
                <w:sz w:val="20"/>
              </w:rPr>
              <w:t>Executive leadership</w:t>
            </w:r>
          </w:p>
        </w:tc>
        <w:tc>
          <w:tcPr>
            <w:tcW w:type="dxa" w:w="6803"/>
          </w:tcPr>
          <w:p>
            <w:pPr>
              <w:spacing w:after="40"/>
            </w:pPr>
            <w:r/>
            <w:r>
              <w:rPr>
                <w:b w:val="0"/>
                <w:i w:val="0"/>
                <w:sz w:val="20"/>
              </w:rPr>
              <w:t>Accepts high risks; reviews the register with the oversight forum</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Risk Assessment Procedure; Internal Control Monitoring Procedure; Security Oversight Charter</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P-01  ·  Risk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Policy</dc:title>
  <dc:subject>P-01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