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Operations Security Policy</w:t>
      </w:r>
    </w:p>
    <w:p>
      <w:r>
        <w:rPr>
          <w:b/>
          <w:i w:val="0"/>
          <w:color w:val="0E2A35"/>
        </w:rPr>
        <w:t>[Company Name]</w:t>
      </w:r>
      <w:r>
        <w:rPr>
          <w:b w:val="0"/>
          <w:i w:val="0"/>
          <w:color w:val="5C6F78"/>
        </w:rPr>
        <w:t xml:space="preserve">  ·  P-07</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P-07</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Operations Security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IT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CC6.6, CC6.8, CC7.1, CC7.2, A1.1 · ISO 27001:2022: A.8.6-A.8.9, A.8.15-A.8.16, A.8.20-A.8.23</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VUL-01 to VUL-03, LOG-01, LOG-02, END-01, END-02, NET-01, NET-02</w:t>
            </w:r>
          </w:p>
        </w:tc>
      </w:tr>
    </w:tbl>
    <w:p/>
    <w:p>
      <w:pPr>
        <w:pStyle w:val="Heading1"/>
      </w:pPr>
      <w:r>
        <w:t>1. Purpose</w:t>
      </w:r>
    </w:p>
    <w:p>
      <w:r>
        <w:t>To ensure systems are operated securely, with vulnerabilities fixed, activity logged and monitored, malware prevented and capacity managed.</w:t>
      </w:r>
    </w:p>
    <w:p>
      <w:pPr>
        <w:pStyle w:val="Heading1"/>
      </w:pPr>
      <w:r>
        <w:t>2. Scope and applicability</w:t>
      </w:r>
    </w:p>
    <w:p>
      <w:r>
        <w:t>Production, corporate and cloud systems, endpoints, networks and supporting tools.</w:t>
      </w:r>
    </w:p>
    <w:p>
      <w:pPr>
        <w:pStyle w:val="Heading1"/>
      </w:pPr>
      <w:r>
        <w:t>3. Vulnerability and patch management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Systems are scanned at the frequency set in the Vulnerability and Patch Management Standard.</w:t>
            </w:r>
          </w:p>
        </w:tc>
        <w:tc>
          <w:tcPr>
            <w:tcW w:type="dxa" w:w="3231"/>
          </w:tcPr>
          <w:p>
            <w:pPr>
              <w:spacing w:after="40"/>
            </w:pPr>
            <w:r/>
            <w:r>
              <w:rPr>
                <w:b w:val="0"/>
                <w:i w:val="0"/>
                <w:sz w:val="20"/>
              </w:rPr>
              <w:t>Scan schedule and results</w:t>
            </w:r>
          </w:p>
        </w:tc>
      </w:tr>
      <w:tr>
        <w:tc>
          <w:tcPr>
            <w:tcW w:type="dxa" w:w="737"/>
          </w:tcPr>
          <w:p>
            <w:pPr>
              <w:spacing w:after="40"/>
            </w:pPr>
            <w:r/>
            <w:r>
              <w:rPr>
                <w:b w:val="0"/>
                <w:i w:val="0"/>
                <w:sz w:val="20"/>
              </w:rPr>
              <w:t>3.2</w:t>
            </w:r>
          </w:p>
        </w:tc>
        <w:tc>
          <w:tcPr>
            <w:tcW w:type="dxa" w:w="5443"/>
          </w:tcPr>
          <w:p>
            <w:pPr>
              <w:spacing w:after="40"/>
            </w:pPr>
            <w:r/>
            <w:r>
              <w:rPr>
                <w:b w:val="0"/>
                <w:i w:val="0"/>
                <w:sz w:val="20"/>
              </w:rPr>
              <w:t>Vulnerabilities are fixed or formally excepted within the deadlines for their severity.</w:t>
            </w:r>
          </w:p>
        </w:tc>
        <w:tc>
          <w:tcPr>
            <w:tcW w:type="dxa" w:w="3231"/>
          </w:tcPr>
          <w:p>
            <w:pPr>
              <w:spacing w:after="40"/>
            </w:pPr>
            <w:r/>
            <w:r>
              <w:rPr>
                <w:b w:val="0"/>
                <w:i w:val="0"/>
                <w:sz w:val="20"/>
              </w:rPr>
              <w:t>Remediation tickets with dates; exceptions</w:t>
            </w:r>
          </w:p>
        </w:tc>
      </w:tr>
      <w:tr>
        <w:tc>
          <w:tcPr>
            <w:tcW w:type="dxa" w:w="737"/>
          </w:tcPr>
          <w:p>
            <w:pPr>
              <w:spacing w:after="40"/>
            </w:pPr>
            <w:r/>
            <w:r>
              <w:rPr>
                <w:b w:val="0"/>
                <w:i w:val="0"/>
                <w:sz w:val="20"/>
              </w:rPr>
              <w:t>3.3</w:t>
            </w:r>
          </w:p>
        </w:tc>
        <w:tc>
          <w:tcPr>
            <w:tcW w:type="dxa" w:w="5443"/>
          </w:tcPr>
          <w:p>
            <w:pPr>
              <w:spacing w:after="40"/>
            </w:pPr>
            <w:r/>
            <w:r>
              <w:rPr>
                <w:b w:val="0"/>
                <w:i w:val="0"/>
                <w:sz w:val="20"/>
              </w:rPr>
              <w:t>Operating systems and software receive security updates within the window in the Endpoint Security Standard.</w:t>
            </w:r>
          </w:p>
        </w:tc>
        <w:tc>
          <w:tcPr>
            <w:tcW w:type="dxa" w:w="3231"/>
          </w:tcPr>
          <w:p>
            <w:pPr>
              <w:spacing w:after="40"/>
            </w:pPr>
            <w:r/>
            <w:r>
              <w:rPr>
                <w:b w:val="0"/>
                <w:i w:val="0"/>
                <w:sz w:val="20"/>
              </w:rPr>
              <w:t>Patch compliance report</w:t>
            </w:r>
          </w:p>
        </w:tc>
      </w:tr>
    </w:tbl>
    <w:p/>
    <w:p>
      <w:pPr>
        <w:pStyle w:val="Heading1"/>
      </w:pPr>
      <w:r>
        <w:t>4. Logging and monitoring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Security-relevant events from [sources] are logged centrally and kept for [retention].</w:t>
            </w:r>
          </w:p>
        </w:tc>
        <w:tc>
          <w:tcPr>
            <w:tcW w:type="dxa" w:w="3231"/>
          </w:tcPr>
          <w:p>
            <w:pPr>
              <w:spacing w:after="40"/>
            </w:pPr>
            <w:r/>
            <w:r>
              <w:rPr>
                <w:b w:val="0"/>
                <w:i w:val="0"/>
                <w:sz w:val="20"/>
              </w:rPr>
              <w:t>Log source list; retention settings</w:t>
            </w:r>
          </w:p>
        </w:tc>
      </w:tr>
      <w:tr>
        <w:tc>
          <w:tcPr>
            <w:tcW w:type="dxa" w:w="737"/>
          </w:tcPr>
          <w:p>
            <w:pPr>
              <w:spacing w:after="40"/>
            </w:pPr>
            <w:r/>
            <w:r>
              <w:rPr>
                <w:b w:val="0"/>
                <w:i w:val="0"/>
                <w:sz w:val="20"/>
              </w:rPr>
              <w:t>4.2</w:t>
            </w:r>
          </w:p>
        </w:tc>
        <w:tc>
          <w:tcPr>
            <w:tcW w:type="dxa" w:w="5443"/>
          </w:tcPr>
          <w:p>
            <w:pPr>
              <w:spacing w:after="40"/>
            </w:pPr>
            <w:r/>
            <w:r>
              <w:rPr>
                <w:b w:val="0"/>
                <w:i w:val="0"/>
                <w:sz w:val="20"/>
              </w:rPr>
              <w:t>Logs are protected from change and access is restricted.</w:t>
            </w:r>
          </w:p>
        </w:tc>
        <w:tc>
          <w:tcPr>
            <w:tcW w:type="dxa" w:w="3231"/>
          </w:tcPr>
          <w:p>
            <w:pPr>
              <w:spacing w:after="40"/>
            </w:pPr>
            <w:r/>
            <w:r>
              <w:rPr>
                <w:b w:val="0"/>
                <w:i w:val="0"/>
                <w:sz w:val="20"/>
              </w:rPr>
              <w:t>Log store permissions</w:t>
            </w:r>
          </w:p>
        </w:tc>
      </w:tr>
      <w:tr>
        <w:tc>
          <w:tcPr>
            <w:tcW w:type="dxa" w:w="737"/>
          </w:tcPr>
          <w:p>
            <w:pPr>
              <w:spacing w:after="40"/>
            </w:pPr>
            <w:r/>
            <w:r>
              <w:rPr>
                <w:b w:val="0"/>
                <w:i w:val="0"/>
                <w:sz w:val="20"/>
              </w:rPr>
              <w:t>4.3</w:t>
            </w:r>
          </w:p>
        </w:tc>
        <w:tc>
          <w:tcPr>
            <w:tcW w:type="dxa" w:w="5443"/>
          </w:tcPr>
          <w:p>
            <w:pPr>
              <w:spacing w:after="40"/>
            </w:pPr>
            <w:r/>
            <w:r>
              <w:rPr>
                <w:b w:val="0"/>
                <w:i w:val="0"/>
                <w:sz w:val="20"/>
              </w:rPr>
              <w:t>Alerts are reviewed and triaged within [time], and incidents are escalated under the Incident Response Policy.</w:t>
            </w:r>
          </w:p>
        </w:tc>
        <w:tc>
          <w:tcPr>
            <w:tcW w:type="dxa" w:w="3231"/>
          </w:tcPr>
          <w:p>
            <w:pPr>
              <w:spacing w:after="40"/>
            </w:pPr>
            <w:r/>
            <w:r>
              <w:rPr>
                <w:b w:val="0"/>
                <w:i w:val="0"/>
                <w:sz w:val="20"/>
              </w:rPr>
              <w:t>Alert tickets</w:t>
            </w:r>
          </w:p>
        </w:tc>
      </w:tr>
    </w:tbl>
    <w:p/>
    <w:p>
      <w:pPr>
        <w:pStyle w:val="Heading1"/>
      </w:pPr>
      <w:r>
        <w:t>5. Malware and endpoint protection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Endpoints run managed protection that is kept current and cannot be disabled by users.</w:t>
            </w:r>
          </w:p>
        </w:tc>
        <w:tc>
          <w:tcPr>
            <w:tcW w:type="dxa" w:w="3231"/>
          </w:tcPr>
          <w:p>
            <w:pPr>
              <w:spacing w:after="40"/>
            </w:pPr>
            <w:r/>
            <w:r>
              <w:rPr>
                <w:b w:val="0"/>
                <w:i w:val="0"/>
                <w:sz w:val="20"/>
              </w:rPr>
              <w:t>Endpoint management report</w:t>
            </w:r>
          </w:p>
        </w:tc>
      </w:tr>
    </w:tbl>
    <w:p/>
    <w:p>
      <w:pPr>
        <w:pStyle w:val="Heading1"/>
      </w:pPr>
      <w:r>
        <w:t>6. Network security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Networks are segmented, default-deny rules are used for inbound traffic, and firewall rules are reviewed at least [semi-annually].</w:t>
            </w:r>
          </w:p>
        </w:tc>
        <w:tc>
          <w:tcPr>
            <w:tcW w:type="dxa" w:w="3231"/>
          </w:tcPr>
          <w:p>
            <w:pPr>
              <w:spacing w:after="40"/>
            </w:pPr>
            <w:r/>
            <w:r>
              <w:rPr>
                <w:b w:val="0"/>
                <w:i w:val="0"/>
                <w:sz w:val="20"/>
              </w:rPr>
              <w:t>Firewall rule review record</w:t>
            </w:r>
          </w:p>
        </w:tc>
      </w:tr>
    </w:tbl>
    <w:p/>
    <w:p>
      <w:pPr>
        <w:pStyle w:val="Heading1"/>
      </w:pPr>
      <w:r>
        <w:t>7. Configuration and capacity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7.1</w:t>
            </w:r>
          </w:p>
        </w:tc>
        <w:tc>
          <w:tcPr>
            <w:tcW w:type="dxa" w:w="5443"/>
          </w:tcPr>
          <w:p>
            <w:pPr>
              <w:spacing w:after="40"/>
            </w:pPr>
            <w:r/>
            <w:r>
              <w:rPr>
                <w:b w:val="0"/>
                <w:i w:val="0"/>
                <w:sz w:val="20"/>
              </w:rPr>
              <w:t>Systems are built from approved secure baselines and deviations are recorded.</w:t>
            </w:r>
          </w:p>
        </w:tc>
        <w:tc>
          <w:tcPr>
            <w:tcW w:type="dxa" w:w="3231"/>
          </w:tcPr>
          <w:p>
            <w:pPr>
              <w:spacing w:after="40"/>
            </w:pPr>
            <w:r/>
            <w:r>
              <w:rPr>
                <w:b w:val="0"/>
                <w:i w:val="0"/>
                <w:sz w:val="20"/>
              </w:rPr>
              <w:t>Baseline compliance report</w:t>
            </w:r>
          </w:p>
        </w:tc>
      </w:tr>
      <w:tr>
        <w:tc>
          <w:tcPr>
            <w:tcW w:type="dxa" w:w="737"/>
          </w:tcPr>
          <w:p>
            <w:pPr>
              <w:spacing w:after="40"/>
            </w:pPr>
            <w:r/>
            <w:r>
              <w:rPr>
                <w:b w:val="0"/>
                <w:i w:val="0"/>
                <w:sz w:val="20"/>
              </w:rPr>
              <w:t>7.2</w:t>
            </w:r>
          </w:p>
        </w:tc>
        <w:tc>
          <w:tcPr>
            <w:tcW w:type="dxa" w:w="5443"/>
          </w:tcPr>
          <w:p>
            <w:pPr>
              <w:spacing w:after="40"/>
            </w:pPr>
            <w:r/>
            <w:r>
              <w:rPr>
                <w:b w:val="0"/>
                <w:i w:val="0"/>
                <w:sz w:val="20"/>
              </w:rPr>
              <w:t>Capacity is monitored against thresholds and reviewed at least [quarterly].</w:t>
            </w:r>
          </w:p>
        </w:tc>
        <w:tc>
          <w:tcPr>
            <w:tcW w:type="dxa" w:w="3231"/>
          </w:tcPr>
          <w:p>
            <w:pPr>
              <w:spacing w:after="40"/>
            </w:pPr>
            <w:r/>
            <w:r>
              <w:rPr>
                <w:b w:val="0"/>
                <w:i w:val="0"/>
                <w:sz w:val="20"/>
              </w:rPr>
              <w:t>Capacity review notes</w:t>
            </w:r>
          </w:p>
        </w:tc>
      </w:tr>
    </w:tbl>
    <w:p/>
    <w:p>
      <w:pPr>
        <w:pStyle w:val="Heading1"/>
      </w:pPr>
      <w:r>
        <w:t>8.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IT lead</w:t>
            </w:r>
          </w:p>
        </w:tc>
        <w:tc>
          <w:tcPr>
            <w:tcW w:type="dxa" w:w="6803"/>
          </w:tcPr>
          <w:p>
            <w:pPr>
              <w:spacing w:after="40"/>
            </w:pPr>
            <w:r/>
            <w:r>
              <w:rPr>
                <w:b w:val="0"/>
                <w:i w:val="0"/>
                <w:sz w:val="20"/>
              </w:rPr>
              <w:t>Operates endpoints, networks and patching</w:t>
            </w:r>
          </w:p>
        </w:tc>
      </w:tr>
      <w:tr>
        <w:tc>
          <w:tcPr>
            <w:tcW w:type="dxa" w:w="2608"/>
          </w:tcPr>
          <w:p>
            <w:pPr>
              <w:spacing w:after="40"/>
            </w:pPr>
            <w:r/>
            <w:r>
              <w:rPr>
                <w:b w:val="0"/>
                <w:i w:val="0"/>
                <w:sz w:val="20"/>
              </w:rPr>
              <w:t>Engineering lead</w:t>
            </w:r>
          </w:p>
        </w:tc>
        <w:tc>
          <w:tcPr>
            <w:tcW w:type="dxa" w:w="6803"/>
          </w:tcPr>
          <w:p>
            <w:pPr>
              <w:spacing w:after="40"/>
            </w:pPr>
            <w:r/>
            <w:r>
              <w:rPr>
                <w:b w:val="0"/>
                <w:i w:val="0"/>
                <w:sz w:val="20"/>
              </w:rPr>
              <w:t>Operates production systems</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monitoring and vulnerability oversight</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Endpoint Security Standard; Vulnerability and Patch Management Standard; Logging and Monitoring Standard; Secure Configuration Baselines</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P-07  ·  Operations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Security Policy</dc:title>
  <dc:subject>P-07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