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AI Acceptable Use and Governance Policy</w:t>
      </w:r>
    </w:p>
    <w:p>
      <w:r>
        <w:rPr>
          <w:b/>
          <w:i w:val="0"/>
          <w:color w:val="0E2A35"/>
        </w:rPr>
        <w:t>[Company Name]</w:t>
      </w:r>
      <w:r>
        <w:rPr>
          <w:b w:val="0"/>
          <w:i w:val="0"/>
          <w:color w:val="5C6F78"/>
        </w:rPr>
        <w:t xml:space="preserve">  ·  P-13</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P-13</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AI Acceptable Use and Governance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Security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CC1.1, CC2.2, CC3.2, CC9.2 · ISO 27001:2022: A.5.10, A.5.19, A.5.23</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GOV-04</w:t>
            </w:r>
          </w:p>
        </w:tc>
      </w:tr>
    </w:tbl>
    <w:p/>
    <w:p>
      <w:pPr>
        <w:pStyle w:val="Heading1"/>
      </w:pPr>
      <w:r>
        <w:t>1. Purpose</w:t>
      </w:r>
    </w:p>
    <w:p>
      <w:r>
        <w:t>To allow the benefits of AI tools while protecting company and customer data and managing AI-related risk.</w:t>
      </w:r>
    </w:p>
    <w:p>
      <w:pPr>
        <w:pStyle w:val="Heading1"/>
      </w:pPr>
      <w:r>
        <w:t>2. Scope and applicability</w:t>
      </w:r>
    </w:p>
    <w:p>
      <w:r>
        <w:t>Any generative AI, machine learning or automated decision tool used by personnel or built into company products.</w:t>
      </w:r>
    </w:p>
    <w:p>
      <w:pPr>
        <w:pStyle w:val="Heading1"/>
      </w:pPr>
      <w:r>
        <w:t>3. Approved use</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Only AI tools on the approved list are used for company work, and the list names the allowed purposes and data.</w:t>
            </w:r>
          </w:p>
        </w:tc>
        <w:tc>
          <w:tcPr>
            <w:tcW w:type="dxa" w:w="3231"/>
          </w:tcPr>
          <w:p>
            <w:pPr>
              <w:spacing w:after="40"/>
            </w:pPr>
            <w:r/>
            <w:r>
              <w:rPr>
                <w:b w:val="0"/>
                <w:i w:val="0"/>
                <w:sz w:val="20"/>
              </w:rPr>
              <w:t>Approved tools list</w:t>
            </w:r>
          </w:p>
        </w:tc>
      </w:tr>
      <w:tr>
        <w:tc>
          <w:tcPr>
            <w:tcW w:type="dxa" w:w="737"/>
          </w:tcPr>
          <w:p>
            <w:pPr>
              <w:spacing w:after="40"/>
            </w:pPr>
            <w:r/>
            <w:r>
              <w:rPr>
                <w:b w:val="0"/>
                <w:i w:val="0"/>
                <w:sz w:val="20"/>
              </w:rPr>
              <w:t>3.2</w:t>
            </w:r>
          </w:p>
        </w:tc>
        <w:tc>
          <w:tcPr>
            <w:tcW w:type="dxa" w:w="5443"/>
          </w:tcPr>
          <w:p>
            <w:pPr>
              <w:spacing w:after="40"/>
            </w:pPr>
            <w:r/>
            <w:r>
              <w:rPr>
                <w:b w:val="0"/>
                <w:i w:val="0"/>
                <w:sz w:val="20"/>
              </w:rPr>
              <w:t>New AI tools are reviewed by [role] for security, privacy, data use and contract terms before approval.</w:t>
            </w:r>
          </w:p>
        </w:tc>
        <w:tc>
          <w:tcPr>
            <w:tcW w:type="dxa" w:w="3231"/>
          </w:tcPr>
          <w:p>
            <w:pPr>
              <w:spacing w:after="40"/>
            </w:pPr>
            <w:r/>
            <w:r>
              <w:rPr>
                <w:b w:val="0"/>
                <w:i w:val="0"/>
                <w:sz w:val="20"/>
              </w:rPr>
              <w:t>Review records</w:t>
            </w:r>
          </w:p>
        </w:tc>
      </w:tr>
    </w:tbl>
    <w:p/>
    <w:p>
      <w:pPr>
        <w:pStyle w:val="Heading1"/>
      </w:pPr>
      <w:r>
        <w:t>4. Data rules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Customer data, credentials, source code marked [classification] and other restricted data are not entered into AI tools unless the tool is approved for that data.</w:t>
            </w:r>
          </w:p>
        </w:tc>
        <w:tc>
          <w:tcPr>
            <w:tcW w:type="dxa" w:w="3231"/>
          </w:tcPr>
          <w:p>
            <w:pPr>
              <w:spacing w:after="40"/>
            </w:pPr>
            <w:r/>
            <w:r>
              <w:rPr>
                <w:b w:val="0"/>
                <w:i w:val="0"/>
                <w:sz w:val="20"/>
              </w:rPr>
              <w:t>Data rules; tool settings</w:t>
            </w:r>
          </w:p>
        </w:tc>
      </w:tr>
      <w:tr>
        <w:tc>
          <w:tcPr>
            <w:tcW w:type="dxa" w:w="737"/>
          </w:tcPr>
          <w:p>
            <w:pPr>
              <w:spacing w:after="40"/>
            </w:pPr>
            <w:r/>
            <w:r>
              <w:rPr>
                <w:b w:val="0"/>
                <w:i w:val="0"/>
                <w:sz w:val="20"/>
              </w:rPr>
              <w:t>4.2</w:t>
            </w:r>
          </w:p>
        </w:tc>
        <w:tc>
          <w:tcPr>
            <w:tcW w:type="dxa" w:w="5443"/>
          </w:tcPr>
          <w:p>
            <w:pPr>
              <w:spacing w:after="40"/>
            </w:pPr>
            <w:r/>
            <w:r>
              <w:rPr>
                <w:b w:val="0"/>
                <w:i w:val="0"/>
                <w:sz w:val="20"/>
              </w:rPr>
              <w:t>Vendors are not allowed to train on company or customer data without written approval.</w:t>
            </w:r>
          </w:p>
        </w:tc>
        <w:tc>
          <w:tcPr>
            <w:tcW w:type="dxa" w:w="3231"/>
          </w:tcPr>
          <w:p>
            <w:pPr>
              <w:spacing w:after="40"/>
            </w:pPr>
            <w:r/>
            <w:r>
              <w:rPr>
                <w:b w:val="0"/>
                <w:i w:val="0"/>
                <w:sz w:val="20"/>
              </w:rPr>
              <w:t>Contract and settings review</w:t>
            </w:r>
          </w:p>
        </w:tc>
      </w:tr>
    </w:tbl>
    <w:p/>
    <w:p>
      <w:pPr>
        <w:pStyle w:val="Heading1"/>
      </w:pPr>
      <w:r>
        <w:t>5. Oversight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AI output is reviewed by a person before it is relied on or sent to customers.</w:t>
            </w:r>
          </w:p>
        </w:tc>
        <w:tc>
          <w:tcPr>
            <w:tcW w:type="dxa" w:w="3231"/>
          </w:tcPr>
          <w:p>
            <w:pPr>
              <w:spacing w:after="40"/>
            </w:pPr>
            <w:r/>
            <w:r>
              <w:rPr>
                <w:b w:val="0"/>
                <w:i w:val="0"/>
                <w:sz w:val="20"/>
              </w:rPr>
              <w:t>Process description; samples</w:t>
            </w:r>
          </w:p>
        </w:tc>
      </w:tr>
      <w:tr>
        <w:tc>
          <w:tcPr>
            <w:tcW w:type="dxa" w:w="737"/>
          </w:tcPr>
          <w:p>
            <w:pPr>
              <w:spacing w:after="40"/>
            </w:pPr>
            <w:r/>
            <w:r>
              <w:rPr>
                <w:b w:val="0"/>
                <w:i w:val="0"/>
                <w:sz w:val="20"/>
              </w:rPr>
              <w:t>5.2</w:t>
            </w:r>
          </w:p>
        </w:tc>
        <w:tc>
          <w:tcPr>
            <w:tcW w:type="dxa" w:w="5443"/>
          </w:tcPr>
          <w:p>
            <w:pPr>
              <w:spacing w:after="40"/>
            </w:pPr>
            <w:r/>
            <w:r>
              <w:rPr>
                <w:b w:val="0"/>
                <w:i w:val="0"/>
                <w:sz w:val="20"/>
              </w:rPr>
              <w:t>AI-related incidents, such as data exposure or harmful output, are reported as security incidents.</w:t>
            </w:r>
          </w:p>
        </w:tc>
        <w:tc>
          <w:tcPr>
            <w:tcW w:type="dxa" w:w="3231"/>
          </w:tcPr>
          <w:p>
            <w:pPr>
              <w:spacing w:after="40"/>
            </w:pPr>
            <w:r/>
            <w:r>
              <w:rPr>
                <w:b w:val="0"/>
                <w:i w:val="0"/>
                <w:sz w:val="20"/>
              </w:rPr>
              <w:t>Incident tickets</w:t>
            </w:r>
          </w:p>
        </w:tc>
      </w:tr>
      <w:tr>
        <w:tc>
          <w:tcPr>
            <w:tcW w:type="dxa" w:w="737"/>
          </w:tcPr>
          <w:p>
            <w:pPr>
              <w:spacing w:after="40"/>
            </w:pPr>
            <w:r/>
            <w:r>
              <w:rPr>
                <w:b w:val="0"/>
                <w:i w:val="0"/>
                <w:sz w:val="20"/>
              </w:rPr>
              <w:t>5.3</w:t>
            </w:r>
          </w:p>
        </w:tc>
        <w:tc>
          <w:tcPr>
            <w:tcW w:type="dxa" w:w="5443"/>
          </w:tcPr>
          <w:p>
            <w:pPr>
              <w:spacing w:after="40"/>
            </w:pPr>
            <w:r/>
            <w:r>
              <w:rPr>
                <w:b w:val="0"/>
                <w:i w:val="0"/>
                <w:sz w:val="20"/>
              </w:rPr>
              <w:t>AI vendors are included in vendor risk management.</w:t>
            </w:r>
          </w:p>
        </w:tc>
        <w:tc>
          <w:tcPr>
            <w:tcW w:type="dxa" w:w="3231"/>
          </w:tcPr>
          <w:p>
            <w:pPr>
              <w:spacing w:after="40"/>
            </w:pPr>
            <w:r/>
            <w:r>
              <w:rPr>
                <w:b w:val="0"/>
                <w:i w:val="0"/>
                <w:sz w:val="20"/>
              </w:rPr>
              <w:t>Vendor register</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Security lead</w:t>
            </w:r>
          </w:p>
        </w:tc>
        <w:tc>
          <w:tcPr>
            <w:tcW w:type="dxa" w:w="6803"/>
          </w:tcPr>
          <w:p>
            <w:pPr>
              <w:spacing w:after="40"/>
            </w:pPr>
            <w:r/>
            <w:r>
              <w:rPr>
                <w:b w:val="0"/>
                <w:i w:val="0"/>
                <w:sz w:val="20"/>
              </w:rPr>
              <w:t>Owns this policy and the approved list</w:t>
            </w:r>
          </w:p>
        </w:tc>
      </w:tr>
      <w:tr>
        <w:tc>
          <w:tcPr>
            <w:tcW w:type="dxa" w:w="2608"/>
          </w:tcPr>
          <w:p>
            <w:pPr>
              <w:spacing w:after="40"/>
            </w:pPr>
            <w:r/>
            <w:r>
              <w:rPr>
                <w:b w:val="0"/>
                <w:i w:val="0"/>
                <w:sz w:val="20"/>
              </w:rPr>
              <w:t>Legal lead</w:t>
            </w:r>
          </w:p>
        </w:tc>
        <w:tc>
          <w:tcPr>
            <w:tcW w:type="dxa" w:w="6803"/>
          </w:tcPr>
          <w:p>
            <w:pPr>
              <w:spacing w:after="40"/>
            </w:pPr>
            <w:r/>
            <w:r>
              <w:rPr>
                <w:b w:val="0"/>
                <w:i w:val="0"/>
                <w:sz w:val="20"/>
              </w:rPr>
              <w:t>Reviews terms and privacy impact</w:t>
            </w:r>
          </w:p>
        </w:tc>
      </w:tr>
      <w:tr>
        <w:tc>
          <w:tcPr>
            <w:tcW w:type="dxa" w:w="2608"/>
          </w:tcPr>
          <w:p>
            <w:pPr>
              <w:spacing w:after="40"/>
            </w:pPr>
            <w:r/>
            <w:r>
              <w:rPr>
                <w:b w:val="0"/>
                <w:i w:val="0"/>
                <w:sz w:val="20"/>
              </w:rPr>
              <w:t>All personnel</w:t>
            </w:r>
          </w:p>
        </w:tc>
        <w:tc>
          <w:tcPr>
            <w:tcW w:type="dxa" w:w="6803"/>
          </w:tcPr>
          <w:p>
            <w:pPr>
              <w:spacing w:after="40"/>
            </w:pPr>
            <w:r/>
            <w:r>
              <w:rPr>
                <w:b w:val="0"/>
                <w:i w:val="0"/>
                <w:sz w:val="20"/>
              </w:rPr>
              <w:t>Use only approved tools and follow the data rules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Acceptable Use Policy; Vendor and Third-Party Management Policy; Data Classification and Handling Standard</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P-13  ·  AI Acceptable Use and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Acceptable Use and Governance Policy</dc:title>
  <dc:subject>P-13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