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color w:val="ff0000"/>
          <w:sz w:val="34"/>
          <w:szCs w:val="34"/>
        </w:rPr>
      </w:pPr>
      <w:bookmarkStart w:colFirst="0" w:colLast="0" w:name="_77qefy8jlg85" w:id="0"/>
      <w:bookmarkEnd w:id="0"/>
      <w:r w:rsidDel="00000000" w:rsidR="00000000" w:rsidRPr="00000000">
        <w:rPr>
          <w:color w:val="ff0000"/>
          <w:sz w:val="34"/>
          <w:szCs w:val="34"/>
          <w:rtl w:val="0"/>
        </w:rPr>
        <w:t xml:space="preserve">Addison on 4th: Complaint &amp; Inspection Data Analysis</w:t>
      </w:r>
    </w:p>
    <w:p w:rsidR="00000000" w:rsidDel="00000000" w:rsidP="00000000" w:rsidRDefault="00000000" w:rsidRPr="00000000" w14:paraId="00000003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yhie8grbz41i" w:id="1"/>
      <w:bookmarkEnd w:id="1"/>
      <w:r w:rsidDel="00000000" w:rsidR="00000000" w:rsidRPr="00000000">
        <w:rPr>
          <w:color w:val="ff0000"/>
          <w:sz w:val="26"/>
          <w:szCs w:val="26"/>
          <w:rtl w:val="0"/>
        </w:rPr>
        <w:t xml:space="preserve">1. Complaint vs. NOV Conversion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complaints logged vs. how many escalated to Notices of Violation.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Addison, only ~12% of complaints became NOVs, showing systemic under-enforcement.</w:t>
        <w:br w:type="textWrapping"/>
      </w:r>
    </w:p>
    <w:p w:rsidR="00000000" w:rsidDel="00000000" w:rsidP="00000000" w:rsidRDefault="00000000" w:rsidRPr="00000000" w14:paraId="00000006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f5jx0xptfijb" w:id="2"/>
      <w:bookmarkEnd w:id="2"/>
      <w:r w:rsidDel="00000000" w:rsidR="00000000" w:rsidRPr="00000000">
        <w:rPr>
          <w:color w:val="ff0000"/>
          <w:sz w:val="26"/>
          <w:szCs w:val="26"/>
          <w:rtl w:val="0"/>
        </w:rPr>
        <w:t xml:space="preserve">2. Administrative Closures Without Inspection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complaints were closed without inspection, often lacking a “last inspection date/result.”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should be classified as </w:t>
      </w:r>
      <w:r w:rsidDel="00000000" w:rsidR="00000000" w:rsidRPr="00000000">
        <w:rPr>
          <w:b w:val="1"/>
          <w:rtl w:val="0"/>
        </w:rPr>
        <w:t xml:space="preserve">non-investigated closures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n6h1xb5peki2" w:id="3"/>
      <w:bookmarkEnd w:id="3"/>
      <w:r w:rsidDel="00000000" w:rsidR="00000000" w:rsidRPr="00000000">
        <w:rPr>
          <w:color w:val="ff0000"/>
          <w:sz w:val="26"/>
          <w:szCs w:val="26"/>
          <w:rtl w:val="0"/>
        </w:rPr>
        <w:t xml:space="preserve">3. Inspection-to-Compliance Turn Time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NOV, calculate the number of days from issuance ➝ “compliance achieved.”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Implausible cases include mold/infestation marked resolved within 0–2 days.</w:t>
        <w:br w:type="textWrapping"/>
      </w:r>
    </w:p>
    <w:p w:rsidR="00000000" w:rsidDel="00000000" w:rsidP="00000000" w:rsidRDefault="00000000" w:rsidRPr="00000000" w14:paraId="0000000C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wyicx7ppi7ef" w:id="4"/>
      <w:bookmarkEnd w:id="4"/>
      <w:r w:rsidDel="00000000" w:rsidR="00000000" w:rsidRPr="00000000">
        <w:rPr>
          <w:color w:val="ff0000"/>
          <w:sz w:val="26"/>
          <w:szCs w:val="26"/>
          <w:rtl w:val="0"/>
        </w:rPr>
        <w:t xml:space="preserve">4. Median Resolution Time by Complaint Type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Complaints vs. NOVs vs. Tenant Relocation vs. Requests — median days to close each category.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highlights which issues get ignored or rushed.</w:t>
        <w:br w:type="textWrapping"/>
      </w:r>
    </w:p>
    <w:p w:rsidR="00000000" w:rsidDel="00000000" w:rsidP="00000000" w:rsidRDefault="00000000" w:rsidRPr="00000000" w14:paraId="0000000F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a81twuxdsp4d" w:id="5"/>
      <w:bookmarkEnd w:id="5"/>
      <w:r w:rsidDel="00000000" w:rsidR="00000000" w:rsidRPr="00000000">
        <w:rPr>
          <w:color w:val="ff0000"/>
          <w:sz w:val="26"/>
          <w:szCs w:val="26"/>
          <w:rtl w:val="0"/>
        </w:rPr>
        <w:t xml:space="preserve">5. Seasonal and Emergency Clustering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Complaints spike in colder months (heat outages, infestations) and around emergencies like the </w:t>
      </w:r>
      <w:r w:rsidDel="00000000" w:rsidR="00000000" w:rsidRPr="00000000">
        <w:rPr>
          <w:b w:val="1"/>
          <w:rtl w:val="0"/>
        </w:rPr>
        <w:t xml:space="preserve">2020 fire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sgzj1ryy3vrc" w:id="6"/>
      <w:bookmarkEnd w:id="6"/>
      <w:r w:rsidDel="00000000" w:rsidR="00000000" w:rsidRPr="00000000">
        <w:rPr>
          <w:color w:val="ff0000"/>
          <w:sz w:val="26"/>
          <w:szCs w:val="26"/>
          <w:rtl w:val="0"/>
        </w:rPr>
        <w:t xml:space="preserve">6. Repeat Offender Patterns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complaints tied to the same unit (infestations, elevator failures, trash hazards).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Indicates chronic neglect and lack of meaningful follow-up.</w:t>
        <w:br w:type="textWrapping"/>
      </w:r>
    </w:p>
    <w:p w:rsidR="00000000" w:rsidDel="00000000" w:rsidP="00000000" w:rsidRDefault="00000000" w:rsidRPr="00000000" w14:paraId="00000014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ib9jlvliyet7" w:id="7"/>
      <w:bookmarkEnd w:id="7"/>
      <w:r w:rsidDel="00000000" w:rsidR="00000000" w:rsidRPr="00000000">
        <w:rPr>
          <w:color w:val="ff0000"/>
          <w:sz w:val="26"/>
          <w:szCs w:val="26"/>
          <w:rtl w:val="0"/>
        </w:rPr>
        <w:t xml:space="preserve">7. Retroactive Data Entry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sudden appearance of inspection/compliance dates in recent years (backfilled into the system).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Suggests administrative “clean-up” rather than real-time enforcement.</w:t>
        <w:br w:type="textWrapping"/>
      </w:r>
    </w:p>
    <w:p w:rsidR="00000000" w:rsidDel="00000000" w:rsidP="00000000" w:rsidRDefault="00000000" w:rsidRPr="00000000" w14:paraId="00000017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mg2reom42xv8" w:id="8"/>
      <w:bookmarkEnd w:id="8"/>
      <w:r w:rsidDel="00000000" w:rsidR="00000000" w:rsidRPr="00000000">
        <w:rPr>
          <w:color w:val="ff0000"/>
          <w:sz w:val="26"/>
          <w:szCs w:val="26"/>
          <w:rtl w:val="0"/>
        </w:rPr>
        <w:t xml:space="preserve">8. Implausibility Testing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 type of violation vs. claimed resolution speed.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“mold” or “rodents” marked compliant next day = implausible.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“Trash pickup” or “door lock repair” resolved quickly = plausible.</w:t>
        <w:br w:type="textWrapping"/>
      </w:r>
    </w:p>
    <w:p w:rsidR="00000000" w:rsidDel="00000000" w:rsidP="00000000" w:rsidRDefault="00000000" w:rsidRPr="00000000" w14:paraId="0000001B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qp9xhtilaxwv" w:id="9"/>
      <w:bookmarkEnd w:id="9"/>
      <w:r w:rsidDel="00000000" w:rsidR="00000000" w:rsidRPr="00000000">
        <w:rPr>
          <w:color w:val="ff0000"/>
          <w:sz w:val="26"/>
          <w:szCs w:val="26"/>
          <w:rtl w:val="0"/>
        </w:rPr>
        <w:t xml:space="preserve">9. Tenant Harm vs. Administrative Convenience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Elevator failures led to </w:t>
      </w:r>
      <w:r w:rsidDel="00000000" w:rsidR="00000000" w:rsidRPr="00000000">
        <w:rPr>
          <w:b w:val="1"/>
          <w:rtl w:val="0"/>
        </w:rPr>
        <w:t xml:space="preserve">130+ emergency 911 calls</w:t>
      </w:r>
      <w:r w:rsidDel="00000000" w:rsidR="00000000" w:rsidRPr="00000000">
        <w:rPr>
          <w:rtl w:val="0"/>
        </w:rPr>
        <w:t xml:space="preserve">, yet SDCI often closed elevator complaints administratively.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Shows systemic mismatch between lived harm and recorded resolution.</w:t>
        <w:br w:type="textWrapping"/>
      </w:r>
    </w:p>
    <w:p w:rsidR="00000000" w:rsidDel="00000000" w:rsidP="00000000" w:rsidRDefault="00000000" w:rsidRPr="00000000" w14:paraId="0000001E">
      <w:pPr>
        <w:pStyle w:val="Heading3"/>
        <w:spacing w:after="80" w:before="280" w:lineRule="auto"/>
        <w:rPr>
          <w:color w:val="ff0000"/>
          <w:sz w:val="26"/>
          <w:szCs w:val="26"/>
        </w:rPr>
      </w:pPr>
      <w:bookmarkStart w:colFirst="0" w:colLast="0" w:name="_pbvawxb75qds" w:id="10"/>
      <w:bookmarkEnd w:id="10"/>
      <w:r w:rsidDel="00000000" w:rsidR="00000000" w:rsidRPr="00000000">
        <w:rPr>
          <w:color w:val="ff0000"/>
          <w:sz w:val="26"/>
          <w:szCs w:val="26"/>
          <w:rtl w:val="0"/>
        </w:rPr>
        <w:t xml:space="preserve">10. Systemic Integrity Issues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Retroactive compliance dates, low conversion rate to NOVs, and fast closures on severe hazards = indicators of </w:t>
      </w:r>
      <w:r w:rsidDel="00000000" w:rsidR="00000000" w:rsidRPr="00000000">
        <w:rPr>
          <w:b w:val="1"/>
          <w:rtl w:val="0"/>
        </w:rPr>
        <w:t xml:space="preserve">data manipulation</w:t>
      </w:r>
      <w:r w:rsidDel="00000000" w:rsidR="00000000" w:rsidRPr="00000000">
        <w:rPr>
          <w:rtl w:val="0"/>
        </w:rPr>
        <w:t xml:space="preserve"> or, at minimum, </w:t>
      </w:r>
      <w:r w:rsidDel="00000000" w:rsidR="00000000" w:rsidRPr="00000000">
        <w:rPr>
          <w:b w:val="1"/>
          <w:rtl w:val="0"/>
        </w:rPr>
        <w:t xml:space="preserve">regulatory collapse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ff0000"/>
        <w:sz w:val="24"/>
        <w:szCs w:val="24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48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345a8a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ff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0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0"/>
      <w:smallCaps w:val="0"/>
      <w:strike w:val="0"/>
      <w:color w:val="17365d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6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i w:val="1"/>
      <w:smallCaps w:val="0"/>
      <w:strike w:val="0"/>
      <w:color w:val="4f81bd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