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5hffs0o2ejwc" w:id="0"/>
      <w:bookmarkEnd w:id="0"/>
      <w:r w:rsidDel="00000000" w:rsidR="00000000" w:rsidRPr="00000000">
        <w:rPr/>
        <w:drawing>
          <wp:inline distB="114300" distT="114300" distL="114300" distR="114300">
            <wp:extent cx="19040475" cy="4800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040475" cy="4800600"/>
                    </a:xfrm>
                    <a:prstGeom prst="rect"/>
                    <a:ln/>
                  </pic:spPr>
                </pic:pic>
              </a:graphicData>
            </a:graphic>
          </wp:inline>
        </w:drawing>
      </w:r>
      <w:r w:rsidDel="00000000" w:rsidR="00000000" w:rsidRPr="00000000">
        <w:rPr>
          <w:rtl w:val="0"/>
        </w:rPr>
        <w:t xml:space="preserve"> Deeper Analysis: Addison Fire &amp; Complaint Data</w:t>
      </w:r>
    </w:p>
    <w:p w:rsidR="00000000" w:rsidDel="00000000" w:rsidP="00000000" w:rsidRDefault="00000000" w:rsidRPr="00000000" w14:paraId="00000002">
      <w:pPr>
        <w:rPr/>
      </w:pPr>
      <w:r w:rsidDel="00000000" w:rsidR="00000000" w:rsidRPr="00000000">
        <w:rPr>
          <w:rtl w:val="0"/>
        </w:rPr>
        <w:t xml:space="preserve">Building on the previously outlined key metrics and findings, here’s a deeper dive into the Addison complaint and violation data. This section expands on the recommended areas, uncovers further patterns, and uses the visuals provided.</w:t>
      </w:r>
    </w:p>
    <w:p w:rsidR="00000000" w:rsidDel="00000000" w:rsidP="00000000" w:rsidRDefault="00000000" w:rsidRPr="00000000" w14:paraId="00000003">
      <w:pPr>
        <w:pStyle w:val="Heading3"/>
        <w:rPr/>
      </w:pPr>
      <w:bookmarkStart w:colFirst="0" w:colLast="0" w:name="_8y59cxvmceh7" w:id="1"/>
      <w:bookmarkEnd w:id="1"/>
      <w:r w:rsidDel="00000000" w:rsidR="00000000" w:rsidRPr="00000000">
        <w:rPr>
          <w:rtl w:val="0"/>
        </w:rPr>
        <w:t xml:space="preserve">1. Yearly Trends in Complaints and Violations</w:t>
      </w:r>
    </w:p>
    <w:p w:rsidR="00000000" w:rsidDel="00000000" w:rsidP="00000000" w:rsidRDefault="00000000" w:rsidRPr="00000000" w14:paraId="00000004">
      <w:pPr>
        <w:rPr/>
      </w:pPr>
      <w:r w:rsidDel="00000000" w:rsidR="00000000" w:rsidRPr="00000000">
        <w:rPr>
          <w:b w:val="1"/>
          <w:rtl w:val="0"/>
        </w:rPr>
        <w:t xml:space="preserve">Observations:</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Complaint filings showed notable spikes during colder months (dec–feb), likely correlating with increased heating failures and building habitability issues.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The SDCI’s addition of inspection dates to historical cases appears to have produced a false sense of increased investigation in recent years, which does not necessarily reflect rising field action.</w:t>
      </w:r>
    </w:p>
    <w:p w:rsidR="00000000" w:rsidDel="00000000" w:rsidP="00000000" w:rsidRDefault="00000000" w:rsidRPr="00000000" w14:paraId="00000008">
      <w:pPr>
        <w:pStyle w:val="Heading3"/>
        <w:rPr/>
      </w:pPr>
      <w:bookmarkStart w:colFirst="0" w:colLast="0" w:name="_q5u5w9db0lpe" w:id="2"/>
      <w:bookmarkEnd w:id="2"/>
      <w:r w:rsidDel="00000000" w:rsidR="00000000" w:rsidRPr="00000000">
        <w:rPr>
          <w:rtl w:val="0"/>
        </w:rPr>
        <w:t xml:space="preserve">2. Resolution Speed by Issue Severity</w:t>
      </w:r>
    </w:p>
    <w:p w:rsidR="00000000" w:rsidDel="00000000" w:rsidP="00000000" w:rsidRDefault="00000000" w:rsidRPr="00000000" w14:paraId="00000009">
      <w:pPr>
        <w:rPr/>
      </w:pPr>
      <w:r w:rsidDel="00000000" w:rsidR="00000000" w:rsidRPr="00000000">
        <w:rPr>
          <w:b w:val="1"/>
          <w:rtl w:val="0"/>
        </w:rPr>
        <w:t xml:space="preserve">Patterns:</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Serious habitability concerns (mold, infestation, elevator failures, no heat or water) form the bulk of complaints and violations.</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Multiple violation “Compliance Achieved” statuses were recorded within 1–2 days—this is highly implausible for severe issues, pointing to either administrative closures or delayed (“backdated”) compliance entries, sometimes months later than complaint origin.</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Some suffering long wait times (e.g., trash/feces issues, ongoing infestations) with compliance actions stretching over 60–150 days.</w:t>
      </w:r>
    </w:p>
    <w:p w:rsidR="00000000" w:rsidDel="00000000" w:rsidP="00000000" w:rsidRDefault="00000000" w:rsidRPr="00000000" w14:paraId="0000000E">
      <w:pPr>
        <w:pStyle w:val="Heading3"/>
        <w:rPr/>
      </w:pPr>
      <w:bookmarkStart w:colFirst="0" w:colLast="0" w:name="_o3qmylrwiycs" w:id="3"/>
      <w:bookmarkEnd w:id="3"/>
      <w:r w:rsidDel="00000000" w:rsidR="00000000" w:rsidRPr="00000000">
        <w:rPr>
          <w:rtl w:val="0"/>
        </w:rPr>
        <w:t xml:space="preserve">3. Types of Complaints: Frequency and Response</w:t>
      </w:r>
    </w:p>
    <w:p w:rsidR="00000000" w:rsidDel="00000000" w:rsidP="00000000" w:rsidRDefault="00000000" w:rsidRPr="00000000" w14:paraId="0000000F">
      <w:pPr>
        <w:rPr/>
      </w:pPr>
      <w:r w:rsidDel="00000000" w:rsidR="00000000" w:rsidRPr="00000000">
        <w:rPr>
          <w:rtl w:val="0"/>
        </w:rPr>
        <w:t xml:space="preserve">Most common complaint types: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Infestation (roaches, bedbugs, rodents)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Unsanitary common areas (trash, feces, needles)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Heating failure or inadequate heat</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Broken or unsafe elevators/locks/windows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Extensive water damage/mold</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Management harassment or lack of response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Response trends:</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Health/safety risk complaints sometimes closed without field investigation, raising flags around true remediation.</w:t>
      </w:r>
    </w:p>
    <w:p w:rsidR="00000000" w:rsidDel="00000000" w:rsidP="00000000" w:rsidRDefault="00000000" w:rsidRPr="00000000" w14:paraId="0000001B">
      <w:pPr>
        <w:pStyle w:val="Heading3"/>
        <w:rPr/>
      </w:pPr>
      <w:bookmarkStart w:colFirst="0" w:colLast="0" w:name="_la3om7rrq4ix" w:id="4"/>
      <w:bookmarkEnd w:id="4"/>
      <w:r w:rsidDel="00000000" w:rsidR="00000000" w:rsidRPr="00000000">
        <w:rPr>
          <w:rtl w:val="0"/>
        </w:rPr>
        <w:t xml:space="preserve">4. Multiple Complaints per Unit/Recurring Issues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Some units or common areas were subject to repeat complaints over multiple years for the same issues, particularly pest infestations and utilities.</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This suggests underlying failure to resolve root problems, possibly due to either cost-cutting or insufficient city follow-up.</w:t>
      </w:r>
    </w:p>
    <w:p w:rsidR="00000000" w:rsidDel="00000000" w:rsidP="00000000" w:rsidRDefault="00000000" w:rsidRPr="00000000" w14:paraId="0000001E">
      <w:pPr>
        <w:pStyle w:val="Heading3"/>
        <w:rPr/>
      </w:pPr>
      <w:bookmarkStart w:colFirst="0" w:colLast="0" w:name="_db5ms0xwx7dt" w:id="5"/>
      <w:bookmarkEnd w:id="5"/>
      <w:r w:rsidDel="00000000" w:rsidR="00000000" w:rsidRPr="00000000">
        <w:rPr>
          <w:rtl w:val="0"/>
        </w:rPr>
        <w:t xml:space="preserve">5. Administrative vs. Investigative Closures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Vast majority of closed complaints had no inspection date and no inspection result, indicating closure was administrative, not investigative.</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Only about 31% of all complaints had an investigation (see first bar chart).</w:t>
      </w:r>
    </w:p>
    <w:p w:rsidR="00000000" w:rsidDel="00000000" w:rsidP="00000000" w:rsidRDefault="00000000" w:rsidRPr="00000000" w14:paraId="00000021">
      <w:pPr>
        <w:pStyle w:val="Heading3"/>
        <w:rPr/>
      </w:pPr>
      <w:bookmarkStart w:colFirst="0" w:colLast="0" w:name="_2simai5vll7x" w:id="6"/>
      <w:bookmarkEnd w:id="6"/>
      <w:r w:rsidDel="00000000" w:rsidR="00000000" w:rsidRPr="00000000">
        <w:rPr>
          <w:rtl w:val="0"/>
        </w:rPr>
        <w:t xml:space="preserve">6. Compliance Turn Time Distribution</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The compliance histogram reveals most compliance actions took significantly longer than a day, but a large number still clustered near 0–10 days, raising plausibility concerns for rapid resolutions. [image:3]</w:t>
      </w:r>
    </w:p>
    <w:p w:rsidR="00000000" w:rsidDel="00000000" w:rsidP="00000000" w:rsidRDefault="00000000" w:rsidRPr="00000000" w14:paraId="00000023">
      <w:pPr>
        <w:pStyle w:val="Heading3"/>
        <w:rPr/>
      </w:pPr>
      <w:bookmarkStart w:colFirst="0" w:colLast="0" w:name="_iyiuj2bobpqo" w:id="7"/>
      <w:bookmarkEnd w:id="7"/>
      <w:r w:rsidDel="00000000" w:rsidR="00000000" w:rsidRPr="00000000">
        <w:rPr>
          <w:rtl w:val="0"/>
        </w:rPr>
        <w:t xml:space="preserve">7. Correlation with Policy/Management Changes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Spikes in complaints and compliance outcomes track closely to winter emergencies and city housing policy headlines.</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Increased tracking of inspection data aligns with SDCI’s recent reporting reforms, rather than any tangible change in property conditions.</w:t>
      </w:r>
    </w:p>
    <w:p w:rsidR="00000000" w:rsidDel="00000000" w:rsidP="00000000" w:rsidRDefault="00000000" w:rsidRPr="00000000" w14:paraId="00000026">
      <w:pPr>
        <w:pStyle w:val="Heading3"/>
        <w:rPr/>
      </w:pPr>
      <w:bookmarkStart w:colFirst="0" w:colLast="0" w:name="_pemi3bpv3459" w:id="8"/>
      <w:bookmarkEnd w:id="8"/>
      <w:r w:rsidDel="00000000" w:rsidR="00000000" w:rsidRPr="00000000">
        <w:rPr>
          <w:rtl w:val="0"/>
        </w:rPr>
        <w:t xml:space="preserve">8. Health Risks and Delayed Resolutions</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Delayed responses—especially for trash, infestation, and heating complaints—correlate with increased tenant health risks, as evidenced by escalating urgency of repeated filings.</w:t>
      </w:r>
    </w:p>
    <w:p w:rsidR="00000000" w:rsidDel="00000000" w:rsidP="00000000" w:rsidRDefault="00000000" w:rsidRPr="00000000" w14:paraId="00000028">
      <w:pPr>
        <w:pStyle w:val="Heading3"/>
        <w:rPr/>
      </w:pPr>
      <w:bookmarkStart w:colFirst="0" w:colLast="0" w:name="_3geuhjcvaci5" w:id="9"/>
      <w:bookmarkEnd w:id="9"/>
      <w:r w:rsidDel="00000000" w:rsidR="00000000" w:rsidRPr="00000000">
        <w:rPr>
          <w:rtl w:val="0"/>
        </w:rPr>
        <w:t xml:space="preserve">9. False or Expedited Compliance Closure</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Several high-risk scenarios (mold, major infestations) were marked as “Compliance Achieved” the next day—physically implausible, supporting the theory of database “clean-up” or superficial closure.</w:t>
      </w:r>
    </w:p>
    <w:p w:rsidR="00000000" w:rsidDel="00000000" w:rsidP="00000000" w:rsidRDefault="00000000" w:rsidRPr="00000000" w14:paraId="0000002A">
      <w:pPr>
        <w:pStyle w:val="Heading3"/>
        <w:rPr/>
      </w:pPr>
      <w:bookmarkStart w:colFirst="0" w:colLast="0" w:name="_h8x9rctsnamf" w:id="10"/>
      <w:bookmarkEnd w:id="10"/>
      <w:r w:rsidDel="00000000" w:rsidR="00000000" w:rsidRPr="00000000">
        <w:rPr>
          <w:rtl w:val="0"/>
        </w:rPr>
        <w:t xml:space="preserve">10. Complaint to Violation Conversion Rate</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As visualized in the pie chart, only 12.3% of complaints escalated to formal violations, indicating a low conversion rate; most complaints were dismissed, resolved administratively, or possibly left unaddressed in the field. [image:4]</w:t>
      </w:r>
    </w:p>
    <w:p w:rsidR="00000000" w:rsidDel="00000000" w:rsidP="00000000" w:rsidRDefault="00000000" w:rsidRPr="00000000" w14:paraId="0000002C">
      <w:pPr>
        <w:pStyle w:val="Heading3"/>
        <w:rPr/>
      </w:pPr>
      <w:bookmarkStart w:colFirst="0" w:colLast="0" w:name="_77voe7y572z4" w:id="11"/>
      <w:bookmarkEnd w:id="11"/>
      <w:r w:rsidDel="00000000" w:rsidR="00000000" w:rsidRPr="00000000">
        <w:rPr>
          <w:rtl w:val="0"/>
        </w:rPr>
        <w:t xml:space="preserve">Visual Recap</w:t>
      </w:r>
    </w:p>
    <w:p w:rsidR="00000000" w:rsidDel="00000000" w:rsidP="00000000" w:rsidRDefault="00000000" w:rsidRPr="00000000" w14:paraId="0000002D">
      <w:pPr>
        <w:rPr/>
      </w:pPr>
      <w:r w:rsidDel="00000000" w:rsidR="00000000" w:rsidRPr="00000000">
        <w:rPr>
          <w:b w:val="1"/>
          <w:rtl w:val="0"/>
        </w:rPr>
        <w:t xml:space="preserve">Investigated vs. Uninvestigated Complaints</w:t>
      </w:r>
      <w:r w:rsidDel="00000000" w:rsidR="00000000" w:rsidRPr="00000000">
        <w:rPr>
          <w:rtl w:val="0"/>
        </w:rPr>
        <w:t xml:space="preserve"> [image:2]</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Far more complaints went uninvestigated than received an inspector visit, highlighting possible systemic under-enforcement.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rtl w:val="0"/>
        </w:rPr>
        <w:t xml:space="preserve">Notices of Violation: Compliance Time</w:t>
      </w:r>
      <w:r w:rsidDel="00000000" w:rsidR="00000000" w:rsidRPr="00000000">
        <w:rPr>
          <w:rtl w:val="0"/>
        </w:rPr>
        <w:t xml:space="preserve"> [image:3]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rtl w:val="0"/>
        </w:rPr>
        <w:t xml:space="preserve">Complaints vs. Notices of Violation</w:t>
      </w:r>
      <w:r w:rsidDel="00000000" w:rsidR="00000000" w:rsidRPr="00000000">
        <w:rPr>
          <w:rtl w:val="0"/>
        </w:rPr>
        <w:t xml:space="preserve"> [image:4]</w:t>
      </w:r>
    </w:p>
    <w:p w:rsidR="00000000" w:rsidDel="00000000" w:rsidP="00000000" w:rsidRDefault="00000000" w:rsidRPr="00000000" w14:paraId="00000034">
      <w:pPr>
        <w:pStyle w:val="Heading3"/>
        <w:rPr/>
      </w:pPr>
      <w:bookmarkStart w:colFirst="0" w:colLast="0" w:name="_hcietjfjh67y" w:id="12"/>
      <w:bookmarkEnd w:id="12"/>
      <w:r w:rsidDel="00000000" w:rsidR="00000000" w:rsidRPr="00000000">
        <w:rPr>
          <w:rtl w:val="0"/>
        </w:rPr>
        <w:t xml:space="preserve">Actionable Insights &amp; Recommendations</w:t>
      </w:r>
    </w:p>
    <w:p w:rsidR="00000000" w:rsidDel="00000000" w:rsidP="00000000" w:rsidRDefault="00000000" w:rsidRPr="00000000" w14:paraId="00000035">
      <w:pPr>
        <w:numPr>
          <w:ilvl w:val="0"/>
          <w:numId w:val="1"/>
        </w:numPr>
        <w:ind w:left="720" w:hanging="360"/>
      </w:pPr>
      <w:r w:rsidDel="00000000" w:rsidR="00000000" w:rsidRPr="00000000">
        <w:rPr>
          <w:b w:val="1"/>
          <w:rtl w:val="0"/>
        </w:rPr>
        <w:t xml:space="preserve">Annual and Seasonal Monitoring:</w:t>
      </w:r>
      <w:r w:rsidDel="00000000" w:rsidR="00000000" w:rsidRPr="00000000">
        <w:rPr>
          <w:rtl w:val="0"/>
        </w:rPr>
        <w:t xml:space="preserve"> Track spikes during cold months or after public emergencies to flag chronic problems.</w:t>
      </w:r>
    </w:p>
    <w:p w:rsidR="00000000" w:rsidDel="00000000" w:rsidP="00000000" w:rsidRDefault="00000000" w:rsidRPr="00000000" w14:paraId="00000036">
      <w:pPr>
        <w:numPr>
          <w:ilvl w:val="0"/>
          <w:numId w:val="1"/>
        </w:numPr>
        <w:ind w:left="720" w:hanging="360"/>
      </w:pPr>
      <w:r w:rsidDel="00000000" w:rsidR="00000000" w:rsidRPr="00000000">
        <w:rPr>
          <w:b w:val="1"/>
          <w:rtl w:val="0"/>
        </w:rPr>
        <w:t xml:space="preserve">Severity-based Follow-Up:</w:t>
      </w:r>
      <w:r w:rsidDel="00000000" w:rsidR="00000000" w:rsidRPr="00000000">
        <w:rPr>
          <w:rtl w:val="0"/>
        </w:rPr>
        <w:t xml:space="preserve"> Focus additional scrutiny on next-day compliance for severe issues.</w:t>
      </w:r>
    </w:p>
    <w:p w:rsidR="00000000" w:rsidDel="00000000" w:rsidP="00000000" w:rsidRDefault="00000000" w:rsidRPr="00000000" w14:paraId="00000037">
      <w:pPr>
        <w:numPr>
          <w:ilvl w:val="0"/>
          <w:numId w:val="1"/>
        </w:numPr>
        <w:ind w:left="720" w:hanging="360"/>
      </w:pPr>
      <w:r w:rsidDel="00000000" w:rsidR="00000000" w:rsidRPr="00000000">
        <w:rPr>
          <w:b w:val="1"/>
          <w:rtl w:val="0"/>
        </w:rPr>
        <w:t xml:space="preserve">Repeat Offender Analysis:</w:t>
      </w:r>
      <w:r w:rsidDel="00000000" w:rsidR="00000000" w:rsidRPr="00000000">
        <w:rPr>
          <w:rtl w:val="0"/>
        </w:rPr>
        <w:t xml:space="preserve"> Audit addresses/units with multiple filings for proactive intervention.</w:t>
      </w:r>
    </w:p>
    <w:p w:rsidR="00000000" w:rsidDel="00000000" w:rsidP="00000000" w:rsidRDefault="00000000" w:rsidRPr="00000000" w14:paraId="00000038">
      <w:pPr>
        <w:numPr>
          <w:ilvl w:val="0"/>
          <w:numId w:val="1"/>
        </w:numPr>
        <w:ind w:left="720" w:hanging="360"/>
      </w:pPr>
      <w:r w:rsidDel="00000000" w:rsidR="00000000" w:rsidRPr="00000000">
        <w:rPr>
          <w:b w:val="1"/>
          <w:rtl w:val="0"/>
        </w:rPr>
        <w:t xml:space="preserve">Administrative Closure Audit:</w:t>
      </w:r>
      <w:r w:rsidDel="00000000" w:rsidR="00000000" w:rsidRPr="00000000">
        <w:rPr>
          <w:rtl w:val="0"/>
        </w:rPr>
        <w:t xml:space="preserve"> Outside parties should review administratively closed cases for high-risk categories.</w:t>
      </w:r>
    </w:p>
    <w:p w:rsidR="00000000" w:rsidDel="00000000" w:rsidP="00000000" w:rsidRDefault="00000000" w:rsidRPr="00000000" w14:paraId="00000039">
      <w:pPr>
        <w:numPr>
          <w:ilvl w:val="0"/>
          <w:numId w:val="1"/>
        </w:numPr>
        <w:ind w:left="720" w:hanging="360"/>
      </w:pPr>
      <w:r w:rsidDel="00000000" w:rsidR="00000000" w:rsidRPr="00000000">
        <w:rPr>
          <w:b w:val="1"/>
          <w:rtl w:val="0"/>
        </w:rPr>
        <w:t xml:space="preserve">More Transparent Data Entry:</w:t>
      </w:r>
      <w:r w:rsidDel="00000000" w:rsidR="00000000" w:rsidRPr="00000000">
        <w:rPr>
          <w:rtl w:val="0"/>
        </w:rPr>
        <w:t xml:space="preserve"> Require SDCI to distinguish record backdating and administrative closures from field verifications.</w:t>
      </w:r>
    </w:p>
    <w:p w:rsidR="00000000" w:rsidDel="00000000" w:rsidP="00000000" w:rsidRDefault="00000000" w:rsidRPr="00000000" w14:paraId="0000003A">
      <w:pPr>
        <w:numPr>
          <w:ilvl w:val="0"/>
          <w:numId w:val="1"/>
        </w:numPr>
        <w:ind w:left="720" w:hanging="360"/>
      </w:pPr>
      <w:r w:rsidDel="00000000" w:rsidR="00000000" w:rsidRPr="00000000">
        <w:rPr>
          <w:b w:val="1"/>
          <w:rtl w:val="0"/>
        </w:rPr>
        <w:t xml:space="preserve">Correlate Outcomes with Tenant Turnover:</w:t>
      </w:r>
      <w:r w:rsidDel="00000000" w:rsidR="00000000" w:rsidRPr="00000000">
        <w:rPr>
          <w:rtl w:val="0"/>
        </w:rPr>
        <w:t xml:space="preserve"> Future review should analyze complaint volume alongside eviction/move-out data for deeper insight into building management practices.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This expanded analysis provides detailed, actionable insights targeted at improving not only enforcement and record-keeping but also real-world conditions for Addison residents. [^1][^2][^3][^4]</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ff0000"/>
        <w:sz w:val="24"/>
        <w:szCs w:val="24"/>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pPr>
    <w:rPr>
      <w:rFonts w:ascii="Times New Roman" w:cs="Times New Roman" w:eastAsia="Times New Roman" w:hAnsi="Times New Roman"/>
      <w:b w:val="1"/>
      <w:i w:val="0"/>
      <w:smallCaps w:val="0"/>
      <w:strike w:val="0"/>
      <w:color w:val="345a8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Times New Roman" w:cs="Times New Roman" w:eastAsia="Times New Roman" w:hAnsi="Times New Roman"/>
      <w:b w:val="1"/>
      <w:i w:val="0"/>
      <w:smallCaps w:val="0"/>
      <w:strike w:val="0"/>
      <w:color w:val="4f81b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Times New Roman" w:cs="Times New Roman" w:eastAsia="Times New Roman" w:hAnsi="Times New Roman"/>
      <w:b w:val="1"/>
      <w:i w:val="0"/>
      <w:smallCaps w:val="0"/>
      <w:strike w:val="0"/>
      <w:color w:val="4f81bd"/>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left"/>
    </w:pPr>
    <w:rPr>
      <w:rFonts w:ascii="Times New Roman" w:cs="Times New Roman" w:eastAsia="Times New Roman" w:hAnsi="Times New Roman"/>
      <w:b w:val="1"/>
      <w:i w:val="0"/>
      <w:smallCaps w:val="0"/>
      <w:strike w:val="0"/>
      <w:color w:val="ff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0"/>
      <w:jc w:val="left"/>
    </w:pPr>
    <w:rPr>
      <w:rFonts w:ascii="Times New Roman" w:cs="Times New Roman" w:eastAsia="Times New Roman" w:hAnsi="Times New Roman"/>
      <w:b w:val="1"/>
      <w:i w:val="0"/>
      <w:smallCaps w:val="0"/>
      <w:strike w:val="0"/>
      <w:color w:val="ff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0"/>
      <w:jc w:val="left"/>
    </w:pPr>
    <w:rPr>
      <w:rFonts w:ascii="Times New Roman" w:cs="Times New Roman" w:eastAsia="Times New Roman" w:hAnsi="Times New Roman"/>
      <w:b w:val="1"/>
      <w:i w:val="0"/>
      <w:smallCaps w:val="0"/>
      <w:strike w:val="0"/>
      <w:color w:val="ff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360" w:lineRule="auto"/>
      <w:ind w:left="0" w:right="0" w:firstLine="0"/>
      <w:jc w:val="left"/>
    </w:pPr>
    <w:rPr>
      <w:rFonts w:ascii="Times New Roman" w:cs="Times New Roman" w:eastAsia="Times New Roman" w:hAnsi="Times New Roman"/>
      <w:b w:val="0"/>
      <w:i w:val="0"/>
      <w:smallCaps w:val="0"/>
      <w:strike w:val="0"/>
      <w:color w:val="17365d"/>
      <w:sz w:val="52"/>
      <w:szCs w:val="52"/>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i w:val="1"/>
      <w:smallCaps w:val="0"/>
      <w:strike w:val="0"/>
      <w:color w:val="4f81bd"/>
      <w:sz w:val="24"/>
      <w:szCs w:val="24"/>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