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4909c924c98ffb80319c9f4d8380fa7af3a8dd84.png"/>
            <a:graphic>
              <a:graphicData uri="http://schemas.openxmlformats.org/drawingml/2006/picture">
                <pic:pic>
                  <pic:nvPicPr>
                    <pic:cNvPr id="1" name="image-4909c924c98ffb80319c9f4d8380fa7af3a8dd84.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360" w:before="315" w:after="105" w:lineRule="auto"/>
        <w:ind w:left="-30"/>
        <w:jc w:val="left"/>
      </w:pPr>
      <w:r>
        <w:rPr>
          <w:rFonts w:eastAsia="inter" w:cs="inter" w:ascii="inter" w:hAnsi="inter"/>
          <w:b/>
          <w:color w:val="000000"/>
          <w:sz w:val="24"/>
        </w:rPr>
        <w:t xml:space="preserve">Case Study: Everspring Inn – A Pandemic-Era Betrayal of Public Trust</w: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In August 2020, </w:t>
      </w:r>
      <w:r>
        <w:rPr>
          <w:rFonts w:eastAsia="inter" w:cs="inter" w:ascii="inter" w:hAnsi="inter"/>
          <w:b/>
          <w:color w:val="000000"/>
        </w:rPr>
        <w:t xml:space="preserve">over 25 long-term tenants of Everspring Inn</w:t>
      </w:r>
      <w:r>
        <w:rPr>
          <w:rFonts w:eastAsia="inter" w:cs="inter" w:ascii="inter" w:hAnsi="inter"/>
          <w:color w:val="000000"/>
        </w:rPr>
        <w:t xml:space="preserve"> in North Seattle were </w:t>
      </w:r>
      <w:r>
        <w:rPr>
          <w:rFonts w:eastAsia="inter" w:cs="inter" w:ascii="inter" w:hAnsi="inter"/>
          <w:b/>
          <w:color w:val="000000"/>
        </w:rPr>
        <w:t xml:space="preserve">illegally evicted</w:t>
      </w:r>
      <w:r>
        <w:rPr>
          <w:rFonts w:eastAsia="inter" w:cs="inter" w:ascii="inter" w:hAnsi="inter"/>
          <w:color w:val="000000"/>
        </w:rPr>
        <w:t xml:space="preserve"> during Washington State’s active COVID-19 eviction moratorium. The property owner, Ryan Kang, forcibly displaced residents using threats, shut offs of water and power, chainlink fencing, armed security, and by boarding up doors. These drastic measures occurred with full knowledge of the Seattle Department of Construction and Inspections (SDCI), which responded not by protecting tenants, but by administratively closing complaints without investigation or action. This case illustrates a systemic failure by city agencies to uphold tenant protections, safeguard public health during a crisis, and enforce existing laws—even as public funds were funneled to the property owner</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Background</w:t>
      </w:r>
    </w:p>
    <w:p>
      <w:pPr>
        <w:numPr>
          <w:ilvl w:val="0"/>
          <w:numId w:val="1"/>
        </w:numPr>
        <w:spacing w:line="360" w:before="105" w:after="105" w:lineRule="auto"/>
      </w:pPr>
      <w:r>
        <w:rPr>
          <w:rFonts w:eastAsia="inter" w:cs="inter" w:ascii="inter" w:hAnsi="inter"/>
          <w:b/>
          <w:color w:val="000000"/>
          <w:sz w:val="21"/>
        </w:rPr>
        <w:t xml:space="preserve">Location:</w:t>
      </w:r>
      <w:r>
        <w:rPr>
          <w:rFonts w:eastAsia="inter" w:cs="inter" w:ascii="inter" w:hAnsi="inter"/>
          <w:color w:val="000000"/>
          <w:sz w:val="21"/>
        </w:rPr>
        <w:t xml:space="preserve"> 8201 Aurora Ave N, Seattle (Everspring Inn)</w:t>
      </w:r>
    </w:p>
    <w:p>
      <w:pPr>
        <w:numPr>
          <w:ilvl w:val="0"/>
          <w:numId w:val="1"/>
        </w:numPr>
        <w:spacing w:line="360" w:before="105" w:after="105" w:lineRule="auto"/>
      </w:pPr>
      <w:r>
        <w:rPr>
          <w:rFonts w:eastAsia="inter" w:cs="inter" w:ascii="inter" w:hAnsi="inter"/>
          <w:b/>
          <w:color w:val="000000"/>
          <w:sz w:val="21"/>
        </w:rPr>
        <w:t xml:space="preserve">Population:</w:t>
      </w:r>
      <w:r>
        <w:rPr>
          <w:rFonts w:eastAsia="inter" w:cs="inter" w:ascii="inter" w:hAnsi="inter"/>
          <w:color w:val="000000"/>
          <w:sz w:val="21"/>
        </w:rPr>
        <w:t xml:space="preserve"> Many tenants with histories of homelessness or illness, including families and pregnant women.</w:t>
      </w:r>
    </w:p>
    <w:p>
      <w:pPr>
        <w:numPr>
          <w:ilvl w:val="0"/>
          <w:numId w:val="1"/>
        </w:numPr>
        <w:spacing w:line="360" w:before="105" w:after="105" w:lineRule="auto"/>
      </w:pPr>
      <w:r>
        <w:rPr>
          <w:rFonts w:eastAsia="inter" w:cs="inter" w:ascii="inter" w:hAnsi="inter"/>
          <w:b/>
          <w:color w:val="000000"/>
          <w:sz w:val="21"/>
        </w:rPr>
        <w:t xml:space="preserve">Context:</w:t>
      </w:r>
      <w:r>
        <w:rPr>
          <w:rFonts w:eastAsia="inter" w:cs="inter" w:ascii="inter" w:hAnsi="inter"/>
          <w:color w:val="000000"/>
          <w:sz w:val="21"/>
        </w:rPr>
        <w:t xml:space="preserve"> Washington State’s eviction moratorium was in effect to prevent displacement during COVID-19.</w:t>
      </w:r>
    </w:p>
    <w:p>
      <w:pPr>
        <w:numPr>
          <w:ilvl w:val="0"/>
          <w:numId w:val="1"/>
        </w:numPr>
        <w:spacing w:line="360" w:before="105" w:after="105" w:lineRule="auto"/>
      </w:pPr>
      <w:r>
        <w:rPr>
          <w:rFonts w:eastAsia="inter" w:cs="inter" w:ascii="inter" w:hAnsi="inter"/>
          <w:b/>
          <w:color w:val="000000"/>
          <w:sz w:val="21"/>
        </w:rPr>
        <w:t xml:space="preserve">Landlord’s conduct:</w:t>
      </w:r>
      <w:r>
        <w:rPr>
          <w:rFonts w:eastAsia="inter" w:cs="inter" w:ascii="inter" w:hAnsi="inter"/>
          <w:color w:val="000000"/>
          <w:sz w:val="21"/>
        </w:rPr>
        <w:t xml:space="preserve"> Despite receiving over $164,000 in public “Rapid Rehousing” funds, Kang neglected the property and eventually resorted to unlawful measures to remove tenants</w:t>
      </w:r>
      <w:bookmarkStart w:id="2" w:name="fnref1:1"/>
      <w:bookmarkEnd w:id="2"/>
      <w:hyperlink w:anchor="fn1">
        <w:r>
          <w:rPr>
            <w:rFonts w:eastAsia="inter" w:cs="inter" w:ascii="inter" w:hAnsi="inter"/>
            <w:color w:val="#000"/>
            <w:sz w:val="21"/>
            <w:u w:val="single"/>
            <w:vertAlign w:val="superscript"/>
          </w:rPr>
          <w:t xml:space="preserve">[1]</w:t>
        </w:r>
      </w:hyperlink>
      <w:bookmarkStart w:id="3" w:name="fnref2:1"/>
      <w:bookmarkEnd w:id="3"/>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Timeline of Failures</w:t>
      </w:r>
    </w:p>
    <w:p>
      <w:pPr>
        <w:spacing w:line="360" w:before="315" w:after="105" w:lineRule="auto"/>
        <w:ind w:left="-30"/>
        <w:jc w:val="left"/>
      </w:pPr>
      <w:r>
        <w:rPr>
          <w:rFonts w:eastAsia="inter" w:cs="inter" w:ascii="inter" w:hAnsi="inter"/>
          <w:b/>
          <w:color w:val="000000"/>
          <w:sz w:val="24"/>
        </w:rPr>
        <w:t xml:space="preserve">July 21, 2020</w:t>
      </w:r>
    </w:p>
    <w:p>
      <w:pPr>
        <w:numPr>
          <w:ilvl w:val="0"/>
          <w:numId w:val="2"/>
        </w:numPr>
        <w:spacing w:line="360" w:before="105" w:after="105" w:lineRule="auto"/>
      </w:pPr>
      <w:r>
        <w:rPr>
          <w:rFonts w:eastAsia="inter" w:cs="inter" w:ascii="inter" w:hAnsi="inter"/>
          <w:b/>
          <w:color w:val="000000"/>
          <w:sz w:val="21"/>
        </w:rPr>
        <w:t xml:space="preserve">Complaint filed:</w:t>
      </w:r>
      <w:r>
        <w:rPr>
          <w:rFonts w:eastAsia="inter" w:cs="inter" w:ascii="inter" w:hAnsi="inter"/>
          <w:color w:val="000000"/>
          <w:sz w:val="21"/>
        </w:rPr>
        <w:t xml:space="preserve"> Ron Huebner requests Department of Health (DOH) inspection for severe health/safety hazards.</w:t>
      </w:r>
    </w:p>
    <w:p>
      <w:pPr>
        <w:numPr>
          <w:ilvl w:val="0"/>
          <w:numId w:val="2"/>
        </w:numPr>
        <w:spacing w:line="360" w:before="105" w:after="105" w:lineRule="auto"/>
      </w:pPr>
      <w:r>
        <w:rPr>
          <w:rFonts w:eastAsia="inter" w:cs="inter" w:ascii="inter" w:hAnsi="inter"/>
          <w:b/>
          <w:color w:val="000000"/>
          <w:sz w:val="21"/>
        </w:rPr>
        <w:t xml:space="preserve">DOH’s Response:</w:t>
      </w:r>
      <w:r>
        <w:rPr>
          <w:rFonts w:eastAsia="inter" w:cs="inter" w:ascii="inter" w:hAnsi="inter"/>
          <w:color w:val="000000"/>
          <w:sz w:val="21"/>
        </w:rPr>
        <w:t xml:space="preserve"> The letter is rerouted from SDCI to SPD, bypassing direct code enforcement</w:t>
      </w:r>
      <w:bookmarkStart w:id="4" w:name="fnref1:2"/>
      <w:bookmarkEnd w:id="4"/>
      <w:hyperlink w:anchor="fn1">
        <w:r>
          <w:rPr>
            <w:rFonts w:eastAsia="inter" w:cs="inter" w:ascii="inter" w:hAnsi="inter"/>
            <w:color w:val="#000"/>
            <w:sz w:val="21"/>
            <w:u w:val="single"/>
            <w:vertAlign w:val="superscript"/>
          </w:rPr>
          <w:t xml:space="preserve">[1]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August 1-6, 2020</w:t>
      </w:r>
    </w:p>
    <w:p>
      <w:pPr>
        <w:numPr>
          <w:ilvl w:val="0"/>
          <w:numId w:val="3"/>
        </w:numPr>
        <w:spacing w:line="360" w:before="105" w:after="105" w:lineRule="auto"/>
      </w:pPr>
      <w:r>
        <w:rPr>
          <w:rFonts w:eastAsia="inter" w:cs="inter" w:ascii="inter" w:hAnsi="inter"/>
          <w:b/>
          <w:color w:val="000000"/>
          <w:sz w:val="21"/>
        </w:rPr>
        <w:t xml:space="preserve">Illegal Evictions Begin:</w:t>
      </w:r>
      <w:r>
        <w:rPr>
          <w:rFonts w:eastAsia="inter" w:cs="inter" w:ascii="inter" w:hAnsi="inter"/>
          <w:color w:val="000000"/>
          <w:sz w:val="21"/>
        </w:rPr>
        <w:t xml:space="preserve"> Kang posts informal notices and begins forcibly evicting tenants without court orders or relocation assistance. He uses threats, utility shutoffs, and armed guards. Cars are towed from the premises.</w:t>
      </w:r>
    </w:p>
    <w:p>
      <w:pPr>
        <w:spacing w:line="360" w:before="315" w:after="105" w:lineRule="auto"/>
        <w:ind w:left="-30"/>
        <w:jc w:val="left"/>
      </w:pPr>
      <w:r>
        <w:rPr>
          <w:rFonts w:eastAsia="inter" w:cs="inter" w:ascii="inter" w:hAnsi="inter"/>
          <w:b/>
          <w:color w:val="000000"/>
          <w:sz w:val="24"/>
        </w:rPr>
        <w:t xml:space="preserve">August 6, 2020</w:t>
      </w:r>
    </w:p>
    <w:p>
      <w:pPr>
        <w:numPr>
          <w:ilvl w:val="0"/>
          <w:numId w:val="4"/>
        </w:numPr>
        <w:spacing w:line="360" w:before="105" w:after="105" w:lineRule="auto"/>
      </w:pPr>
      <w:r>
        <w:rPr>
          <w:rFonts w:eastAsia="inter" w:cs="inter" w:ascii="inter" w:hAnsi="inter"/>
          <w:b/>
          <w:color w:val="000000"/>
          <w:sz w:val="21"/>
        </w:rPr>
        <w:t xml:space="preserve">SPD Signs Abatement Agreement:</w:t>
      </w:r>
      <w:r>
        <w:rPr>
          <w:rFonts w:eastAsia="inter" w:cs="inter" w:ascii="inter" w:hAnsi="inter"/>
          <w:color w:val="000000"/>
          <w:sz w:val="21"/>
        </w:rPr>
        <w:t xml:space="preserve"> SPD finalizes a nuisance abatement agreement with Kang—after evictions had already started. The agreement required the landlord to address nuisances but never authorized illegal evictions</w:t>
      </w:r>
      <w:bookmarkStart w:id="5" w:name="fnref3"/>
      <w:bookmarkEnd w:id="5"/>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August 18, 2020</w:t>
      </w:r>
    </w:p>
    <w:p>
      <w:pPr>
        <w:numPr>
          <w:ilvl w:val="0"/>
          <w:numId w:val="5"/>
        </w:numPr>
        <w:spacing w:line="360" w:before="105" w:after="105" w:lineRule="auto"/>
      </w:pPr>
      <w:r>
        <w:rPr>
          <w:rFonts w:eastAsia="inter" w:cs="inter" w:ascii="inter" w:hAnsi="inter"/>
          <w:b/>
          <w:color w:val="000000"/>
          <w:sz w:val="21"/>
        </w:rPr>
        <w:t xml:space="preserve">Tenant Complaints Flood SDCI:</w:t>
      </w:r>
      <w:r>
        <w:rPr>
          <w:rFonts w:eastAsia="inter" w:cs="inter" w:ascii="inter" w:hAnsi="inter"/>
          <w:color w:val="000000"/>
          <w:sz w:val="21"/>
        </w:rPr>
        <w:t xml:space="preserve"> Thirteen formal complaints are filed, reporting mass evictions, lockouts, and deprivation of basic services.</w:t>
      </w:r>
    </w:p>
    <w:p>
      <w:pPr>
        <w:numPr>
          <w:ilvl w:val="0"/>
          <w:numId w:val="5"/>
        </w:numPr>
        <w:spacing w:line="360" w:before="105" w:after="105" w:lineRule="auto"/>
      </w:pPr>
      <w:r>
        <w:rPr>
          <w:rFonts w:eastAsia="inter" w:cs="inter" w:ascii="inter" w:hAnsi="inter"/>
          <w:b/>
          <w:color w:val="000000"/>
          <w:sz w:val="21"/>
        </w:rPr>
        <w:t xml:space="preserve">SDCI Action:</w:t>
      </w:r>
      <w:r>
        <w:rPr>
          <w:rFonts w:eastAsia="inter" w:cs="inter" w:ascii="inter" w:hAnsi="inter"/>
          <w:color w:val="000000"/>
          <w:sz w:val="21"/>
        </w:rPr>
        <w:t xml:space="preserve"> All complaints are closed on the same day, labeled “Voluntary Compliance” or “Admin Closed.” No inspections are conducted, no fines are levied, and no formal notices of violation are issued</w:t>
      </w:r>
      <w:bookmarkStart w:id="6" w:name="fnref1:3"/>
      <w:bookmarkEnd w:id="6"/>
      <w:hyperlink w:anchor="fn1">
        <w:r>
          <w:rPr>
            <w:rFonts w:eastAsia="inter" w:cs="inter" w:ascii="inter" w:hAnsi="inter"/>
            <w:color w:val="#000"/>
            <w:sz w:val="21"/>
            <w:u w:val="single"/>
            <w:vertAlign w:val="superscript"/>
          </w:rPr>
          <w:t xml:space="preserve">[1]</w:t>
        </w:r>
      </w:hyperlink>
      <w:bookmarkStart w:id="7" w:name="fnref2:2"/>
      <w:bookmarkEnd w:id="7"/>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Complaint Manipulation and Cover-Up</w:t>
      </w:r>
    </w:p>
    <w:p>
      <w:pPr>
        <w:numPr>
          <w:ilvl w:val="0"/>
          <w:numId w:val="6"/>
        </w:numPr>
        <w:spacing w:line="360" w:before="105" w:after="105" w:lineRule="auto"/>
      </w:pPr>
      <w:r>
        <w:rPr>
          <w:rFonts w:eastAsia="inter" w:cs="inter" w:ascii="inter" w:hAnsi="inter"/>
          <w:b/>
          <w:color w:val="000000"/>
          <w:sz w:val="21"/>
        </w:rPr>
        <w:t xml:space="preserve">Address Manipulation:</w:t>
      </w:r>
      <w:r>
        <w:rPr>
          <w:rFonts w:eastAsia="inter" w:cs="inter" w:ascii="inter" w:hAnsi="inter"/>
          <w:color w:val="000000"/>
          <w:sz w:val="21"/>
        </w:rPr>
        <w:t xml:space="preserve"> SDCI splits the Everspring property’s records and creates a separate profile for 8217 Aurora Ave N. Complaints from the eviction period are re-entered under this new address with later dates, obscuring their context.</w:t>
      </w:r>
    </w:p>
    <w:p>
      <w:pPr>
        <w:numPr>
          <w:ilvl w:val="0"/>
          <w:numId w:val="6"/>
        </w:numPr>
        <w:spacing w:line="360" w:before="105" w:after="105" w:lineRule="auto"/>
      </w:pPr>
      <w:r>
        <w:rPr>
          <w:rFonts w:eastAsia="inter" w:cs="inter" w:ascii="inter" w:hAnsi="inter"/>
          <w:b/>
          <w:color w:val="000000"/>
          <w:sz w:val="21"/>
        </w:rPr>
        <w:t xml:space="preserve">Recent Inspection Activity:</w:t>
      </w:r>
      <w:r>
        <w:rPr>
          <w:rFonts w:eastAsia="inter" w:cs="inter" w:ascii="inter" w:hAnsi="inter"/>
          <w:color w:val="000000"/>
          <w:sz w:val="21"/>
        </w:rPr>
        <w:t xml:space="preserve"> Despite years of neglect, a full Notice of Violation (NOV) is issued citing over 100 extreme health and safety hazards—including mold, inoperable plumbing, and blocked exits—but all violations are paper-resolved within a month</w:t>
      </w:r>
      <w:bookmarkStart w:id="8" w:name="fnref1:4"/>
      <w:bookmarkEnd w:id="8"/>
      <w:hyperlink w:anchor="fn1">
        <w:r>
          <w:rPr>
            <w:rFonts w:eastAsia="inter" w:cs="inter" w:ascii="inter" w:hAnsi="inter"/>
            <w:color w:val="#000"/>
            <w:sz w:val="21"/>
            <w:u w:val="single"/>
            <w:vertAlign w:val="superscript"/>
          </w:rPr>
          <w:t xml:space="preserve">[1]</w:t>
        </w:r>
      </w:hyperlink>
      <w:bookmarkStart w:id="9" w:name="fnref2:3"/>
      <w:bookmarkEnd w:id="9"/>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Regulatory &amp; Compliance Failures</w:t>
      </w:r>
    </w:p>
    <w:p>
      <w:pPr>
        <w:numPr>
          <w:ilvl w:val="0"/>
          <w:numId w:val="7"/>
        </w:numPr>
        <w:spacing w:line="360" w:before="105" w:after="105" w:lineRule="auto"/>
      </w:pPr>
      <w:r>
        <w:rPr>
          <w:rFonts w:eastAsia="inter" w:cs="inter" w:ascii="inter" w:hAnsi="inter"/>
          <w:b/>
          <w:color w:val="000000"/>
          <w:sz w:val="21"/>
        </w:rPr>
        <w:t xml:space="preserve">Eviction Ban Ignored:</w:t>
      </w:r>
      <w:r>
        <w:rPr>
          <w:rFonts w:eastAsia="inter" w:cs="inter" w:ascii="inter" w:hAnsi="inter"/>
          <w:color w:val="000000"/>
          <w:sz w:val="21"/>
        </w:rPr>
        <w:t xml:space="preserve"> SDCI failed to enforce the COVID-19 moratorium and Just Cause Eviction Ordinance, allowing illegal evictions to proceed unchecked.</w:t>
      </w:r>
    </w:p>
    <w:p>
      <w:pPr>
        <w:numPr>
          <w:ilvl w:val="0"/>
          <w:numId w:val="7"/>
        </w:numPr>
        <w:spacing w:line="360" w:before="105" w:after="105" w:lineRule="auto"/>
      </w:pPr>
      <w:r>
        <w:rPr>
          <w:rFonts w:eastAsia="inter" w:cs="inter" w:ascii="inter" w:hAnsi="inter"/>
          <w:b/>
          <w:color w:val="000000"/>
          <w:sz w:val="21"/>
        </w:rPr>
        <w:t xml:space="preserve">Longstanding Negligence:</w:t>
      </w:r>
      <w:r>
        <w:rPr>
          <w:rFonts w:eastAsia="inter" w:cs="inter" w:ascii="inter" w:hAnsi="inter"/>
          <w:color w:val="000000"/>
          <w:sz w:val="21"/>
        </w:rPr>
        <w:t xml:space="preserve"> Complaints against the property date back to 2013. Notices of Violation and tenant complaints were repeatedly closed administratively or under the label of “voluntary compliance,” often with no investigation</w:t>
      </w:r>
      <w:bookmarkStart w:id="10" w:name="fnref1:5"/>
      <w:bookmarkEnd w:id="10"/>
      <w:hyperlink w:anchor="fn1">
        <w:r>
          <w:rPr>
            <w:rFonts w:eastAsia="inter" w:cs="inter" w:ascii="inter" w:hAnsi="inter"/>
            <w:color w:val="#000"/>
            <w:sz w:val="21"/>
            <w:u w:val="single"/>
            <w:vertAlign w:val="superscript"/>
          </w:rPr>
          <w:t xml:space="preserve">[1]</w:t>
        </w:r>
      </w:hyperlink>
      <w:bookmarkStart w:id="11" w:name="fnref2:4"/>
      <w:bookmarkEnd w:id="11"/>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Permitting Irregularities:</w:t>
      </w:r>
      <w:r>
        <w:rPr>
          <w:rFonts w:eastAsia="inter" w:cs="inter" w:ascii="inter" w:hAnsi="inter"/>
          <w:color w:val="000000"/>
          <w:sz w:val="21"/>
        </w:rPr>
        <w:t xml:space="preserve"> Even after nearly 150 violations were documented, SDCI issued construction permits to the property owner to convert the motel to a hotel</w:t>
      </w:r>
      <w:bookmarkStart w:id="12" w:name="fnref2:5"/>
      <w:bookmarkEnd w:id="12"/>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Elevator Safety Overlooked:</w:t>
      </w:r>
      <w:r>
        <w:rPr>
          <w:rFonts w:eastAsia="inter" w:cs="inter" w:ascii="inter" w:hAnsi="inter"/>
          <w:color w:val="000000"/>
          <w:sz w:val="21"/>
        </w:rPr>
        <w:t xml:space="preserve"> Annual SDCI elevator inspections cited biohazards (including piles of needles) and operating without valid certification, yet these life safety violations were not escalated for tenant protection or enforcement</w:t>
      </w:r>
      <w:bookmarkStart w:id="13" w:name="fnref4"/>
      <w:bookmarkEnd w:id="13"/>
      <w:hyperlink w:anchor="fn4">
        <w:r>
          <w:rPr>
            <w:rFonts w:eastAsia="inter" w:cs="inter" w:ascii="inter" w:hAnsi="inter"/>
            <w:color w:val="#000"/>
            <w:sz w:val="21"/>
            <w:u w:val="single"/>
            <w:vertAlign w:val="superscript"/>
          </w:rPr>
          <w:t xml:space="preserve">[4]</w:t>
        </w:r>
      </w:hyperlink>
      <w:bookmarkStart w:id="14" w:name="fnref3:1"/>
      <w:bookmarkEnd w:id="14"/>
      <w:hyperlink w:anchor="fn3">
        <w:r>
          <w:rPr>
            <w:rFonts w:eastAsia="inter" w:cs="inter" w:ascii="inter" w:hAnsi="inter"/>
            <w:color w:val="#000"/>
            <w:sz w:val="21"/>
            <w:u w:val="single"/>
            <w:vertAlign w:val="superscript"/>
          </w:rPr>
          <w:t xml:space="preserve">[3]</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Accountability Gaps:</w:t>
      </w:r>
      <w:r>
        <w:rPr>
          <w:rFonts w:eastAsia="inter" w:cs="inter" w:ascii="inter" w:hAnsi="inter"/>
          <w:color w:val="000000"/>
          <w:sz w:val="21"/>
        </w:rPr>
        <w:t xml:space="preserve"> Involved SDCI officials closed files, downplayed tenant rights, and failed to implement relocation assistance</w:t>
      </w:r>
      <w:bookmarkStart w:id="15" w:name="fnref1:6"/>
      <w:bookmarkEnd w:id="15"/>
      <w:hyperlink w:anchor="fn1">
        <w:r>
          <w:rPr>
            <w:rFonts w:eastAsia="inter" w:cs="inter" w:ascii="inter" w:hAnsi="inter"/>
            <w:color w:val="#000"/>
            <w:sz w:val="21"/>
            <w:u w:val="single"/>
            <w:vertAlign w:val="superscript"/>
          </w:rPr>
          <w:t xml:space="preserve">[1]</w:t>
        </w:r>
      </w:hyperlink>
      <w:bookmarkStart w:id="16" w:name="fnref2:6"/>
      <w:bookmarkEnd w:id="1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Impact on Tenants</w:t>
      </w:r>
    </w:p>
    <w:p>
      <w:pPr>
        <w:numPr>
          <w:ilvl w:val="0"/>
          <w:numId w:val="8"/>
        </w:numPr>
        <w:spacing w:line="360" w:after="210" w:lineRule="auto"/>
      </w:pPr>
      <w:r>
        <w:rPr>
          <w:rFonts w:eastAsia="inter" w:cs="inter" w:ascii="inter" w:hAnsi="inter"/>
          <w:b/>
          <w:color w:val="000000"/>
          <w:sz w:val="21"/>
        </w:rPr>
        <w:t xml:space="preserve">Immediate Harm:</w:t>
      </w:r>
    </w:p>
    <w:p>
      <w:pPr>
        <w:numPr>
          <w:ilvl w:val="1"/>
          <w:numId w:val="8"/>
        </w:numPr>
        <w:spacing w:line="360" w:before="105" w:after="105" w:lineRule="auto"/>
      </w:pPr>
      <w:r>
        <w:rPr>
          <w:rFonts w:eastAsia="inter" w:cs="inter" w:ascii="inter" w:hAnsi="inter"/>
          <w:color w:val="000000"/>
          <w:sz w:val="21"/>
        </w:rPr>
        <w:t xml:space="preserve">Over 25 residents forcibly evicted and left homeless or in shelters</w:t>
      </w:r>
    </w:p>
    <w:p>
      <w:pPr>
        <w:numPr>
          <w:ilvl w:val="1"/>
          <w:numId w:val="8"/>
        </w:numPr>
        <w:spacing w:line="360" w:before="105" w:after="105" w:lineRule="auto"/>
      </w:pPr>
      <w:r>
        <w:rPr>
          <w:rFonts w:eastAsia="inter" w:cs="inter" w:ascii="inter" w:hAnsi="inter"/>
          <w:color w:val="000000"/>
          <w:sz w:val="21"/>
        </w:rPr>
        <w:t xml:space="preserve">No relocation assistance or legal due process provided</w:t>
      </w:r>
    </w:p>
    <w:p>
      <w:pPr>
        <w:numPr>
          <w:ilvl w:val="1"/>
          <w:numId w:val="8"/>
        </w:numPr>
        <w:spacing w:line="360" w:before="105" w:after="105" w:lineRule="auto"/>
      </w:pPr>
      <w:r>
        <w:rPr>
          <w:rFonts w:eastAsia="inter" w:cs="inter" w:ascii="inter" w:hAnsi="inter"/>
          <w:color w:val="000000"/>
          <w:sz w:val="21"/>
        </w:rPr>
        <w:t xml:space="preserve">Water, electricity, and sewage shut off as a means of coercion</w:t>
      </w:r>
    </w:p>
    <w:p>
      <w:pPr>
        <w:numPr>
          <w:ilvl w:val="1"/>
          <w:numId w:val="8"/>
        </w:numPr>
        <w:spacing w:line="360" w:before="105" w:after="105" w:lineRule="auto"/>
      </w:pPr>
      <w:r>
        <w:rPr>
          <w:rFonts w:eastAsia="inter" w:cs="inter" w:ascii="inter" w:hAnsi="inter"/>
          <w:color w:val="000000"/>
          <w:sz w:val="21"/>
        </w:rPr>
        <w:t xml:space="preserve">Cars towed and units boarded up</w:t>
      </w:r>
    </w:p>
    <w:p>
      <w:pPr>
        <w:numPr>
          <w:ilvl w:val="1"/>
          <w:numId w:val="8"/>
        </w:numPr>
        <w:spacing w:line="360" w:before="105" w:after="105" w:lineRule="auto"/>
      </w:pPr>
      <w:r>
        <w:rPr>
          <w:rFonts w:eastAsia="inter" w:cs="inter" w:ascii="inter" w:hAnsi="inter"/>
          <w:color w:val="000000"/>
          <w:sz w:val="21"/>
        </w:rPr>
        <w:t xml:space="preserve">Pregnant and hospitalized tenants forced onto the streets</w:t>
      </w:r>
    </w:p>
    <w:p>
      <w:pPr>
        <w:numPr>
          <w:ilvl w:val="1"/>
          <w:numId w:val="8"/>
        </w:numPr>
        <w:spacing w:line="360" w:before="105" w:after="105" w:lineRule="auto"/>
      </w:pPr>
      <w:r>
        <w:rPr>
          <w:rFonts w:eastAsia="inter" w:cs="inter" w:ascii="inter" w:hAnsi="inter"/>
          <w:color w:val="000000"/>
          <w:sz w:val="21"/>
        </w:rPr>
        <w:t xml:space="preserve">Tenants with clear proof of residency denied their legal rights</w:t>
      </w:r>
    </w:p>
    <w:p>
      <w:pPr>
        <w:numPr>
          <w:ilvl w:val="0"/>
          <w:numId w:val="8"/>
        </w:numPr>
        <w:spacing w:line="360" w:after="210" w:lineRule="auto"/>
      </w:pPr>
      <w:r>
        <w:rPr>
          <w:rFonts w:eastAsia="inter" w:cs="inter" w:ascii="inter" w:hAnsi="inter"/>
          <w:b/>
          <w:color w:val="000000"/>
          <w:sz w:val="21"/>
        </w:rPr>
        <w:t xml:space="preserve">Long-Term Consequences:</w:t>
      </w:r>
    </w:p>
    <w:p>
      <w:pPr>
        <w:numPr>
          <w:ilvl w:val="1"/>
          <w:numId w:val="8"/>
        </w:numPr>
        <w:spacing w:line="360" w:before="105" w:after="105" w:lineRule="auto"/>
      </w:pPr>
      <w:r>
        <w:rPr>
          <w:rFonts w:eastAsia="inter" w:cs="inter" w:ascii="inter" w:hAnsi="inter"/>
          <w:color w:val="000000"/>
          <w:sz w:val="21"/>
        </w:rPr>
        <w:t xml:space="preserve">Loss of housing in a public health emergency</w:t>
      </w:r>
    </w:p>
    <w:p>
      <w:pPr>
        <w:numPr>
          <w:ilvl w:val="1"/>
          <w:numId w:val="8"/>
        </w:numPr>
        <w:spacing w:line="360" w:before="105" w:after="105" w:lineRule="auto"/>
      </w:pPr>
      <w:r>
        <w:rPr>
          <w:rFonts w:eastAsia="inter" w:cs="inter" w:ascii="inter" w:hAnsi="inter"/>
          <w:color w:val="000000"/>
          <w:sz w:val="21"/>
        </w:rPr>
        <w:t xml:space="preserve">Enduring trauma and loss of trust in the city’s tenant protection system</w:t>
      </w:r>
    </w:p>
    <w:p>
      <w:pPr>
        <w:numPr>
          <w:ilvl w:val="1"/>
          <w:numId w:val="8"/>
        </w:numPr>
        <w:spacing w:line="360" w:before="105" w:after="105" w:lineRule="auto"/>
      </w:pPr>
      <w:r>
        <w:rPr>
          <w:rFonts w:eastAsia="inter" w:cs="inter" w:ascii="inter" w:hAnsi="inter"/>
          <w:color w:val="000000"/>
          <w:sz w:val="21"/>
        </w:rPr>
        <w:t xml:space="preserve">Public health compromised by unlawful displacement and ongoing squalor conditions</w:t>
      </w:r>
      <w:bookmarkStart w:id="17" w:name="fnref1:7"/>
      <w:bookmarkEnd w:id="17"/>
      <w:hyperlink w:anchor="fn1">
        <w:r>
          <w:rPr>
            <w:rFonts w:eastAsia="inter" w:cs="inter" w:ascii="inter" w:hAnsi="inter"/>
            <w:color w:val="#000"/>
            <w:sz w:val="21"/>
            <w:u w:val="single"/>
            <w:vertAlign w:val="superscript"/>
          </w:rPr>
          <w:t xml:space="preserve">[1]</w:t>
        </w:r>
      </w:hyperlink>
      <w:bookmarkStart w:id="18" w:name="fnref2:7"/>
      <w:bookmarkEnd w:id="18"/>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Key Evidence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Issue / Event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Evidence &amp; Citation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Eviction during moratorium</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Illegal displacement of long-term tenants amid active bans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SDCI closes complaints</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Administrative closure, no action, “voluntary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Ladder of health code violations</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4">
              <w:r>
                <w:rPr>
                  <w:rFonts w:eastAsia="inter" w:cs="inter" w:ascii="inter" w:hAnsi="inter"/>
                  <w:color w:val="#000"/>
                  <w:sz w:val="17"/>
                  <w:u w:val="single"/>
                  <w:vertAlign w:val="superscript"/>
                </w:rPr>
                <w:t xml:space="preserve">[4]</w:t>
              </w:r>
            </w:hyperlink>
            <w:hyperlink w:anchor="fn3">
              <w:r>
                <w:rPr>
                  <w:rFonts w:eastAsia="inter" w:cs="inter" w:ascii="inter" w:hAnsi="inter"/>
                  <w:color w:val="#000"/>
                  <w:sz w:val="17"/>
                  <w:u w:val="single"/>
                  <w:vertAlign w:val="superscript"/>
                </w:rPr>
                <w:t xml:space="preserve">[3]</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Mold, no fire safety, rats, blackouts, dangerous elevator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Institutional cover-up</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Manipulation of records under 8217 Aurora Ave 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Permits issued post-violations</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Permits for upgrades given while violations remain unresolved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Lack of relocation support</w:t>
            </w:r>
          </w:p>
        </w:tc>
        <w:tc>
          <w:tcPr>
            <w:tcBorders>
              <w:top w:val="single" w:sz="1" w:space="0" w:color="000000"/>
              <w:bottom w:val="single" w:sz="1" w:space="0" w:color="000000"/>
              <w:right w:val="single" w:sz="1" w:space="0" w:color="000000"/>
            </w:tcBorders>
          </w:tcPr>
          <w:p>
            <w:pPr>
              <w:spacing w:line="360" w:lineRule="auto"/>
            </w:pPr>
            <w:hyperlink w:anchor="fn1">
              <w:r>
                <w:rPr>
                  <w:rFonts w:eastAsia="inter" w:cs="inter" w:ascii="inter" w:hAnsi="inter"/>
                  <w:color w:val="#000"/>
                  <w:sz w:val="17"/>
                  <w:u w:val="single"/>
                  <w:vertAlign w:val="superscript"/>
                </w:rPr>
                <w:t xml:space="preserve">[1]</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assistance offered despite funding and legal obligation</w:t>
            </w:r>
          </w:p>
        </w:tc>
      </w:tr>
    </w:tbl>
    <w:p>
      <w:pPr>
        <w:spacing w:lineRule="auto"/>
      </w:pP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Everspring Inn case exposes a </w:t>
      </w:r>
      <w:r>
        <w:rPr>
          <w:rFonts w:eastAsia="inter" w:cs="inter" w:ascii="inter" w:hAnsi="inter"/>
          <w:b/>
          <w:color w:val="000000"/>
        </w:rPr>
        <w:t xml:space="preserve">systemic pattern of regulatory negligence and corruption</w:t>
      </w:r>
      <w:r>
        <w:rPr>
          <w:rFonts w:eastAsia="inter" w:cs="inter" w:ascii="inter" w:hAnsi="inter"/>
          <w:color w:val="000000"/>
        </w:rPr>
        <w:t xml:space="preserve"> within Seattle’s housing enforcement. SDCI and cooperating agencies had both the mandate and the means to intervene but repeatedly deferred to property owner interests, manipulated records, and neglected their duty to protect renters—ultimately betraying public trust at a time of greatest vulnerability</w:t>
      </w:r>
      <w:bookmarkStart w:id="19" w:name="fnref1:14"/>
      <w:bookmarkEnd w:id="19"/>
      <w:hyperlink w:anchor="fn1">
        <w:r>
          <w:rPr>
            <w:rFonts w:eastAsia="inter" w:cs="inter" w:ascii="inter" w:hAnsi="inter"/>
            <w:color w:val="#000"/>
            <w:u w:val="single"/>
            <w:vertAlign w:val="superscript"/>
          </w:rPr>
          <w:t xml:space="preserve">[1]</w:t>
        </w:r>
      </w:hyperlink>
      <w:bookmarkStart w:id="20" w:name="fnref2:14"/>
      <w:bookmarkEnd w:id="20"/>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The case demands urgent investigation, accountability for all involved city staff, and the establishment of an independent authority for tenant protections.</w:t>
      </w:r>
    </w:p>
    <w:p>
      <w:pPr>
        <w:spacing w:line="360" w:before="315" w:after="105" w:lineRule="auto"/>
        <w:ind w:left="-30"/>
        <w:jc w:val="left"/>
      </w:pPr>
      <w:r>
        <w:rPr>
          <w:rFonts w:eastAsia="inter" w:cs="inter" w:ascii="inter" w:hAnsi="inter"/>
          <w:b/>
          <w:color w:val="000000"/>
          <w:sz w:val="24"/>
        </w:rPr>
        <w:t xml:space="preserve">Citations</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1" w:name="fn1"/>
    <w:bookmarkEnd w:id="21"/>
    <w:p>
      <w:pPr>
        <w:numPr>
          <w:ilvl w:val="0"/>
          <w:numId w:val="11"/>
        </w:numPr>
        <w:spacing w:line="360" w:after="210" w:lineRule="auto"/>
      </w:pPr>
      <w:r>
        <w:rPr>
          <w:rFonts w:eastAsia="inter" w:cs="inter" w:ascii="inter" w:hAnsi="inter"/>
          <w:color w:val="000000"/>
          <w:sz w:val="18"/>
        </w:rPr>
        <w:t xml:space="preserve">What-s-Happening-at-Everspring-Inn-Aurora-Commons-02-18-2025_05_03_AM.jpg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2" w:name="fn2"/>
    <w:bookmarkEnd w:id="22"/>
    <w:p>
      <w:pPr>
        <w:numPr>
          <w:ilvl w:val="0"/>
          <w:numId w:val="11"/>
        </w:numPr>
        <w:spacing w:line="360" w:after="210" w:lineRule="auto"/>
      </w:pPr>
      <w:r>
        <w:rPr>
          <w:rFonts w:eastAsia="inter" w:cs="inter" w:ascii="inter" w:hAnsi="inter"/>
          <w:color w:val="000000"/>
          <w:sz w:val="18"/>
        </w:rPr>
        <w:t xml:space="preserve">Motel-eviction-exposes-gaps-in-Seattles-low-income-housing-options-Cascade-PBS-02-18-2025_06_10_.jpg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 w:name="fn3"/>
    <w:bookmarkEnd w:id="23"/>
    <w:p>
      <w:pPr>
        <w:numPr>
          <w:ilvl w:val="0"/>
          <w:numId w:val="11"/>
        </w:numPr>
        <w:spacing w:line="360" w:after="210" w:lineRule="auto"/>
      </w:pPr>
      <w:r>
        <w:rPr>
          <w:rFonts w:eastAsia="inter" w:cs="inter" w:ascii="inter" w:hAnsi="inter"/>
          <w:color w:val="000000"/>
          <w:sz w:val="18"/>
        </w:rPr>
        <w:t xml:space="preserve">May-2021-SDCI-conveyance-inspection-Chief-of-Police-abatement-letter.pdf </w:t>
      </w:r>
      <w:r>
        <w:rPr>
          <w:rFonts w:eastAsia="inter" w:cs="inter" w:ascii="inter" w:hAnsi="inter"/>
          <w:color w:val="000000"/>
          <w:sz w:val="18"/>
        </w:rPr>
        <w:t xml:space="preserve"> </w:t>
      </w:r>
      <w:r>
        <w:rPr>
          <w:rFonts w:eastAsia="inter" w:cs="inter" w:ascii="inter" w:hAnsi="inter"/>
          <w:color w:val="000000"/>
          <w:sz w:val="18"/>
        </w:rPr>
        <w:t xml:space="preserve"> </w:t>
      </w:r>
    </w:p>
    <w:bookmarkStart w:id="24" w:name="fn4"/>
    <w:bookmarkEnd w:id="24"/>
    <w:p>
      <w:pPr>
        <w:numPr>
          <w:ilvl w:val="0"/>
          <w:numId w:val="11"/>
        </w:numPr>
        <w:spacing w:line="360" w:after="210" w:lineRule="auto"/>
      </w:pPr>
      <w:r>
        <w:rPr>
          <w:rFonts w:eastAsia="inter" w:cs="inter" w:ascii="inter" w:hAnsi="inter"/>
          <w:color w:val="000000"/>
          <w:sz w:val="18"/>
        </w:rPr>
        <w:t xml:space="preserve">2019-SDCI-conveyance-inspection-1.pdf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abstractNum>
  <w:abstractNum w:abstractNumId="10">
    <w:multiLevelType w:val="hybridMultileve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909c924c98ffb80319c9f4d8380fa7af3a8dd84.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2025-07-15T21:13:24.159Z</dcterms:created>
  <dcterms:modified xsi:type="dcterms:W3CDTF">2025-07-15T21:13:24.159Z</dcterms:modified>
</cp:coreProperties>
</file>