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STLCA</w:t>
      </w:r>
    </w:p>
    <w:p>
      <w:pPr>
        <w:spacing w:before="0" w:after="80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Seattle Housing Enforcement Audit</w:t>
      </w:r>
    </w:p>
    <w:p>
      <w:pPr>
        <w:spacing w:before="0" w:after="400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Dashboard Suite — Data Traceability &amp; Methodology</w:t>
      </w:r>
    </w:p>
    <w:p>
      <w:pPr>
        <w:pBdr>
          <w:bottom w:val="single" w:color="1F3864" w:sz="6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PREPARED BY: Seattle Tenants &amp; Landlord Code Accountability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DATE: February 2026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DATA PERIOD: SDCI Complaint Records 2003–2025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SOURCE: Seattle Open Data Portal + Public Records Requests</w:t>
      </w:r>
    </w:p>
    <w:p>
      <w:pPr>
        <w:spacing w:before="100" w:after="100"/>
      </w:pPr>
    </w:p>
    <w:p>
      <w:r>
        <w:br w:type="page"/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Purpose &amp; Scope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This document provides full traceability for the STLCA dashboard suite — a set of six self-contained HTML audit pages analyzing Seattle's Department of Construction and Inspections (SDCI) enforcement record for housing complaints.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The audit examines three core questions: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Are closed complaints actually documented with inspection records?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Do landlord/tenant complaints receive the same enforcement attention as other complaint types?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Do rental registration status and permit activity correlate with enforcement outcomes?</w:t>
      </w:r>
    </w:p>
    <w:p>
      <w:pPr>
        <w:spacing w:before="100" w:after="10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All source data is public record. All analysis was performed with Python standard library tools. No external APIs or proprietary software were used.</w:t>
      </w:r>
    </w:p>
    <w:p>
      <w:pPr>
        <w:spacing w:before="100" w:after="100"/>
      </w:pPr>
    </w:p>
    <w:p>
      <w:pPr>
        <w:pBdr>
          <w:bottom w:val="single" w:color="1F3864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Key Findings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2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Closed complaints with zero inspection documentation — citywide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48"/>
                <w:szCs w:val="48"/>
              </w:rPr>
              <w:t xml:space="preserve">73,212 (43.8%)</w:t>
            </w:r>
          </w:p>
          <w:p>
            <w:r>
              <w:rPr>
                <w:rFonts w:ascii="Arial" w:cs="Arial" w:eastAsia="Arial" w:hAnsi="Arial"/>
                <w:color w:val="808080"/>
                <w:sz w:val="16"/>
                <w:szCs w:val="16"/>
              </w:rPr>
              <w:t xml:space="preserve">No date. No result. No record. Not partial logging — total absence.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Total CP complaints analyzed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230,872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Closed without inspection record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73,212 (43.8%)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L/T complaints closed unverified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76.1%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Post-2018 L/T complaints closed unverified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90.8%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NOV issuance rate (2025)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6.1%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Impossible chronology records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40,328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Unregistered properties with L/T complaints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4,803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LT unverified rate at permitted addresses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77.4%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Non-LT unverified rate at same addresses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37.3%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Enforcement gap (permit addresses)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40.1 percentage points</w:t>
            </w:r>
          </w:p>
        </w:tc>
      </w:tr>
    </w:tbl>
    <w:p>
      <w:pPr>
        <w:spacing w:before="100" w:after="100"/>
      </w:pPr>
    </w:p>
    <w:p>
      <w:pPr>
        <w:pBdr>
          <w:bottom w:val="single" w:color="1F3864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Dashboard Files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All dashboards are self-contained HTML files. No server required. Open in any modern browser.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STLCA_Verified_Audit_v6.html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Main audit — verified vs unverified closures by district, L/T toggle, pre/post 2018 collapse, top 10 worst properties, council member contacts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SDCI_NOV_Conversion_Collapse.html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NOV issuance rate by year 2003–2025. Rate collapsed from ~15% to 6.1% in 2025. Volume chart shows complaints rising while NOVs flatline.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SDCI_Impossible_Chronology.html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40,328 records where LastInspDate precedes OpenDate — inspection before case opened. Fundamental data integrity failure.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SDCI_RRIO_CrossReference.html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L/T complaints matched against RRIO rental registration. 4,803 unregistered properties. Four-tab analysis: unregistered, expired, late violation, private inspector.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SDCI_Permit_Complaint_Disparity.html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Permit activity vs complaint verification rates. LT complaints 40pp more likely to be closed unverified than non-LT at same permitted addresses.</w:t>
            </w:r>
          </w:p>
        </w:tc>
      </w:tr>
    </w:tbl>
    <w:p>
      <w:pPr>
        <w:spacing w:before="100" w:after="100"/>
      </w:pPr>
    </w:p>
    <w:p>
      <w:pPr>
        <w:pBdr>
          <w:bottom w:val="single" w:color="1F3864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 Files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JSON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STLCA_MASTER_DATA.json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findings — complaint audit, NOV trend, RRIO crossref, permit disparity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~67 KB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rrio_summary.json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RRIO registration counts by district and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 KB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complaint_summary.json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CP complaint counts, verified/unverified rates by district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 KB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permit_summary.json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Permit counts by type, status, 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 KB</w:t>
            </w:r>
          </w:p>
        </w:tc>
      </w:tr>
    </w:tbl>
    <w:p>
      <w:pPr>
        <w:spacing w:before="100" w:after="1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Source Data Files (not in repository — large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0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District_1-7_ALL_ENRICHED.csv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SDCI / public 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~110 MB total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CP records 2003–2025 with district assignment and LT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RRIO_PROPERTY_TIMELINE_CLEAN.csv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Seattle Open Data / SDCI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77.8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656,510 rows, 21 columns, deduped and column-cleaned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PERMITS_Building_Permits_20260206.csv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Seattle Open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92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PARTIAL — only part 3 of 4 analyzed in this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PERMITS_Building_Permits_20241101.csv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Seattle Open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76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PARTIAL — parts 1-3 of 3 analyzed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PERMITS_Electrical_Permits_20260206.csv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Seattle Open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179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 — all 7 parts analyzed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PERMITS_Land_Use_Permits_20260206.csv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Seattle Open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PERMITS_CONSTRUCTION_PERMITS_20260127.csv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Seattle Open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PERMITS_CONVEYANCE_PERMITS_20260127.csv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Seattle Open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PERMITS_Issued_Building_Permits_20260206.csv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Seattle Open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 MB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100" w:after="100"/>
      </w:pPr>
    </w:p>
    <w:p>
      <w:pPr>
        <w:pBdr>
          <w:bottom w:val="single" w:color="1F3864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Methodology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Complaint Classification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CP records only — filtered to complaint type (CP = True)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L/T classification: explicit LandLord/Tenant RecordTypeDesc PLUS keyword reclassification of blank/emergency records matching: tenant, landlord, renter, rental, rent, lease, evict, trao, treo, pota, habitab, no heat, no water, bed bug, roach, mold, unfit, notice to vacate, lockout, deposit, housing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VERIFIED: Closed/Completed status AND both LastInspDate AND LastInspResult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UNVERIFIED: Closed/Completed status with missing date OR missing result (or both)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RRIO Cross-Reference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Address matching: exact match on normalized uppercase ORIGINALADDRESS1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UNREGISTERED: address in complaint data with no matching RRIO entry whatsoever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EXPIRED: RRIO record present, REGISTRATION_EXPIRED = "REGISTRATION EXPIRED", no active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LATE VIOLATION: RECORD_TYPE = RENTAL PROPERTY LATE REGISTRATION VIOLATION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PRIVATE INSPECTOR: PRIVATE_INSPECTOR = PRIVATE INSPECTOR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 Permit Cross-Reference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Address matching: exact match on normalized uppercase Address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ACTIVE PERMIT statuses: Issued, Application Completed, Reviews In Process, Scheduled, Ready for Issuance, Awaiting Information, Ready for Intake, Reviews Completed, Additional Info Requested, Corrections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COVERAGE NOTE: Building_20260206 parts 1-2 not yet analyzed. Numbers will shift with full dataset.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 Pre/Post 2018 Split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2018 chosen as threshold based on observed structural change in documentation rates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Pre-2018: 14.4% unverified citywide | 16.9% L/T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Post-2018: 67.3% unverified citywide | 90.8% L/T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This is not a legacy data problem. Post-2018 data is recent and should be fully documented.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5.5 NOV Conversion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NOV rate = NOV Issued records / total CP complaints, by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2025: 6.1% (959 NOVs / 15,711 CP complaints)</w:t>
      </w:r>
    </w:p>
    <w:p>
      <w:pPr>
        <w:spacing w:before="100" w:after="10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5.6 Impossible Chronology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Flag condition: LastInspDate &lt; OpenDate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40,328 records citywide where inspection date precedes complaint open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These records cannot be used in enforcement proceedings — inspection cannot predate the case</w:t>
      </w:r>
    </w:p>
    <w:p>
      <w:pPr>
        <w:spacing w:before="100" w:after="100"/>
      </w:pPr>
    </w:p>
    <w:p>
      <w:pPr>
        <w:pBdr>
          <w:bottom w:val="single" w:color="1F3864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Processing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dedup_rrio.py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Remove exact duplicate rows from RRIO files. Outputs *_DEDUPED.csv, originals untouched.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clean_rrio_columns.py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Drop 8 sanity-check/pipeline columns from RRIO_PROPERTY_TIMELINE_DEDUPED.csv. Outputs RRIO_PROPERTY_TIMELINE_CLEAN.csv.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split_rrio_clean.py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Split 77.8MB RRIO clean file into 25MB uploadable chunks. Each chunk retains header.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chunk_permits.py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Split large permit CSV files (&gt;31MB) into uploadable chunks. Skips files already under limit.</w:t>
            </w:r>
          </w:p>
        </w:tc>
      </w:tr>
    </w:tbl>
    <w:p>
      <w:pPr>
        <w:spacing w:before="100" w:after="100"/>
      </w:pPr>
    </w:p>
    <w:p>
      <w:pPr>
        <w:pBdr>
          <w:bottom w:val="single" w:color="1F3864" w:sz="6" w:space="1"/>
        </w:pBdr>
        <w:spacing w:before="160" w:after="1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Limitations &amp; Caveats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Permit data is partial. Building_20260206 parts 1-2 missing from permit cross-reference. Full dataset will shift numbers.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Address matching is exact. Fuzzy matching not applied. Some addresses may fail to match due to formatting differences (AVE vs AVENUE, unit numbers). Unregistered count may be slightly overstated.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LT keyword classification is conservative. Some L/T complaints may be missed; some non-LT complaints may be included. Error rate estimated low given explicit RecordTypeDesc anchor.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RRIO timeline data is a snapshot. Registration status may have changed since export date.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This analysis does not determine causation. It identifies patterns in public records. The inference that permit revenue incentivizes differential enforcement is supported by the data but requires further investigation.</w:t>
      </w:r>
    </w:p>
    <w:p>
      <w:pPr>
        <w:spacing w:before="100" w:after="100"/>
      </w:pPr>
    </w:p>
    <w:p>
      <w:pPr>
        <w:pBdr>
          <w:bottom w:val="single" w:color="1F3864" w:sz="6" w:space="1"/>
        </w:pBdr>
        <w:spacing w:before="160" w:after="160"/>
      </w:pPr>
    </w:p>
    <w:p>
      <w:pPr>
        <w:spacing w:before="200"/>
        <w:jc w:val="center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STLCA — Seattle Tenants &amp; Landlord Code Accountability  |  February 2026  |  All source data is public record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STLCA — Seattle Housing Enforcement Audit  |  February 2026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2026-02-21T13:22:44.379Z</dcterms:created>
  <dcterms:modified xsi:type="dcterms:W3CDTF">2026-02-21T13:22:44.380Z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