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STLCA Citywide KPI Method Memo</w:t>
      </w:r>
    </w:p>
    <w:p>
      <w:r>
        <w:rPr>
          <w:b/>
        </w:rPr>
        <w:t xml:space="preserve">Prepared: </w:t>
      </w:r>
      <w:r>
        <w:t>March 24, 2026</w:t>
        <w:br/>
      </w:r>
      <w:r>
        <w:rPr>
          <w:b/>
        </w:rPr>
        <w:t xml:space="preserve">Source file: </w:t>
      </w:r>
      <w:r>
        <w:t>CITYWIDE_ALL_20251231_ENRICHED_01272025__PLUS_RECORDLIST_TEXT_XXTRA.csv</w:t>
        <w:br/>
      </w:r>
      <w:r>
        <w:rPr>
          <w:b/>
        </w:rPr>
        <w:t xml:space="preserve">Purpose: </w:t>
      </w:r>
      <w:r>
        <w:t>Document the exact rules used to derive the citywide complaint (CP) and notice of violation (VI) figures, and state where the source file does not support an exact conclusion.</w:t>
      </w:r>
    </w:p>
    <w:p>
      <w:pPr>
        <w:pStyle w:val="Heading1"/>
      </w:pPr>
      <w:r>
        <w:t>1. What is exact in this file</w:t>
      </w:r>
    </w:p>
    <w:p>
      <w:pPr>
        <w:pStyle w:val="ListBullet"/>
      </w:pPr>
      <w:r>
        <w:t>Complaint records are exact: RECORDNUM ending in CP matches the source CP boolean with 0 mismatches.</w:t>
      </w:r>
    </w:p>
    <w:p>
      <w:pPr>
        <w:pStyle w:val="ListBullet"/>
      </w:pPr>
      <w:r>
        <w:t>Violation records are exact: RECORDNUM ending in VI matches the source VI boolean with 0 mismatches.</w:t>
      </w:r>
    </w:p>
    <w:p>
      <w:pPr>
        <w:pStyle w:val="ListBullet"/>
      </w:pPr>
      <w:r>
        <w:t>For 2003-2025, the file contains 177,431 complaints and 31,409 violations; violations equal 17.7% of complaints.</w:t>
      </w:r>
    </w:p>
    <w:p>
      <w:pPr>
        <w:pStyle w:val="ListBullet"/>
      </w:pPr>
      <w:r>
        <w:t>For 2015-2025, the file contains 124,194 complaints and 13,701 violations; violations equal 11.0% of complaints.</w:t>
      </w:r>
    </w:p>
    <w:p>
      <w:pPr>
        <w:pStyle w:val="ListBullet"/>
      </w:pPr>
      <w:r>
        <w:t>Complaints closed or completed can be counted exactly from STATUSCURRENT in {'CLOSED','COMPLETED'}.</w:t>
      </w:r>
    </w:p>
    <w:p>
      <w:pPr>
        <w:pStyle w:val="ListBullet"/>
      </w:pPr>
      <w:r>
        <w:t>Inspection-date and inspection-result absence can be counted exactly from NOINSPDATE T/F and NOINSPRESULT T/F.</w:t>
      </w:r>
    </w:p>
    <w:p>
      <w:pPr>
        <w:pStyle w:val="Heading1"/>
      </w:pPr>
      <w:r>
        <w:t>2. What is not exact in this file</w:t>
      </w:r>
    </w:p>
    <w:p>
      <w:pPr>
        <w:pStyle w:val="ListBullet"/>
      </w:pPr>
      <w:r>
        <w:t>This file does not contain a direct complaint-to-violation join key.</w:t>
      </w:r>
    </w:p>
    <w:p>
      <w:pPr>
        <w:pStyle w:val="ListBullet"/>
      </w:pPr>
      <w:r>
        <w:t>The statement 'every violation has a corresponding complaint' may be true operationally, but it is not directly encoded in this extract.</w:t>
      </w:r>
    </w:p>
    <w:p>
      <w:pPr>
        <w:pStyle w:val="ListBullet"/>
      </w:pPr>
      <w:r>
        <w:t>Any future attempt to say a specific complaint did or did not turn into a specific violation must be labeled heuristic unless a source key is found.</w:t>
      </w:r>
    </w:p>
    <w:p>
      <w:pPr>
        <w:pStyle w:val="Heading1"/>
      </w:pPr>
      <w:r>
        <w:t>3. Window totals used in the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Window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All records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CP count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VI count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VI as % of CP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CP closed/completed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CP both missing</w:t>
            </w:r>
          </w:p>
        </w:tc>
        <w:tc>
          <w:tcPr>
            <w:tcW w:type="dxa" w:w="1242"/>
            <w:shd w:fill="1F4E78"/>
          </w:tcPr>
          <w:p>
            <w:r>
              <w:rPr>
                <w:b/>
                <w:color w:val="FFFFFF"/>
              </w:rPr>
              <w:t>VI active nonfinal</w:t>
            </w:r>
          </w:p>
        </w:tc>
      </w:tr>
      <w:tr>
        <w:tc>
          <w:tcPr>
            <w:tcW w:type="dxa" w:w="1242"/>
            <w:vAlign w:val="center"/>
          </w:tcPr>
          <w:p>
            <w:r>
              <w:t>2003-2025</w:t>
            </w:r>
          </w:p>
        </w:tc>
        <w:tc>
          <w:tcPr>
            <w:tcW w:type="dxa" w:w="1242"/>
            <w:vAlign w:val="center"/>
          </w:tcPr>
          <w:p>
            <w:r>
              <w:t>233,543</w:t>
            </w:r>
          </w:p>
        </w:tc>
        <w:tc>
          <w:tcPr>
            <w:tcW w:type="dxa" w:w="1242"/>
            <w:vAlign w:val="center"/>
          </w:tcPr>
          <w:p>
            <w:r>
              <w:t>177,431</w:t>
            </w:r>
          </w:p>
        </w:tc>
        <w:tc>
          <w:tcPr>
            <w:tcW w:type="dxa" w:w="1242"/>
            <w:vAlign w:val="center"/>
          </w:tcPr>
          <w:p>
            <w:r>
              <w:t>31,409</w:t>
            </w:r>
          </w:p>
        </w:tc>
        <w:tc>
          <w:tcPr>
            <w:tcW w:type="dxa" w:w="1242"/>
            <w:vAlign w:val="center"/>
          </w:tcPr>
          <w:p>
            <w:r>
              <w:t>17.7%</w:t>
            </w:r>
          </w:p>
        </w:tc>
        <w:tc>
          <w:tcPr>
            <w:tcW w:type="dxa" w:w="1242"/>
            <w:vAlign w:val="center"/>
          </w:tcPr>
          <w:p>
            <w:r>
              <w:t>169,095</w:t>
            </w:r>
          </w:p>
        </w:tc>
        <w:tc>
          <w:tcPr>
            <w:tcW w:type="dxa" w:w="1242"/>
            <w:vAlign w:val="center"/>
          </w:tcPr>
          <w:p>
            <w:r>
              <w:t>74,442</w:t>
            </w:r>
          </w:p>
        </w:tc>
        <w:tc>
          <w:tcPr>
            <w:tcW w:type="dxa" w:w="1242"/>
            <w:vAlign w:val="center"/>
          </w:tcPr>
          <w:p>
            <w:r>
              <w:t>3,054</w:t>
            </w:r>
          </w:p>
        </w:tc>
      </w:tr>
      <w:tr>
        <w:tc>
          <w:tcPr>
            <w:tcW w:type="dxa" w:w="1242"/>
            <w:vAlign w:val="center"/>
          </w:tcPr>
          <w:p>
            <w:r>
              <w:t>2015-2025</w:t>
            </w:r>
          </w:p>
        </w:tc>
        <w:tc>
          <w:tcPr>
            <w:tcW w:type="dxa" w:w="1242"/>
            <w:vAlign w:val="center"/>
          </w:tcPr>
          <w:p>
            <w:r>
              <w:t>148,349</w:t>
            </w:r>
          </w:p>
        </w:tc>
        <w:tc>
          <w:tcPr>
            <w:tcW w:type="dxa" w:w="1242"/>
            <w:vAlign w:val="center"/>
          </w:tcPr>
          <w:p>
            <w:r>
              <w:t>124,194</w:t>
            </w:r>
          </w:p>
        </w:tc>
        <w:tc>
          <w:tcPr>
            <w:tcW w:type="dxa" w:w="1242"/>
            <w:vAlign w:val="center"/>
          </w:tcPr>
          <w:p>
            <w:r>
              <w:t>13,701</w:t>
            </w:r>
          </w:p>
        </w:tc>
        <w:tc>
          <w:tcPr>
            <w:tcW w:type="dxa" w:w="1242"/>
            <w:vAlign w:val="center"/>
          </w:tcPr>
          <w:p>
            <w:r>
              <w:t>11.0%</w:t>
            </w:r>
          </w:p>
        </w:tc>
        <w:tc>
          <w:tcPr>
            <w:tcW w:type="dxa" w:w="1242"/>
            <w:vAlign w:val="center"/>
          </w:tcPr>
          <w:p>
            <w:r>
              <w:t>115,858</w:t>
            </w:r>
          </w:p>
        </w:tc>
        <w:tc>
          <w:tcPr>
            <w:tcW w:type="dxa" w:w="1242"/>
            <w:vAlign w:val="center"/>
          </w:tcPr>
          <w:p>
            <w:r>
              <w:t>68,818</w:t>
            </w:r>
          </w:p>
        </w:tc>
        <w:tc>
          <w:tcPr>
            <w:tcW w:type="dxa" w:w="1242"/>
            <w:vAlign w:val="center"/>
          </w:tcPr>
          <w:p>
            <w:r>
              <w:t>2,926</w:t>
            </w:r>
          </w:p>
        </w:tc>
      </w:tr>
      <w:tr>
        <w:tc>
          <w:tcPr>
            <w:tcW w:type="dxa" w:w="1242"/>
            <w:vAlign w:val="center"/>
          </w:tcPr>
          <w:p>
            <w:r>
              <w:t>2017-2025</w:t>
            </w:r>
          </w:p>
        </w:tc>
        <w:tc>
          <w:tcPr>
            <w:tcW w:type="dxa" w:w="1242"/>
            <w:vAlign w:val="center"/>
          </w:tcPr>
          <w:p>
            <w:r>
              <w:t>128,804</w:t>
            </w:r>
          </w:p>
        </w:tc>
        <w:tc>
          <w:tcPr>
            <w:tcW w:type="dxa" w:w="1242"/>
            <w:vAlign w:val="center"/>
          </w:tcPr>
          <w:p>
            <w:r>
              <w:t>110,115</w:t>
            </w:r>
          </w:p>
        </w:tc>
        <w:tc>
          <w:tcPr>
            <w:tcW w:type="dxa" w:w="1242"/>
            <w:vAlign w:val="center"/>
          </w:tcPr>
          <w:p>
            <w:r>
              <w:t>10,682</w:t>
            </w:r>
          </w:p>
        </w:tc>
        <w:tc>
          <w:tcPr>
            <w:tcW w:type="dxa" w:w="1242"/>
            <w:vAlign w:val="center"/>
          </w:tcPr>
          <w:p>
            <w:r>
              <w:t>9.7%</w:t>
            </w:r>
          </w:p>
        </w:tc>
        <w:tc>
          <w:tcPr>
            <w:tcW w:type="dxa" w:w="1242"/>
            <w:vAlign w:val="center"/>
          </w:tcPr>
          <w:p>
            <w:r>
              <w:t>101,779</w:t>
            </w:r>
          </w:p>
        </w:tc>
        <w:tc>
          <w:tcPr>
            <w:tcW w:type="dxa" w:w="1242"/>
            <w:vAlign w:val="center"/>
          </w:tcPr>
          <w:p>
            <w:r>
              <w:t>65,493</w:t>
            </w:r>
          </w:p>
        </w:tc>
        <w:tc>
          <w:tcPr>
            <w:tcW w:type="dxa" w:w="1242"/>
            <w:vAlign w:val="center"/>
          </w:tcPr>
          <w:p>
            <w:r>
              <w:t>2,748</w:t>
            </w:r>
          </w:p>
        </w:tc>
      </w:tr>
    </w:tbl>
    <w:p>
      <w:r>
        <w:t>Note: "CP both missing" means closed/completed complaint records with both NOINSPDATE T/F = True and NOINSPRESULT T/F = True. "VI active nonfinal" means VI records whose STATUSCURRENT is not COMPLETED, COMPLIANCE ACHIEVED, or WITHDRAWN.</w:t>
      </w:r>
    </w:p>
    <w:p>
      <w:pPr>
        <w:pStyle w:val="Heading1"/>
      </w:pPr>
      <w:r>
        <w:t>4. Exact derivation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Derived field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Source columns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Class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IS_CP</w:t>
            </w:r>
          </w:p>
        </w:tc>
        <w:tc>
          <w:tcPr>
            <w:tcW w:type="dxa" w:w="2484"/>
            <w:vAlign w:val="center"/>
          </w:tcPr>
          <w:p>
            <w:r>
              <w:t>RECORDNUM, CP</w:t>
            </w:r>
          </w:p>
        </w:tc>
        <w:tc>
          <w:tcPr>
            <w:tcW w:type="dxa" w:w="2484"/>
            <w:vAlign w:val="center"/>
          </w:tcPr>
          <w:p>
            <w:r>
              <w:t>RECORDNUM ends with 'CP'; validated against source CP boolean with 0 mismatches.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IS_VI</w:t>
            </w:r>
          </w:p>
        </w:tc>
        <w:tc>
          <w:tcPr>
            <w:tcW w:type="dxa" w:w="2484"/>
            <w:vAlign w:val="center"/>
          </w:tcPr>
          <w:p>
            <w:r>
              <w:t>RECORDNUM, VI</w:t>
            </w:r>
          </w:p>
        </w:tc>
        <w:tc>
          <w:tcPr>
            <w:tcW w:type="dxa" w:w="2484"/>
            <w:vAlign w:val="center"/>
          </w:tcPr>
          <w:p>
            <w:r>
              <w:t>RECORDNUM ends with 'VI'; validated against source VI boolean with 0 mismatches.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IS_CT</w:t>
            </w:r>
          </w:p>
        </w:tc>
        <w:tc>
          <w:tcPr>
            <w:tcW w:type="dxa" w:w="2484"/>
            <w:vAlign w:val="center"/>
          </w:tcPr>
          <w:p>
            <w:r>
              <w:t>RECORDNUM, CT</w:t>
            </w:r>
          </w:p>
        </w:tc>
        <w:tc>
          <w:tcPr>
            <w:tcW w:type="dxa" w:w="2484"/>
            <w:vAlign w:val="center"/>
          </w:tcPr>
          <w:p>
            <w:r>
              <w:t>RECORDNUM ends with 'CT'; validated against source CT boolean with 0 mismatches.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CP_STATUS_CLOSED_OR_COMPLETED</w:t>
            </w:r>
          </w:p>
        </w:tc>
        <w:tc>
          <w:tcPr>
            <w:tcW w:type="dxa" w:w="2484"/>
            <w:vAlign w:val="center"/>
          </w:tcPr>
          <w:p>
            <w:r>
              <w:t>RECORDNUM, STATUSCURRENT</w:t>
            </w:r>
          </w:p>
        </w:tc>
        <w:tc>
          <w:tcPr>
            <w:tcW w:type="dxa" w:w="2484"/>
            <w:vAlign w:val="center"/>
          </w:tcPr>
          <w:p>
            <w:r>
              <w:t>IS_CP and STATUSCURRENT in {'CLOSED','COMPLETED'}.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NO_INSP_DATE</w:t>
            </w:r>
          </w:p>
        </w:tc>
        <w:tc>
          <w:tcPr>
            <w:tcW w:type="dxa" w:w="2484"/>
            <w:vAlign w:val="center"/>
          </w:tcPr>
          <w:p>
            <w:r>
              <w:t>NOINSPDATE T/F</w:t>
            </w:r>
          </w:p>
        </w:tc>
        <w:tc>
          <w:tcPr>
            <w:tcW w:type="dxa" w:w="2484"/>
            <w:vAlign w:val="center"/>
          </w:tcPr>
          <w:p>
            <w:r>
              <w:t>Source boolean copied as-is.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NO_INSP_RESULT</w:t>
            </w:r>
          </w:p>
        </w:tc>
        <w:tc>
          <w:tcPr>
            <w:tcW w:type="dxa" w:w="2484"/>
            <w:vAlign w:val="center"/>
          </w:tcPr>
          <w:p>
            <w:r>
              <w:t>NOINSPRESULT T/F</w:t>
            </w:r>
          </w:p>
        </w:tc>
        <w:tc>
          <w:tcPr>
            <w:tcW w:type="dxa" w:w="2484"/>
            <w:vAlign w:val="center"/>
          </w:tcPr>
          <w:p>
            <w:r>
              <w:t>Source boolean copied as-is.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INSP_BOTH_MISSING</w:t>
            </w:r>
          </w:p>
        </w:tc>
        <w:tc>
          <w:tcPr>
            <w:tcW w:type="dxa" w:w="2484"/>
            <w:vAlign w:val="center"/>
          </w:tcPr>
          <w:p>
            <w:r>
              <w:t>NOINSPDATE T/F, NOINSPRESULT T/F</w:t>
            </w:r>
          </w:p>
        </w:tc>
        <w:tc>
          <w:tcPr>
            <w:tcW w:type="dxa" w:w="2484"/>
            <w:vAlign w:val="center"/>
          </w:tcPr>
          <w:p>
            <w:r>
              <w:t>NO_INSP_DATE=True and NO_INSP_RESULT=True.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INSP_BOTH_PRESENT</w:t>
            </w:r>
          </w:p>
        </w:tc>
        <w:tc>
          <w:tcPr>
            <w:tcW w:type="dxa" w:w="2484"/>
            <w:vAlign w:val="center"/>
          </w:tcPr>
          <w:p>
            <w:r>
              <w:t>NOINSPDATE T/F, NOINSPRESULT T/F</w:t>
            </w:r>
          </w:p>
        </w:tc>
        <w:tc>
          <w:tcPr>
            <w:tcW w:type="dxa" w:w="2484"/>
            <w:vAlign w:val="center"/>
          </w:tcPr>
          <w:p>
            <w:r>
              <w:t>NO_INSP_DATE=False and NO_INSP_RESULT=False.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VI_STATUS_ACTIVE_NONFINAL</w:t>
            </w:r>
          </w:p>
        </w:tc>
        <w:tc>
          <w:tcPr>
            <w:tcW w:type="dxa" w:w="2484"/>
            <w:vAlign w:val="center"/>
          </w:tcPr>
          <w:p>
            <w:r>
              <w:t>RECORDNUM, STATUSCURRENT</w:t>
            </w:r>
          </w:p>
        </w:tc>
        <w:tc>
          <w:tcPr>
            <w:tcW w:type="dxa" w:w="2484"/>
            <w:vAlign w:val="center"/>
          </w:tcPr>
          <w:p>
            <w:r>
              <w:t>IS_VI and STATUSCURRENT not in {'COMPLETED','COMPLIANCE ACHIEVED','WITHDRAWN'}.</w:t>
            </w:r>
          </w:p>
        </w:tc>
        <w:tc>
          <w:tcPr>
            <w:tcW w:type="dxa" w:w="2484"/>
            <w:vAlign w:val="center"/>
          </w:tcPr>
          <w:p>
            <w:r>
              <w:t>Rule-based 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RESULT_ADMIN_CLOSURE</w:t>
            </w:r>
          </w:p>
        </w:tc>
        <w:tc>
          <w:tcPr>
            <w:tcW w:type="dxa" w:w="2484"/>
            <w:vAlign w:val="center"/>
          </w:tcPr>
          <w:p>
            <w:r>
              <w:t>LASTINSPRESULT</w:t>
            </w:r>
          </w:p>
        </w:tc>
        <w:tc>
          <w:tcPr>
            <w:tcW w:type="dxa" w:w="2484"/>
            <w:vAlign w:val="center"/>
          </w:tcPr>
          <w:p>
            <w:r>
              <w:t>LASTINSPRESULT='ADMIN CLOSURE'.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RESULT_NO_VIOLATION</w:t>
            </w:r>
          </w:p>
        </w:tc>
        <w:tc>
          <w:tcPr>
            <w:tcW w:type="dxa" w:w="2484"/>
            <w:vAlign w:val="center"/>
          </w:tcPr>
          <w:p>
            <w:r>
              <w:t>LASTINSPRESULT</w:t>
            </w:r>
          </w:p>
        </w:tc>
        <w:tc>
          <w:tcPr>
            <w:tcW w:type="dxa" w:w="2484"/>
            <w:vAlign w:val="center"/>
          </w:tcPr>
          <w:p>
            <w:r>
              <w:t>LASTINSPRESULT in {'NO VIOLATION','SECURED WITH NO VIOLATIONS'}.</w:t>
            </w:r>
          </w:p>
        </w:tc>
        <w:tc>
          <w:tcPr>
            <w:tcW w:type="dxa" w:w="2484"/>
            <w:vAlign w:val="center"/>
          </w:tcPr>
          <w:p>
            <w:r>
              <w:t>Rule-based 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OPEN_AGE_DAYS_ASOF_2025_12_31</w:t>
            </w:r>
          </w:p>
        </w:tc>
        <w:tc>
          <w:tcPr>
            <w:tcW w:type="dxa" w:w="2484"/>
            <w:vAlign w:val="center"/>
          </w:tcPr>
          <w:p>
            <w:r>
              <w:t>OPENDATE</w:t>
            </w:r>
          </w:p>
        </w:tc>
        <w:tc>
          <w:tcPr>
            <w:tcW w:type="dxa" w:w="2484"/>
            <w:vAlign w:val="center"/>
          </w:tcPr>
          <w:p>
            <w:r>
              <w:t>2025-12-31 minus parsed OPENDATE.</w:t>
            </w:r>
          </w:p>
        </w:tc>
        <w:tc>
          <w:tcPr>
            <w:tcW w:type="dxa" w:w="2484"/>
            <w:vAlign w:val="center"/>
          </w:tcPr>
          <w:p>
            <w:r>
              <w:t>Derived 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LT_STRICT_CONTAINS_LANDLORD_TENANT</w:t>
            </w:r>
          </w:p>
        </w:tc>
        <w:tc>
          <w:tcPr>
            <w:tcW w:type="dxa" w:w="2484"/>
            <w:vAlign w:val="center"/>
          </w:tcPr>
          <w:p>
            <w:r>
              <w:t>RECORDTYPEDESC</w:t>
            </w:r>
          </w:p>
        </w:tc>
        <w:tc>
          <w:tcPr>
            <w:tcW w:type="dxa" w:w="2484"/>
            <w:vAlign w:val="center"/>
          </w:tcPr>
          <w:p>
            <w:r>
              <w:t>RECORDTYPEDESC contains literal substring 'LANDLORD/TENANT'.</w:t>
            </w:r>
          </w:p>
        </w:tc>
        <w:tc>
          <w:tcPr>
            <w:tcW w:type="dxa" w:w="2484"/>
            <w:vAlign w:val="center"/>
          </w:tcPr>
          <w:p>
            <w:r>
              <w:t>Rule-based 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LT_EMERGENCY_ONLY</w:t>
            </w:r>
          </w:p>
        </w:tc>
        <w:tc>
          <w:tcPr>
            <w:tcW w:type="dxa" w:w="2484"/>
            <w:vAlign w:val="center"/>
          </w:tcPr>
          <w:p>
            <w:r>
              <w:t>RECORDTYPEDESC</w:t>
            </w:r>
          </w:p>
        </w:tc>
        <w:tc>
          <w:tcPr>
            <w:tcW w:type="dxa" w:w="2484"/>
            <w:vAlign w:val="center"/>
          </w:tcPr>
          <w:p>
            <w:r>
              <w:t>RECORDTYPEDESC exactly equals 'EMERGENCY'. Tracked separately; not auto-folded into landlord/tenant.</w:t>
            </w:r>
          </w:p>
        </w:tc>
        <w:tc>
          <w:tcPr>
            <w:tcW w:type="dxa" w:w="2484"/>
            <w:vAlign w:val="center"/>
          </w:tcPr>
          <w:p>
            <w:r>
              <w:t>Rule-based 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LT_BLANK_RECORDTYPEDESC</w:t>
            </w:r>
          </w:p>
        </w:tc>
        <w:tc>
          <w:tcPr>
            <w:tcW w:type="dxa" w:w="2484"/>
            <w:vAlign w:val="center"/>
          </w:tcPr>
          <w:p>
            <w:r>
              <w:t>RECORDTYPEDESCBLANK, RECORDTYPEDESC</w:t>
            </w:r>
          </w:p>
        </w:tc>
        <w:tc>
          <w:tcPr>
            <w:tcW w:type="dxa" w:w="2484"/>
            <w:vAlign w:val="center"/>
          </w:tcPr>
          <w:p>
            <w:r>
              <w:t>Source blank-description flag.</w:t>
            </w:r>
          </w:p>
        </w:tc>
        <w:tc>
          <w:tcPr>
            <w:tcW w:type="dxa" w:w="2484"/>
            <w:vAlign w:val="center"/>
          </w:tcPr>
          <w:p>
            <w:r>
              <w:t>Exact</w:t>
            </w:r>
          </w:p>
        </w:tc>
      </w:tr>
      <w:tr>
        <w:tc>
          <w:tcPr>
            <w:tcW w:type="dxa" w:w="2484"/>
            <w:vAlign w:val="center"/>
          </w:tcPr>
          <w:p>
            <w:r>
              <w:t>COMPLAINT_TO_VIOLATION_LINK</w:t>
            </w:r>
          </w:p>
        </w:tc>
        <w:tc>
          <w:tcPr>
            <w:tcW w:type="dxa" w:w="2484"/>
            <w:vAlign w:val="center"/>
          </w:tcPr>
          <w:p>
            <w:r>
              <w:t>No direct source key</w:t>
            </w:r>
          </w:p>
        </w:tc>
        <w:tc>
          <w:tcPr>
            <w:tcW w:type="dxa" w:w="2484"/>
            <w:vAlign w:val="center"/>
          </w:tcPr>
          <w:p>
            <w:r>
              <w:t>This file does not contain a direct complaint-to-violation join key. Any matching must be labeled heuristic unless a source key is found.</w:t>
            </w:r>
          </w:p>
        </w:tc>
        <w:tc>
          <w:tcPr>
            <w:tcW w:type="dxa" w:w="2484"/>
            <w:vAlign w:val="center"/>
          </w:tcPr>
          <w:p>
            <w:r>
              <w:t>Unresolved</w:t>
            </w:r>
          </w:p>
        </w:tc>
      </w:tr>
    </w:tbl>
    <w:p>
      <w:pPr>
        <w:pStyle w:val="Heading1"/>
      </w:pPr>
      <w:r>
        <w:t>5. How the earlier keyword counts were produced</w:t>
      </w:r>
    </w:p>
    <w:p>
      <w:r>
        <w:rPr>
          <w:b/>
        </w:rPr>
        <w:t xml:space="preserve">Answer to your question: </w:t>
      </w:r>
      <w:r>
        <w:t>yes — the earlier EVICTION and RENT INCREASE figures were produced with literal text searches, not with stemmed variants or a Seattle-tenant language dictionary.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484"/>
          </w:tcPr>
          <w:p>
            <w:r>
              <w:t>EVICTION literal</w:t>
            </w:r>
          </w:p>
        </w:tc>
        <w:tc>
          <w:tcPr>
            <w:tcW w:type="dxa" w:w="2484"/>
          </w:tcPr>
          <w:p>
            <w:r>
              <w:t>Uppercase literal substring 'EVICTION' in DESCRIPTION or DESCRIPTION1</w:t>
            </w:r>
          </w:p>
        </w:tc>
        <w:tc>
          <w:tcPr>
            <w:tcW w:type="dxa" w:w="2484"/>
          </w:tcPr>
          <w:p>
            <w:r>
              <w:t>2,104</w:t>
            </w:r>
          </w:p>
        </w:tc>
        <w:tc>
          <w:tcPr>
            <w:tcW w:type="dxa" w:w="2484"/>
          </w:tcPr>
          <w:p>
            <w:r>
              <w:t>Reproduces prior provisional 2,104 count.</w:t>
            </w:r>
          </w:p>
        </w:tc>
      </w:tr>
      <w:tr>
        <w:tc>
          <w:tcPr>
            <w:tcW w:type="dxa" w:w="2484"/>
          </w:tcPr>
          <w:p>
            <w:r>
              <w:t>EVICT stem</w:t>
            </w:r>
          </w:p>
        </w:tc>
        <w:tc>
          <w:tcPr>
            <w:tcW w:type="dxa" w:w="2484"/>
          </w:tcPr>
          <w:p>
            <w:r>
              <w:t>Regex '\bEVICT' in DESCRIPTION or DESCRIPTION1</w:t>
            </w:r>
          </w:p>
        </w:tc>
        <w:tc>
          <w:tcPr>
            <w:tcW w:type="dxa" w:w="2484"/>
          </w:tcPr>
          <w:p>
            <w:r>
              <w:t>2,523</w:t>
            </w:r>
          </w:p>
        </w:tc>
        <w:tc>
          <w:tcPr>
            <w:tcW w:type="dxa" w:w="2484"/>
          </w:tcPr>
          <w:p>
            <w:r>
              <w:t>Broader heuristic for evict/eviction/evicted.</w:t>
            </w:r>
          </w:p>
        </w:tc>
      </w:tr>
      <w:tr>
        <w:tc>
          <w:tcPr>
            <w:tcW w:type="dxa" w:w="2484"/>
          </w:tcPr>
          <w:p>
            <w:r>
              <w:t>RENT INCREASE literal</w:t>
            </w:r>
          </w:p>
        </w:tc>
        <w:tc>
          <w:tcPr>
            <w:tcW w:type="dxa" w:w="2484"/>
          </w:tcPr>
          <w:p>
            <w:r>
              <w:t>Uppercase literal substring 'RENT INCREASE' in DESCRIPTION or DESCRIPTION1</w:t>
            </w:r>
          </w:p>
        </w:tc>
        <w:tc>
          <w:tcPr>
            <w:tcW w:type="dxa" w:w="2484"/>
          </w:tcPr>
          <w:p>
            <w:r>
              <w:t>2,403</w:t>
            </w:r>
          </w:p>
        </w:tc>
        <w:tc>
          <w:tcPr>
            <w:tcW w:type="dxa" w:w="2484"/>
          </w:tcPr>
          <w:p>
            <w:r>
              <w:t>Reproduces prior provisional 2,403 count.</w:t>
            </w:r>
          </w:p>
        </w:tc>
      </w:tr>
      <w:tr>
        <w:tc>
          <w:tcPr>
            <w:tcW w:type="dxa" w:w="2484"/>
          </w:tcPr>
          <w:p>
            <w:r>
              <w:t>3 DAY NOTICE literal</w:t>
            </w:r>
          </w:p>
        </w:tc>
        <w:tc>
          <w:tcPr>
            <w:tcW w:type="dxa" w:w="2484"/>
          </w:tcPr>
          <w:p>
            <w:r>
              <w:t>Uppercase literal substring '3 DAY NOTICE' in DESCRIPTION or DESCRIPTION1</w:t>
            </w:r>
          </w:p>
        </w:tc>
        <w:tc>
          <w:tcPr>
            <w:tcW w:type="dxa" w:w="2484"/>
          </w:tcPr>
          <w:p>
            <w:r>
              <w:t>533</w:t>
            </w:r>
          </w:p>
        </w:tc>
        <w:tc>
          <w:tcPr>
            <w:tcW w:type="dxa" w:w="2484"/>
          </w:tcPr>
          <w:p>
            <w:r>
              <w:t>Reproduces prior provisional 533 count.</w:t>
            </w:r>
          </w:p>
        </w:tc>
      </w:tr>
      <w:tr>
        <w:tc>
          <w:tcPr>
            <w:tcW w:type="dxa" w:w="2484"/>
          </w:tcPr>
          <w:p>
            <w:r>
              <w:t>OWNER'S CERTIFICATION literal</w:t>
            </w:r>
          </w:p>
        </w:tc>
        <w:tc>
          <w:tcPr>
            <w:tcW w:type="dxa" w:w="2484"/>
          </w:tcPr>
          <w:p>
            <w:r>
              <w:t>Uppercase literal substring "OWNER'S CERTIFICATION" in DESCRIPTION or DESCRIPTION1</w:t>
            </w:r>
          </w:p>
        </w:tc>
        <w:tc>
          <w:tcPr>
            <w:tcW w:type="dxa" w:w="2484"/>
          </w:tcPr>
          <w:p>
            <w:r>
              <w:t>1,151</w:t>
            </w:r>
          </w:p>
        </w:tc>
        <w:tc>
          <w:tcPr>
            <w:tcW w:type="dxa" w:w="2484"/>
          </w:tcPr>
          <w:p>
            <w:r>
              <w:t>Reproduces prior provisional 1,151 count.</w:t>
            </w:r>
          </w:p>
        </w:tc>
      </w:tr>
    </w:tbl>
    <w:p>
      <w:r>
        <w:t>That means the earlier 2,104 eviction count came from literal 'EVICTION' only. A broader stem search for \bEVICT produces 2,523 matches. That is why the keyword taxonomy should be treated as a separate, iterative workstream rather than quietly merged into the exact CP/VI KPI logic.</w:t>
      </w:r>
    </w:p>
    <w:p>
      <w:pPr>
        <w:pStyle w:val="Heading1"/>
      </w:pPr>
      <w:r>
        <w:t>6. Quality notes carried into the workbook</w:t>
      </w:r>
    </w:p>
    <w:p>
      <w:pPr>
        <w:pStyle w:val="ListBullet"/>
      </w:pPr>
      <w:r>
        <w:t>Duplicate RECORDNUM rows in the file: 6.</w:t>
      </w:r>
    </w:p>
    <w:p>
      <w:pPr>
        <w:pStyle w:val="ListBullet"/>
      </w:pPr>
      <w:r>
        <w:t>Future LASTINSPDATE rows versus the 2025-12-31 snapshot: 3.</w:t>
      </w:r>
    </w:p>
    <w:p>
      <w:pPr>
        <w:pStyle w:val="ListBullet"/>
      </w:pPr>
      <w:r>
        <w:t>Negative OPENTOLASTINSPDAYS rows: 6,176.</w:t>
      </w:r>
    </w:p>
    <w:p>
      <w:pPr>
        <w:pStyle w:val="ListBullet"/>
      </w:pPr>
      <w:r>
        <w:t>NOINSPDATE / NOINSPRESULT mismatch rows: 9; these are outside CP and VI and occur in TENANT RELOCATION records.</w:t>
      </w:r>
    </w:p>
    <w:p>
      <w:pPr>
        <w:pStyle w:val="Heading1"/>
      </w:pPr>
      <w:r>
        <w:t>7. Deliverables in this package</w:t>
      </w:r>
    </w:p>
    <w:p>
      <w:pPr>
        <w:pStyle w:val="ListBullet"/>
      </w:pPr>
      <w:r>
        <w:t>Excel workbook: yearly and window summaries, longest-open lists, logic dictionary, and keyword-method table.</w:t>
      </w:r>
    </w:p>
    <w:p>
      <w:pPr>
        <w:pStyle w:val="ListBullet"/>
      </w:pPr>
      <w:r>
        <w:t>CSV export: yearly KPI table for 2015-2025.</w:t>
      </w:r>
    </w:p>
    <w:p>
      <w:pPr>
        <w:pStyle w:val="ListBullet"/>
      </w:pPr>
      <w:r>
        <w:t>Python script: compact reproducible script showing the exact year-summary logic.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