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 — EXECUTIVE SUMMARY</w:t>
      </w:r>
    </w:p>
    <w:p>
      <w:r>
        <w:t xml:space="preserve">Seattle Tenant-Landlord Compliance Authority (STLCA)  </w:t>
      </w:r>
    </w:p>
    <w:p>
      <w:r>
        <w:t>Proposal and Evidentiary Submission</w:t>
      </w:r>
    </w:p>
    <w:p/>
    <w:p>
      <w:r>
        <w:t>Seattle’s current housing enforcement framework has reached a point of structural failure. Evidence collected from 2013–2025 demonstrates that the Seattle Department of Construction and Inspections (SDCI) has been unable to meet its statutory obligations to protect tenants, enforce habitability standards, ensure accurate recordkeeping, or maintain a transparent and accountable regulatory environment.</w:t>
      </w:r>
    </w:p>
    <w:p/>
    <w:p>
      <w:r>
        <w:t>Across multiple data sources, including complaint records, Notices of Violation, public audits, ethics findings, and case studies, a consistent pattern emerges:</w:t>
      </w:r>
    </w:p>
    <w:p>
      <w:r>
        <w:t xml:space="preserve">SDCI’s enforcement system is unreliable, inconsistent, and materially compromised.  </w:t>
      </w:r>
    </w:p>
    <w:p>
      <w:r>
        <w:t>The failures documented are not isolated incidents or clerical oversights. They are systemic, recurring, and demonstrably harmful to public safety.</w:t>
      </w:r>
    </w:p>
    <w:p/>
    <w:p>
      <w:r>
        <w:t>Key Findings</w:t>
      </w:r>
    </w:p>
    <w:p>
      <w:r>
        <w:t xml:space="preserve">- Administrative Closures of Active Emergencies: SDCI repeatedly closed urgent habitability complaints, including COVID-era unlawful evictions at the Everspring Inn, without inspection or follow-up, leaving tenants without protection during declared public health emergencies. fileciteturn0file2  </w:t>
      </w:r>
    </w:p>
    <w:p>
      <w:r>
        <w:t xml:space="preserve">- False or Unverified Compliance Reporting: Properties with extensive violation histories were permitted to self-certify under RRIO, contrary to ordinance requirements. Pre-registration records for some properties appeared only after public inquiry, raising questions about the integrity of SDCI’s compliance database. fileciteturn0file3  </w:t>
      </w:r>
    </w:p>
    <w:p>
      <w:r>
        <w:t xml:space="preserve">- Life-Safety Neglect: For nearly twenty years, SDCI failed to enforce critical elevator safety corrections at Lowell Emerson, allowing an expired conveyance certificate and unsafe conditions to persist. Tenants with disabilities were left without access during repeated outages. fileciteturn0file4  </w:t>
      </w:r>
    </w:p>
    <w:p>
      <w:r>
        <w:t xml:space="preserve">- Data Manipulation and Missing Fields: Key inspection and enforcement fields, such as “Last Inspection Date”, contain unrelated or inaccurate data, obscuring true timelines and hindering public accountability. fileciteturn0file5  </w:t>
      </w:r>
    </w:p>
    <w:p>
      <w:r>
        <w:t xml:space="preserve">- Ethical and Structural Conflicts: The City Auditor confirmed widespread concerns within SDCI regarding favoritism, conflicts of interest, outside consulting, and inconsistent prioritization of permits. Multiple staff cited a lack of internal ethics policies and unequal access to decision-makers. fileciteturn0file8  </w:t>
      </w:r>
    </w:p>
    <w:p>
      <w:r>
        <w:t xml:space="preserve">- Multi-Year Complaint Trends: Complaint data from 2018–2023 shows chronic habitability issues, including no heat, flooding, electrical hazards, mold, and retaliatory landlord conduct, routinely marked “Closed”, “Withdrawn”, or “Completed” without documented resolution. fileciteturn0file6 fileciteturn0file7  </w:t>
      </w:r>
    </w:p>
    <w:p/>
    <w:p>
      <w:r>
        <w:t>Together, these findings demonstrate a system that lacks reliability, transparency, and public trust. The consequences have been measurable: prolonged tenant harm, preventable safety hazards, administrative inconsistencies, and an erosion of public confidence in the City’s ability to enforce its own laws.</w:t>
      </w:r>
    </w:p>
    <w:p/>
    <w:p>
      <w:r>
        <w:t>Conclusion</w:t>
      </w:r>
    </w:p>
    <w:p>
      <w:r>
        <w:t>Seattle requires a new regulatory structure that is independent, transparent, and purpose-built to protect tenants and enforce habitability standards. The Seattle Tenant-Landlord Compliance Authority (STLCA) is designed to replace the compromised enforcement role currently held by SDCI and restore accountability through modernized systems, accurate reporting, and conflict-free oversight.</w:t>
      </w:r>
    </w:p>
    <w:p/>
    <w:p>
      <w:r>
        <w:t xml:space="preserve">The evidence is substantial.  </w:t>
      </w:r>
    </w:p>
    <w:p>
      <w:r>
        <w:t xml:space="preserve">The need is immediate.  </w:t>
      </w:r>
    </w:p>
    <w:p>
      <w:r>
        <w:t>The current system cannot be preserved in its existing form.</w:t>
      </w:r>
    </w:p>
    <w:p/>
    <w:p>
      <w:pPr>
        <w:pStyle w:val="Heading1"/>
      </w:pPr>
      <w:r>
        <w:t>SECTION 2 — THE EVIDENCE LEDGER</w:t>
      </w:r>
    </w:p>
    <w:p>
      <w:r>
        <w:t>Topline Findings Demonstrating Systemic Failure within SDCI</w:t>
      </w:r>
    </w:p>
    <w:p/>
    <w:p>
      <w:r>
        <w:t>This section presents the highest-weight, most verifiable evidence establishing that SDCI’s regulatory function is structurally compromised. The materials span 2013–2025 and derive from public records, complaint databases, documented case studies, city audits, and internal SDCI reporting.</w:t>
      </w:r>
    </w:p>
    <w:p/>
    <w:p>
      <w:r>
        <w:t>Each finding is directly tied to source documents and citations.</w:t>
      </w:r>
    </w:p>
    <w:p/>
    <w:p>
      <w:r>
        <w:t xml:space="preserve">A. Administrative Closures of Active Emergencies  </w:t>
      </w:r>
    </w:p>
    <w:p>
      <w:r>
        <w:t>Finding: SDCI repeatedly closed high-risk, time-sensitive complaints without inspection, tenant contact, or corrective action, including during a state-declared public health emergency.</w:t>
      </w:r>
    </w:p>
    <w:p/>
    <w:p>
      <w:r>
        <w:t xml:space="preserve">- On August 18, 2020, three separate complaints (007155-20CP, 007945-20CP, 007163-20CP) reported illegal evictions, boarded doors, water shutoffs, and physical intimidation at the Everspring Inn.  </w:t>
      </w:r>
    </w:p>
    <w:p>
      <w:r>
        <w:t xml:space="preserve">- All were closed the same day as “Admin Closure” with no inspection, violating the COVID-19 eviction moratorium and SMC habitability laws. fileciteturn0file2  </w:t>
      </w:r>
    </w:p>
    <w:p/>
    <w:p>
      <w:r>
        <w:t>This demonstrates a pattern of dismissing tenant emergencies without investigation.</w:t>
      </w:r>
    </w:p>
    <w:p/>
    <w:p>
      <w:r>
        <w:t xml:space="preserve">B. False, Retroactive, or Unverifiable Compliance Records  </w:t>
      </w:r>
    </w:p>
    <w:p>
      <w:r>
        <w:t>Finding: RRIO registration and compliance data contains inconsistencies that are incompatible with accurate municipal recordkeeping.</w:t>
      </w:r>
    </w:p>
    <w:p/>
    <w:p>
      <w:r>
        <w:t xml:space="preserve">- Lowell Emerson Apartments, despite multiple pre-2014 violations and emergency orders, were permitted to self-certify compliance for years.  </w:t>
      </w:r>
    </w:p>
    <w:p>
      <w:r>
        <w:t xml:space="preserve">- After inquiry into missing RRIO pre-registration records, new pre-registration entries suddenly appeared following portal downtime in July 2024.  </w:t>
      </w:r>
    </w:p>
    <w:p>
      <w:r>
        <w:t xml:space="preserve">- SDCI could not explain discrepancies or produce contemporaneous records establishing authenticity. fileciteturn0file3  </w:t>
      </w:r>
    </w:p>
    <w:p/>
    <w:p>
      <w:r>
        <w:t>This suggests poor data integrity and possible retroactive record creation.</w:t>
      </w:r>
    </w:p>
    <w:p/>
    <w:p>
      <w:r>
        <w:t xml:space="preserve">C. Multi-Decade Life-Safety Negligence (Elevator Compliance)  </w:t>
      </w:r>
    </w:p>
    <w:p>
      <w:r>
        <w:t>Finding: SDCI failed to enforce elevator safety laws at Lowell Emerson for nearly twenty years.</w:t>
      </w:r>
    </w:p>
    <w:p/>
    <w:p>
      <w:r>
        <w:t xml:space="preserve">- A correction required in 2006 (“shorten governor rope”) reappeared again in 2024, proving no enforcement occurred.  </w:t>
      </w:r>
    </w:p>
    <w:p>
      <w:r>
        <w:t xml:space="preserve">- Conveyance certificates expired in May 2024, yet the elevator remained in operation unlawfully.  </w:t>
      </w:r>
    </w:p>
    <w:p>
      <w:r>
        <w:t xml:space="preserve">- Water intrusion flooded the elevator pit for years, corroding safety components; SDCI took no corrective action.  </w:t>
      </w:r>
    </w:p>
    <w:p>
      <w:r>
        <w:t xml:space="preserve">- Tenants with disabilities were repeatedly left without access. fileciteturn0file4  </w:t>
      </w:r>
    </w:p>
    <w:p/>
    <w:p>
      <w:r>
        <w:t>This constitutes a long-term breakdown in basic public-safety oversight.</w:t>
      </w:r>
    </w:p>
    <w:p/>
    <w:p>
      <w:r>
        <w:t xml:space="preserve">D. Data Manipulation, Missing Fields, and Misreported Inspection Activity  </w:t>
      </w:r>
    </w:p>
    <w:p>
      <w:r>
        <w:t>Finding: SDCI’s complaint and inspection records display pervasive inconsistencies that obscure accountability.</w:t>
      </w:r>
    </w:p>
    <w:p/>
    <w:p>
      <w:r>
        <w:t xml:space="preserve">- The “Last Inspection Date” field is routinely populated with unrelated data, such as coordinates, rendering citywide timelines unverifiable.  </w:t>
      </w:r>
    </w:p>
    <w:p>
      <w:r>
        <w:t xml:space="preserve">- Records lack unit numbers, inspection dates, NOV linkages, or proper categorization.  </w:t>
      </w:r>
    </w:p>
    <w:p>
      <w:r>
        <w:t xml:space="preserve">- These gaps directly hinder trend analysis, enforcement audits, and public transparency. fileciteturn0file5  </w:t>
      </w:r>
    </w:p>
    <w:p/>
    <w:p>
      <w:r>
        <w:t>This undermines the reliability of SDCI’s public reporting.</w:t>
      </w:r>
    </w:p>
    <w:p/>
    <w:p>
      <w:r>
        <w:t xml:space="preserve">E. Ethical Conflicts, Preferential Treatment, and Structural Bias  </w:t>
      </w:r>
    </w:p>
    <w:p>
      <w:r>
        <w:t>Finding: A 2023 City Auditor report revealed widespread concerns among SDCI employees regarding conflicts of interest and preferential treatment of developers.</w:t>
      </w:r>
    </w:p>
    <w:p/>
    <w:p>
      <w:r>
        <w:t xml:space="preserve">- Staff reported pressure to expedite projects for large developers and the Master Builders Association.  </w:t>
      </w:r>
    </w:p>
    <w:p>
      <w:r>
        <w:t xml:space="preserve">- Multiple supervisors maintained outside consulting businesses in building code enforcement.  </w:t>
      </w:r>
    </w:p>
    <w:p>
      <w:r>
        <w:t xml:space="preserve">- Members of the Lunde family held multiple roles within SDCI while also owning rental properties subject to SDCI enforcement. fileciteturn0file8  </w:t>
      </w:r>
    </w:p>
    <w:p/>
    <w:p>
      <w:r>
        <w:t>These conditions indicate regulatory capture and significant conflict-of-interest risk.</w:t>
      </w:r>
    </w:p>
    <w:p/>
    <w:p>
      <w:r>
        <w:t xml:space="preserve">F. Multi-Year Complaint Trends Demonstrating Chronic Non-Enforcement  </w:t>
      </w:r>
    </w:p>
    <w:p>
      <w:r>
        <w:t>Finding: Complaint data from 2018–2023 shows persistent habitability violations, chronic offenders, and premature case closures.</w:t>
      </w:r>
    </w:p>
    <w:p/>
    <w:p>
      <w:r>
        <w:t xml:space="preserve">2018–2020  </w:t>
      </w:r>
    </w:p>
    <w:p>
      <w:r>
        <w:t xml:space="preserve">- Widespread reports of no heat, sewage leaks, mold, flooding, and electrical hazards.  </w:t>
      </w:r>
    </w:p>
    <w:p>
      <w:r>
        <w:t xml:space="preserve">- Cases closed as “Completed”, “Warning”, or “No Violation Observed” despite unresolved issues. fileciteturn0file6  </w:t>
      </w:r>
    </w:p>
    <w:p/>
    <w:p>
      <w:r>
        <w:t xml:space="preserve">2021–2023  </w:t>
      </w:r>
    </w:p>
    <w:p>
      <w:r>
        <w:t xml:space="preserve">- Habitability complaints remain largely uninvestigated.  </w:t>
      </w:r>
    </w:p>
    <w:p>
      <w:r>
        <w:t xml:space="preserve">- Retaliation and unlawful entry complaints closed without tenant contact.  </w:t>
      </w:r>
    </w:p>
    <w:p>
      <w:r>
        <w:t xml:space="preserve">- Many properties appear repeatedly with ongoing issues. fileciteturn0file7  </w:t>
      </w:r>
    </w:p>
    <w:p/>
    <w:p>
      <w:r>
        <w:t>This establishes a consistent historical pattern of failure to inspect, failure to enforce, and failure to protect.</w:t>
      </w:r>
    </w:p>
    <w:p/>
    <w:p>
      <w:r>
        <w:t>Summary of Section 2</w:t>
      </w:r>
    </w:p>
    <w:p>
      <w:r>
        <w:t>Across every program area, complaints, inspections, RRIO administration, conveyance safety, ethics, data integrity, and financial enforcement, the evidence points to one conclusion:</w:t>
      </w:r>
    </w:p>
    <w:p/>
    <w:p>
      <w:r>
        <w:t>SDCI’s regulatory function is structurally unsound and cannot meet Seattle’s legal or ethical obligations to protect tenants.</w:t>
      </w:r>
    </w:p>
    <w:p/>
    <w:p>
      <w:pPr>
        <w:pStyle w:val="Heading1"/>
      </w:pPr>
      <w:r>
        <w:t>SECTION 3 — CASE STUDIES: THE HUMAN COST OF SYSTEMIC FAILURE</w:t>
      </w:r>
    </w:p>
    <w:p/>
    <w:p>
      <w:r>
        <w:t>These case studies represent distinct program areas within SDCI’s regulatory responsibility: emergency enforcement, rental habitability, RRIO compliance, elevator safety, and citywide record integrity. Each case is substantiated by complaint files, Notices of Violation, internal reports, and public audits.</w:t>
      </w:r>
    </w:p>
    <w:p/>
    <w:p>
      <w:r>
        <w:t>Each case is selected because it illustrates a different facet of institutional collapse. Together, they form a unified picture of a system that cannot meet statutory expectations.</w:t>
      </w:r>
    </w:p>
    <w:p/>
    <w:p>
      <w:r>
        <w:t xml:space="preserve">Case Study A — Lowell Emerson Apartments  </w:t>
      </w:r>
    </w:p>
    <w:p>
      <w:r>
        <w:t>A Decade of Habitability Failures, Data Manipulation, and Life-Safety Neglect</w:t>
      </w:r>
    </w:p>
    <w:p/>
    <w:p>
      <w:r>
        <w:t xml:space="preserve">Primary Evidence: fileciteturn0file3 fileciteturn0file4  </w:t>
      </w:r>
    </w:p>
    <w:p/>
    <w:p>
      <w:r>
        <w:t>Summary</w:t>
      </w:r>
    </w:p>
    <w:p>
      <w:r>
        <w:t>From 2013–2025, tenants at Lowell Emerson lived under persistent habitability breakdowns: ongoing flooding, mold growth, chronic sewage issues, broken heating systems, and a failing elevator system. Despite repeated complaints, SDCI issued no effective enforcement, closed multiple cases without inspection, and allowed violations to lapse without penalty.</w:t>
      </w:r>
    </w:p>
    <w:p/>
    <w:p>
      <w:r>
        <w:t xml:space="preserve">Key Failures  </w:t>
      </w:r>
    </w:p>
    <w:p>
      <w:r>
        <w:t xml:space="preserve">- Twenty years of uncorrected elevator violations. Required safety corrections from 2006 reappeared in 2024 with no enforcement action.  </w:t>
      </w:r>
    </w:p>
    <w:p>
      <w:r>
        <w:t xml:space="preserve">- Expired conveyance certificate in May 2024. The elevator operated unlawfully for months.  </w:t>
      </w:r>
    </w:p>
    <w:p>
      <w:r>
        <w:t xml:space="preserve">- Chronic flooding and mold. Multiple complaints marked “Completed” without documented correction.  </w:t>
      </w:r>
    </w:p>
    <w:p>
      <w:r>
        <w:t xml:space="preserve">- False or retroactive RRIO data. Pre-registration records appeared only after public inquiry in 2024.  </w:t>
      </w:r>
    </w:p>
    <w:p>
      <w:r>
        <w:t>- Repeated closures without inspection. Cases from 2018–2023 show identical patterns.</w:t>
      </w:r>
    </w:p>
    <w:p/>
    <w:p>
      <w:r>
        <w:t>Impact</w:t>
      </w:r>
    </w:p>
    <w:p>
      <w:r>
        <w:t>Tenants, including elderly and disabled residents, were routinely trapped without elevator access, left without heat or hot water for extended periods, and forced to reside in conditions that endangered their health and mobility.</w:t>
      </w:r>
    </w:p>
    <w:p/>
    <w:p>
      <w:r>
        <w:t>Why It Matters</w:t>
      </w:r>
    </w:p>
    <w:p>
      <w:r>
        <w:t>This case demonstrates long-term regulatory non-enforcement, inaccurate recordkeeping, and direct life-safety risk. It reflects structural issues that cannot be remedied within SDCI’s existing framework.</w:t>
      </w:r>
    </w:p>
    <w:p/>
    <w:p>
      <w:r>
        <w:t xml:space="preserve">Case Study B — Everspring Inn  </w:t>
      </w:r>
    </w:p>
    <w:p>
      <w:r>
        <w:t>Illegal Evictions During the COVID-19 Moratorium and SDCI’s Administrative Closures</w:t>
      </w:r>
    </w:p>
    <w:p/>
    <w:p>
      <w:r>
        <w:t xml:space="preserve">Primary Evidence: fileciteturn0file2  </w:t>
      </w:r>
    </w:p>
    <w:p/>
    <w:p>
      <w:r>
        <w:t>Summary</w:t>
      </w:r>
    </w:p>
    <w:p>
      <w:r>
        <w:t>In August 2020, during Washington’s COVID eviction moratorium, Everspring Inn tenants were forcibly removed, doors were boarded, and water service was shut off. SDCI received multiple urgent complaints describing an active unlawful eviction event.</w:t>
      </w:r>
    </w:p>
    <w:p/>
    <w:p>
      <w:r>
        <w:t>Instead of intervening, SDCI closed each complaint the same day as “Admin Closure” with no inspection, no site visit, and no verification.</w:t>
      </w:r>
    </w:p>
    <w:p/>
    <w:p>
      <w:r>
        <w:t xml:space="preserve">Key Failures  </w:t>
      </w:r>
    </w:p>
    <w:p>
      <w:r>
        <w:t xml:space="preserve">- Three simultaneous emergency complaints (007155-20CP, 007163-20CP, 007945-20CP) were dismissed within hours.  </w:t>
      </w:r>
    </w:p>
    <w:p>
      <w:r>
        <w:t xml:space="preserve">- Zero inspections were conducted despite explicit reports of forced lockouts, boarded doors, water shutoffs, and intimidation by security.  </w:t>
      </w:r>
    </w:p>
    <w:p>
      <w:r>
        <w:t xml:space="preserve">- Moratorium violations were ignored, despite being prohibited under state and city emergency orders.  </w:t>
      </w:r>
    </w:p>
    <w:p>
      <w:r>
        <w:t>- A history of neglect, with complaints from 2013–2020 showing unresolved hazards at the same address.</w:t>
      </w:r>
    </w:p>
    <w:p/>
    <w:p>
      <w:r>
        <w:t>Impact</w:t>
      </w:r>
    </w:p>
    <w:p>
      <w:r>
        <w:t>Tenants were left homeless during a public health crisis, without relocation assistance, legal enforcement, or basic habitability protection.</w:t>
      </w:r>
    </w:p>
    <w:p/>
    <w:p>
      <w:r>
        <w:t>Why It Matters</w:t>
      </w:r>
    </w:p>
    <w:p>
      <w:r>
        <w:t>This is one of SDCI’s clearest failures of statutory duty, a refusal to act during an active emergency in violation of statewide legal protections.</w:t>
      </w:r>
    </w:p>
    <w:p/>
    <w:p>
      <w:r>
        <w:t xml:space="preserve">Case Study C — Addison on Fourth  </w:t>
      </w:r>
    </w:p>
    <w:p>
      <w:r>
        <w:t>Fire Hazards, Delayed Enforcement, and Subsequent Disappearance of Public Records</w:t>
      </w:r>
    </w:p>
    <w:p/>
    <w:p>
      <w:r>
        <w:t>Primary Evidence: from compiled Addison materials and SFD–SDCI timeline.</w:t>
      </w:r>
    </w:p>
    <w:p/>
    <w:p>
      <w:r>
        <w:t>Summary</w:t>
      </w:r>
    </w:p>
    <w:p>
      <w:r>
        <w:t>Between November 2019 and January 2020, Seattle Fire Department repeatedly notified SDCI of life-safety violations at Addison on Fourth: blocked exits, excessive trash, structural hazards, and failure to maintain safe egress.</w:t>
      </w:r>
    </w:p>
    <w:p/>
    <w:p>
      <w:r>
        <w:t>SDCI delayed inspection for more than a month. During this period, a fire occurred on January 7, 2020.</w:t>
      </w:r>
    </w:p>
    <w:p/>
    <w:p>
      <w:r>
        <w:t>After the fire, multiple complaint entries and violation records disappeared from SDCI’s public portal.</w:t>
      </w:r>
    </w:p>
    <w:p/>
    <w:p>
      <w:r>
        <w:t xml:space="preserve">Key Failures  </w:t>
      </w:r>
    </w:p>
    <w:p>
      <w:r>
        <w:t xml:space="preserve">- SFD issued formal warnings on November 6, 2019.  </w:t>
      </w:r>
    </w:p>
    <w:p>
      <w:r>
        <w:t xml:space="preserve">- SDCI delayed inspection until December, despite documented life-safety hazards.  </w:t>
      </w:r>
    </w:p>
    <w:p>
      <w:r>
        <w:t xml:space="preserve">- The fire occurred before the compliance deadline.  </w:t>
      </w:r>
    </w:p>
    <w:p>
      <w:r>
        <w:t xml:space="preserve">- Records disappeared after the incident, including pre-NOV entries and complaint timelines.  </w:t>
      </w:r>
    </w:p>
    <w:p>
      <w:r>
        <w:t>- No accountability for the inspection and closure pattern.</w:t>
      </w:r>
    </w:p>
    <w:p/>
    <w:p>
      <w:r>
        <w:t>Impact</w:t>
      </w:r>
    </w:p>
    <w:p>
      <w:r>
        <w:t>Tenants lived for months in conditions that directly contributed to the fire event. Record removal undermines public transparency and obstructs oversight.</w:t>
      </w:r>
    </w:p>
    <w:p/>
    <w:p>
      <w:r>
        <w:t>Why It Matters</w:t>
      </w:r>
    </w:p>
    <w:p>
      <w:r>
        <w:t>This case demonstrates post-incident record alteration, a critical breach of public trust and compliance integrity.</w:t>
      </w:r>
    </w:p>
    <w:p/>
    <w:p>
      <w:r>
        <w:t xml:space="preserve">Case Study D — SDCI’s Citywide Inspection Record Irregularities  </w:t>
      </w:r>
    </w:p>
    <w:p>
      <w:r>
        <w:t>Misreported Data, Missing Fields, and Corrupted Inspection History</w:t>
      </w:r>
    </w:p>
    <w:p/>
    <w:p>
      <w:r>
        <w:t xml:space="preserve">Primary Evidence: fileciteturn0file5  </w:t>
      </w:r>
    </w:p>
    <w:p/>
    <w:p>
      <w:r>
        <w:t>Summary</w:t>
      </w:r>
    </w:p>
    <w:p>
      <w:r>
        <w:t>SDCI’s complaint datasets reveal large-scale inconsistencies that make accurate oversight impossible. Missing inspection dates, incorrect or unrelated data in required fields, and absent unit identifiers appear throughout the RRIO and complaint databases.</w:t>
      </w:r>
    </w:p>
    <w:p/>
    <w:p>
      <w:r>
        <w:t xml:space="preserve">Key Failures  </w:t>
      </w:r>
    </w:p>
    <w:p>
      <w:r>
        <w:t xml:space="preserve">- “Last Inspection Date” field corrupted across thousands of records.  </w:t>
      </w:r>
    </w:p>
    <w:p>
      <w:r>
        <w:t xml:space="preserve">- Inconsistent or missing unit numbers.  </w:t>
      </w:r>
    </w:p>
    <w:p>
      <w:r>
        <w:t xml:space="preserve">- NOVs not linked to original complaints.  </w:t>
      </w:r>
    </w:p>
    <w:p>
      <w:r>
        <w:t xml:space="preserve">- Inspection outcomes misclassified, obscuring true resolution rates.  </w:t>
      </w:r>
    </w:p>
    <w:p>
      <w:r>
        <w:t>- Data gaps invalidate SDCI’s self-reported “inspection success rate”.</w:t>
      </w:r>
    </w:p>
    <w:p/>
    <w:p>
      <w:r>
        <w:t>Impact</w:t>
      </w:r>
    </w:p>
    <w:p>
      <w:r>
        <w:t>Neither the public nor City Council can verify true enforcement outcomes. Data is not audit-ready or legally reliable.</w:t>
      </w:r>
    </w:p>
    <w:p/>
    <w:p>
      <w:r>
        <w:t>Why It Matters</w:t>
      </w:r>
    </w:p>
    <w:p>
      <w:r>
        <w:t>No regulatory agency can function without verifiable data integrity. This deficiency, by itself, justifies structural overhaul.</w:t>
      </w:r>
    </w:p>
    <w:p/>
    <w:p>
      <w:r>
        <w:t xml:space="preserve">Case Study E — Multi-Year Complaint Pattern (2018–2023)  </w:t>
      </w:r>
    </w:p>
    <w:p>
      <w:r>
        <w:t>Repeated Habitability Failures and Systemic Case Closures</w:t>
      </w:r>
    </w:p>
    <w:p/>
    <w:p>
      <w:r>
        <w:t xml:space="preserve">Primary Evidence: fileciteturn0file6 fileciteturn0file7  </w:t>
      </w:r>
    </w:p>
    <w:p/>
    <w:p>
      <w:r>
        <w:t>Summary</w:t>
      </w:r>
    </w:p>
    <w:p>
      <w:r>
        <w:t>Across six consecutive years, tenant complaints show consistent trends: chronic boiler breakdowns, mold, flooding, no heat or hot water, electrical hazards, retaliatory landlord conduct, and elevator outages.</w:t>
      </w:r>
    </w:p>
    <w:p/>
    <w:p>
      <w:r>
        <w:t>Most complaints were closed without documented correction.</w:t>
      </w:r>
    </w:p>
    <w:p/>
    <w:p>
      <w:r>
        <w:t xml:space="preserve">Key Failures  </w:t>
      </w:r>
    </w:p>
    <w:p>
      <w:r>
        <w:t xml:space="preserve">- Habitability issues persisted for months or years across multiple properties.  </w:t>
      </w:r>
    </w:p>
    <w:p>
      <w:r>
        <w:t xml:space="preserve">- SDCI relied on landlord claims rather than verifying repairs.  </w:t>
      </w:r>
    </w:p>
    <w:p>
      <w:r>
        <w:t xml:space="preserve">- Significant retaliation concerns were dismissed.  </w:t>
      </w:r>
    </w:p>
    <w:p>
      <w:r>
        <w:t xml:space="preserve">- Repeat offenders remained unpenalized.  </w:t>
      </w:r>
    </w:p>
    <w:p>
      <w:r>
        <w:t>- Case outcomes were inconsistent across districts with no systemic logic.</w:t>
      </w:r>
    </w:p>
    <w:p/>
    <w:p>
      <w:r>
        <w:t>Impact</w:t>
      </w:r>
    </w:p>
    <w:p>
      <w:r>
        <w:t>Tens of thousands of tenants lived in conditions below minimum habitability standards. The department’s pattern of closures without verification enabled chronic landlord misconduct.</w:t>
      </w:r>
    </w:p>
    <w:p/>
    <w:p>
      <w:r>
        <w:t>Why It Matters</w:t>
      </w:r>
    </w:p>
    <w:p>
      <w:r>
        <w:t>This dataset provides quantitative confirmation of the systemic problems illustrated in each individual case study.</w:t>
      </w:r>
    </w:p>
    <w:p/>
    <w:p>
      <w:r>
        <w:t>Section 3 Conclusion</w:t>
      </w:r>
    </w:p>
    <w:p>
      <w:r>
        <w:t>Collectively, these case studies illustrate structural non-enforcement, administrative indifference, life-safety risk, data unreliability, regulatory capture, and tenant harm across every district. Each case shows a different aspect of system breakdown. Together, they make one conclusion unavoidable: SDCI’s current regulatory model is not salvageable.</w:t>
      </w:r>
    </w:p>
    <w:p/>
    <w:p>
      <w:pPr>
        <w:pStyle w:val="Heading1"/>
      </w:pPr>
      <w:r>
        <w:t>SECTION 4 — FINANCIAL FAILURES, MISSED REVENUE, CITY LIABILITY, AND PREFERENTIAL ENFORCEMENT</w:t>
      </w:r>
    </w:p>
    <w:p/>
    <w:p>
      <w:r>
        <w:t>Seattle’s current enforcement model has produced a financially unsustainable system marked by uncollected penalties, misallocated resources, compromised data integrity, and heightened legal exposure. These outcomes are not incidental. They arise from structural weaknesses inside SDCI’s regulatory authority and decision-making processes.</w:t>
      </w:r>
    </w:p>
    <w:p/>
    <w:p>
      <w:r>
        <w:t>SDCI’s failure to enforce, failure to collect, and failure to maintain impartiality has created six measurable financial harms:</w:t>
      </w:r>
    </w:p>
    <w:p/>
    <w:p>
      <w:r>
        <w:t xml:space="preserve">A. Uncollected fines and penalty revenue  </w:t>
      </w:r>
    </w:p>
    <w:p>
      <w:r>
        <w:t xml:space="preserve">B. Misallocation of internal budget resources  </w:t>
      </w:r>
    </w:p>
    <w:p>
      <w:r>
        <w:t xml:space="preserve">C. Liability risk transferred to taxpayers  </w:t>
      </w:r>
    </w:p>
    <w:p>
      <w:r>
        <w:t xml:space="preserve">D. Preferential treatment that undermines enforcement integrity  </w:t>
      </w:r>
    </w:p>
    <w:p>
      <w:r>
        <w:t xml:space="preserve">E. Cost of inaction across departments  </w:t>
      </w:r>
    </w:p>
    <w:p>
      <w:r>
        <w:t>F. The $27 million Lowell Emerson failure</w:t>
      </w:r>
    </w:p>
    <w:p/>
    <w:p>
      <w:r>
        <w:t xml:space="preserve">A. Uncollected Penalties and Lost Enforcement Revenue  </w:t>
      </w:r>
    </w:p>
    <w:p>
      <w:r>
        <w:t>SDCI is empowered to levy escalating daily penalties against landlords who fail to correct violations. However, the department routinely closed cases without collecting required fines.</w:t>
      </w:r>
    </w:p>
    <w:p/>
    <w:p>
      <w:r>
        <w:t>Documented Failures</w:t>
      </w:r>
    </w:p>
    <w:p>
      <w:r>
        <w:t xml:space="preserve">- At Lowell Emerson, violations eligible for daily penalties of 150 to 500 dollars per day went unenforced for extended periods.  </w:t>
      </w:r>
    </w:p>
    <w:p>
      <w:r>
        <w:t xml:space="preserve">- Chronic offenders citywide recurrently avoided fines due to administrative closures or classification as “Completed” without verified repairs. fileciteturn0file6 fileciteturn0file7  </w:t>
      </w:r>
    </w:p>
    <w:p/>
    <w:p>
      <w:r>
        <w:t>Financial Impact</w:t>
      </w:r>
    </w:p>
    <w:p>
      <w:r>
        <w:t xml:space="preserve">- The City forfeited significant revenue that could have been reinvested into enforcement or staffing.  </w:t>
      </w:r>
    </w:p>
    <w:p>
      <w:r>
        <w:t xml:space="preserve">- Failure to assess penalties rewarded noncompliance and weakened deterrence.  </w:t>
      </w:r>
    </w:p>
    <w:p>
      <w:r>
        <w:t>- Landlords learned that ignoring the code carried no functional financial consequence.</w:t>
      </w:r>
    </w:p>
    <w:p/>
    <w:p>
      <w:r>
        <w:t>Conclusion</w:t>
      </w:r>
    </w:p>
    <w:p>
      <w:r>
        <w:t>These patterns reflect systemic financial mismanagement and a breakdown of SDCI’s statutory enforcement authority.</w:t>
      </w:r>
    </w:p>
    <w:p/>
    <w:p>
      <w:r>
        <w:t xml:space="preserve">B. Misallocation of Internal Budget and Operational Resources  </w:t>
      </w:r>
    </w:p>
    <w:p>
      <w:r>
        <w:t>SDCI’s staffing and budget distribution fail to support effective code enforcement.</w:t>
      </w:r>
    </w:p>
    <w:p/>
    <w:p>
      <w:r>
        <w:t>Documented Failures</w:t>
      </w:r>
    </w:p>
    <w:p>
      <w:r>
        <w:t xml:space="preserve">- Eighty five percent of salary funding is allocated to administrative and managerial positions. Only fifteen percent is allocated to inspectors, the personnel responsible for safety, habitability, and code enforcement. fileciteturn0file6  </w:t>
      </w:r>
    </w:p>
    <w:p>
      <w:r>
        <w:t xml:space="preserve">- Staffing shortages limit the department’s ability to inspect hazards or follow up on ongoing violations.  </w:t>
      </w:r>
    </w:p>
    <w:p>
      <w:r>
        <w:t>- Complaints routinely remain unresolved due to lack of inspector bandwidth.</w:t>
      </w:r>
    </w:p>
    <w:p/>
    <w:p>
      <w:r>
        <w:t>Operational Impact</w:t>
      </w:r>
    </w:p>
    <w:p>
      <w:r>
        <w:t xml:space="preserve">- Reduced inspection bandwidth undermines enforcement timelines.  </w:t>
      </w:r>
    </w:p>
    <w:p>
      <w:r>
        <w:t xml:space="preserve">- Hazardous conditions persist longer, increasing eventual costs.  </w:t>
      </w:r>
    </w:p>
    <w:p>
      <w:r>
        <w:t>- Inspection shortages compound data inaccuracies and closure errors.</w:t>
      </w:r>
    </w:p>
    <w:p/>
    <w:p>
      <w:r>
        <w:t>Conclusion</w:t>
      </w:r>
    </w:p>
    <w:p>
      <w:r>
        <w:t>The department’s internal financial structure is incompatible with credible enforcement and directly contributes to chronic noncompliance.</w:t>
      </w:r>
    </w:p>
    <w:p/>
    <w:p>
      <w:r>
        <w:t xml:space="preserve">C. Liability Exposure and Legal Risk Created by Non-Enforcement  </w:t>
      </w:r>
    </w:p>
    <w:p>
      <w:r>
        <w:t>SDCI’s failures expose the City to substantial legal risk across multiple domains.</w:t>
      </w:r>
    </w:p>
    <w:p/>
    <w:p>
      <w:r>
        <w:t xml:space="preserve">Documented Issues  </w:t>
      </w:r>
    </w:p>
    <w:p>
      <w:r>
        <w:t xml:space="preserve">- ADA noncompliance: At Lowell Emerson, SDCI allowed an expired, nonfunctional elevator to operate. Tenants with mobility impairments were stranded without accommodations. fileciteturn0file4  </w:t>
      </w:r>
    </w:p>
    <w:p>
      <w:r>
        <w:t xml:space="preserve">- Public safety and fire risk: At Addison on Fourth, SFD documented hazards weeks before the January 2020 fire. SDCI delayed inspections until after the fire occurred. Records subsequently disappeared from the public portal.  </w:t>
      </w:r>
    </w:p>
    <w:p>
      <w:r>
        <w:t xml:space="preserve">- Civil rights and emergency enforcement risk: At Everspring Inn in 2020, SDCI ignored illegal evictions during an active statewide moratorium. Complaints were closed as “Admin Closure” in one day. fileciteturn0file2  </w:t>
      </w:r>
    </w:p>
    <w:p>
      <w:r>
        <w:t xml:space="preserve">- Retaliation and habitability risk: Multi-year complaint data shows SDCI repeatedly closed complaints related to landlord threats, illegal entry, and harassment without investigation. fileciteturn0file6 fileciteturn0file7  </w:t>
      </w:r>
    </w:p>
    <w:p/>
    <w:p>
      <w:r>
        <w:t>Impact</w:t>
      </w:r>
    </w:p>
    <w:p>
      <w:r>
        <w:t xml:space="preserve">- The City faces potential exposure in civil rights claims, personal injury cases, ADA enforcement, and public safety litigation.  </w:t>
      </w:r>
    </w:p>
    <w:p>
      <w:r>
        <w:t xml:space="preserve">- Tenants harmed by ongoing habitability hazards may pursue claims for negligence or statutory duty violations.  </w:t>
      </w:r>
    </w:p>
    <w:p>
      <w:r>
        <w:t>- Missing, altered, or inconsistent records compromise the City’s ability to defend itself credibly.</w:t>
      </w:r>
    </w:p>
    <w:p/>
    <w:p>
      <w:r>
        <w:t>Conclusion</w:t>
      </w:r>
    </w:p>
    <w:p>
      <w:r>
        <w:t>Seattle’s liability risk is documented, rising, and tied to identifiable cases of non-enforcement.</w:t>
      </w:r>
    </w:p>
    <w:p/>
    <w:p>
      <w:r>
        <w:t xml:space="preserve">D. Preferential Treatment for Developers: The Cadence Real Estate Example  </w:t>
      </w:r>
    </w:p>
    <w:p>
      <w:r>
        <w:t>The financial failures cannot be separated from inconsistencies in enforcement. The Cadence Real Estate transactions reveal how developers receive expedited NOV clearance that is not afforded to ordinary tenants or smaller landlords.</w:t>
      </w:r>
    </w:p>
    <w:p/>
    <w:p>
      <w:r>
        <w:t xml:space="preserve">Case Overview: 701 East Pike Street and 7217 Boylston Avenue NE  </w:t>
      </w:r>
    </w:p>
    <w:p>
      <w:r>
        <w:t>When Cadence Real Estate acquired 7217 Boylston Avenue NE, the property carried three active Notices of Violation.</w:t>
      </w:r>
    </w:p>
    <w:p/>
    <w:p>
      <w:r>
        <w:t xml:space="preserve">Documented Irregularities  </w:t>
      </w:r>
    </w:p>
    <w:p>
      <w:r>
        <w:t xml:space="preserve">- SDCI signed off on all three NOVs shortly before the property’s transfer.  </w:t>
      </w:r>
    </w:p>
    <w:p>
      <w:r>
        <w:t xml:space="preserve">- These signed-off NOVs were then recorded with the deed, enabling the buyer to present a legally “clean” title despite a history of unresolved violations.  </w:t>
      </w:r>
    </w:p>
    <w:p>
      <w:r>
        <w:t xml:space="preserve">- The timeline of clearances was compressed and inconsistent with standard enforcement practice.  </w:t>
      </w:r>
    </w:p>
    <w:p>
      <w:r>
        <w:t>- There is no documentation verifying that the required repairs had been completed prior to clearance.</w:t>
      </w:r>
    </w:p>
    <w:p/>
    <w:p>
      <w:r>
        <w:t xml:space="preserve">Financial and Structural Impact  </w:t>
      </w:r>
    </w:p>
    <w:p>
      <w:r>
        <w:t xml:space="preserve">- The City forfeited fines and penalty revenue.  </w:t>
      </w:r>
    </w:p>
    <w:p>
      <w:r>
        <w:t xml:space="preserve">- Violations that should have been corrected before transfer remained unverified.  </w:t>
      </w:r>
    </w:p>
    <w:p>
      <w:r>
        <w:t xml:space="preserve">- The clearance created the appearance of compliance, benefiting the developer during acquisition.  </w:t>
      </w:r>
    </w:p>
    <w:p>
      <w:r>
        <w:t>- Tenants ultimately bear the consequences of unresolved hazards.</w:t>
      </w:r>
    </w:p>
    <w:p/>
    <w:p>
      <w:r>
        <w:t>Conclusion</w:t>
      </w:r>
    </w:p>
    <w:p>
      <w:r>
        <w:t>The Cadence example demonstrates inconsistent enforcement, financial loss, selective clearance of violations, and the existence of a dual-tier system that disadvantages tenant-occupied properties. This pattern undermines the credibility of SDCI’s enforcement authority and illustrates why oversight must be transferred to a conflict-free entity.</w:t>
      </w:r>
    </w:p>
    <w:p/>
    <w:p>
      <w:r>
        <w:t xml:space="preserve">E. Cost of Inaction: Seattle Pays Twice  </w:t>
      </w:r>
    </w:p>
    <w:p>
      <w:r>
        <w:t>SDCI’s non-enforcement creates compounding financial losses.</w:t>
      </w:r>
    </w:p>
    <w:p/>
    <w:p>
      <w:r>
        <w:t xml:space="preserve">First Cost  </w:t>
      </w:r>
    </w:p>
    <w:p>
      <w:r>
        <w:t>Failures to inspect, enforce, or collect penalties.</w:t>
      </w:r>
    </w:p>
    <w:p/>
    <w:p>
      <w:r>
        <w:t xml:space="preserve">Second Cost  </w:t>
      </w:r>
    </w:p>
    <w:p>
      <w:r>
        <w:t>The consequences of those failures, including fires, structural failures, displacement and TRAO costs, ADA violations, public health risks, emergency relocations, and litigation and settlements.</w:t>
      </w:r>
    </w:p>
    <w:p/>
    <w:p>
      <w:r>
        <w:t>Conclusion</w:t>
      </w:r>
    </w:p>
    <w:p>
      <w:r>
        <w:t>The City repeatedly absorbs the long-term financial burden for hazards that should have been addressed at the initial enforcement stage.</w:t>
      </w:r>
    </w:p>
    <w:p/>
    <w:p>
      <w:r>
        <w:t xml:space="preserve">F. The 27 Million Dollar Failure at Lowell Emerson  </w:t>
      </w:r>
    </w:p>
    <w:p>
      <w:r>
        <w:t>Lowell Emerson is one of the clearest examples of how SDCI’s non-enforcement creates massive downstream financial losses for the City.</w:t>
      </w:r>
    </w:p>
    <w:p/>
    <w:p>
      <w:r>
        <w:t xml:space="preserve">Documented Financial Impact  </w:t>
      </w:r>
    </w:p>
    <w:p>
      <w:r>
        <w:t xml:space="preserve">- The Lowell Emerson complex received 27 million dollars in public funding, including local, state, federal, and tax-supported subsidies for rehabilitation, operations, and affordability preservation.  </w:t>
      </w:r>
    </w:p>
    <w:p>
      <w:r>
        <w:t xml:space="preserve">- Despite this level of investment, the building remained in documented disrepair for over a decade, with chronic elevator outages, water intrusion, mold and flooding, unresolved habitability hazards, expired conveyance certificates, failure to meet ADA requirements, and falsified or missing RRIO compliance records. fileciteturn0file3 fileciteturn0file4  </w:t>
      </w:r>
    </w:p>
    <w:p/>
    <w:p>
      <w:r>
        <w:t xml:space="preserve">Where the Financial Breakdown Occurred  </w:t>
      </w:r>
    </w:p>
    <w:p>
      <w:r>
        <w:t xml:space="preserve">- Public dollars were spent, but SDCI failed to verify repairs.  </w:t>
      </w:r>
    </w:p>
    <w:p>
      <w:r>
        <w:t xml:space="preserve">- Violations continued year after year, despite millions allocated to fix the very issues tenants continued to report.  </w:t>
      </w:r>
    </w:p>
    <w:p>
      <w:r>
        <w:t xml:space="preserve">- No meaningful enforcement action was taken when repairs were absent or incomplete.  </w:t>
      </w:r>
    </w:p>
    <w:p>
      <w:r>
        <w:t>- Maintenance neglect persisted even after major funding rounds, proving that SDCI did not enforce minimum compliance requirements tied to publicly funded improvements.</w:t>
      </w:r>
    </w:p>
    <w:p/>
    <w:p>
      <w:r>
        <w:t xml:space="preserve">Resulting Cost to the City  </w:t>
      </w:r>
    </w:p>
    <w:p>
      <w:r>
        <w:t xml:space="preserve">- The City’s investment was undermined by non-enforcement.  </w:t>
      </w:r>
    </w:p>
    <w:p>
      <w:r>
        <w:t xml:space="preserve">- Structural deterioration worsened due to twenty years of uncorrected violations.  </w:t>
      </w:r>
    </w:p>
    <w:p>
      <w:r>
        <w:t xml:space="preserve">- ADA failures exposed the City to liability.  </w:t>
      </w:r>
    </w:p>
    <w:p>
      <w:r>
        <w:t>- Additional public funds will now be required to address long-term damage that enforcement could have prevented.</w:t>
      </w:r>
    </w:p>
    <w:p/>
    <w:p>
      <w:r>
        <w:t>Why It Matters</w:t>
      </w:r>
    </w:p>
    <w:p>
      <w:r>
        <w:t>The Lowell Emerson case demonstrates that even when the City invests tens of millions into maintaining affordable housing, SDCI’s failure to enforce basic safety and habitability standards nullifies the investment.</w:t>
      </w:r>
    </w:p>
    <w:p/>
    <w:p>
      <w:r>
        <w:t>Conclusion</w:t>
      </w:r>
    </w:p>
    <w:p>
      <w:r>
        <w:t>This is not only an enforcement failure. It is a financial breach of public trust and an example of how SDCI’s regulatory collapse converts public dollars into sunk costs.</w:t>
      </w:r>
    </w:p>
    <w:p/>
    <w:p>
      <w:r>
        <w:t>Section 4 Conclusion</w:t>
      </w:r>
    </w:p>
    <w:p>
      <w:r>
        <w:t>SDCI’s financial structure, enforcement practices, developer favoritism, and long-term oversight failures have produced a system that is neither sustainable nor defensible. The evidence demonstrates loss of revenue, loss of deterrence, loss of data integrity, loss of public trust, heightened liability, misuse of public investment, and unequal enforcement across ownership classes. The fiscally responsible solution is clear: retire SDCI’s tenant-landlord regulatory authority and transfer all enforcement, compliance monitoring, and habitability oversight to the Seattle Tenant-Landlord Compliance Authority (STLCA).</w:t>
      </w:r>
    </w:p>
    <w:p/>
    <w:p>
      <w:pPr>
        <w:pStyle w:val="Heading1"/>
      </w:pPr>
      <w:r>
        <w:t>SECTION 5 — LEGAL EXPOSURE, STATUTORY BREACHES, AND MUNICIPAL LIABILITY RISKS</w:t>
      </w:r>
    </w:p>
    <w:p/>
    <w:p>
      <w:r>
        <w:t>Seattle’s regulatory framework for housing enforcement requires the City and its designated regulator, SDCI, to uphold statutory duties related to habitability, safety, disability access, inspection timelines, and due process. The evidence demonstrates that SDCI did not meet these obligations, creating direct and foreseeable legal exposure for the City.</w:t>
      </w:r>
    </w:p>
    <w:p/>
    <w:p>
      <w:r>
        <w:t>This section outlines the primary legal categories in which the City faces risk:</w:t>
      </w:r>
    </w:p>
    <w:p/>
    <w:p>
      <w:r>
        <w:t xml:space="preserve">1. Failure to enforce statutory duties under Seattle Municipal Code  </w:t>
      </w:r>
    </w:p>
    <w:p>
      <w:r>
        <w:t xml:space="preserve">2. Negligence and gross negligence in life-safety oversight  </w:t>
      </w:r>
    </w:p>
    <w:p>
      <w:r>
        <w:t xml:space="preserve">3. ADA and disability access violations  </w:t>
      </w:r>
    </w:p>
    <w:p>
      <w:r>
        <w:t xml:space="preserve">4. Civil rights exposure related to retaliation and due process  </w:t>
      </w:r>
    </w:p>
    <w:p>
      <w:r>
        <w:t xml:space="preserve">5. Violations of public records law and data integrity requirements  </w:t>
      </w:r>
    </w:p>
    <w:p>
      <w:r>
        <w:t>6. Post-incident liability due to delayed or missing enforcement</w:t>
      </w:r>
    </w:p>
    <w:p/>
    <w:p>
      <w:r>
        <w:t xml:space="preserve">A. Breach of Statutory Duty Under Seattle Municipal Code  </w:t>
      </w:r>
    </w:p>
    <w:p>
      <w:r>
        <w:t>Seattle Municipal Code requires timely investigation of habitability complaints, issuance of violations when warranted, enforcement of corrective action, verification of compliance, and protection against unlawful eviction and retaliation.</w:t>
      </w:r>
    </w:p>
    <w:p/>
    <w:p>
      <w:r>
        <w:t xml:space="preserve">Documented Breaches  </w:t>
      </w:r>
    </w:p>
    <w:p>
      <w:r>
        <w:t xml:space="preserve">- Emergency complaints at Everspring Inn were closed without inspection. fileciteturn0file2  </w:t>
      </w:r>
    </w:p>
    <w:p>
      <w:r>
        <w:t xml:space="preserve">- Multiple violations at Lowell Emerson remained unresolved for years despite statutory requirements to enforce corrections.  </w:t>
      </w:r>
    </w:p>
    <w:p>
      <w:r>
        <w:t>- Addison on Fourth received delayed inspections despite documented life-safety hazards.</w:t>
      </w:r>
    </w:p>
    <w:p/>
    <w:p>
      <w:r>
        <w:t xml:space="preserve">Legal Exposure  </w:t>
      </w:r>
    </w:p>
    <w:p>
      <w:r>
        <w:t>Failure to carry out mandatory duties may constitute breach of statutory obligation, municipal negligence, arbitrary and capricious action, or failure to act under an enforceable legal standard.</w:t>
      </w:r>
    </w:p>
    <w:p/>
    <w:p>
      <w:r>
        <w:t xml:space="preserve">B. Negligence and Gross Negligence in Life-Safety Enforcement  </w:t>
      </w:r>
    </w:p>
    <w:p>
      <w:r>
        <w:t xml:space="preserve">Elevator Safety at Lowell Emerson  </w:t>
      </w:r>
    </w:p>
    <w:p>
      <w:r>
        <w:t xml:space="preserve">- SDCI permitted an elevator to operate without a valid conveyance certificate.  </w:t>
      </w:r>
    </w:p>
    <w:p>
      <w:r>
        <w:t xml:space="preserve">- Required corrections from 2006 were never enforced through 2024. fileciteturn0file4  </w:t>
      </w:r>
    </w:p>
    <w:p/>
    <w:p>
      <w:r>
        <w:t xml:space="preserve">Fire Hazard Enforcement at Addison on Fourth  </w:t>
      </w:r>
    </w:p>
    <w:p>
      <w:r>
        <w:t xml:space="preserve">- SFD documented hazards weeks before the January 2020 fire.  </w:t>
      </w:r>
    </w:p>
    <w:p>
      <w:r>
        <w:t xml:space="preserve">- SDCI delayed inspection until after the fire occurred.  </w:t>
      </w:r>
    </w:p>
    <w:p>
      <w:r>
        <w:t>- Violations were closed or removed from the public portal after the incident.</w:t>
      </w:r>
    </w:p>
    <w:p/>
    <w:p>
      <w:r>
        <w:t xml:space="preserve">Legal Exposure  </w:t>
      </w:r>
    </w:p>
    <w:p>
      <w:r>
        <w:t>These failures may rise to the level of gross negligence, which removes municipal immunity protections and exposes the City to direct liability for resulting harm.</w:t>
      </w:r>
    </w:p>
    <w:p/>
    <w:p>
      <w:r>
        <w:t xml:space="preserve">C. ADA Compliance Failures and Disability Discrimination Exposure  </w:t>
      </w:r>
    </w:p>
    <w:p>
      <w:r>
        <w:t>Under the Americans with Disabilities Act and parallel Washington protections, the City must ensure that regulated entities allow equal access for disabled persons. The City becomes liable when it knowingly permits inaccessible or hazardous conditions to continue.</w:t>
      </w:r>
    </w:p>
    <w:p/>
    <w:p>
      <w:r>
        <w:t>Documented Failures</w:t>
      </w:r>
    </w:p>
    <w:p>
      <w:r>
        <w:t xml:space="preserve">- At Lowell Emerson, mobility-impaired tenants were trapped due to elevator outages and expired certifications. fileciteturn0file4  </w:t>
      </w:r>
    </w:p>
    <w:p/>
    <w:p>
      <w:r>
        <w:t xml:space="preserve">Legal Exposure  </w:t>
      </w:r>
    </w:p>
    <w:p>
      <w:r>
        <w:t>Allowing a noncompliant, unsafe, or inoperable elevator to function constitutes denial of accessible housing, failure to enforce required accessibility measures, potential ADA Title II and III violations, and actionable discrimination through inaction.</w:t>
      </w:r>
    </w:p>
    <w:p/>
    <w:p>
      <w:r>
        <w:t xml:space="preserve">D. Civil Rights Violations: Retaliation, Unlawful Eviction, and Due Process  </w:t>
      </w:r>
    </w:p>
    <w:p>
      <w:r>
        <w:t>Tenants have protected rights under state and city law to live in habitable housing, report violations, and seek protection from retaliation or unlawful eviction.</w:t>
      </w:r>
    </w:p>
    <w:p/>
    <w:p>
      <w:r>
        <w:t>Documented Failures</w:t>
      </w:r>
    </w:p>
    <w:p>
      <w:r>
        <w:t xml:space="preserve">- Everspring Inn tenants were illegally evicted during a COVID moratorium without SDCI intervention.  </w:t>
      </w:r>
    </w:p>
    <w:p>
      <w:r>
        <w:t xml:space="preserve">- Habitability complaints citywide were closed without tenant contact.  </w:t>
      </w:r>
    </w:p>
    <w:p>
      <w:r>
        <w:t xml:space="preserve">- Repeated retaliation complaints, including threats, illegal entry, and harassment, were dismissed without investigation. fileciteturn0file6 fileciteturn0file7  </w:t>
      </w:r>
    </w:p>
    <w:p/>
    <w:p>
      <w:r>
        <w:t xml:space="preserve">Legal Exposure  </w:t>
      </w:r>
    </w:p>
    <w:p>
      <w:r>
        <w:t>These failures expose the City to civil rights claims under SMC and RCW, wrongful eviction negligence claims, due process violations, and discrimination claims where patterns affect vulnerable groups.</w:t>
      </w:r>
    </w:p>
    <w:p/>
    <w:p>
      <w:r>
        <w:t xml:space="preserve">E. Public Records Act Vulnerabilities and Data Integrity Breaches  </w:t>
      </w:r>
    </w:p>
    <w:p>
      <w:r>
        <w:t>Under the Washington Public Records Act, the City must maintain accurate, intact, and accessible public records. Any alteration, removal, or failure to maintain records exposes the City to legal action.</w:t>
      </w:r>
    </w:p>
    <w:p/>
    <w:p>
      <w:r>
        <w:t>Documented Failures</w:t>
      </w:r>
    </w:p>
    <w:p>
      <w:r>
        <w:t xml:space="preserve">- Addison on Fourth complaint and NOV records disappeared from the public portal after the January 2020 fire.  </w:t>
      </w:r>
    </w:p>
    <w:p>
      <w:r>
        <w:t xml:space="preserve">- RRIO records were missing, then reappeared after public inquiry.  </w:t>
      </w:r>
    </w:p>
    <w:p>
      <w:r>
        <w:t xml:space="preserve">- “Last Inspection Date” field contains corrupted entries that obscure actual timelines. fileciteturn0file5  </w:t>
      </w:r>
    </w:p>
    <w:p/>
    <w:p>
      <w:r>
        <w:t xml:space="preserve">Legal Exposure  </w:t>
      </w:r>
    </w:p>
    <w:p>
      <w:r>
        <w:t>Potential PRA violations include improper withholding, destruction or alteration of public records, failure to maintain accurate inspection history, and obstruction of transparency requirements. PRA violations carry per-day financial penalties, which may be significant when applied citywide.</w:t>
      </w:r>
    </w:p>
    <w:p/>
    <w:p>
      <w:r>
        <w:t xml:space="preserve">F. Post-Incident Liability and Foreseeable Harm  </w:t>
      </w:r>
    </w:p>
    <w:p>
      <w:r>
        <w:t>When SDCI fails to act on documented hazards, the City becomes responsible for foreseeable harm resulting from those hazards.</w:t>
      </w:r>
    </w:p>
    <w:p/>
    <w:p>
      <w:r>
        <w:t xml:space="preserve">Examples  </w:t>
      </w:r>
    </w:p>
    <w:p>
      <w:r>
        <w:t xml:space="preserve">- The Addison on Fourth fire followed repeated warnings and delayed inspections.  </w:t>
      </w:r>
    </w:p>
    <w:p>
      <w:r>
        <w:t xml:space="preserve">- Lowell Emerson’s elevator failures caused prolonged mobility barriers after the City knew of hazards.  </w:t>
      </w:r>
    </w:p>
    <w:p>
      <w:r>
        <w:t>- Everspring’s unlawful evictions created immediate homelessness during a public-health emergency.</w:t>
      </w:r>
    </w:p>
    <w:p/>
    <w:p>
      <w:r>
        <w:t xml:space="preserve">Legal Exposure  </w:t>
      </w:r>
    </w:p>
    <w:p>
      <w:r>
        <w:t>Foreseeable harm may support claims for negligence, gross negligence, ADA violations, civil rights violations, breach of statutory duty, and wrongful death in applicable cases.</w:t>
      </w:r>
    </w:p>
    <w:p/>
    <w:p>
      <w:r>
        <w:t>Section 5 Conclusion</w:t>
      </w:r>
    </w:p>
    <w:p>
      <w:r>
        <w:t>SDCI’s failures do not only harm tenants. They expose the City of Seattle to civil liability, ADA enforcement actions, public records sanctions, personal injury claims, civil rights litigation, and multi-million-dollar damages. Each category of exposure results from a breach of mandatory duty. Each breach is documented. Each risk is ongoing. The legal record supports the same conclusion reached in Sections 1–4: Seattle cannot meet its legal obligations under the current SDCI enforcement model. An independent regulatory body, STLCA, is required to restore compliance and reduce risk.</w:t>
      </w:r>
    </w:p>
    <w:p/>
    <w:p>
      <w:pPr>
        <w:pStyle w:val="Heading1"/>
      </w:pPr>
      <w:r>
        <w:t>SECTION 6 — STLCA SYSTEM BLUEPRINT: STRUCTURAL REPLACEMENT FOR SDCI’S ENFORCEMENT ROLE</w:t>
      </w:r>
    </w:p>
    <w:p/>
    <w:p>
      <w:r>
        <w:t>The Seattle Tenant-Landlord Compliance Authority (STLCA) is proposed as an independent, transparent, and data-driven replacement for SDCI’s tenant-landlord enforcement functions. STLCA is designed not as a mere rebranding, but as a structural overhaul that addresses the specific failures documented in Sections 1 through 5.</w:t>
      </w:r>
    </w:p>
    <w:p/>
    <w:p>
      <w:r>
        <w:t>This section outlines the core design, operational pillars, and accountability mechanisms of STLCA.</w:t>
      </w:r>
    </w:p>
    <w:p/>
    <w:p>
      <w:r>
        <w:t xml:space="preserve">A. Mission and Scope  </w:t>
      </w:r>
    </w:p>
    <w:p>
      <w:r>
        <w:t>STLCA’s mission is to enforce habitability, safety, and tenant-landlord compliance standards in a manner that is independent, transparent, and fully accountable to the public.</w:t>
      </w:r>
    </w:p>
    <w:p/>
    <w:p>
      <w:r>
        <w:t>Scope of Authority</w:t>
      </w:r>
    </w:p>
    <w:p>
      <w:r>
        <w:t xml:space="preserve">- Investigate and enforce habitability complaints.  </w:t>
      </w:r>
    </w:p>
    <w:p>
      <w:r>
        <w:t xml:space="preserve">- Oversee rental registration and proactive inspection programs.  </w:t>
      </w:r>
    </w:p>
    <w:p>
      <w:r>
        <w:t xml:space="preserve">- Issue and track Notices of Violation and penalties.  </w:t>
      </w:r>
    </w:p>
    <w:p>
      <w:r>
        <w:t xml:space="preserve">- Monitor compliance with ADA-related housing access.  </w:t>
      </w:r>
    </w:p>
    <w:p>
      <w:r>
        <w:t xml:space="preserve">- Maintain an accurate, tamper-resistant enforcement record.  </w:t>
      </w:r>
    </w:p>
    <w:p>
      <w:r>
        <w:t>- Operate a public-facing landlord noncompliance registry.</w:t>
      </w:r>
    </w:p>
    <w:p/>
    <w:p>
      <w:r>
        <w:t xml:space="preserve">B. Structural Independence  </w:t>
      </w:r>
    </w:p>
    <w:p>
      <w:r>
        <w:t>To avoid the conflicts of interest and regulatory capture documented within SDCI, STLCA is designed with the following structural safeguards:</w:t>
      </w:r>
    </w:p>
    <w:p/>
    <w:p>
      <w:r>
        <w:t xml:space="preserve">- Independent governance board with representation from tenants, landlords, disability advocates, and public safety experts.  </w:t>
      </w:r>
    </w:p>
    <w:p>
      <w:r>
        <w:t xml:space="preserve">- Prohibition on board members and key staff holding ownership interests in regulated rental property within the City.  </w:t>
      </w:r>
    </w:p>
    <w:p>
      <w:r>
        <w:t xml:space="preserve">- Clear conflict-of-interest rules, including disclosure and recusal requirements.  </w:t>
      </w:r>
    </w:p>
    <w:p>
      <w:r>
        <w:t>- Separation from permitting, land-use planning, and development advocacy functions.</w:t>
      </w:r>
    </w:p>
    <w:p/>
    <w:p>
      <w:r>
        <w:t xml:space="preserve">C. Data Integrity and Blockchain-Backed Recordkeeping  </w:t>
      </w:r>
    </w:p>
    <w:p>
      <w:r>
        <w:t>STLCA will operate with a modernized data infrastructure, ensuring that enforcement records cannot be erased, altered, or obscured.</w:t>
      </w:r>
    </w:p>
    <w:p/>
    <w:p>
      <w:r>
        <w:t>Core Features</w:t>
      </w:r>
    </w:p>
    <w:p>
      <w:r>
        <w:t xml:space="preserve">- Centralized case management platform with unique identifiers linking complaints, inspections, NOVs, and penalties.  </w:t>
      </w:r>
    </w:p>
    <w:p>
      <w:r>
        <w:t xml:space="preserve">- Immutable logging of key enforcement events, such as issuance of NOVs, compliance submissions, and case closures, using blockchain or equivalent tamper-resistant technology.  </w:t>
      </w:r>
    </w:p>
    <w:p>
      <w:r>
        <w:t xml:space="preserve">- Public access portal providing real-time visibility into complaint status, violation history, and enforcement outcomes.  </w:t>
      </w:r>
    </w:p>
    <w:p>
      <w:r>
        <w:t>- Audit-ready data exports to support independent review by the City Auditor, legal counsel, and community organizations.</w:t>
      </w:r>
    </w:p>
    <w:p/>
    <w:p>
      <w:r>
        <w:t xml:space="preserve">D. Proactive and Unit-Based Inspections  </w:t>
      </w:r>
    </w:p>
    <w:p>
      <w:r>
        <w:t>STLCA will replace SDCI’s reactive, complaint-driven model with a proactive inspection framework.</w:t>
      </w:r>
    </w:p>
    <w:p/>
    <w:p>
      <w:r>
        <w:t>Key Elements</w:t>
      </w:r>
    </w:p>
    <w:p>
      <w:r>
        <w:t xml:space="preserve">- Scheduled, unit-based inspections for multi-family properties, prioritized by risk indicators such as past violations, age of building, and tenant density.  </w:t>
      </w:r>
    </w:p>
    <w:p>
      <w:r>
        <w:t xml:space="preserve">- Mandatory reinspection requirements following major violations, with clear timelines and published outcomes.  </w:t>
      </w:r>
    </w:p>
    <w:p>
      <w:r>
        <w:t>- Integrated coordination with fire, public health, and disability agencies to ensure high-risk properties receive expedited attention.</w:t>
      </w:r>
    </w:p>
    <w:p/>
    <w:p>
      <w:r>
        <w:t xml:space="preserve">E. Landlord Noncompliance Registry  </w:t>
      </w:r>
    </w:p>
    <w:p>
      <w:r>
        <w:t>To address the problem of chronic offenders, STLCA will maintain a public registry of landlords and properties with repeated or severe violations.</w:t>
      </w:r>
    </w:p>
    <w:p/>
    <w:p>
      <w:r>
        <w:t>Registry Components</w:t>
      </w:r>
    </w:p>
    <w:p>
      <w:r>
        <w:t xml:space="preserve">- Listing of properties with multiple unresolved or serious violations.  </w:t>
      </w:r>
    </w:p>
    <w:p>
      <w:r>
        <w:t xml:space="preserve">- Tracking of unpaid penalties and enforcement actions.  </w:t>
      </w:r>
    </w:p>
    <w:p>
      <w:r>
        <w:t xml:space="preserve">- Historical records of habitability, harassment, and retaliation findings.  </w:t>
      </w:r>
    </w:p>
    <w:p>
      <w:r>
        <w:t>- Searchable interface for tenants, advocates, and policymakers.</w:t>
      </w:r>
    </w:p>
    <w:p/>
    <w:p>
      <w:r>
        <w:t xml:space="preserve">F. Tenant Access and Multilingual Support  </w:t>
      </w:r>
    </w:p>
    <w:p>
      <w:r>
        <w:t>STLCA will ensure meaningful access for tenants, particularly those who have faced language, disability, or technology barriers.</w:t>
      </w:r>
    </w:p>
    <w:p/>
    <w:p>
      <w:r>
        <w:t>Key Features</w:t>
      </w:r>
    </w:p>
    <w:p>
      <w:r>
        <w:t xml:space="preserve">- Multilingual intake services by phone, online, and in person.  </w:t>
      </w:r>
    </w:p>
    <w:p>
      <w:r>
        <w:t xml:space="preserve">- Accessible complaint filing for tenants with disabilities.  </w:t>
      </w:r>
    </w:p>
    <w:p>
      <w:r>
        <w:t xml:space="preserve">- Clear timelines and status updates for complainants.  </w:t>
      </w:r>
    </w:p>
    <w:p>
      <w:r>
        <w:t>- Coordination with legal aid and community organizations for referrals where legal representation is needed.</w:t>
      </w:r>
    </w:p>
    <w:p/>
    <w:p>
      <w:r>
        <w:t xml:space="preserve">G. Enforcement Tools and Penalty Structure  </w:t>
      </w:r>
    </w:p>
    <w:p>
      <w:r>
        <w:t>STLCA’s enforcement tools are designed to ensure that noncompliance has predictable, escalating consequences.</w:t>
      </w:r>
    </w:p>
    <w:p/>
    <w:p>
      <w:r>
        <w:t>Tools</w:t>
      </w:r>
    </w:p>
    <w:p>
      <w:r>
        <w:t xml:space="preserve">- Notices of Violation with specific deadlines and corrective requirements.  </w:t>
      </w:r>
    </w:p>
    <w:p>
      <w:r>
        <w:t xml:space="preserve">- Daily penalties for noncompliance, escalating over time.  </w:t>
      </w:r>
    </w:p>
    <w:p>
      <w:r>
        <w:t xml:space="preserve">- Authority to restrict rental activity at properties with severe or repeated violations.  </w:t>
      </w:r>
    </w:p>
    <w:p>
      <w:r>
        <w:t>- Referral of egregious cases to the City Attorney or state enforcement agencies.</w:t>
      </w:r>
    </w:p>
    <w:p/>
    <w:p>
      <w:r>
        <w:t xml:space="preserve">H. Transparency, Reporting, and Oversight  </w:t>
      </w:r>
    </w:p>
    <w:p>
      <w:r>
        <w:t>To prevent the opacity and record manipulation seen at SDCI, STLCA will:</w:t>
      </w:r>
    </w:p>
    <w:p/>
    <w:p>
      <w:r>
        <w:t xml:space="preserve">- Publish quarterly and annual reports on complaint volumes, response times, enforcement outcomes, and penalty collections.  </w:t>
      </w:r>
    </w:p>
    <w:p>
      <w:r>
        <w:t xml:space="preserve">- Provide disaggregated data by district, property type, and violation category.  </w:t>
      </w:r>
    </w:p>
    <w:p>
      <w:r>
        <w:t xml:space="preserve">- Undergo regular independent performance and ethics audits.  </w:t>
      </w:r>
    </w:p>
    <w:p>
      <w:r>
        <w:t>- Maintain a permanent, public archive of enforcement histories.</w:t>
      </w:r>
    </w:p>
    <w:p/>
    <w:p>
      <w:r>
        <w:t>Section 6 Conclusion</w:t>
      </w:r>
    </w:p>
    <w:p>
      <w:r>
        <w:t>STLCA is a purpose-built solution to the documented failures of SDCI’s tenant-landlord enforcement model. By combining structural independence, modern data integrity tools, proactive inspections, transparent reporting, and meaningful penalties, STLCA is designed to protect tenants, reduce legal risk for the City, and ensure that public investments in housing are matched by real, verifiable compliance.</w:t>
      </w:r>
    </w:p>
    <w:p/>
    <w:p>
      <w:r>
        <w:t>The choice before the City Council is not between the status quo and an untested idea. It is between an enforcement system that has demonstrably failed and a replacement framework explicitly designed to correct those failures.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