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蚂蚁渠道基金产品提报监控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日期： 2026年3月12日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编写人： 柴紫薇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一、通用概要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1、流程概要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66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注：对已提报产品，6个月内不再重复提示。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2、赛道标签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472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一级标签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二级标签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求赚纯债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短债/中短债/中长债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求赚固收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极低波固收+/低波固收+/中波固收+/高波固收+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超额宝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月月/季季/年年-纯债/年年-极低波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增益宝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低波固收+/中波固收+/高波固收+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定开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短债/中短债/中长债/低波固收+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FOF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极低波固收+/低波固收+/中波固收+/高波固收+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3、数据指标</w:t>
      </w:r>
      <w:bookmarkEnd w:id="3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二、提报前拆筛监控规则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目的：</w:t>
      </w:r>
      <w:r>
        <w:rPr>
          <w:rFonts w:eastAsia="等线" w:ascii="Arial" w:cs="Arial" w:hAnsi="Arial"/>
          <w:sz w:val="22"/>
        </w:rPr>
        <w:t>明确基金产品在蚂蚁财富平台提报入池前的量化筛选规则，作为系统自动化监控、打标及推送的依据。运营同事可根据系统打标结果进行人工复核并提报。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适用范围：</w:t>
      </w:r>
      <w:r>
        <w:rPr>
          <w:rFonts w:eastAsia="等线" w:ascii="Arial" w:cs="Arial" w:hAnsi="Arial"/>
          <w:sz w:val="22"/>
        </w:rPr>
        <w:t>用于所有拟通过蚂蚁财富平台销售的求赚纯债、求赚固收、超额宝、增益宝、FOF五大赛道产品，以及定开专区的特殊场景产品。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1、求赚纯债赛道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赛道定义： 主要投资于债券资产，按久期长短分为</w:t>
      </w:r>
      <w:r>
        <w:rPr>
          <w:rFonts w:eastAsia="等线" w:ascii="Arial" w:cs="Arial" w:hAnsi="Arial"/>
          <w:b w:val="true"/>
          <w:color w:val="d83931"/>
          <w:sz w:val="22"/>
        </w:rPr>
        <w:t>短债、中短债、中长债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核心监控维度：收益、回撤、流动性、久期。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备注：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区间年化收益：短债及中短债区间为“近２年”，中长债区间为“近３年”，如果未满足2/3年，需要用成立以来。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久期：25 年披露半年报之后校验最新久期范围。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投资年限：包含公募/专户/私募的投资年限</w:t>
      </w:r>
      <w:r>
        <w:rPr>
          <w:rFonts w:eastAsia="等线" w:ascii="Arial" w:cs="Arial" w:hAnsi="Arial"/>
          <w:b w:val="true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正收益：即收益＞0。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f67a"/>
        </w:rPr>
        <w:t>定开场景豁免说明（可参考3-定开场景）：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对于短债/中短债，近2年内所有封闭期收益正胜率85%以上，则在原有回撤基础上放松25%，同时豁免滚动正胜率约束/最大日回撤。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对于中长债，近3年内所有封闭期收益均为正，则在原有回撤基础上放松25%，同时豁免滚动正胜率约束/最大日回撤。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2、求赚固收赛道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赛道定义： 在债券投资基础上，配置一定比例的权益资产（股票、转债等），按权益仓位分为极低波、低波、中波、高波固收+。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核心监控维度：含权仓位、回撤、绝对收益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备注：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每季度的含权仓位从2025年中开始要求。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含权仓位：包含股票+50%可转债仓位。（注：转债当前按</w:t>
      </w:r>
      <w:r>
        <w:rPr>
          <w:rFonts w:eastAsia="等线" w:ascii="Arial" w:cs="Arial" w:hAnsi="Arial"/>
          <w:b w:val="true"/>
          <w:sz w:val="22"/>
        </w:rPr>
        <w:t>0.5</w:t>
      </w:r>
      <w:r>
        <w:rPr>
          <w:rFonts w:eastAsia="等线" w:ascii="Arial" w:cs="Arial" w:hAnsi="Arial"/>
          <w:sz w:val="22"/>
        </w:rPr>
        <w:t>折算成含权仓位。）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滚动1年平均仓位小于等于近1年仓位，如低波赛道滚动1年平均仓位≤8%。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f67a"/>
        </w:rPr>
        <w:t>定开场景豁免说明（可参考3-定开场景）：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对于低波固收+，近3年内所有封闭期收益均为正，则在原有回撤基础上放松25%，同时豁免滚动正胜率约束/最大日回撤。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3、定开场景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准入前提：满足「求赚基础场景规则」或「定期开放产品特殊规则」任意一条即可提报；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阈值放宽与豁免规则：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短债 / 中短债定开产品：近 2 年所有封闭期收益正胜率≥85%，可在原有回撤阈值基础上放松 25%，同时豁免滚动正胜率约束、最大日回撤要求；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中长债 / 低波固收 + 定开产品：近 3 年所有封闭期收益均为正，可在原有回撤阈值基础上放松 25%，同时豁免滚动正胜率约束、最大日回撤要求。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4、超额宝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赛道定义： 定位为理财替代，追求绝对收益，严格控制回撤，按持有期分为月月、季季、年年（纯债/极低波）。</w:t>
      </w:r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5、增益宝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赛道定义： 定位为稳健增值，在控制年度回撤的前提下追求超越货币基金的收益，按含权仓位分低波、中波、高波固收+。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6、FOF赛道</w:t>
      </w:r>
      <w:bookmarkEnd w:id="10"/>
    </w:p>
    <w:p>
      <w:pPr>
        <w:spacing w:before="120" w:after="120" w:line="288" w:lineRule="auto"/>
        <w:ind w:left="0"/>
      </w:pPr>
      <w:r>
        <w:object>
          <v:shape id="_x0000_i1032" style="width:414pt;height:141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单一风险资产：</w:t>
      </w:r>
      <w:r>
        <w:rPr>
          <w:rFonts w:eastAsia="等线" w:ascii="Arial" w:cs="Arial" w:hAnsi="Arial"/>
          <w:color w:val="8f959e"/>
          <w:sz w:val="22"/>
          <w:shd w:fill="fff67a"/>
        </w:rPr>
        <w:t>风险资产仓位含A股、港股、海外股、商品、可转债，转债系数与普通固收+拉齐，港股+A股属于单一资产，海外股不区分国别属于单一资产。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7、规则生效与维护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数据更新频率： 系统每日基于最新净值数据及定期报告数据进行跑批，符合条件的基金自动打上“【可提报】+赛道名”标签。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提报前：符合指标，业务录入。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提报后：6个月不重复提报，从破指标那天开始计算。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三、提报后监控规则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1、业绩考核目标</w:t>
      </w:r>
      <w:bookmarkEnd w:id="13"/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2、不同赛道对应的回撤豁免条件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豁免条件：如遇市场发生系统性回调、代理指数突破以下指标的极端行情，推荐基金对应时间段的推荐指标豁免。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注：最大回撤发生极端行情时，相应指标按相对排名评估。</w:t>
      </w:r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3、固收+回撤管理机制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1）核心定义</w:t>
      </w:r>
      <w:bookmarkEnd w:id="1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YTD 回撤</w:t>
      </w:r>
      <w:r>
        <w:rPr>
          <w:rFonts w:eastAsia="等线" w:ascii="Arial" w:cs="Arial" w:hAnsi="Arial"/>
          <w:sz w:val="22"/>
        </w:rPr>
        <w:t>：年初至今（Year-to-Date）产品净值从年内高点回落的跌幅。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波动率分层</w:t>
      </w:r>
      <w:r>
        <w:rPr>
          <w:rFonts w:eastAsia="等线" w:ascii="Arial" w:cs="Arial" w:hAnsi="Arial"/>
          <w:sz w:val="22"/>
        </w:rPr>
        <w:t>：按产品波动特征分为</w:t>
      </w:r>
      <w:r>
        <w:rPr>
          <w:rFonts w:eastAsia="等线" w:ascii="Arial" w:cs="Arial" w:hAnsi="Arial"/>
          <w:b w:val="true"/>
          <w:sz w:val="22"/>
        </w:rPr>
        <w:t>极低波 / 低波 / 中波 / 高波</w:t>
      </w:r>
      <w:r>
        <w:rPr>
          <w:rFonts w:eastAsia="等线" w:ascii="Arial" w:cs="Arial" w:hAnsi="Arial"/>
          <w:sz w:val="22"/>
        </w:rPr>
        <w:t>四类，对应不同触发阈值。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极端行情补充</w:t>
      </w:r>
      <w:r>
        <w:rPr>
          <w:rFonts w:eastAsia="等线" w:ascii="Arial" w:cs="Arial" w:hAnsi="Arial"/>
          <w:sz w:val="22"/>
        </w:rPr>
        <w:t>：若对应基准指数年度最大回撤突破阈值，则按 “最大回撤排名后 50%/70%” 执行阶梯动作。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2）分级触发阈值与对应动作</w:t>
      </w:r>
      <w:bookmarkEnd w:id="17"/>
    </w:p>
    <w:p>
      <w:pPr>
        <w:spacing w:before="120" w:after="120" w:line="288" w:lineRule="auto"/>
        <w:ind w:left="0"/>
      </w:pPr>
      <w:r>
        <w:object>
          <v:shape id="_x0000_i1035" style="width:414pt;height:163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85558">
    <w:lvl>
      <w:numFmt w:val="bullet"/>
      <w:suff w:val="tab"/>
      <w:lvlText w:val="•"/>
      <w:rPr>
        <w:color w:val="3370ff"/>
      </w:rPr>
    </w:lvl>
  </w:abstractNum>
  <w:abstractNum w:abstractNumId="985559">
    <w:lvl>
      <w:numFmt w:val="bullet"/>
      <w:suff w:val="tab"/>
      <w:lvlText w:val="•"/>
      <w:rPr>
        <w:color w:val="3370ff"/>
      </w:rPr>
    </w:lvl>
  </w:abstractNum>
  <w:abstractNum w:abstractNumId="985560">
    <w:lvl>
      <w:numFmt w:val="bullet"/>
      <w:suff w:val="tab"/>
      <w:lvlText w:val="•"/>
      <w:rPr>
        <w:color w:val="3370ff"/>
      </w:rPr>
    </w:lvl>
  </w:abstractNum>
  <w:abstractNum w:abstractNumId="985561">
    <w:lvl>
      <w:numFmt w:val="bullet"/>
      <w:suff w:val="tab"/>
      <w:lvlText w:val="•"/>
      <w:rPr>
        <w:color w:val="3370ff"/>
      </w:rPr>
    </w:lvl>
  </w:abstractNum>
  <w:abstractNum w:abstractNumId="985562">
    <w:lvl>
      <w:start w:val="1"/>
      <w:numFmt w:val="decimal"/>
      <w:suff w:val="tab"/>
      <w:lvlText w:val="%1."/>
      <w:rPr>
        <w:color w:val="3370ff"/>
      </w:rPr>
    </w:lvl>
  </w:abstractNum>
  <w:abstractNum w:abstractNumId="985563">
    <w:lvl>
      <w:start w:val="2"/>
      <w:numFmt w:val="decimal"/>
      <w:suff w:val="tab"/>
      <w:lvlText w:val="%1."/>
      <w:rPr>
        <w:color w:val="3370ff"/>
      </w:rPr>
    </w:lvl>
  </w:abstractNum>
  <w:abstractNum w:abstractNumId="985564">
    <w:lvl>
      <w:start w:val="3"/>
      <w:numFmt w:val="decimal"/>
      <w:suff w:val="tab"/>
      <w:lvlText w:val="%1."/>
      <w:rPr>
        <w:color w:val="3370ff"/>
      </w:rPr>
    </w:lvl>
  </w:abstractNum>
  <w:abstractNum w:abstractNumId="985565">
    <w:lvl>
      <w:start w:val="4"/>
      <w:numFmt w:val="decimal"/>
      <w:suff w:val="tab"/>
      <w:lvlText w:val="%1."/>
      <w:rPr>
        <w:color w:val="3370ff"/>
      </w:rPr>
    </w:lvl>
  </w:abstractNum>
  <w:abstractNum w:abstractNumId="985566">
    <w:lvl>
      <w:start w:val="5"/>
      <w:numFmt w:val="decimal"/>
      <w:suff w:val="tab"/>
      <w:lvlText w:val="%1."/>
      <w:rPr>
        <w:color w:val="3370ff"/>
      </w:rPr>
    </w:lvl>
  </w:abstractNum>
  <w:abstractNum w:abstractNumId="985567">
    <w:lvl>
      <w:start w:val="1"/>
      <w:numFmt w:val="lowerLetter"/>
      <w:suff w:val="tab"/>
      <w:lvlText w:val="%1."/>
      <w:rPr>
        <w:color w:val="3370ff"/>
      </w:rPr>
    </w:lvl>
  </w:abstractNum>
  <w:abstractNum w:abstractNumId="985568">
    <w:lvl>
      <w:start w:val="2"/>
      <w:numFmt w:val="lowerLetter"/>
      <w:suff w:val="tab"/>
      <w:lvlText w:val="%1."/>
      <w:rPr>
        <w:color w:val="3370ff"/>
      </w:rPr>
    </w:lvl>
  </w:abstractNum>
  <w:abstractNum w:abstractNumId="985569">
    <w:lvl>
      <w:start w:val="1"/>
      <w:numFmt w:val="decimal"/>
      <w:suff w:val="tab"/>
      <w:lvlText w:val="%1."/>
      <w:rPr>
        <w:color w:val="3370ff"/>
      </w:rPr>
    </w:lvl>
  </w:abstractNum>
  <w:abstractNum w:abstractNumId="985570">
    <w:lvl>
      <w:start w:val="2"/>
      <w:numFmt w:val="decimal"/>
      <w:suff w:val="tab"/>
      <w:lvlText w:val="%1."/>
      <w:rPr>
        <w:color w:val="3370ff"/>
      </w:rPr>
    </w:lvl>
  </w:abstractNum>
  <w:abstractNum w:abstractNumId="985571">
    <w:lvl>
      <w:start w:val="3"/>
      <w:numFmt w:val="decimal"/>
      <w:suff w:val="tab"/>
      <w:lvlText w:val="%1."/>
      <w:rPr>
        <w:color w:val="3370ff"/>
      </w:rPr>
    </w:lvl>
  </w:abstractNum>
  <w:abstractNum w:abstractNumId="985572">
    <w:lvl>
      <w:start w:val="4"/>
      <w:numFmt w:val="decimal"/>
      <w:suff w:val="tab"/>
      <w:lvlText w:val="%1."/>
      <w:rPr>
        <w:color w:val="3370ff"/>
      </w:rPr>
    </w:lvl>
  </w:abstractNum>
  <w:abstractNum w:abstractNumId="985573">
    <w:lvl>
      <w:numFmt w:val="bullet"/>
      <w:suff w:val="tab"/>
      <w:lvlText w:val="￮"/>
      <w:rPr>
        <w:color w:val="3370ff"/>
      </w:rPr>
    </w:lvl>
  </w:abstractNum>
  <w:abstractNum w:abstractNumId="985574">
    <w:lvl>
      <w:numFmt w:val="bullet"/>
      <w:suff w:val="tab"/>
      <w:lvlText w:val="•"/>
      <w:rPr>
        <w:color w:val="3370ff"/>
      </w:rPr>
    </w:lvl>
  </w:abstractNum>
  <w:abstractNum w:abstractNumId="985575">
    <w:lvl>
      <w:numFmt w:val="bullet"/>
      <w:suff w:val="tab"/>
      <w:lvlText w:val="•"/>
      <w:rPr>
        <w:color w:val="3370ff"/>
      </w:rPr>
    </w:lvl>
  </w:abstractNum>
  <w:abstractNum w:abstractNumId="985576">
    <w:lvl>
      <w:numFmt w:val="bullet"/>
      <w:suff w:val="tab"/>
      <w:lvlText w:val="•"/>
      <w:rPr>
        <w:color w:val="3370ff"/>
      </w:rPr>
    </w:lvl>
  </w:abstractNum>
  <w:abstractNum w:abstractNumId="985577">
    <w:lvl>
      <w:numFmt w:val="bullet"/>
      <w:suff w:val="tab"/>
      <w:lvlText w:val="•"/>
      <w:rPr>
        <w:color w:val="3370ff"/>
      </w:rPr>
    </w:lvl>
  </w:abstractNum>
  <w:abstractNum w:abstractNumId="985578">
    <w:lvl>
      <w:numFmt w:val="bullet"/>
      <w:suff w:val="tab"/>
      <w:lvlText w:val="•"/>
      <w:rPr>
        <w:color w:val="3370ff"/>
      </w:rPr>
    </w:lvl>
  </w:abstractNum>
  <w:num w:numId="1">
    <w:abstractNumId w:val="985558"/>
  </w:num>
  <w:num w:numId="2">
    <w:abstractNumId w:val="985559"/>
  </w:num>
  <w:num w:numId="3">
    <w:abstractNumId w:val="985560"/>
  </w:num>
  <w:num w:numId="4">
    <w:abstractNumId w:val="985561"/>
  </w:num>
  <w:num w:numId="5">
    <w:abstractNumId w:val="985562"/>
  </w:num>
  <w:num w:numId="6">
    <w:abstractNumId w:val="985563"/>
  </w:num>
  <w:num w:numId="7">
    <w:abstractNumId w:val="985564"/>
  </w:num>
  <w:num w:numId="8">
    <w:abstractNumId w:val="985565"/>
  </w:num>
  <w:num w:numId="9">
    <w:abstractNumId w:val="985566"/>
  </w:num>
  <w:num w:numId="10">
    <w:abstractNumId w:val="985567"/>
  </w:num>
  <w:num w:numId="11">
    <w:abstractNumId w:val="985568"/>
  </w:num>
  <w:num w:numId="12">
    <w:abstractNumId w:val="985569"/>
  </w:num>
  <w:num w:numId="13">
    <w:abstractNumId w:val="985570"/>
  </w:num>
  <w:num w:numId="14">
    <w:abstractNumId w:val="985571"/>
  </w:num>
  <w:num w:numId="15">
    <w:abstractNumId w:val="985572"/>
  </w:num>
  <w:num w:numId="16">
    <w:abstractNumId w:val="985573"/>
  </w:num>
  <w:num w:numId="17">
    <w:abstractNumId w:val="985574"/>
  </w:num>
  <w:num w:numId="18">
    <w:abstractNumId w:val="985575"/>
  </w:num>
  <w:num w:numId="19">
    <w:abstractNumId w:val="985576"/>
  </w:num>
  <w:num w:numId="20">
    <w:abstractNumId w:val="985577"/>
  </w:num>
  <w:num w:numId="21">
    <w:abstractNumId w:val="9855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numbering.xml" Type="http://schemas.openxmlformats.org/officeDocument/2006/relationships/numbering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2026-04-15T08:14:43Z</dcterms:created>
  <dc:creator>Apache POI</dc:creator>
</cp:coreProperties>
</file>