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D2EC8C" w14:textId="77777777" w:rsidR="00481048" w:rsidRDefault="00000000">
      <w:pPr>
        <w:pStyle w:val="Heading1"/>
      </w:pPr>
      <w:r>
        <w:t>Prompt 4 — Tracing the Development of an Idea Over Time</w:t>
      </w:r>
    </w:p>
    <w:p w14:paraId="65C9A813" w14:textId="77777777" w:rsidR="00481048" w:rsidRDefault="00000000">
      <w:pPr>
        <w:spacing w:after="200"/>
      </w:pPr>
      <w:r>
        <w:rPr>
          <w:b/>
          <w:bCs/>
        </w:rPr>
        <w:t xml:space="preserve">Work analyzed: </w:t>
      </w:r>
      <w:r>
        <w:t>Notes from Underground, Fyodor Dostoevsky (1864)</w:t>
      </w:r>
    </w:p>
    <w:p w14:paraId="0441CC6E" w14:textId="77777777" w:rsidR="00481048" w:rsidRDefault="00000000">
      <w:pPr>
        <w:spacing w:after="200"/>
      </w:pPr>
      <w:r>
        <w:rPr>
          <w:b/>
          <w:bCs/>
        </w:rPr>
        <w:t xml:space="preserve">Topics traced: </w:t>
      </w:r>
      <w:r>
        <w:t>(1) Rational egoism vs. free will; (2) the underground man as literary-psychological archetype; (3) freedom and the positive/negative liberty distinction</w:t>
      </w:r>
    </w:p>
    <w:p w14:paraId="6B4C3E2C" w14:textId="77777777" w:rsidR="00481048" w:rsidRDefault="00000000">
      <w:pPr>
        <w:spacing w:after="200"/>
      </w:pPr>
      <w:r>
        <w:rPr>
          <w:b/>
          <w:bCs/>
        </w:rPr>
        <w:t xml:space="preserve">Knowledge cutoff note: </w:t>
      </w:r>
      <w:r>
        <w:t>My reliable knowledge extends through the end of August 2025. For these three topics — all rooted in 19th- and 20th-century intellectual history with long-settled scholarly consensus — this limitation is minor. The main risk is missing very recent (post-August 2025) scholarship, anniversary retrospectives, or newly published translations and commentary.</w:t>
      </w:r>
    </w:p>
    <w:p w14:paraId="66FA103F" w14:textId="77777777" w:rsidR="00481048" w:rsidRDefault="00000000">
      <w:pPr>
        <w:pStyle w:val="Heading2"/>
      </w:pPr>
      <w:r>
        <w:t>Topic 1 — Rational Egoism vs. Free Will</w:t>
      </w:r>
    </w:p>
    <w:p w14:paraId="224E413E" w14:textId="77777777" w:rsidR="00481048" w:rsidRDefault="00000000">
      <w:pPr>
        <w:pStyle w:val="Heading3"/>
      </w:pPr>
      <w:r>
        <w:t>Introduction</w:t>
      </w:r>
    </w:p>
    <w:p w14:paraId="2F29A0C5" w14:textId="77777777" w:rsidR="00481048" w:rsidRDefault="00000000">
      <w:pPr>
        <w:spacing w:after="200"/>
      </w:pPr>
      <w:r>
        <w:t>This is the most direct, well-documented intellectual lineage running through the text — it traces a path from Enlightenment rationalism and Bentham's utilitarianism, through Chernyshevsky's 1860s Russian radicalism, into Dostoevsky's rebuttal, and arguably forward into 20th-century behavioral economics' interest in non-rational choice. It is productive to explore because the debate did not end with Dostoevsky; it has a traceable afterlife on both philosophical and empirical fronts.</w:t>
      </w:r>
    </w:p>
    <w:p w14:paraId="6B0976B6" w14:textId="77777777" w:rsidR="00481048" w:rsidRDefault="00000000">
      <w:pPr>
        <w:pStyle w:val="Heading3"/>
      </w:pPr>
      <w:r>
        <w:t>1. Earliest Origins</w:t>
      </w:r>
    </w:p>
    <w:p w14:paraId="651C1974" w14:textId="77777777" w:rsidR="00481048" w:rsidRDefault="00000000">
      <w:pPr>
        <w:spacing w:after="200"/>
      </w:pPr>
      <w:r>
        <w:t>The deepest roots of this debate lie in Enlightenment-era confidence that reason could be applied systematically to human affairs, producing both moral and political progress. By the mid-19th century, this confidence had taken a specifically utilitarian form in Britain through Jeremy Bentham, who argued that the right action is the one producing the greatest aggregate happiness, calculable in principle like an arithmetic sum. This rationalist, calculating view of human motivation crossed into Russia and fused with native radical politics. Nikolai Chernyshevsky's 1863 novel What Is to Be Done? gave this fusion its most influential Russian expression: “rational egoism,” the claim that humans, once they correctly understand their own self-interest, will act rationally and benevolently, making social harmony achievable through education and reason. Chernyshevsky wrote the novel in three months while imprisoned in the Peter and Paul Fortress, and it became one of the most influential books in Russian radical circles. The historical condition that gave rise to this debate, then, was a specific moment in Russian intellectual life: the post-Crimean War period under Alexander II, when serfdom had just been abolished (1861) and a new generation of “nihilist” intellectuals believed science and reason could remake Russian society from the ground up.</w:t>
      </w:r>
    </w:p>
    <w:p w14:paraId="02096238" w14:textId="77777777" w:rsidR="00481048" w:rsidRDefault="00000000">
      <w:pPr>
        <w:pStyle w:val="Heading3"/>
      </w:pPr>
      <w:r>
        <w:t>2. Key Thinkers and Each Phase's Central Argument</w:t>
      </w:r>
    </w:p>
    <w:p w14:paraId="3D09A11C" w14:textId="77777777" w:rsidR="00481048" w:rsidRDefault="00000000">
      <w:pPr>
        <w:pStyle w:val="ListParagraph"/>
        <w:numPr>
          <w:ilvl w:val="0"/>
          <w:numId w:val="2"/>
        </w:numPr>
        <w:spacing w:after="120"/>
      </w:pPr>
      <w:r>
        <w:rPr>
          <w:b/>
          <w:bCs/>
        </w:rPr>
        <w:lastRenderedPageBreak/>
        <w:t xml:space="preserve">Jeremy Bentham (1748–1832): </w:t>
      </w:r>
      <w:r>
        <w:t>Founder of utilitarianism; argued that morality and policy should be calculated according to the greatest aggregate happiness. Provided the philosophical scaffolding that later rational egoists adapted.</w:t>
      </w:r>
    </w:p>
    <w:p w14:paraId="357693CE" w14:textId="77777777" w:rsidR="00481048" w:rsidRDefault="00000000">
      <w:pPr>
        <w:pStyle w:val="ListParagraph"/>
        <w:numPr>
          <w:ilvl w:val="0"/>
          <w:numId w:val="2"/>
        </w:numPr>
        <w:spacing w:after="120"/>
      </w:pPr>
      <w:r>
        <w:rPr>
          <w:b/>
          <w:bCs/>
        </w:rPr>
        <w:t xml:space="preserve">Nikolai Chernyshevsky (1828–1889): </w:t>
      </w:r>
      <w:r>
        <w:t>Argued in What Is to Be Done? and his philosophical essays that humans, properly informed about their long-term self-interest, would naturally choose socially beneficial action over short-term vice, since enlightened self-interest and the collective good ultimately converge.</w:t>
      </w:r>
    </w:p>
    <w:p w14:paraId="21110E25" w14:textId="77777777" w:rsidR="00481048" w:rsidRDefault="00000000">
      <w:pPr>
        <w:pStyle w:val="ListParagraph"/>
        <w:numPr>
          <w:ilvl w:val="0"/>
          <w:numId w:val="2"/>
        </w:numPr>
        <w:spacing w:after="120"/>
      </w:pPr>
      <w:r>
        <w:rPr>
          <w:b/>
          <w:bCs/>
        </w:rPr>
        <w:t xml:space="preserve">Fyodor Dostoevsky (1821–1881): </w:t>
      </w:r>
      <w:r>
        <w:t>Responded directly and polemically. Through the Underground Man, Dostoevsky argued that rational egoism is not just empirically false but actively dehumanizing: a person stripped of the capacity to act against their own interest is stripped of free will itself. The famous image of “two times two makes four” stands in for any deterministic system that claims to fully predict and therefore control human choice.</w:t>
      </w:r>
    </w:p>
    <w:p w14:paraId="26585FC9" w14:textId="77777777" w:rsidR="00481048" w:rsidRDefault="00000000">
      <w:pPr>
        <w:pStyle w:val="ListParagraph"/>
        <w:numPr>
          <w:ilvl w:val="0"/>
          <w:numId w:val="2"/>
        </w:numPr>
        <w:spacing w:after="120"/>
      </w:pPr>
      <w:r>
        <w:rPr>
          <w:b/>
          <w:bCs/>
        </w:rPr>
        <w:t xml:space="preserve">Friedrich Nietzsche (1844–1900): </w:t>
      </w:r>
      <w:r>
        <w:t>Read Notes from Underground in French translation and developed related (though not identical) ideas about the will, ressentiment, and the inadequacy of rationalist moral systems to capture human psychology.</w:t>
      </w:r>
    </w:p>
    <w:p w14:paraId="275F5A4B" w14:textId="77777777" w:rsidR="00481048" w:rsidRDefault="00000000">
      <w:pPr>
        <w:pStyle w:val="ListParagraph"/>
        <w:numPr>
          <w:ilvl w:val="0"/>
          <w:numId w:val="2"/>
        </w:numPr>
        <w:spacing w:after="120"/>
      </w:pPr>
      <w:r>
        <w:rPr>
          <w:b/>
          <w:bCs/>
        </w:rPr>
        <w:t xml:space="preserve">20th-century behavioral economists (e.g., Daniel Kahneman, Amos Tversky, and later scholars building on their work): </w:t>
      </w:r>
      <w:r>
        <w:t>Working from a completely different methodology — empirical psychology and economics rather than literature or philosophy — documented systematic ways in which real human choice deviates from rational self-interest, providing an unexpected empirical echo of Dostoevsky's literary intuition, though without direct intellectual lineage back to him.</w:t>
      </w:r>
    </w:p>
    <w:p w14:paraId="1017B289" w14:textId="77777777" w:rsidR="00481048" w:rsidRDefault="00000000">
      <w:pPr>
        <w:pStyle w:val="Heading3"/>
      </w:pPr>
      <w:r>
        <w:t>3. Evidence and Reasoning Behind Each Interpretation</w:t>
      </w:r>
    </w:p>
    <w:p w14:paraId="7828E997" w14:textId="77777777" w:rsidR="00481048" w:rsidRDefault="00000000">
      <w:pPr>
        <w:spacing w:after="200"/>
      </w:pPr>
      <w:r>
        <w:t>Chernyshevsky's case rested on a kind of moral psychology: he believed enlightened self-interest was not opposed to virtue but identical with it once people understood their situation clearly, an argument he tried to demonstrate through his novel's characters, who reorganize their lives (communal living, equitable marriage) once freed from ignorance and convention.</w:t>
      </w:r>
    </w:p>
    <w:p w14:paraId="54962C0F" w14:textId="77777777" w:rsidR="00481048" w:rsidRDefault="00000000">
      <w:pPr>
        <w:spacing w:after="200"/>
      </w:pPr>
      <w:r>
        <w:t>Dostoevsky's case rested on introspective and historical evidence rather than systematic argument: he pointed to the historical record of human cruelty, war, and self-destruction as proof that people do not reliably act in their own interest, and used the Underground Man's tortured, contradictory psychology as a dramatized case study of someone who chooses spite and self-harm specifically to prove he is not a programmable object.</w:t>
      </w:r>
    </w:p>
    <w:p w14:paraId="20250C00" w14:textId="77777777" w:rsidR="00481048" w:rsidRDefault="00000000">
      <w:pPr>
        <w:spacing w:after="200"/>
      </w:pPr>
      <w:r>
        <w:t>Later behavioral economists relied on controlled experiments and statistical data showing predictable, repeated deviations from rational-choice predictions (loss aversion, present bias, and similar effects) — a very different evidentiary standard, but one that arrives, by an entirely separate empirical route, at a similar skepticism toward purely rational models of human behavior.</w:t>
      </w:r>
    </w:p>
    <w:p w14:paraId="484A1997" w14:textId="77777777" w:rsidR="00481048" w:rsidRDefault="00000000">
      <w:pPr>
        <w:pStyle w:val="Heading3"/>
      </w:pPr>
      <w:r>
        <w:t>4. Agreements and Disagreements</w:t>
      </w:r>
    </w:p>
    <w:p w14:paraId="5DC49B88" w14:textId="77777777" w:rsidR="00481048" w:rsidRDefault="00000000">
      <w:pPr>
        <w:spacing w:after="200"/>
      </w:pPr>
      <w:r>
        <w:lastRenderedPageBreak/>
        <w:t>All parties agree that human behavior is at least partly resistant to simple incentive-based prediction; they disagree sharply about why. Chernyshevsky believed any apparent irrationality was the product of ignorance or bad social conditions and would dissolve once removed. Dostoevsky believed irrationality (or rather, the assertion of free will against calculation) was a permanent and even valuable feature of human nature — evidence of dignity, not a defect to be engineered away. Behavioral economists generally avoid metaphysical claims about free will altogether, treating documented biases as features of cognitive architecture rather than expressions of existential freedom — a much narrower and more modest claim than either 19th-century author was making.</w:t>
      </w:r>
    </w:p>
    <w:p w14:paraId="5A8F9CE7" w14:textId="77777777" w:rsidR="00481048" w:rsidRDefault="00000000">
      <w:pPr>
        <w:pStyle w:val="Heading3"/>
      </w:pPr>
      <w:r>
        <w:t>5. Internal Tensions and Turning Points</w:t>
      </w:r>
    </w:p>
    <w:p w14:paraId="5283245B" w14:textId="77777777" w:rsidR="00481048" w:rsidRDefault="00000000">
      <w:pPr>
        <w:spacing w:after="200"/>
      </w:pPr>
      <w:r>
        <w:t>A persistent tension inside Dostoevsky's own argument is frequently noted by scholars: the Underground Man's insistence on irrational free will is itself delivered through a highly rational, even obsessively logical monologue. Some critics read this as a deliberate irony (Dostoevsky showing that pure irrationalism is as self-undermining as pure rationalism), while others read it as an unresolved flaw in the argument. A second turning point in the broader historiography came with the early-20th-century existentialists, who took up Dostoevsky's anti-rationalism but secularized it, detaching it from the Christian framework Dostoevsky intended (and which, as established in Prompt 1, was partly removed by censorship) and recasting it as a purely philosophical claim about the human condition.</w:t>
      </w:r>
    </w:p>
    <w:p w14:paraId="0C169A1E" w14:textId="77777777" w:rsidR="00481048" w:rsidRDefault="00000000">
      <w:pPr>
        <w:pStyle w:val="Heading3"/>
      </w:pPr>
      <w:r>
        <w:t>6. Unresolved Debates Today</w:t>
      </w:r>
    </w:p>
    <w:p w14:paraId="5A232951" w14:textId="77777777" w:rsidR="00481048" w:rsidRDefault="00000000">
      <w:pPr>
        <w:spacing w:after="200"/>
      </w:pPr>
      <w:r>
        <w:t>Philosophers continue to debate whether Dostoevsky successfully refutes rational egoism or merely dramatizes an alternative without justifying it. Some contemporary scholars argue Dostoevsky never adequately establishes why irrational self-assertion should be considered admirable rather than merely self-destructive, leaving the debate between Chernyshevsky's and Dostoevsky's conceptions of human nature genuinely open rather than settled in Dostoevsky's favor.</w:t>
      </w:r>
    </w:p>
    <w:p w14:paraId="11F50004" w14:textId="77777777" w:rsidR="00481048" w:rsidRDefault="00000000">
      <w:pPr>
        <w:pStyle w:val="Heading3"/>
      </w:pPr>
      <w:r>
        <w:t>7. Tensions Leading to Later Change</w:t>
      </w:r>
    </w:p>
    <w:p w14:paraId="7F0E4907" w14:textId="77777777" w:rsidR="00481048" w:rsidRDefault="00000000">
      <w:pPr>
        <w:spacing w:after="200"/>
      </w:pPr>
      <w:r>
        <w:t>The tension between rationalist social engineering and the assertion of irrational individual will did not stay confined to literature; it fed directly into 20th-century political history. Chernyshevsky's rational-egoist utopianism is frequently identified as an intellectual precursor of Russian revolutionary thought, while Dostoevsky's skepticism about engineered rationality anticipated later conservative and existentialist critiques of utopian social planning more broadly. The same basic disagreement — can a society be rationally optimized, or will human beings always resist optimization — resurfaces in 20th-century debates over planned economies, behavioral “nudge” policy, and algorithmic prediction of human behavior.</w:t>
      </w:r>
    </w:p>
    <w:p w14:paraId="62149EDB" w14:textId="77777777" w:rsidR="00481048" w:rsidRDefault="00000000">
      <w:pPr>
        <w:pStyle w:val="Heading2"/>
      </w:pPr>
      <w:r>
        <w:t>Topic 2 — The Underground Man as Literary-Psychological Archetype</w:t>
      </w:r>
    </w:p>
    <w:p w14:paraId="4C1F276D" w14:textId="77777777" w:rsidR="00481048" w:rsidRDefault="00000000">
      <w:pPr>
        <w:pStyle w:val="Heading3"/>
      </w:pPr>
      <w:r>
        <w:t>Introduction</w:t>
      </w:r>
    </w:p>
    <w:p w14:paraId="623861B4" w14:textId="77777777" w:rsidR="00481048" w:rsidRDefault="00000000">
      <w:pPr>
        <w:spacing w:after="200"/>
      </w:pPr>
      <w:r>
        <w:lastRenderedPageBreak/>
        <w:t xml:space="preserve">This traces a different kind of lineage than Topic 1 — not an argument but a character type. The line runs from the Russian “superfluous man” tradition before Dostoevsky, through Notes from Underground, and forward into Kafka, Camus's Meursault, Sartre's </w:t>
      </w:r>
      <w:proofErr w:type="spellStart"/>
      <w:r>
        <w:t>Roquentin</w:t>
      </w:r>
      <w:proofErr w:type="spellEnd"/>
      <w:r>
        <w:t>, and even later antiheroes in film. This is productive to explore because it is a case study in how a literary type gets picked up, reinterpreted, and secularized across very different cultural moments.</w:t>
      </w:r>
    </w:p>
    <w:p w14:paraId="28091FD1" w14:textId="77777777" w:rsidR="00481048" w:rsidRDefault="00000000">
      <w:pPr>
        <w:pStyle w:val="Heading3"/>
      </w:pPr>
      <w:r>
        <w:t>1. Earliest Origins</w:t>
      </w:r>
    </w:p>
    <w:p w14:paraId="01165E36" w14:textId="77777777" w:rsidR="00481048" w:rsidRDefault="00000000">
      <w:pPr>
        <w:spacing w:after="200"/>
      </w:pPr>
      <w:r>
        <w:t>The archetype's earliest origins lie in early-19th-century Russia, in the literary type known as the “superfluous man” (</w:t>
      </w:r>
      <w:proofErr w:type="spellStart"/>
      <w:r>
        <w:t>lishny</w:t>
      </w:r>
      <w:proofErr w:type="spellEnd"/>
      <w:r>
        <w:t xml:space="preserve"> </w:t>
      </w:r>
      <w:proofErr w:type="spellStart"/>
      <w:r>
        <w:t>chelovek</w:t>
      </w:r>
      <w:proofErr w:type="spellEnd"/>
      <w:r>
        <w:t>). The character type originates in Alexander Pushkin's verse novel Eugene Onegin (1825–1832</w:t>
      </w:r>
      <w:proofErr w:type="gramStart"/>
      <w:r>
        <w:t>), and</w:t>
      </w:r>
      <w:proofErr w:type="gramEnd"/>
      <w:r>
        <w:t xml:space="preserve"> was named and popularized by Ivan Turgenev's novella The Diary of a Superfluous Man (1850), after which the term was retroactively applied to earlier figures. The historical condition that produced this type was the gap between Western-educated Russian aristocrats and the realities of Russian social and political life: gifted, idealistic young men returned from European universities to a society that offered them no meaningful outlet for action, producing cynicism, ennui, and self-destructive habits such as dueling and gambling.</w:t>
      </w:r>
    </w:p>
    <w:p w14:paraId="5228E375" w14:textId="77777777" w:rsidR="00481048" w:rsidRDefault="00000000">
      <w:pPr>
        <w:pStyle w:val="Heading3"/>
      </w:pPr>
      <w:r>
        <w:t>2. Key Thinkers/Figures Across Major Phases</w:t>
      </w:r>
    </w:p>
    <w:p w14:paraId="05AACEEF" w14:textId="77777777" w:rsidR="00481048" w:rsidRDefault="00000000">
      <w:pPr>
        <w:pStyle w:val="ListParagraph"/>
        <w:numPr>
          <w:ilvl w:val="0"/>
          <w:numId w:val="2"/>
        </w:numPr>
        <w:spacing w:after="120"/>
      </w:pPr>
      <w:r>
        <w:rPr>
          <w:b/>
          <w:bCs/>
        </w:rPr>
        <w:t xml:space="preserve">Alexander Pushkin (1799–1837): </w:t>
      </w:r>
      <w:r>
        <w:t>Created the first complete embodiment of the type in Eugene Onegin — an intelligent, educated, but bored and disengaged aristocrat incapable of sustained meaningful action or connection.</w:t>
      </w:r>
    </w:p>
    <w:p w14:paraId="04D15416" w14:textId="77777777" w:rsidR="00481048" w:rsidRDefault="00000000">
      <w:pPr>
        <w:pStyle w:val="ListParagraph"/>
        <w:numPr>
          <w:ilvl w:val="0"/>
          <w:numId w:val="2"/>
        </w:numPr>
        <w:spacing w:after="120"/>
      </w:pPr>
      <w:r>
        <w:rPr>
          <w:b/>
          <w:bCs/>
        </w:rPr>
        <w:t xml:space="preserve">Mikhail Lermontov (1814–1841): </w:t>
      </w:r>
      <w:r>
        <w:t>Extended the type in A Hero of Our Time (1840) through the character Pechorin, adding a darker, more nihilistic edge.</w:t>
      </w:r>
    </w:p>
    <w:p w14:paraId="6D937860" w14:textId="77777777" w:rsidR="00481048" w:rsidRDefault="00000000">
      <w:pPr>
        <w:pStyle w:val="ListParagraph"/>
        <w:numPr>
          <w:ilvl w:val="0"/>
          <w:numId w:val="2"/>
        </w:numPr>
        <w:spacing w:after="120"/>
      </w:pPr>
      <w:r>
        <w:rPr>
          <w:b/>
          <w:bCs/>
        </w:rPr>
        <w:t xml:space="preserve">Ivan Turgenev (1818–1883): </w:t>
      </w:r>
      <w:r>
        <w:t>Coined and popularized the term itself in The Diary of a Superfluous Man (1850), cementing it as a recognized literary category.</w:t>
      </w:r>
    </w:p>
    <w:p w14:paraId="4D7DF768" w14:textId="77777777" w:rsidR="00481048" w:rsidRDefault="00000000">
      <w:pPr>
        <w:pStyle w:val="ListParagraph"/>
        <w:numPr>
          <w:ilvl w:val="0"/>
          <w:numId w:val="2"/>
        </w:numPr>
        <w:spacing w:after="120"/>
      </w:pPr>
      <w:r>
        <w:rPr>
          <w:b/>
          <w:bCs/>
        </w:rPr>
        <w:t xml:space="preserve">Fyodor Dostoevsky (1821–1881): </w:t>
      </w:r>
      <w:r>
        <w:t>Took the superfluous man's alienation and intellectual paralysis and pushed it underground — literally and psychologically. The Underground Man retains the type's self-awareness and inability to act, but Dostoevsky strips away the aristocratic glamour, adds explicit poverty and social humiliation, and intensifies the self-loathing into something closer to psychological pathology than romantic ennui.</w:t>
      </w:r>
    </w:p>
    <w:p w14:paraId="74892646" w14:textId="77777777" w:rsidR="00481048" w:rsidRDefault="00000000">
      <w:pPr>
        <w:pStyle w:val="ListParagraph"/>
        <w:numPr>
          <w:ilvl w:val="0"/>
          <w:numId w:val="2"/>
        </w:numPr>
        <w:spacing w:after="120"/>
      </w:pPr>
      <w:r>
        <w:rPr>
          <w:b/>
          <w:bCs/>
        </w:rPr>
        <w:t xml:space="preserve">Friedrich Nietzsche and Franz Kafka: </w:t>
      </w:r>
      <w:r>
        <w:t>Both are frequently cited as direct literary heirs; Kafka's work, including The Metamorphosis, has been linked to the novella's themes of alienation, self-disgust, and entrapment within one's own consciousness.</w:t>
      </w:r>
    </w:p>
    <w:p w14:paraId="4C8E2EEF" w14:textId="77777777" w:rsidR="00481048" w:rsidRDefault="00000000">
      <w:pPr>
        <w:pStyle w:val="ListParagraph"/>
        <w:numPr>
          <w:ilvl w:val="0"/>
          <w:numId w:val="2"/>
        </w:numPr>
        <w:spacing w:after="120"/>
      </w:pPr>
      <w:r>
        <w:rPr>
          <w:b/>
          <w:bCs/>
        </w:rPr>
        <w:t xml:space="preserve">Jean-Paul Sartre (1905–1980): </w:t>
      </w:r>
      <w:r>
        <w:t>In Nausea (1938), created Antoine Roquentin, a lonely, alienated figure overwhelmed by the strangeness of existence — a character frequently compared to the Underground Man for his detachment and intellectualized disgust with ordinary life.</w:t>
      </w:r>
    </w:p>
    <w:p w14:paraId="05AB690F" w14:textId="77777777" w:rsidR="00481048" w:rsidRDefault="00000000">
      <w:pPr>
        <w:pStyle w:val="ListParagraph"/>
        <w:numPr>
          <w:ilvl w:val="0"/>
          <w:numId w:val="2"/>
        </w:numPr>
        <w:spacing w:after="120"/>
      </w:pPr>
      <w:r>
        <w:rPr>
          <w:b/>
          <w:bCs/>
        </w:rPr>
        <w:t xml:space="preserve">Albert Camus (1913–1960): </w:t>
      </w:r>
      <w:r>
        <w:t xml:space="preserve">In </w:t>
      </w:r>
      <w:proofErr w:type="gramStart"/>
      <w:r>
        <w:t>The</w:t>
      </w:r>
      <w:proofErr w:type="gramEnd"/>
      <w:r>
        <w:t xml:space="preserve"> Stranger (1942), created Meursault, an emotionally flat antihero condemned less for his crime than for his refusal to perform expected emotional responses — a </w:t>
      </w:r>
      <w:proofErr w:type="gramStart"/>
      <w:r>
        <w:t>character scholars</w:t>
      </w:r>
      <w:proofErr w:type="gramEnd"/>
      <w:r>
        <w:t xml:space="preserve"> frequently place in direct descent from the Underground Man's refusal to play by society's rules.</w:t>
      </w:r>
    </w:p>
    <w:p w14:paraId="1BEA1CF3" w14:textId="77777777" w:rsidR="00481048" w:rsidRDefault="00000000">
      <w:pPr>
        <w:pStyle w:val="ListParagraph"/>
        <w:numPr>
          <w:ilvl w:val="0"/>
          <w:numId w:val="2"/>
        </w:numPr>
        <w:spacing w:after="120"/>
      </w:pPr>
      <w:r>
        <w:rPr>
          <w:b/>
          <w:bCs/>
        </w:rPr>
        <w:lastRenderedPageBreak/>
        <w:t xml:space="preserve">Later 20th-century figures: </w:t>
      </w:r>
      <w:r>
        <w:t>Critics have extended the lineage into film, citing Travis Bickle in Martin Scorsese's Taxi Driver (1976) as a loose cinematic reworking of the Underground Man, and drawing looser comparisons to the narrator of David Fincher's Fight Club (1999).</w:t>
      </w:r>
    </w:p>
    <w:p w14:paraId="7F65481A" w14:textId="77777777" w:rsidR="00481048" w:rsidRDefault="00000000">
      <w:pPr>
        <w:pStyle w:val="Heading3"/>
      </w:pPr>
      <w:r>
        <w:t>3. Evidence and Reasoning Behind Each Interpretation</w:t>
      </w:r>
    </w:p>
    <w:p w14:paraId="6B8C05A1" w14:textId="77777777" w:rsidR="00481048" w:rsidRDefault="00000000">
      <w:pPr>
        <w:spacing w:after="200"/>
      </w:pPr>
      <w:r>
        <w:t xml:space="preserve">Scholars supporting the superfluous-man lineage point to shared traits across the type: intelligence and education, cynicism, an inability to act effectively or sustain relationships, and self-imposed isolation. The case for Dostoevsky's direct influence on later existentialist writers rests heavily on documented reading (Nietzsche read the novella in French) and on close textual parallels: both </w:t>
      </w:r>
      <w:proofErr w:type="spellStart"/>
      <w:r>
        <w:t>Roquentin</w:t>
      </w:r>
      <w:proofErr w:type="spellEnd"/>
      <w:r>
        <w:t xml:space="preserve"> and the Underground Man experience their alienation as an intellectualized, almost nauseating excess of self-consciousness, and both Meursault and the Underground Man are condemned by their societies less for concrete wrongdoing than for refusing to perform expected social and emotional scripts.</w:t>
      </w:r>
    </w:p>
    <w:p w14:paraId="75C0D8D0" w14:textId="77777777" w:rsidR="00481048" w:rsidRDefault="00000000">
      <w:pPr>
        <w:pStyle w:val="Heading3"/>
      </w:pPr>
      <w:r>
        <w:t>4. Agreements and Disagreements</w:t>
      </w:r>
    </w:p>
    <w:p w14:paraId="024A8FFD" w14:textId="77777777" w:rsidR="00481048" w:rsidRDefault="00000000">
      <w:pPr>
        <w:spacing w:after="200"/>
      </w:pPr>
      <w:r>
        <w:t xml:space="preserve">There is wide agreement that the Underground Man represents an intensification of the superfluous-man type rather than a wholly </w:t>
      </w:r>
      <w:proofErr w:type="gramStart"/>
      <w:r>
        <w:t>new invention</w:t>
      </w:r>
      <w:proofErr w:type="gramEnd"/>
      <w:r>
        <w:t xml:space="preserve"> — critics broadly accept the lineage from Onegin through </w:t>
      </w:r>
      <w:proofErr w:type="spellStart"/>
      <w:r>
        <w:t>Pechorin</w:t>
      </w:r>
      <w:proofErr w:type="spellEnd"/>
      <w:r>
        <w:t xml:space="preserve"> to the Underground Man. There is more disagreement over how directly the later existentialist writers were influenced by Dostoevsky specifically versus arriving at similar figures independently through their own philosophical commitments. Some scholars treat the resemblance between </w:t>
      </w:r>
      <w:proofErr w:type="spellStart"/>
      <w:r>
        <w:t>Roquentin</w:t>
      </w:r>
      <w:proofErr w:type="spellEnd"/>
      <w:r>
        <w:t xml:space="preserve"> or Meursault and the Underground Man as a direct line of literary influence; others caution that mid-20th-century French existentialism had its own independent philosophical sources (Husserl, Heidegger, Kierkegaard) and that the resemblance, while real, may reflect convergent concerns more than direct borrowing in every case.</w:t>
      </w:r>
    </w:p>
    <w:p w14:paraId="01828A19" w14:textId="77777777" w:rsidR="00481048" w:rsidRDefault="00000000">
      <w:pPr>
        <w:pStyle w:val="Heading3"/>
      </w:pPr>
      <w:r>
        <w:t>5. Internal Tensions and Turning Points</w:t>
      </w:r>
    </w:p>
    <w:p w14:paraId="07F88282" w14:textId="77777777" w:rsidR="00481048" w:rsidRDefault="00000000">
      <w:pPr>
        <w:spacing w:after="200"/>
      </w:pPr>
      <w:r>
        <w:t xml:space="preserve">A key turning point in the archetype's development is the shift from social to existential explanation. The superfluous man's paralysis was originally explained sociologically — a mismatch between an individual's education and his society's lack of outlets for him. With Dostoevsky, the explanation becomes more psychological and metaphysical: the Underground Man's paralysis stems from excessive self-consciousness as such, not merely from social mismatch. By the time the type reaches Sartre and Camus, the social dimension has receded further still, and the condition is treated as close to a universal feature of human consciousness confronting a meaningless universe, detached from any </w:t>
      </w:r>
      <w:proofErr w:type="gramStart"/>
      <w:r>
        <w:t>particular national</w:t>
      </w:r>
      <w:proofErr w:type="gramEnd"/>
      <w:r>
        <w:t xml:space="preserve"> or class context.</w:t>
      </w:r>
    </w:p>
    <w:p w14:paraId="63B359C9" w14:textId="77777777" w:rsidR="00481048" w:rsidRDefault="00000000">
      <w:pPr>
        <w:pStyle w:val="Heading3"/>
      </w:pPr>
      <w:r>
        <w:t>6. Unresolved Debates Today</w:t>
      </w:r>
    </w:p>
    <w:p w14:paraId="7288534F" w14:textId="77777777" w:rsidR="00481048" w:rsidRDefault="00000000">
      <w:pPr>
        <w:spacing w:after="200"/>
      </w:pPr>
      <w:r>
        <w:t>Scholars continue to debate whether the archetype should be read primarily as social critique (a diagnosis of a particular class or historical moment) or as a timeless psychological portrait applicable to any era. This mirrors a broader, unresolved question in Dostoevsky scholarship generally (noted in Prompt 1) about whether the Underground Man is historically specific or universal.</w:t>
      </w:r>
    </w:p>
    <w:p w14:paraId="72F0E134" w14:textId="77777777" w:rsidR="00481048" w:rsidRDefault="00000000">
      <w:pPr>
        <w:pStyle w:val="Heading3"/>
      </w:pPr>
      <w:r>
        <w:lastRenderedPageBreak/>
        <w:t>7. Tensions Leading to Later Change</w:t>
      </w:r>
    </w:p>
    <w:p w14:paraId="1DFC6A20" w14:textId="77777777" w:rsidR="00481048" w:rsidRDefault="00000000">
      <w:pPr>
        <w:spacing w:after="200"/>
      </w:pPr>
      <w:r>
        <w:t>The most significant later development is the archetype's migration out of the novel entirely and into popular culture, particularly film, where the brooding, alienated antihero became a durable commercial as well as literary type. This migration loosened the figure from its original philosophical stakes (free will versus determinism, rational egoism versus authentic self-assertion) while preserving its surface features (isolation, cynicism, self-sabotage), a tension between substance and style that scholars of the archetype's reception continue to examine.</w:t>
      </w:r>
    </w:p>
    <w:p w14:paraId="77800631" w14:textId="77777777" w:rsidR="00481048" w:rsidRDefault="00000000">
      <w:pPr>
        <w:pStyle w:val="Heading2"/>
      </w:pPr>
      <w:r>
        <w:t>Topic 3 — Freedom and the Positive/Negative Liberty Distinction</w:t>
      </w:r>
    </w:p>
    <w:p w14:paraId="057A8B54" w14:textId="77777777" w:rsidR="00481048" w:rsidRDefault="00000000">
      <w:pPr>
        <w:pStyle w:val="Heading3"/>
      </w:pPr>
      <w:r>
        <w:t>Introduction</w:t>
      </w:r>
    </w:p>
    <w:p w14:paraId="493FBCDA" w14:textId="77777777" w:rsidR="00481048" w:rsidRDefault="00000000">
      <w:pPr>
        <w:spacing w:after="200"/>
      </w:pPr>
      <w:r>
        <w:t>Given prior work tracing freedom as a concept (including in Stiglitz's The Road to Freedom), this topic traces how “freedom” as dramatized by the Underground Man — freedom as raw self-assertion, even self-destructive — relates to later philosophical distinctions like Isaiah Berlin's positive and negative liberty, and how critics have used Dostoevsky's portrayal to argue for or against certain conceptions of liberty in political philosophy.</w:t>
      </w:r>
    </w:p>
    <w:p w14:paraId="2D3CDEE6" w14:textId="77777777" w:rsidR="00481048" w:rsidRDefault="00000000">
      <w:pPr>
        <w:pStyle w:val="Heading3"/>
      </w:pPr>
      <w:r>
        <w:t>1. Earliest Origins</w:t>
      </w:r>
    </w:p>
    <w:p w14:paraId="133FE005" w14:textId="77777777" w:rsidR="00481048" w:rsidRDefault="00000000">
      <w:pPr>
        <w:spacing w:after="200"/>
      </w:pPr>
      <w:r>
        <w:t>The immediate origin of this debate, as with Topic 1, is the clash between Chernyshevsky's rationalist utopianism and Dostoevsky's response. But the philosophical vocabulary used to analyze that clash systematically — the positive/negative liberty distinction — was developed almost a century later, by the British philosopher and historian of ideas Isaiah Berlin, in his 1958 lecture “Two Concepts of Liberty.” Berlin distinguished negative liberty (freedom from interference by others) from positive liberty (freedom to achieve self-mastery or self-realization, often understood as requiring the presence of certain enabling conditions or capacities). Berlin himself was a scholar of Russian intellectual history — his essay collection Russian Thinkers examines Herzen, Bakunin, Turgenev, Belinsky, Tolstoy, and Dostoevsky as participants in a broader European debate over individual freedom versus authority, making him an unusually direct bridge between 19th-century Russian literature and 20th-century analytic political philosophy.</w:t>
      </w:r>
    </w:p>
    <w:p w14:paraId="1481D7B7" w14:textId="77777777" w:rsidR="00481048" w:rsidRDefault="00000000">
      <w:pPr>
        <w:pStyle w:val="Heading3"/>
      </w:pPr>
      <w:r>
        <w:t>2. Key Thinkers and Each Phase's Central Argument</w:t>
      </w:r>
    </w:p>
    <w:p w14:paraId="543D4E49" w14:textId="77777777" w:rsidR="00481048" w:rsidRDefault="00000000">
      <w:pPr>
        <w:pStyle w:val="ListParagraph"/>
        <w:numPr>
          <w:ilvl w:val="0"/>
          <w:numId w:val="2"/>
        </w:numPr>
        <w:spacing w:after="120"/>
      </w:pPr>
      <w:r>
        <w:rPr>
          <w:b/>
          <w:bCs/>
        </w:rPr>
        <w:t xml:space="preserve">Nikolai Chernyshevsky: </w:t>
      </w:r>
      <w:r>
        <w:t>Implicitly committed to something like positive liberty: true freedom, for the rational egoist, consists in acting according to correctly understood reason and self-interest, which in turn enables genuine self-realization within a well-ordered, rationally planned society (symbolized by the Crystal Palace).</w:t>
      </w:r>
    </w:p>
    <w:p w14:paraId="4EF1394F" w14:textId="77777777" w:rsidR="00481048" w:rsidRDefault="00000000">
      <w:pPr>
        <w:pStyle w:val="ListParagraph"/>
        <w:numPr>
          <w:ilvl w:val="0"/>
          <w:numId w:val="2"/>
        </w:numPr>
        <w:spacing w:after="120"/>
      </w:pPr>
      <w:r>
        <w:rPr>
          <w:b/>
          <w:bCs/>
        </w:rPr>
        <w:t xml:space="preserve">Fyodor Dostoevsky: </w:t>
      </w:r>
      <w:r>
        <w:t>The Underground Man dramatizes something closer to an extreme, almost pathological version of negative liberty — freedom understood purely as the absence of any constraint, including the constraint of reason or self-interest itself. He insists on the capacity to act against his own advantage precisely to prove that no system, however rationally optimized, controls him.</w:t>
      </w:r>
    </w:p>
    <w:p w14:paraId="17307008" w14:textId="77777777" w:rsidR="00481048" w:rsidRDefault="00000000">
      <w:pPr>
        <w:pStyle w:val="ListParagraph"/>
        <w:numPr>
          <w:ilvl w:val="0"/>
          <w:numId w:val="2"/>
        </w:numPr>
        <w:spacing w:after="120"/>
      </w:pPr>
      <w:r>
        <w:rPr>
          <w:b/>
          <w:bCs/>
        </w:rPr>
        <w:lastRenderedPageBreak/>
        <w:t xml:space="preserve">Isaiah Berlin (1909–1997): </w:t>
      </w:r>
      <w:r>
        <w:t>Decades later, formalized this kind of distinction philosophically. Negative liberty, in Berlin's framework, is the absence of obstacles, barriers, or interference from others; positive liberty is the presence of self-mastery, self-determination, or control over one's own life and circumstances. Berlin was explicitly wary of positive liberty's historical tendency toward authoritarian abuse, since claims about a person's “true” or “higher” self can be used to justify coercing their “lower” empirical self — a concern with clear echoes of his critique of Russian radical utopianism.</w:t>
      </w:r>
    </w:p>
    <w:p w14:paraId="38469EB3" w14:textId="77777777" w:rsidR="00481048" w:rsidRDefault="00000000">
      <w:pPr>
        <w:pStyle w:val="ListParagraph"/>
        <w:numPr>
          <w:ilvl w:val="0"/>
          <w:numId w:val="2"/>
        </w:numPr>
        <w:spacing w:after="120"/>
      </w:pPr>
      <w:r>
        <w:rPr>
          <w:b/>
          <w:bCs/>
        </w:rPr>
        <w:t xml:space="preserve">Later political theorists (e.g., Charles Taylor, Gerald MacCallum, contemporary critics on both left and right): </w:t>
      </w:r>
      <w:r>
        <w:t>Have revisited and complicated Berlin's distinction, with some arguing it is less clean than Berlin presented it, and others extending it into debates about welfare-state policy, libertarian theory, and the proper scope of state action.</w:t>
      </w:r>
    </w:p>
    <w:p w14:paraId="084310EC" w14:textId="77777777" w:rsidR="00481048" w:rsidRDefault="00000000">
      <w:pPr>
        <w:pStyle w:val="Heading3"/>
      </w:pPr>
      <w:r>
        <w:t>3. Evidence and Reasoning Behind Each Interpretation</w:t>
      </w:r>
    </w:p>
    <w:p w14:paraId="0FECE3B0" w14:textId="77777777" w:rsidR="00481048" w:rsidRDefault="00000000">
      <w:pPr>
        <w:spacing w:after="200"/>
      </w:pPr>
      <w:r>
        <w:t>Chernyshevsky's positive-liberty-adjacent view rests on the claim that ignorance and bad social structures, not human nature itself, are what prevent people from achieving rational self-mastery; remove these obstacles through education and rational social organization, and genuine freedom (understood as alignment with one's true, rational interest) follows. Dostoevsky's negative-liberty-adjacent view rests on the opposite intuition: that any system claiming to identify a person's “true” rational interest for them, however benevolently, is itself a form of domination, and that genuine freedom requires the standing capacity to refuse even what is good for you. Berlin's own argument draws on historical evidence of 20th-century totalitarian movements that justified coercion in the name of helping people achieve their “true” or “higher” freedom — a pattern he saw foreshadowed in 19th-century Russian radical thought.</w:t>
      </w:r>
    </w:p>
    <w:p w14:paraId="0DE78206" w14:textId="77777777" w:rsidR="00481048" w:rsidRDefault="00000000">
      <w:pPr>
        <w:pStyle w:val="Heading3"/>
      </w:pPr>
      <w:r>
        <w:t>4. Agreements and Disagreements</w:t>
      </w:r>
    </w:p>
    <w:p w14:paraId="0573E4AB" w14:textId="77777777" w:rsidR="00481048" w:rsidRDefault="00000000">
      <w:pPr>
        <w:spacing w:after="200"/>
      </w:pPr>
      <w:r>
        <w:t>There is broad agreement that the Underground Man's conception of freedom is extreme even within a negative-liberty framework — most negative-liberty theorists do not go so far as to celebrate self-harm as proof of freedom; Berlin himself was not committed to that conclusion and saw negative liberty as compatible with prudent, self-interested choice. Scholars disagree, however, about whether Dostoevsky's portrayal should be read as an argument for negative liberty in Berlin's sense, or as a critique of any purely formal conception of freedom that does not also specify what freedom is for. Some readers argue the Underground Man's empty, directionless freedom is itself Dostoevsky's critique — he is not endorsing this kind of freedom but showing its emptiness without a moral or spiritual framework (the Christian content removed by censorship, as discussed in Prompt 1) to give it purpose.</w:t>
      </w:r>
    </w:p>
    <w:p w14:paraId="4A182859" w14:textId="77777777" w:rsidR="00481048" w:rsidRDefault="00000000">
      <w:pPr>
        <w:pStyle w:val="Heading3"/>
      </w:pPr>
      <w:r>
        <w:t>5. Internal Tensions and Turning Points</w:t>
      </w:r>
    </w:p>
    <w:p w14:paraId="1BD0A8F7" w14:textId="77777777" w:rsidR="00481048" w:rsidRDefault="00000000">
      <w:pPr>
        <w:spacing w:after="200"/>
      </w:pPr>
      <w:r>
        <w:t xml:space="preserve">A central tension, noted by Berlin himself across his work on Russian thinkers, is that the same 19th-century Russian intelligentsia produced both the rationalist-utopian and the anti-rationalist-individualist strands of thought, often within the same generation and sometimes within the same person's intellectual development. Berlin treats this tension — between the </w:t>
      </w:r>
      <w:r>
        <w:lastRenderedPageBreak/>
        <w:t>drive toward collective rational organization and the instinct toward individual self-assertion — as one of the defining features of the period, not a simple two-sided debate but a recurring fault line running through Russian intellectual history generally.</w:t>
      </w:r>
    </w:p>
    <w:p w14:paraId="2EEEBBE9" w14:textId="77777777" w:rsidR="00481048" w:rsidRDefault="00000000">
      <w:pPr>
        <w:pStyle w:val="Heading3"/>
      </w:pPr>
      <w:r>
        <w:t>6. Unresolved Debates Today</w:t>
      </w:r>
    </w:p>
    <w:p w14:paraId="17ABAB9E" w14:textId="77777777" w:rsidR="00481048" w:rsidRDefault="00000000">
      <w:pPr>
        <w:spacing w:after="200"/>
      </w:pPr>
      <w:r>
        <w:t>Contemporary political philosophy still debates whether Berlin's two-concepts framework adequately captures the full range of ways “freedom” is used, with some critics (from both libertarian and communitarian directions) arguing the distinction collapses under scrutiny or smuggles in contestable assumptions about what counts as “interference” versus “self-mastery.” Applied back to Dostoevsky, this unresolved philosophical debate leaves open exactly which side, if either, Notes from Underground should be read as supporting.</w:t>
      </w:r>
    </w:p>
    <w:p w14:paraId="2FE39B4D" w14:textId="77777777" w:rsidR="00481048" w:rsidRDefault="00000000">
      <w:pPr>
        <w:pStyle w:val="Heading3"/>
      </w:pPr>
      <w:r>
        <w:t>7. Tensions Leading to Later Change</w:t>
      </w:r>
    </w:p>
    <w:p w14:paraId="49C996B7" w14:textId="77777777" w:rsidR="00481048" w:rsidRDefault="00000000">
      <w:pPr>
        <w:spacing w:after="200"/>
      </w:pPr>
      <w:r>
        <w:t>The tension Berlin identified — between freedom as the absence of interference and freedom as a positive capacity requiring social or material support — fed directly into 20th-century debates over the welfare state, economic planning, and human rights frameworks, where the same basic question recurs: does genuine freedom require merely the absence of coercion, or does it also require positive conditions (education, economic security, health) that enable people to exercise it meaningfully? This is the same underlying disagreement dramatized a century earlier in miniature by Chernyshevsky and Dostoevsky, suggesting the literary debate anticipated, rather than merely illustrated, a recurring structural problem in political philosophy.</w:t>
      </w:r>
    </w:p>
    <w:p w14:paraId="55A7B7BB" w14:textId="77777777" w:rsidR="00481048" w:rsidRDefault="00000000">
      <w:pPr>
        <w:pStyle w:val="Heading2"/>
      </w:pPr>
      <w:r>
        <w:t>A. Resources</w:t>
      </w:r>
    </w:p>
    <w:p w14:paraId="1E406531" w14:textId="77777777" w:rsidR="00481048" w:rsidRDefault="00000000">
      <w:pPr>
        <w:pStyle w:val="Heading3"/>
      </w:pPr>
      <w:r>
        <w:t>Freely Available</w:t>
      </w:r>
    </w:p>
    <w:p w14:paraId="2776BDA1" w14:textId="77777777" w:rsidR="00481048" w:rsidRDefault="00000000">
      <w:pPr>
        <w:pStyle w:val="ListParagraph"/>
        <w:numPr>
          <w:ilvl w:val="0"/>
          <w:numId w:val="2"/>
        </w:numPr>
        <w:spacing w:after="120"/>
      </w:pPr>
      <w:r>
        <w:rPr>
          <w:b/>
          <w:bCs/>
        </w:rPr>
        <w:t>Two Concepts of Liberty — Wikipedia.</w:t>
      </w:r>
      <w:r>
        <w:t xml:space="preserve"> Overview of Berlin's essay and its reception, including critiques; drawn on directly.</w:t>
      </w:r>
    </w:p>
    <w:p w14:paraId="11557F24" w14:textId="77777777" w:rsidR="00481048" w:rsidRDefault="00000000">
      <w:pPr>
        <w:pStyle w:val="ListParagraph"/>
        <w:numPr>
          <w:ilvl w:val="0"/>
          <w:numId w:val="2"/>
        </w:numPr>
        <w:spacing w:after="120"/>
      </w:pPr>
      <w:r>
        <w:rPr>
          <w:b/>
          <w:bCs/>
        </w:rPr>
        <w:t>Positive and Negative Liberty — Stanford Encyclopedia of Philosophy.</w:t>
      </w:r>
      <w:r>
        <w:t xml:space="preserve"> Authoritative philosophical overview of the distinction; drawn on directly.</w:t>
      </w:r>
    </w:p>
    <w:p w14:paraId="17FB3DA8" w14:textId="77777777" w:rsidR="00481048" w:rsidRDefault="00000000">
      <w:pPr>
        <w:pStyle w:val="ListParagraph"/>
        <w:numPr>
          <w:ilvl w:val="0"/>
          <w:numId w:val="2"/>
        </w:numPr>
        <w:spacing w:after="120"/>
      </w:pPr>
      <w:r>
        <w:rPr>
          <w:b/>
          <w:bCs/>
        </w:rPr>
        <w:t>“Tools for thinking: Isaiah Berlin's two concepts of freedom” — Aeon Ideas.</w:t>
      </w:r>
      <w:r>
        <w:t xml:space="preserve"> Accessible explanation of negative and positive liberty; drawn on directly.</w:t>
      </w:r>
    </w:p>
    <w:p w14:paraId="1C7904A4" w14:textId="77777777" w:rsidR="00481048" w:rsidRDefault="00000000">
      <w:pPr>
        <w:pStyle w:val="ListParagraph"/>
        <w:numPr>
          <w:ilvl w:val="0"/>
          <w:numId w:val="2"/>
        </w:numPr>
        <w:spacing w:after="120"/>
      </w:pPr>
      <w:r>
        <w:rPr>
          <w:b/>
          <w:bCs/>
        </w:rPr>
        <w:t>Superfluous Man — Wikipedia.</w:t>
      </w:r>
      <w:r>
        <w:t xml:space="preserve"> Overview of the archetype's origins in Pushkin, Lermontov, and Turgenev; drawn on directly.</w:t>
      </w:r>
    </w:p>
    <w:p w14:paraId="69B3BA4D" w14:textId="77777777" w:rsidR="00481048" w:rsidRDefault="00000000">
      <w:pPr>
        <w:pStyle w:val="ListParagraph"/>
        <w:numPr>
          <w:ilvl w:val="0"/>
          <w:numId w:val="2"/>
        </w:numPr>
        <w:spacing w:after="120"/>
      </w:pPr>
      <w:r>
        <w:rPr>
          <w:b/>
          <w:bCs/>
        </w:rPr>
        <w:t>Superfluous Man — Britannica.</w:t>
      </w:r>
      <w:r>
        <w:t xml:space="preserve"> Concise scholarly summary of the archetype; drawn on directly.</w:t>
      </w:r>
    </w:p>
    <w:p w14:paraId="2EFF1B0D" w14:textId="77777777" w:rsidR="00481048" w:rsidRDefault="00000000">
      <w:pPr>
        <w:pStyle w:val="ListParagraph"/>
        <w:numPr>
          <w:ilvl w:val="0"/>
          <w:numId w:val="2"/>
        </w:numPr>
        <w:spacing w:after="120"/>
      </w:pPr>
      <w:r>
        <w:rPr>
          <w:b/>
          <w:bCs/>
        </w:rPr>
        <w:t>“Reading for the Conflicted: 11 Existential Classics” (</w:t>
      </w:r>
      <w:proofErr w:type="spellStart"/>
      <w:r>
        <w:rPr>
          <w:b/>
          <w:bCs/>
        </w:rPr>
        <w:t>Flavorwire</w:t>
      </w:r>
      <w:proofErr w:type="spellEnd"/>
      <w:r>
        <w:rPr>
          <w:b/>
          <w:bCs/>
        </w:rPr>
        <w:t>).</w:t>
      </w:r>
      <w:r>
        <w:t xml:space="preserve"> Discusses Camus's framing of Meursault alongside Notes from Underground; drawn on directly.</w:t>
      </w:r>
    </w:p>
    <w:p w14:paraId="0BBD9DF7" w14:textId="77777777" w:rsidR="00481048" w:rsidRDefault="00000000">
      <w:pPr>
        <w:pStyle w:val="ListParagraph"/>
        <w:numPr>
          <w:ilvl w:val="0"/>
          <w:numId w:val="2"/>
        </w:numPr>
        <w:spacing w:after="120"/>
      </w:pPr>
      <w:r>
        <w:rPr>
          <w:b/>
          <w:bCs/>
        </w:rPr>
        <w:t xml:space="preserve">“5 Books Like </w:t>
      </w:r>
      <w:proofErr w:type="gramStart"/>
      <w:r>
        <w:rPr>
          <w:b/>
          <w:bCs/>
        </w:rPr>
        <w:t>The</w:t>
      </w:r>
      <w:proofErr w:type="gramEnd"/>
      <w:r>
        <w:rPr>
          <w:b/>
          <w:bCs/>
        </w:rPr>
        <w:t xml:space="preserve"> Stranger by Albert Camus” (Reader Habitat).</w:t>
      </w:r>
      <w:r>
        <w:t xml:space="preserve"> Draws explicit comparison between the Underground Man, Meursault, and </w:t>
      </w:r>
      <w:proofErr w:type="spellStart"/>
      <w:r>
        <w:t>Roquentin</w:t>
      </w:r>
      <w:proofErr w:type="spellEnd"/>
      <w:r>
        <w:t xml:space="preserve">; drawn on </w:t>
      </w:r>
      <w:r>
        <w:lastRenderedPageBreak/>
        <w:t>directly. Flagged: a general-audience book-recommendation site rather than a peer-reviewed source — useful for orientation, lower scholarly weight.</w:t>
      </w:r>
    </w:p>
    <w:p w14:paraId="0461B0DA" w14:textId="77777777" w:rsidR="00481048" w:rsidRDefault="00000000">
      <w:pPr>
        <w:pStyle w:val="ListParagraph"/>
        <w:numPr>
          <w:ilvl w:val="0"/>
          <w:numId w:val="2"/>
        </w:numPr>
        <w:spacing w:after="120"/>
      </w:pPr>
      <w:r>
        <w:rPr>
          <w:b/>
          <w:bCs/>
        </w:rPr>
        <w:t>Goodreads/Amazon listings and summaries for Isaiah Berlin's Russian Thinkers.</w:t>
      </w:r>
      <w:r>
        <w:t xml:space="preserve"> Used to confirm the book's scope and contents (Herzen, Bakunin, Turgenev, Belinsky, Tolstoy, Dostoevsky); drawn on directly. Flagged as secondary, non-scholarly sources used only for bibliographic confirmation.</w:t>
      </w:r>
    </w:p>
    <w:p w14:paraId="32CA3D70" w14:textId="77777777" w:rsidR="00481048" w:rsidRDefault="00000000">
      <w:pPr>
        <w:pStyle w:val="Heading3"/>
      </w:pPr>
      <w:r>
        <w:t>Non-Free / Scholarly (up to 10)</w:t>
      </w:r>
    </w:p>
    <w:p w14:paraId="13A3CBE7" w14:textId="77777777" w:rsidR="00481048" w:rsidRDefault="00000000">
      <w:pPr>
        <w:pStyle w:val="ListParagraph"/>
        <w:numPr>
          <w:ilvl w:val="0"/>
          <w:numId w:val="3"/>
        </w:numPr>
        <w:spacing w:after="120"/>
      </w:pPr>
      <w:r>
        <w:rPr>
          <w:b/>
          <w:bCs/>
        </w:rPr>
        <w:t>Isaiah Berlin, “Two Concepts of Liberty”, in Four Essays on Liberty / Liberty, ed. Henry Hardy (Oxford University Press).</w:t>
      </w:r>
      <w:r>
        <w:t xml:space="preserve"> The foundational text for the positive/negative liberty distinction; essential primary reading. High confidence.</w:t>
      </w:r>
    </w:p>
    <w:p w14:paraId="0DD22B12" w14:textId="77777777" w:rsidR="00481048" w:rsidRDefault="00000000">
      <w:pPr>
        <w:pStyle w:val="ListParagraph"/>
        <w:numPr>
          <w:ilvl w:val="0"/>
          <w:numId w:val="3"/>
        </w:numPr>
        <w:spacing w:after="120"/>
      </w:pPr>
      <w:r>
        <w:rPr>
          <w:b/>
          <w:bCs/>
        </w:rPr>
        <w:t>Isaiah Berlin, Russian Thinkers, ed. Henry Hardy and Aileen Kelly (Penguin / Viking).</w:t>
      </w:r>
      <w:r>
        <w:t xml:space="preserve"> Collects Berlin's essays on Herzen, Bakunin, Turgenev, Belinsky, and Tolstoy, situating Dostoevsky within the broader 19th-century Russian freedom-versus-authority debate. High confidence this exists and is accurately described, though I have not read it directly.</w:t>
      </w:r>
    </w:p>
    <w:p w14:paraId="52CB1653" w14:textId="77777777" w:rsidR="00481048" w:rsidRDefault="00000000">
      <w:pPr>
        <w:pStyle w:val="ListParagraph"/>
        <w:numPr>
          <w:ilvl w:val="0"/>
          <w:numId w:val="3"/>
        </w:numPr>
        <w:spacing w:after="120"/>
      </w:pPr>
      <w:r>
        <w:rPr>
          <w:b/>
          <w:bCs/>
        </w:rPr>
        <w:t xml:space="preserve">Nikolai Chernyshevsky, What Is to Be </w:t>
      </w:r>
      <w:proofErr w:type="gramStart"/>
      <w:r>
        <w:rPr>
          <w:b/>
          <w:bCs/>
        </w:rPr>
        <w:t>Done?,</w:t>
      </w:r>
      <w:proofErr w:type="gramEnd"/>
      <w:r>
        <w:rPr>
          <w:b/>
          <w:bCs/>
        </w:rPr>
        <w:t xml:space="preserve"> trans. Michael R. Katz (Cornell University Press, 1989).</w:t>
      </w:r>
      <w:r>
        <w:t xml:space="preserve"> The primary text underlying both Topic 1 and Topic 3; essential paired reading.</w:t>
      </w:r>
    </w:p>
    <w:p w14:paraId="54243E40" w14:textId="77777777" w:rsidR="00481048" w:rsidRDefault="00000000">
      <w:pPr>
        <w:pStyle w:val="ListParagraph"/>
        <w:numPr>
          <w:ilvl w:val="0"/>
          <w:numId w:val="3"/>
        </w:numPr>
        <w:spacing w:after="120"/>
      </w:pPr>
      <w:r>
        <w:rPr>
          <w:b/>
          <w:bCs/>
        </w:rPr>
        <w:t xml:space="preserve">Michael Hannon, “An Analysis of Freedom and Rational Egoism in Notes </w:t>
      </w:r>
      <w:proofErr w:type="gramStart"/>
      <w:r>
        <w:rPr>
          <w:b/>
          <w:bCs/>
        </w:rPr>
        <w:t>From</w:t>
      </w:r>
      <w:proofErr w:type="gramEnd"/>
      <w:r>
        <w:rPr>
          <w:b/>
          <w:bCs/>
        </w:rPr>
        <w:t xml:space="preserve"> Underground,” Sophia Journal of Philosophy, vol. 9 (2006).</w:t>
      </w:r>
      <w:r>
        <w:t xml:space="preserve"> Focused philosophical treatment of the Chernyshevsky–Dostoevsky debate; drawn on directly (also listed in Prompt 1). Note this is freely accessible, so it could arguably move to the free list.</w:t>
      </w:r>
    </w:p>
    <w:p w14:paraId="0D74FDC3" w14:textId="77777777" w:rsidR="00481048" w:rsidRDefault="00000000">
      <w:pPr>
        <w:pStyle w:val="ListParagraph"/>
        <w:numPr>
          <w:ilvl w:val="0"/>
          <w:numId w:val="3"/>
        </w:numPr>
        <w:spacing w:after="120"/>
      </w:pPr>
      <w:r>
        <w:rPr>
          <w:b/>
          <w:bCs/>
        </w:rPr>
        <w:t>James Scanlan, Dostoevsky the Thinker (Cornell University Press, 2002).</w:t>
      </w:r>
      <w:r>
        <w:t xml:space="preserve"> Respected study of Dostoevsky's philosophical positions on free will and rational egoism. Moderate-to-high confidence.</w:t>
      </w:r>
    </w:p>
    <w:p w14:paraId="5C37D384" w14:textId="77777777" w:rsidR="00481048" w:rsidRDefault="00000000">
      <w:pPr>
        <w:pStyle w:val="ListParagraph"/>
        <w:numPr>
          <w:ilvl w:val="0"/>
          <w:numId w:val="3"/>
        </w:numPr>
        <w:spacing w:after="120"/>
      </w:pPr>
      <w:r>
        <w:rPr>
          <w:b/>
          <w:bCs/>
        </w:rPr>
        <w:t>Joseph Frank, Dostoevsky: The Years of Ordeal, 1850–1859 and subsequent biography volumes (Princeton University Press).</w:t>
      </w:r>
      <w:r>
        <w:t xml:space="preserve"> The standard scholarly biography, providing essential context for Dostoevsky's intellectual development across all three topics. High confidence this exists and is highly regarded; not read directly.</w:t>
      </w:r>
    </w:p>
    <w:p w14:paraId="64BA5933" w14:textId="77777777" w:rsidR="00481048" w:rsidRDefault="00000000">
      <w:pPr>
        <w:pStyle w:val="ListParagraph"/>
        <w:numPr>
          <w:ilvl w:val="0"/>
          <w:numId w:val="3"/>
        </w:numPr>
        <w:spacing w:after="120"/>
      </w:pPr>
      <w:r>
        <w:rPr>
          <w:b/>
          <w:bCs/>
        </w:rPr>
        <w:t>Robert Louis Jackson, Dostoevsky's Underground Man in Russian Literature (Mouton, 1958).</w:t>
      </w:r>
      <w:r>
        <w:t xml:space="preserve"> Early and frequently cited scholarly study connecting the Underground Man to the broader Russian literary tradition. Moderate confidence in title/description — flagged for verification.</w:t>
      </w:r>
    </w:p>
    <w:p w14:paraId="5BFCE918" w14:textId="77777777" w:rsidR="00481048" w:rsidRDefault="00000000">
      <w:pPr>
        <w:pStyle w:val="ListParagraph"/>
        <w:numPr>
          <w:ilvl w:val="0"/>
          <w:numId w:val="3"/>
        </w:numPr>
        <w:spacing w:after="120"/>
      </w:pPr>
      <w:r>
        <w:rPr>
          <w:b/>
          <w:bCs/>
        </w:rPr>
        <w:t>Gerald C. MacCallum, “Negative and Positive Freedom,” The Philosophical Review (1967).</w:t>
      </w:r>
      <w:r>
        <w:t xml:space="preserve"> Influential philosophical critique/refinement of Berlin's distinction, frequently cited in follow-up scholarship. Moderate confidence in the precise citation details — flagged for verification.</w:t>
      </w:r>
    </w:p>
    <w:p w14:paraId="10872952" w14:textId="77777777" w:rsidR="00481048" w:rsidRDefault="00000000">
      <w:pPr>
        <w:pStyle w:val="ListParagraph"/>
        <w:numPr>
          <w:ilvl w:val="0"/>
          <w:numId w:val="3"/>
        </w:numPr>
        <w:spacing w:after="120"/>
      </w:pPr>
      <w:r>
        <w:rPr>
          <w:b/>
          <w:bCs/>
        </w:rPr>
        <w:t>Charles Taylor, “What's Wrong with Negative Liberty,” in Philosophy and the Human Sciences (Cambridge University Press, 1985).</w:t>
      </w:r>
      <w:r>
        <w:t xml:space="preserve"> A well-known critique of Berlin's negative-</w:t>
      </w:r>
      <w:r>
        <w:lastRenderedPageBreak/>
        <w:t>liberty concept from a positive-liberty-sympathetic perspective. Moderate confidence — flagged for verification of exact publication details.</w:t>
      </w:r>
    </w:p>
    <w:p w14:paraId="2C48DBF9" w14:textId="77777777" w:rsidR="00481048" w:rsidRDefault="00000000">
      <w:pPr>
        <w:pStyle w:val="ListParagraph"/>
        <w:numPr>
          <w:ilvl w:val="0"/>
          <w:numId w:val="3"/>
        </w:numPr>
        <w:spacing w:after="120"/>
      </w:pPr>
      <w:r>
        <w:rPr>
          <w:b/>
          <w:bCs/>
        </w:rPr>
        <w:t>Edward Wasiolek, Dostoevsky: The Major Fiction (MIT Press, 1964).</w:t>
      </w:r>
      <w:r>
        <w:t xml:space="preserve"> Contains a respected philosophically oriented chapter on Notes from Underground relevant to all three topics (also listed in Prompt 1). Reasonably confident in this description but flagging it as drawn from secondary references.</w:t>
      </w:r>
    </w:p>
    <w:p w14:paraId="022BA73E" w14:textId="77777777" w:rsidR="00481048" w:rsidRDefault="00000000">
      <w:pPr>
        <w:pStyle w:val="Heading2"/>
      </w:pPr>
      <w:r>
        <w:t>B. Glossary</w:t>
      </w:r>
    </w:p>
    <w:p w14:paraId="5FBBA972" w14:textId="77777777" w:rsidR="00481048" w:rsidRDefault="00000000">
      <w:pPr>
        <w:spacing w:after="200"/>
      </w:pPr>
      <w:r>
        <w:rPr>
          <w:b/>
          <w:bCs/>
        </w:rPr>
        <w:t xml:space="preserve">Crystal Palace: </w:t>
      </w:r>
      <w:r>
        <w:t>A symbol, borrowed from the 1851 London exhibition hall, used by Chernyshevsky to represent a rationally engineered utopian society; the Underground Man mocks it as inhuman.</w:t>
      </w:r>
    </w:p>
    <w:p w14:paraId="3D6075E6" w14:textId="77777777" w:rsidR="00481048" w:rsidRDefault="00000000">
      <w:pPr>
        <w:spacing w:after="200"/>
      </w:pPr>
      <w:r>
        <w:rPr>
          <w:b/>
          <w:bCs/>
        </w:rPr>
        <w:t xml:space="preserve">Negative liberty: </w:t>
      </w:r>
      <w:r>
        <w:t>In Isaiah Berlin's framework, freedom understood as the absence of interference, obstacles, or constraints imposed by others.</w:t>
      </w:r>
    </w:p>
    <w:p w14:paraId="3897D039" w14:textId="77777777" w:rsidR="00481048" w:rsidRDefault="00000000">
      <w:pPr>
        <w:spacing w:after="200"/>
      </w:pPr>
      <w:r>
        <w:rPr>
          <w:b/>
          <w:bCs/>
        </w:rPr>
        <w:t xml:space="preserve">Positive liberty: </w:t>
      </w:r>
      <w:r>
        <w:t>In Isaiah Berlin's framework, freedom understood as the presence of self-mastery, self-determination, or the capacity for self-realization.</w:t>
      </w:r>
    </w:p>
    <w:p w14:paraId="331BE21D" w14:textId="77777777" w:rsidR="00481048" w:rsidRDefault="00000000">
      <w:pPr>
        <w:spacing w:after="200"/>
      </w:pPr>
      <w:r>
        <w:rPr>
          <w:b/>
          <w:bCs/>
        </w:rPr>
        <w:t xml:space="preserve">Rational egoism: </w:t>
      </w:r>
      <w:r>
        <w:t>Chernyshevsky's theory that humans, once they correctly understand their own self-interest, will act both rationally and benevolently, making social harmony achievable through education and reason.</w:t>
      </w:r>
    </w:p>
    <w:p w14:paraId="4FBE5058" w14:textId="77777777" w:rsidR="00481048" w:rsidRDefault="00000000">
      <w:pPr>
        <w:spacing w:after="200"/>
      </w:pPr>
      <w:r>
        <w:rPr>
          <w:b/>
          <w:bCs/>
        </w:rPr>
        <w:t xml:space="preserve">Ressentiment: </w:t>
      </w:r>
      <w:r>
        <w:t>A term associated with Nietzsche (and applicable to readings of the Underground Man) describing a corrosive psychological state of resentment that shapes a person's values and self-understanding.</w:t>
      </w:r>
    </w:p>
    <w:p w14:paraId="531D29B1" w14:textId="77777777" w:rsidR="00481048" w:rsidRDefault="00000000">
      <w:pPr>
        <w:spacing w:after="200"/>
      </w:pPr>
      <w:r>
        <w:rPr>
          <w:b/>
          <w:bCs/>
        </w:rPr>
        <w:t>Superfluous man (</w:t>
      </w:r>
      <w:proofErr w:type="spellStart"/>
      <w:r>
        <w:rPr>
          <w:b/>
          <w:bCs/>
        </w:rPr>
        <w:t>lishny</w:t>
      </w:r>
      <w:proofErr w:type="spellEnd"/>
      <w:r>
        <w:rPr>
          <w:b/>
          <w:bCs/>
        </w:rPr>
        <w:t xml:space="preserve"> </w:t>
      </w:r>
      <w:proofErr w:type="spellStart"/>
      <w:r>
        <w:rPr>
          <w:b/>
          <w:bCs/>
        </w:rPr>
        <w:t>chelovek</w:t>
      </w:r>
      <w:proofErr w:type="spellEnd"/>
      <w:r>
        <w:rPr>
          <w:b/>
          <w:bCs/>
        </w:rPr>
        <w:t xml:space="preserve">): </w:t>
      </w:r>
      <w:r>
        <w:t>A 19th-century Russian literary archetype: an intelligent, educated aristocrat rendered cynical and incapable of effective action by the gap between his ideals and his society.</w:t>
      </w:r>
    </w:p>
    <w:p w14:paraId="20D55075" w14:textId="77777777" w:rsidR="00481048" w:rsidRDefault="00000000">
      <w:pPr>
        <w:spacing w:after="200"/>
      </w:pPr>
      <w:r>
        <w:rPr>
          <w:b/>
          <w:bCs/>
        </w:rPr>
        <w:t xml:space="preserve">Underground Man: </w:t>
      </w:r>
      <w:r>
        <w:t>The unnamed narrator and protagonist of Notes from Underground; critics' conventional name for him, since he is never named in the text.</w:t>
      </w:r>
    </w:p>
    <w:p w14:paraId="327C5439" w14:textId="77777777" w:rsidR="00481048" w:rsidRDefault="00000000">
      <w:pPr>
        <w:spacing w:after="200"/>
      </w:pPr>
      <w:r>
        <w:rPr>
          <w:b/>
          <w:bCs/>
        </w:rPr>
        <w:t xml:space="preserve">Utilitarianism: </w:t>
      </w:r>
      <w:r>
        <w:t>The ethical theory, associated with Jeremy Bentham, that the right action is the one producing the greatest aggregate happiness or utility.</w:t>
      </w:r>
    </w:p>
    <w:p w14:paraId="66B7DFA1" w14:textId="77777777" w:rsidR="00481048" w:rsidRDefault="00481048">
      <w:pPr>
        <w:spacing w:after="200"/>
      </w:pPr>
    </w:p>
    <w:p w14:paraId="370B03EC" w14:textId="77777777" w:rsidR="00481048" w:rsidRDefault="00000000">
      <w:pPr>
        <w:spacing w:after="200"/>
      </w:pPr>
      <w:r>
        <w:t>=========================================</w:t>
      </w:r>
    </w:p>
    <w:p w14:paraId="3CA245CF" w14:textId="77777777" w:rsidR="00481048" w:rsidRDefault="00481048">
      <w:pPr>
        <w:spacing w:after="200"/>
      </w:pPr>
    </w:p>
    <w:sectPr w:rsidR="004810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292696"/>
    <w:multiLevelType w:val="hybridMultilevel"/>
    <w:tmpl w:val="E92AA148"/>
    <w:lvl w:ilvl="0" w:tplc="BB18FA26">
      <w:start w:val="1"/>
      <w:numFmt w:val="bullet"/>
      <w:lvlText w:val="●"/>
      <w:lvlJc w:val="left"/>
      <w:pPr>
        <w:ind w:left="720" w:hanging="360"/>
      </w:pPr>
    </w:lvl>
    <w:lvl w:ilvl="1" w:tplc="2D300DEC">
      <w:start w:val="1"/>
      <w:numFmt w:val="bullet"/>
      <w:lvlText w:val="○"/>
      <w:lvlJc w:val="left"/>
      <w:pPr>
        <w:ind w:left="1440" w:hanging="360"/>
      </w:pPr>
    </w:lvl>
    <w:lvl w:ilvl="2" w:tplc="66926288">
      <w:start w:val="1"/>
      <w:numFmt w:val="bullet"/>
      <w:lvlText w:val="■"/>
      <w:lvlJc w:val="left"/>
      <w:pPr>
        <w:ind w:left="2160" w:hanging="360"/>
      </w:pPr>
    </w:lvl>
    <w:lvl w:ilvl="3" w:tplc="8BE43CA2">
      <w:start w:val="1"/>
      <w:numFmt w:val="bullet"/>
      <w:lvlText w:val="●"/>
      <w:lvlJc w:val="left"/>
      <w:pPr>
        <w:ind w:left="2880" w:hanging="360"/>
      </w:pPr>
    </w:lvl>
    <w:lvl w:ilvl="4" w:tplc="77F20CE0">
      <w:start w:val="1"/>
      <w:numFmt w:val="bullet"/>
      <w:lvlText w:val="○"/>
      <w:lvlJc w:val="left"/>
      <w:pPr>
        <w:ind w:left="3600" w:hanging="360"/>
      </w:pPr>
    </w:lvl>
    <w:lvl w:ilvl="5" w:tplc="554E1036">
      <w:start w:val="1"/>
      <w:numFmt w:val="bullet"/>
      <w:lvlText w:val="■"/>
      <w:lvlJc w:val="left"/>
      <w:pPr>
        <w:ind w:left="4320" w:hanging="360"/>
      </w:pPr>
    </w:lvl>
    <w:lvl w:ilvl="6" w:tplc="2D44DBEE">
      <w:start w:val="1"/>
      <w:numFmt w:val="bullet"/>
      <w:lvlText w:val="●"/>
      <w:lvlJc w:val="left"/>
      <w:pPr>
        <w:ind w:left="5040" w:hanging="360"/>
      </w:pPr>
    </w:lvl>
    <w:lvl w:ilvl="7" w:tplc="EC2C0E8A">
      <w:start w:val="1"/>
      <w:numFmt w:val="bullet"/>
      <w:lvlText w:val="●"/>
      <w:lvlJc w:val="left"/>
      <w:pPr>
        <w:ind w:left="5760" w:hanging="360"/>
      </w:pPr>
    </w:lvl>
    <w:lvl w:ilvl="8" w:tplc="04707B26">
      <w:start w:val="1"/>
      <w:numFmt w:val="bullet"/>
      <w:lvlText w:val="●"/>
      <w:lvlJc w:val="left"/>
      <w:pPr>
        <w:ind w:left="6480" w:hanging="360"/>
      </w:pPr>
    </w:lvl>
  </w:abstractNum>
  <w:abstractNum w:abstractNumId="1" w15:restartNumberingAfterBreak="0">
    <w:nsid w:val="49D12DEF"/>
    <w:multiLevelType w:val="hybridMultilevel"/>
    <w:tmpl w:val="C5D6226A"/>
    <w:lvl w:ilvl="0" w:tplc="BBB46CCA">
      <w:start w:val="1"/>
      <w:numFmt w:val="decimal"/>
      <w:lvlText w:val="%1."/>
      <w:lvlJc w:val="left"/>
      <w:pPr>
        <w:ind w:left="720" w:hanging="360"/>
      </w:pPr>
    </w:lvl>
    <w:lvl w:ilvl="1" w:tplc="F5F203C6">
      <w:numFmt w:val="decimal"/>
      <w:lvlText w:val=""/>
      <w:lvlJc w:val="left"/>
    </w:lvl>
    <w:lvl w:ilvl="2" w:tplc="1242DD6C">
      <w:numFmt w:val="decimal"/>
      <w:lvlText w:val=""/>
      <w:lvlJc w:val="left"/>
    </w:lvl>
    <w:lvl w:ilvl="3" w:tplc="3B06E036">
      <w:numFmt w:val="decimal"/>
      <w:lvlText w:val=""/>
      <w:lvlJc w:val="left"/>
    </w:lvl>
    <w:lvl w:ilvl="4" w:tplc="3384D634">
      <w:numFmt w:val="decimal"/>
      <w:lvlText w:val=""/>
      <w:lvlJc w:val="left"/>
    </w:lvl>
    <w:lvl w:ilvl="5" w:tplc="468277A0">
      <w:numFmt w:val="decimal"/>
      <w:lvlText w:val=""/>
      <w:lvlJc w:val="left"/>
    </w:lvl>
    <w:lvl w:ilvl="6" w:tplc="9C120CB2">
      <w:numFmt w:val="decimal"/>
      <w:lvlText w:val=""/>
      <w:lvlJc w:val="left"/>
    </w:lvl>
    <w:lvl w:ilvl="7" w:tplc="81144BFC">
      <w:numFmt w:val="decimal"/>
      <w:lvlText w:val=""/>
      <w:lvlJc w:val="left"/>
    </w:lvl>
    <w:lvl w:ilvl="8" w:tplc="6DD87680">
      <w:numFmt w:val="decimal"/>
      <w:lvlText w:val=""/>
      <w:lvlJc w:val="left"/>
    </w:lvl>
  </w:abstractNum>
  <w:abstractNum w:abstractNumId="2" w15:restartNumberingAfterBreak="0">
    <w:nsid w:val="77E90344"/>
    <w:multiLevelType w:val="hybridMultilevel"/>
    <w:tmpl w:val="D17AEC6C"/>
    <w:lvl w:ilvl="0" w:tplc="A68494B4">
      <w:start w:val="1"/>
      <w:numFmt w:val="bullet"/>
      <w:lvlText w:val="•"/>
      <w:lvlJc w:val="left"/>
      <w:pPr>
        <w:ind w:left="720" w:hanging="360"/>
      </w:pPr>
    </w:lvl>
    <w:lvl w:ilvl="1" w:tplc="6B46C376">
      <w:numFmt w:val="decimal"/>
      <w:lvlText w:val=""/>
      <w:lvlJc w:val="left"/>
    </w:lvl>
    <w:lvl w:ilvl="2" w:tplc="03147ABE">
      <w:numFmt w:val="decimal"/>
      <w:lvlText w:val=""/>
      <w:lvlJc w:val="left"/>
    </w:lvl>
    <w:lvl w:ilvl="3" w:tplc="35B030F6">
      <w:numFmt w:val="decimal"/>
      <w:lvlText w:val=""/>
      <w:lvlJc w:val="left"/>
    </w:lvl>
    <w:lvl w:ilvl="4" w:tplc="D13216E2">
      <w:numFmt w:val="decimal"/>
      <w:lvlText w:val=""/>
      <w:lvlJc w:val="left"/>
    </w:lvl>
    <w:lvl w:ilvl="5" w:tplc="61F43092">
      <w:numFmt w:val="decimal"/>
      <w:lvlText w:val=""/>
      <w:lvlJc w:val="left"/>
    </w:lvl>
    <w:lvl w:ilvl="6" w:tplc="A560009E">
      <w:numFmt w:val="decimal"/>
      <w:lvlText w:val=""/>
      <w:lvlJc w:val="left"/>
    </w:lvl>
    <w:lvl w:ilvl="7" w:tplc="241A4812">
      <w:numFmt w:val="decimal"/>
      <w:lvlText w:val=""/>
      <w:lvlJc w:val="left"/>
    </w:lvl>
    <w:lvl w:ilvl="8" w:tplc="61A445C8">
      <w:numFmt w:val="decimal"/>
      <w:lvlText w:val=""/>
      <w:lvlJc w:val="left"/>
    </w:lvl>
  </w:abstractNum>
  <w:num w:numId="1" w16cid:durableId="654921577">
    <w:abstractNumId w:val="0"/>
    <w:lvlOverride w:ilvl="0">
      <w:startOverride w:val="1"/>
    </w:lvlOverride>
  </w:num>
  <w:num w:numId="2" w16cid:durableId="1245529839">
    <w:abstractNumId w:val="2"/>
    <w:lvlOverride w:ilvl="0">
      <w:startOverride w:val="1"/>
    </w:lvlOverride>
  </w:num>
  <w:num w:numId="3" w16cid:durableId="200435592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048"/>
    <w:rsid w:val="001C6C99"/>
    <w:rsid w:val="00481048"/>
    <w:rsid w:val="00BD5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D12B89"/>
  <w15:docId w15:val="{7877C179-7478-244B-BBCA-3CC6A773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00" w:after="200"/>
      <w:outlineLvl w:val="1"/>
    </w:pPr>
    <w:rPr>
      <w:b/>
      <w:bCs/>
      <w:color w:val="000000"/>
      <w:sz w:val="28"/>
      <w:szCs w:val="28"/>
    </w:rPr>
  </w:style>
  <w:style w:type="paragraph" w:styleId="Heading3">
    <w:name w:val="heading 3"/>
    <w:uiPriority w:val="9"/>
    <w:unhideWhenUsed/>
    <w:qFormat/>
    <w:pPr>
      <w:spacing w:before="160" w:after="160"/>
      <w:outlineLvl w:val="2"/>
    </w:pPr>
    <w:rPr>
      <w:b/>
      <w:bCs/>
      <w:i/>
      <w:i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4606</Words>
  <Characters>23634</Characters>
  <Application>Microsoft Office Word</Application>
  <DocSecurity>0</DocSecurity>
  <Lines>393</Lines>
  <Paragraphs>127</Paragraphs>
  <ScaleCrop>false</ScaleCrop>
  <Company/>
  <LinksUpToDate>false</LinksUpToDate>
  <CharactersWithSpaces>28113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Axelrod</cp:lastModifiedBy>
  <cp:revision>2</cp:revision>
  <dcterms:created xsi:type="dcterms:W3CDTF">2026-06-18T13:25:00Z</dcterms:created>
  <dcterms:modified xsi:type="dcterms:W3CDTF">2026-06-18T13:25:00Z</dcterms:modified>
</cp:coreProperties>
</file>