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8378" w14:textId="52DF85E5" w:rsidR="00AC4CC4" w:rsidRPr="00AC4CC4" w:rsidRDefault="00AC4CC4" w:rsidP="00353B9D">
      <w:pPr>
        <w:jc w:val="center"/>
        <w:rPr>
          <w:rFonts w:ascii="Calibri" w:hAnsi="Calibri" w:cs="Calibri"/>
          <w:b/>
          <w:bCs/>
          <w:sz w:val="32"/>
          <w:szCs w:val="32"/>
          <w:lang w:val="es-CL"/>
        </w:rPr>
      </w:pPr>
      <w:r w:rsidRPr="00AC4CC4">
        <w:rPr>
          <w:rFonts w:ascii="Calibri" w:hAnsi="Calibri" w:cs="Calibri"/>
          <w:b/>
          <w:bCs/>
          <w:sz w:val="32"/>
          <w:szCs w:val="32"/>
          <w:lang w:val="es-CL"/>
        </w:rPr>
        <w:t>Informe de Seguridad</w:t>
      </w:r>
      <w:r w:rsidR="00336E6C">
        <w:rPr>
          <w:rFonts w:ascii="Calibri" w:hAnsi="Calibri" w:cs="Calibri"/>
          <w:b/>
          <w:bCs/>
          <w:sz w:val="32"/>
          <w:szCs w:val="32"/>
          <w:lang w:val="es-CL"/>
        </w:rPr>
        <w:t xml:space="preserve"> </w:t>
      </w:r>
    </w:p>
    <w:p w14:paraId="5CC7B841" w14:textId="41BD4825" w:rsidR="00AC4CC4" w:rsidRPr="00AC4CC4" w:rsidRDefault="00000000" w:rsidP="00353B9D">
      <w:r>
        <w:pict w14:anchorId="74D5A62A">
          <v:rect id="_x0000_i1025" style="width:0;height:1.5pt" o:hralign="center" o:hrstd="t" o:hr="t" fillcolor="#a0a0a0" stroked="f"/>
        </w:pic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4697"/>
        <w:gridCol w:w="4698"/>
      </w:tblGrid>
      <w:tr w:rsidR="00AC4CC4" w:rsidRPr="00336E6C" w14:paraId="62404E5B" w14:textId="77777777" w:rsidTr="00D644EC">
        <w:trPr>
          <w:trHeight w:val="961"/>
        </w:trPr>
        <w:tc>
          <w:tcPr>
            <w:tcW w:w="9395" w:type="dxa"/>
            <w:gridSpan w:val="2"/>
          </w:tcPr>
          <w:p w14:paraId="478C08F4" w14:textId="46487962" w:rsidR="00AC4CC4" w:rsidRDefault="00AC4CC4" w:rsidP="00AC4CC4">
            <w:pPr>
              <w:spacing w:after="160" w:line="278" w:lineRule="auto"/>
              <w:rPr>
                <w:lang w:val="es-CL"/>
              </w:rPr>
            </w:pPr>
            <w:r w:rsidRPr="00AC4CC4">
              <w:rPr>
                <w:lang w:val="es-CL"/>
              </w:rPr>
              <w:t>Título del informe:</w:t>
            </w:r>
            <w:r w:rsidRPr="00AC4CC4">
              <w:rPr>
                <w:lang w:val="es-CL"/>
              </w:rPr>
              <w:br/>
            </w:r>
            <w:r w:rsidR="00336E6C">
              <w:rPr>
                <w:lang w:val="es-CL"/>
              </w:rPr>
              <w:t xml:space="preserve">Análisis ético de un caso hipotético  </w:t>
            </w:r>
          </w:p>
        </w:tc>
      </w:tr>
      <w:tr w:rsidR="00AC4CC4" w:rsidRPr="00336E6C" w14:paraId="0BDAB4DB" w14:textId="77777777" w:rsidTr="00D644EC">
        <w:trPr>
          <w:trHeight w:val="961"/>
        </w:trPr>
        <w:tc>
          <w:tcPr>
            <w:tcW w:w="4697" w:type="dxa"/>
          </w:tcPr>
          <w:p w14:paraId="580AF178" w14:textId="23424E29" w:rsidR="00AC4CC4" w:rsidRDefault="00AC4CC4" w:rsidP="00AC4CC4">
            <w:pPr>
              <w:spacing w:after="160" w:line="278" w:lineRule="auto"/>
              <w:rPr>
                <w:lang w:val="es-CL"/>
              </w:rPr>
            </w:pPr>
            <w:r w:rsidRPr="00AC4CC4">
              <w:rPr>
                <w:lang w:val="es-CL"/>
              </w:rPr>
              <w:t>Autor(es):</w:t>
            </w:r>
            <w:r w:rsidRPr="00AC4CC4">
              <w:rPr>
                <w:lang w:val="es-CL"/>
              </w:rPr>
              <w:br/>
              <w:t xml:space="preserve">Sebastián </w:t>
            </w:r>
            <w:r>
              <w:rPr>
                <w:lang w:val="es-CL"/>
              </w:rPr>
              <w:t>Hernánd</w:t>
            </w:r>
            <w:r w:rsidRPr="00AC4CC4">
              <w:rPr>
                <w:lang w:val="es-CL"/>
              </w:rPr>
              <w:t>ez</w:t>
            </w:r>
            <w:r>
              <w:rPr>
                <w:lang w:val="es-CL"/>
              </w:rPr>
              <w:t xml:space="preserve"> Téllez</w:t>
            </w:r>
          </w:p>
        </w:tc>
        <w:tc>
          <w:tcPr>
            <w:tcW w:w="4697" w:type="dxa"/>
          </w:tcPr>
          <w:p w14:paraId="36DE5E76" w14:textId="2466E2A8" w:rsidR="00AC4CC4" w:rsidRPr="00336E6C" w:rsidRDefault="00AC4CC4" w:rsidP="00AC4CC4">
            <w:pPr>
              <w:spacing w:after="160" w:line="278" w:lineRule="auto"/>
              <w:rPr>
                <w:lang w:val="es-CL"/>
              </w:rPr>
            </w:pPr>
            <w:r w:rsidRPr="00AC4CC4">
              <w:rPr>
                <w:lang w:val="es-CL"/>
              </w:rPr>
              <w:t>Entidad o cliente evaluado:</w:t>
            </w:r>
            <w:r w:rsidRPr="00AC4CC4">
              <w:rPr>
                <w:lang w:val="es-CL"/>
              </w:rPr>
              <w:br/>
            </w:r>
            <w:r w:rsidR="00336E6C" w:rsidRPr="00336E6C">
              <w:rPr>
                <w:lang w:val="es-CL"/>
              </w:rPr>
              <w:t>Caso práctico: “La prueba sorpresa”</w:t>
            </w:r>
          </w:p>
        </w:tc>
      </w:tr>
      <w:tr w:rsidR="00AC4CC4" w:rsidRPr="00336E6C" w14:paraId="7390BDC2" w14:textId="77777777" w:rsidTr="00D644EC">
        <w:trPr>
          <w:trHeight w:val="970"/>
        </w:trPr>
        <w:tc>
          <w:tcPr>
            <w:tcW w:w="4697" w:type="dxa"/>
          </w:tcPr>
          <w:p w14:paraId="6058DCD2" w14:textId="3B292975" w:rsidR="00AC4CC4" w:rsidRDefault="00AC4CC4" w:rsidP="00AC4CC4">
            <w:pPr>
              <w:spacing w:after="160" w:line="278" w:lineRule="auto"/>
              <w:rPr>
                <w:lang w:val="es-CL"/>
              </w:rPr>
            </w:pPr>
            <w:r w:rsidRPr="00336E6C">
              <w:rPr>
                <w:lang w:val="es-CL"/>
              </w:rPr>
              <w:t>Clasificación del documento:</w:t>
            </w:r>
            <w:r w:rsidRPr="00336E6C">
              <w:rPr>
                <w:lang w:val="es-CL"/>
              </w:rPr>
              <w:br/>
            </w:r>
            <w:r w:rsidR="00336E6C">
              <w:rPr>
                <w:lang w:val="es-CL"/>
              </w:rPr>
              <w:t xml:space="preserve">información pública - libre acceso </w:t>
            </w:r>
          </w:p>
        </w:tc>
        <w:tc>
          <w:tcPr>
            <w:tcW w:w="4697" w:type="dxa"/>
          </w:tcPr>
          <w:p w14:paraId="4C1C4505" w14:textId="3311A7DC" w:rsidR="00AC4CC4" w:rsidRDefault="00AC4CC4" w:rsidP="00AC4CC4">
            <w:pPr>
              <w:spacing w:after="160" w:line="278" w:lineRule="auto"/>
              <w:rPr>
                <w:lang w:val="es-CL"/>
              </w:rPr>
            </w:pPr>
            <w:r w:rsidRPr="00AC4CC4">
              <w:rPr>
                <w:lang w:val="es-CL"/>
              </w:rPr>
              <w:t>Fecha de elaboración:</w:t>
            </w:r>
            <w:r w:rsidRPr="00AC4CC4">
              <w:rPr>
                <w:lang w:val="es-CL"/>
              </w:rPr>
              <w:br/>
            </w:r>
            <w:r w:rsidR="00336E6C">
              <w:rPr>
                <w:lang w:val="es-CL"/>
              </w:rPr>
              <w:t>2</w:t>
            </w:r>
            <w:r w:rsidRPr="00AC4CC4">
              <w:rPr>
                <w:lang w:val="es-CL"/>
              </w:rPr>
              <w:t xml:space="preserve">1 de </w:t>
            </w:r>
            <w:r w:rsidR="00336E6C">
              <w:rPr>
                <w:lang w:val="es-CL"/>
              </w:rPr>
              <w:t>agosto</w:t>
            </w:r>
            <w:r w:rsidRPr="00AC4CC4">
              <w:rPr>
                <w:lang w:val="es-CL"/>
              </w:rPr>
              <w:t xml:space="preserve"> de 2025</w:t>
            </w:r>
          </w:p>
        </w:tc>
      </w:tr>
    </w:tbl>
    <w:p w14:paraId="7FDAC0E0" w14:textId="77777777" w:rsidR="00AC4CC4" w:rsidRPr="00AC4CC4" w:rsidRDefault="00000000" w:rsidP="00AC4CC4">
      <w:r>
        <w:pict w14:anchorId="43548D19">
          <v:rect id="_x0000_i1026" style="width:0;height:1.5pt" o:hralign="center" o:hrstd="t" o:hr="t" fillcolor="#a0a0a0" stroked="f"/>
        </w:pict>
      </w:r>
    </w:p>
    <w:p w14:paraId="0626503C" w14:textId="2494E162" w:rsidR="00AC4CC4" w:rsidRPr="008C32D5" w:rsidRDefault="00AC4CC4" w:rsidP="008C32D5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28"/>
          <w:szCs w:val="28"/>
          <w:lang w:val="es-CL"/>
        </w:rPr>
      </w:pPr>
      <w:r w:rsidRPr="008C32D5">
        <w:rPr>
          <w:rFonts w:ascii="Calibri" w:hAnsi="Calibri" w:cs="Calibri"/>
          <w:b/>
          <w:bCs/>
          <w:sz w:val="28"/>
          <w:szCs w:val="28"/>
          <w:lang w:val="es-CL"/>
        </w:rPr>
        <w:t>Resumen Ejecutivo</w:t>
      </w:r>
    </w:p>
    <w:p w14:paraId="3969C6ED" w14:textId="52936E0A" w:rsidR="008C32D5" w:rsidRPr="008C32D5" w:rsidRDefault="008C32D5" w:rsidP="008C32D5">
      <w:pPr>
        <w:jc w:val="both"/>
        <w:rPr>
          <w:rFonts w:ascii="Calibri" w:hAnsi="Calibri" w:cs="Calibri"/>
          <w:lang w:val="es-CL"/>
        </w:rPr>
      </w:pPr>
      <w:r w:rsidRPr="008C32D5">
        <w:rPr>
          <w:rFonts w:ascii="Calibri" w:hAnsi="Calibri" w:cs="Calibri"/>
          <w:lang w:val="es-CL"/>
        </w:rPr>
        <w:t xml:space="preserve">Durante una auditoría de seguridad, un </w:t>
      </w:r>
      <w:proofErr w:type="spellStart"/>
      <w:r w:rsidRPr="008C32D5">
        <w:rPr>
          <w:rFonts w:ascii="Calibri" w:hAnsi="Calibri" w:cs="Calibri"/>
          <w:lang w:val="es-CL"/>
        </w:rPr>
        <w:t>pentester</w:t>
      </w:r>
      <w:proofErr w:type="spellEnd"/>
      <w:r w:rsidRPr="008C32D5">
        <w:rPr>
          <w:rFonts w:ascii="Calibri" w:hAnsi="Calibri" w:cs="Calibri"/>
          <w:lang w:val="es-CL"/>
        </w:rPr>
        <w:t xml:space="preserve"> junior identificó una base de datos interna expuesta sin autenticación. En lugar de notificar de inmediato a la empresa y limitarse a registrar evidencia mínima, descargó la totalidad de los datos sensibles y desarrolló un script en Python para extraerlos, exponiéndolos posteriormente en su portafolio personal sin un proceso de </w:t>
      </w:r>
      <w:proofErr w:type="spellStart"/>
      <w:r w:rsidRPr="008C32D5">
        <w:rPr>
          <w:rFonts w:ascii="Calibri" w:hAnsi="Calibri" w:cs="Calibri"/>
          <w:lang w:val="es-CL"/>
        </w:rPr>
        <w:t>anonimización</w:t>
      </w:r>
      <w:proofErr w:type="spellEnd"/>
      <w:r w:rsidRPr="008C32D5">
        <w:rPr>
          <w:rFonts w:ascii="Calibri" w:hAnsi="Calibri" w:cs="Calibri"/>
          <w:lang w:val="es-CL"/>
        </w:rPr>
        <w:t xml:space="preserve"> adecuado. Esta conducta vulneró principios fundamentales del hacking ético, como la confidencialidad, el respeto al alcance del contrato y el uso responsable de la información. Desde el punto de vista técnico, la extracción masiva y la impresión en consola de datos confidenciales representan una práctica insegura que aumenta el riesgo de fuga. Las acciones correctas debieron incluir la documentación controlada del hallazgo, la notificación inmediata y recomendaciones de mitigación. </w:t>
      </w:r>
      <w:proofErr w:type="gramStart"/>
      <w:r w:rsidRPr="008C32D5">
        <w:rPr>
          <w:rFonts w:ascii="Calibri" w:hAnsi="Calibri" w:cs="Calibri"/>
          <w:lang w:val="es-CL"/>
        </w:rPr>
        <w:t>El incidente evidencia</w:t>
      </w:r>
      <w:proofErr w:type="gramEnd"/>
      <w:r w:rsidRPr="008C32D5">
        <w:rPr>
          <w:rFonts w:ascii="Calibri" w:hAnsi="Calibri" w:cs="Calibri"/>
          <w:lang w:val="es-CL"/>
        </w:rPr>
        <w:t xml:space="preserve"> posibles consecuencias legales por uso indebido de información y destaca la necesidad de reforzar la formación ética y profesional en pruebas de seguridad.</w:t>
      </w:r>
    </w:p>
    <w:p w14:paraId="7587727E" w14:textId="77777777" w:rsidR="00AC4CC4" w:rsidRPr="00AC4CC4" w:rsidRDefault="00000000" w:rsidP="00AC4CC4">
      <w:r>
        <w:pict w14:anchorId="1DB5CB08">
          <v:rect id="_x0000_i1027" style="width:0;height:1.5pt" o:hralign="center" o:hrstd="t" o:hr="t" fillcolor="#a0a0a0" stroked="f"/>
        </w:pict>
      </w:r>
    </w:p>
    <w:p w14:paraId="0E046C7E" w14:textId="1ED3D14A" w:rsidR="00336E6C" w:rsidRPr="00336E6C" w:rsidRDefault="00336E6C" w:rsidP="00336E6C">
      <w:pPr>
        <w:rPr>
          <w:rFonts w:ascii="Calibri" w:hAnsi="Calibri" w:cs="Calibri"/>
          <w:lang w:val="es-CL"/>
        </w:rPr>
      </w:pPr>
      <w:r>
        <w:rPr>
          <w:rFonts w:ascii="Calibri" w:hAnsi="Calibri" w:cs="Calibri"/>
          <w:b/>
          <w:bCs/>
          <w:sz w:val="28"/>
          <w:szCs w:val="28"/>
          <w:lang w:val="es-CL"/>
        </w:rPr>
        <w:t>2</w:t>
      </w:r>
      <w:r w:rsidR="00AC4CC4" w:rsidRPr="00336E6C">
        <w:rPr>
          <w:rFonts w:ascii="Calibri" w:hAnsi="Calibri" w:cs="Calibri"/>
          <w:b/>
          <w:bCs/>
          <w:sz w:val="28"/>
          <w:szCs w:val="28"/>
          <w:lang w:val="es-CL"/>
        </w:rPr>
        <w:t>.</w:t>
      </w:r>
      <w:r w:rsidRPr="00336E6C">
        <w:rPr>
          <w:rFonts w:ascii="Calibri" w:hAnsi="Calibri" w:cs="Calibri"/>
          <w:b/>
          <w:bCs/>
          <w:sz w:val="28"/>
          <w:szCs w:val="28"/>
          <w:lang w:val="es-CL"/>
        </w:rPr>
        <w:t xml:space="preserve"> Principios del hacking </w:t>
      </w:r>
      <w:proofErr w:type="gramStart"/>
      <w:r w:rsidRPr="00336E6C">
        <w:rPr>
          <w:rFonts w:ascii="Calibri" w:hAnsi="Calibri" w:cs="Calibri"/>
          <w:b/>
          <w:bCs/>
          <w:sz w:val="28"/>
          <w:szCs w:val="28"/>
          <w:lang w:val="es-CL"/>
        </w:rPr>
        <w:t>ético vulnerados</w:t>
      </w:r>
      <w:proofErr w:type="gramEnd"/>
    </w:p>
    <w:p w14:paraId="5AC2D3A5" w14:textId="77777777" w:rsidR="00336E6C" w:rsidRPr="00336E6C" w:rsidRDefault="00336E6C" w:rsidP="00336E6C">
      <w:pPr>
        <w:numPr>
          <w:ilvl w:val="0"/>
          <w:numId w:val="15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u w:val="single"/>
          <w:lang w:val="es-CL"/>
        </w:rPr>
        <w:t>Confidencialidad y manejo responsable de la información:</w:t>
      </w:r>
      <w:r w:rsidRPr="00336E6C">
        <w:rPr>
          <w:rFonts w:ascii="Calibri" w:hAnsi="Calibri" w:cs="Calibri"/>
          <w:lang w:val="es-CL"/>
        </w:rPr>
        <w:br/>
        <w:t xml:space="preserve">El </w:t>
      </w:r>
      <w:proofErr w:type="spellStart"/>
      <w:r w:rsidRPr="00336E6C">
        <w:rPr>
          <w:rFonts w:ascii="Calibri" w:hAnsi="Calibri" w:cs="Calibri"/>
          <w:lang w:val="es-CL"/>
        </w:rPr>
        <w:t>pentester</w:t>
      </w:r>
      <w:proofErr w:type="spellEnd"/>
      <w:r w:rsidRPr="00336E6C">
        <w:rPr>
          <w:rFonts w:ascii="Calibri" w:hAnsi="Calibri" w:cs="Calibri"/>
          <w:lang w:val="es-CL"/>
        </w:rPr>
        <w:t xml:space="preserve"> accedió y descargó información sensible (usuarios) sin necesidad de hacerlo por completo y luego la usó en un portafolio personal. Esto viola el principio de “usar la información solo para fines del contrato” y no exponer datos confidenciales.</w:t>
      </w:r>
    </w:p>
    <w:p w14:paraId="7F3E51C8" w14:textId="77777777" w:rsidR="00336E6C" w:rsidRPr="00336E6C" w:rsidRDefault="00336E6C" w:rsidP="00336E6C">
      <w:pPr>
        <w:numPr>
          <w:ilvl w:val="0"/>
          <w:numId w:val="15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u w:val="single"/>
          <w:lang w:val="es-CL"/>
        </w:rPr>
        <w:lastRenderedPageBreak/>
        <w:t>Consentimiento y alcance definido (</w:t>
      </w:r>
      <w:proofErr w:type="spellStart"/>
      <w:r w:rsidRPr="00336E6C">
        <w:rPr>
          <w:rFonts w:ascii="Calibri" w:hAnsi="Calibri" w:cs="Calibri"/>
          <w:u w:val="single"/>
          <w:lang w:val="es-CL"/>
        </w:rPr>
        <w:t>Scope</w:t>
      </w:r>
      <w:proofErr w:type="spellEnd"/>
      <w:r w:rsidRPr="00336E6C">
        <w:rPr>
          <w:rFonts w:ascii="Calibri" w:hAnsi="Calibri" w:cs="Calibri"/>
          <w:u w:val="single"/>
          <w:lang w:val="es-CL"/>
        </w:rPr>
        <w:t>):</w:t>
      </w:r>
      <w:r w:rsidRPr="00336E6C">
        <w:rPr>
          <w:rFonts w:ascii="Calibri" w:hAnsi="Calibri" w:cs="Calibri"/>
          <w:lang w:val="es-CL"/>
        </w:rPr>
        <w:br/>
        <w:t xml:space="preserve">Un </w:t>
      </w:r>
      <w:proofErr w:type="spellStart"/>
      <w:r w:rsidRPr="00336E6C">
        <w:rPr>
          <w:rFonts w:ascii="Calibri" w:hAnsi="Calibri" w:cs="Calibri"/>
          <w:lang w:val="es-CL"/>
        </w:rPr>
        <w:t>pentester</w:t>
      </w:r>
      <w:proofErr w:type="spellEnd"/>
      <w:r w:rsidRPr="00336E6C">
        <w:rPr>
          <w:rFonts w:ascii="Calibri" w:hAnsi="Calibri" w:cs="Calibri"/>
          <w:lang w:val="es-CL"/>
        </w:rPr>
        <w:t xml:space="preserve"> debe ceñirse estrictamente al alcance del acuerdo con la empresa. Descargar la base entera y usarla fuera del proyecto excede el alcance y rompe el principio de autorización explícita.</w:t>
      </w:r>
    </w:p>
    <w:p w14:paraId="14D454A1" w14:textId="77777777" w:rsidR="00336E6C" w:rsidRPr="00336E6C" w:rsidRDefault="00336E6C" w:rsidP="00336E6C">
      <w:pPr>
        <w:rPr>
          <w:rFonts w:ascii="Calibri" w:hAnsi="Calibri" w:cs="Calibri"/>
        </w:rPr>
      </w:pPr>
      <w:r w:rsidRPr="00336E6C">
        <w:rPr>
          <w:rFonts w:ascii="Calibri" w:hAnsi="Calibri" w:cs="Calibri"/>
        </w:rPr>
        <w:pict w14:anchorId="36530864">
          <v:rect id="_x0000_i1064" style="width:0;height:1.5pt" o:hralign="center" o:hrstd="t" o:hr="t" fillcolor="#a0a0a0" stroked="f"/>
        </w:pict>
      </w:r>
    </w:p>
    <w:p w14:paraId="30BF586A" w14:textId="746C2081" w:rsidR="00336E6C" w:rsidRPr="00336E6C" w:rsidRDefault="008C32D5" w:rsidP="00336E6C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8C32D5">
        <w:rPr>
          <w:rFonts w:ascii="Calibri" w:hAnsi="Calibri" w:cs="Calibri"/>
          <w:b/>
          <w:bCs/>
          <w:sz w:val="28"/>
          <w:szCs w:val="28"/>
          <w:lang w:val="es-CL"/>
        </w:rPr>
        <w:t>3</w:t>
      </w:r>
      <w:r w:rsidR="00336E6C" w:rsidRPr="00336E6C">
        <w:rPr>
          <w:rFonts w:ascii="Calibri" w:hAnsi="Calibri" w:cs="Calibri"/>
          <w:b/>
          <w:bCs/>
          <w:sz w:val="28"/>
          <w:szCs w:val="28"/>
          <w:lang w:val="es-CL"/>
        </w:rPr>
        <w:t>. ¿Es válida la justificación de “fue para demostrar mis habilidades”?</w:t>
      </w:r>
    </w:p>
    <w:p w14:paraId="37AFAFA1" w14:textId="35376F1A" w:rsidR="00336E6C" w:rsidRPr="00336E6C" w:rsidRDefault="008C32D5" w:rsidP="00336E6C">
      <w:pPr>
        <w:rPr>
          <w:rFonts w:ascii="Calibri" w:hAnsi="Calibri" w:cs="Calibri"/>
          <w:lang w:val="es-CL"/>
        </w:rPr>
      </w:pPr>
      <w:r w:rsidRPr="008C32D5">
        <w:rPr>
          <w:rFonts w:ascii="Calibri" w:hAnsi="Calibri" w:cs="Calibri"/>
          <w:u w:val="single"/>
          <w:lang w:val="es-CL"/>
        </w:rPr>
        <w:t>Respuesta</w:t>
      </w:r>
      <w:r w:rsidRPr="008C32D5">
        <w:rPr>
          <w:rFonts w:ascii="Calibri" w:hAnsi="Calibri" w:cs="Calibri"/>
          <w:lang w:val="es-CL"/>
        </w:rPr>
        <w:t xml:space="preserve">: </w:t>
      </w:r>
      <w:r w:rsidR="00336E6C" w:rsidRPr="00336E6C">
        <w:rPr>
          <w:rFonts w:ascii="Calibri" w:hAnsi="Calibri" w:cs="Calibri"/>
          <w:lang w:val="es-CL"/>
        </w:rPr>
        <w:t>No, no es válida.</w:t>
      </w:r>
    </w:p>
    <w:p w14:paraId="69F17426" w14:textId="77777777" w:rsidR="00336E6C" w:rsidRPr="00336E6C" w:rsidRDefault="00336E6C" w:rsidP="00336E6C">
      <w:pPr>
        <w:numPr>
          <w:ilvl w:val="0"/>
          <w:numId w:val="16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t>La ética profesional indica que no se pueden usar datos reales de clientes para fines personales, aunque se intente anonimizar.</w:t>
      </w:r>
    </w:p>
    <w:p w14:paraId="6F01CCA3" w14:textId="77777777" w:rsidR="00336E6C" w:rsidRPr="00336E6C" w:rsidRDefault="00336E6C" w:rsidP="00336E6C">
      <w:pPr>
        <w:numPr>
          <w:ilvl w:val="0"/>
          <w:numId w:val="16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t>Existen medios alternativos como laboratorios (</w:t>
      </w:r>
      <w:proofErr w:type="spellStart"/>
      <w:r w:rsidRPr="00336E6C">
        <w:rPr>
          <w:rFonts w:ascii="Calibri" w:hAnsi="Calibri" w:cs="Calibri"/>
          <w:lang w:val="es-CL"/>
        </w:rPr>
        <w:t>HackTheBox</w:t>
      </w:r>
      <w:proofErr w:type="spellEnd"/>
      <w:r w:rsidRPr="00336E6C">
        <w:rPr>
          <w:rFonts w:ascii="Calibri" w:hAnsi="Calibri" w:cs="Calibri"/>
          <w:lang w:val="es-CL"/>
        </w:rPr>
        <w:t xml:space="preserve">, </w:t>
      </w:r>
      <w:proofErr w:type="spellStart"/>
      <w:r w:rsidRPr="00336E6C">
        <w:rPr>
          <w:rFonts w:ascii="Calibri" w:hAnsi="Calibri" w:cs="Calibri"/>
          <w:lang w:val="es-CL"/>
        </w:rPr>
        <w:t>TryHackMe</w:t>
      </w:r>
      <w:proofErr w:type="spellEnd"/>
      <w:r w:rsidRPr="00336E6C">
        <w:rPr>
          <w:rFonts w:ascii="Calibri" w:hAnsi="Calibri" w:cs="Calibri"/>
          <w:lang w:val="es-CL"/>
        </w:rPr>
        <w:t xml:space="preserve">, entornos propios, </w:t>
      </w:r>
      <w:proofErr w:type="spellStart"/>
      <w:r w:rsidRPr="00336E6C">
        <w:rPr>
          <w:rFonts w:ascii="Calibri" w:hAnsi="Calibri" w:cs="Calibri"/>
          <w:lang w:val="es-CL"/>
        </w:rPr>
        <w:t>datasets</w:t>
      </w:r>
      <w:proofErr w:type="spellEnd"/>
      <w:r w:rsidRPr="00336E6C">
        <w:rPr>
          <w:rFonts w:ascii="Calibri" w:hAnsi="Calibri" w:cs="Calibri"/>
          <w:lang w:val="es-CL"/>
        </w:rPr>
        <w:t xml:space="preserve"> ficticios) para demostrar habilidades.</w:t>
      </w:r>
    </w:p>
    <w:p w14:paraId="33148C91" w14:textId="77777777" w:rsidR="00336E6C" w:rsidRPr="00336E6C" w:rsidRDefault="00336E6C" w:rsidP="00336E6C">
      <w:pPr>
        <w:numPr>
          <w:ilvl w:val="0"/>
          <w:numId w:val="16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t>Según (ISC)² Código de Ética, “Proteger la sociedad, la infraestructura común y los bienes” tiene prioridad sobre cualquier beneficio personal.</w:t>
      </w:r>
    </w:p>
    <w:p w14:paraId="36615A30" w14:textId="77777777" w:rsidR="00336E6C" w:rsidRPr="00336E6C" w:rsidRDefault="00336E6C" w:rsidP="00336E6C">
      <w:pPr>
        <w:rPr>
          <w:rFonts w:ascii="Calibri" w:hAnsi="Calibri" w:cs="Calibri"/>
        </w:rPr>
      </w:pPr>
      <w:r w:rsidRPr="00336E6C">
        <w:rPr>
          <w:rFonts w:ascii="Calibri" w:hAnsi="Calibri" w:cs="Calibri"/>
        </w:rPr>
        <w:pict w14:anchorId="2A75C4D6">
          <v:rect id="_x0000_i1065" style="width:0;height:1.5pt" o:hralign="center" o:hrstd="t" o:hr="t" fillcolor="#a0a0a0" stroked="f"/>
        </w:pict>
      </w:r>
    </w:p>
    <w:p w14:paraId="4FCDB02A" w14:textId="52B1F59D" w:rsidR="00336E6C" w:rsidRPr="00336E6C" w:rsidRDefault="008C32D5" w:rsidP="00336E6C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8C32D5">
        <w:rPr>
          <w:rFonts w:ascii="Calibri" w:hAnsi="Calibri" w:cs="Calibri"/>
          <w:b/>
          <w:bCs/>
          <w:sz w:val="28"/>
          <w:szCs w:val="28"/>
          <w:lang w:val="es-CL"/>
        </w:rPr>
        <w:t>4</w:t>
      </w:r>
      <w:r w:rsidR="00336E6C" w:rsidRPr="00336E6C">
        <w:rPr>
          <w:rFonts w:ascii="Calibri" w:hAnsi="Calibri" w:cs="Calibri"/>
          <w:b/>
          <w:bCs/>
          <w:sz w:val="28"/>
          <w:szCs w:val="28"/>
          <w:lang w:val="es-CL"/>
        </w:rPr>
        <w:t>. Problema técnico del código presentado</w:t>
      </w:r>
    </w:p>
    <w:p w14:paraId="20EC1519" w14:textId="77777777" w:rsidR="00336E6C" w:rsidRPr="00336E6C" w:rsidRDefault="00336E6C" w:rsidP="00336E6C">
      <w:pPr>
        <w:numPr>
          <w:ilvl w:val="0"/>
          <w:numId w:val="17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t>Exposición total de datos confidenciales: el script extrae toda la tabla usuarios y muestra información en consola sin enmascarar ni proteger.</w:t>
      </w:r>
    </w:p>
    <w:p w14:paraId="1BF231C2" w14:textId="77777777" w:rsidR="00336E6C" w:rsidRPr="00336E6C" w:rsidRDefault="00336E6C" w:rsidP="00336E6C">
      <w:pPr>
        <w:numPr>
          <w:ilvl w:val="0"/>
          <w:numId w:val="17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t xml:space="preserve">Mala práctica de </w:t>
      </w:r>
      <w:proofErr w:type="spellStart"/>
      <w:r w:rsidRPr="00336E6C">
        <w:rPr>
          <w:rFonts w:ascii="Calibri" w:hAnsi="Calibri" w:cs="Calibri"/>
          <w:lang w:val="es-CL"/>
        </w:rPr>
        <w:t>logging</w:t>
      </w:r>
      <w:proofErr w:type="spellEnd"/>
      <w:r w:rsidRPr="00336E6C">
        <w:rPr>
          <w:rFonts w:ascii="Calibri" w:hAnsi="Calibri" w:cs="Calibri"/>
          <w:lang w:val="es-CL"/>
        </w:rPr>
        <w:t>: mostrar datos sensibles (usuarios, posiblemente contraseñas o PII) en consola aumenta el riesgo de fuga.</w:t>
      </w:r>
    </w:p>
    <w:p w14:paraId="356B9281" w14:textId="77777777" w:rsidR="00336E6C" w:rsidRPr="00336E6C" w:rsidRDefault="00336E6C" w:rsidP="00336E6C">
      <w:pPr>
        <w:numPr>
          <w:ilvl w:val="0"/>
          <w:numId w:val="17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t>Uso irresponsable: aunque técnicamente funcional, el código no aplica controles de seguridad como:</w:t>
      </w:r>
    </w:p>
    <w:p w14:paraId="7AE02D16" w14:textId="77777777" w:rsidR="00336E6C" w:rsidRPr="00336E6C" w:rsidRDefault="00336E6C" w:rsidP="00336E6C">
      <w:pPr>
        <w:numPr>
          <w:ilvl w:val="1"/>
          <w:numId w:val="17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t>Filtrado de campos (ej. solo contar registros o mostrar metadatos).</w:t>
      </w:r>
    </w:p>
    <w:p w14:paraId="052E971D" w14:textId="77777777" w:rsidR="00336E6C" w:rsidRPr="00336E6C" w:rsidRDefault="00336E6C" w:rsidP="00336E6C">
      <w:pPr>
        <w:numPr>
          <w:ilvl w:val="1"/>
          <w:numId w:val="17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t xml:space="preserve">Cifrado o </w:t>
      </w:r>
      <w:proofErr w:type="spellStart"/>
      <w:r w:rsidRPr="00336E6C">
        <w:rPr>
          <w:rFonts w:ascii="Calibri" w:hAnsi="Calibri" w:cs="Calibri"/>
          <w:lang w:val="es-CL"/>
        </w:rPr>
        <w:t>anonimización</w:t>
      </w:r>
      <w:proofErr w:type="spellEnd"/>
      <w:r w:rsidRPr="00336E6C">
        <w:rPr>
          <w:rFonts w:ascii="Calibri" w:hAnsi="Calibri" w:cs="Calibri"/>
          <w:lang w:val="es-CL"/>
        </w:rPr>
        <w:t xml:space="preserve"> de resultados.</w:t>
      </w:r>
    </w:p>
    <w:p w14:paraId="6767D939" w14:textId="77777777" w:rsidR="00336E6C" w:rsidRPr="00336E6C" w:rsidRDefault="00336E6C" w:rsidP="00336E6C">
      <w:pPr>
        <w:numPr>
          <w:ilvl w:val="1"/>
          <w:numId w:val="17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t>Registro seguro de hallazgos (ej. en un informe cifrado, no en consola).</w:t>
      </w:r>
    </w:p>
    <w:p w14:paraId="1605478F" w14:textId="77777777" w:rsidR="00336E6C" w:rsidRPr="00336E6C" w:rsidRDefault="00336E6C" w:rsidP="00336E6C">
      <w:pPr>
        <w:rPr>
          <w:rFonts w:ascii="Calibri" w:hAnsi="Calibri" w:cs="Calibri"/>
        </w:rPr>
      </w:pPr>
      <w:r w:rsidRPr="00336E6C">
        <w:rPr>
          <w:rFonts w:ascii="Calibri" w:hAnsi="Calibri" w:cs="Calibri"/>
        </w:rPr>
        <w:pict w14:anchorId="030D1DC9">
          <v:rect id="_x0000_i1066" style="width:0;height:1.5pt" o:hralign="center" o:hrstd="t" o:hr="t" fillcolor="#a0a0a0" stroked="f"/>
        </w:pict>
      </w:r>
    </w:p>
    <w:p w14:paraId="63970958" w14:textId="776DC97C" w:rsidR="00336E6C" w:rsidRPr="00336E6C" w:rsidRDefault="008C32D5" w:rsidP="00336E6C">
      <w:pPr>
        <w:rPr>
          <w:rFonts w:ascii="Calibri" w:hAnsi="Calibri" w:cs="Calibri"/>
          <w:b/>
          <w:bCs/>
          <w:sz w:val="28"/>
          <w:szCs w:val="28"/>
          <w:lang w:val="es-CL"/>
        </w:rPr>
      </w:pPr>
      <w:r>
        <w:rPr>
          <w:rFonts w:ascii="Calibri" w:hAnsi="Calibri" w:cs="Calibri"/>
          <w:b/>
          <w:bCs/>
          <w:sz w:val="28"/>
          <w:szCs w:val="28"/>
          <w:lang w:val="es-CL"/>
        </w:rPr>
        <w:t>5</w:t>
      </w:r>
      <w:r w:rsidR="00336E6C" w:rsidRPr="00336E6C">
        <w:rPr>
          <w:rFonts w:ascii="Calibri" w:hAnsi="Calibri" w:cs="Calibri"/>
          <w:b/>
          <w:bCs/>
          <w:sz w:val="28"/>
          <w:szCs w:val="28"/>
          <w:lang w:val="es-CL"/>
        </w:rPr>
        <w:t xml:space="preserve">. Medidas adecuadas que debió tomar el </w:t>
      </w:r>
      <w:proofErr w:type="spellStart"/>
      <w:r w:rsidR="00336E6C" w:rsidRPr="00336E6C">
        <w:rPr>
          <w:rFonts w:ascii="Calibri" w:hAnsi="Calibri" w:cs="Calibri"/>
          <w:b/>
          <w:bCs/>
          <w:sz w:val="28"/>
          <w:szCs w:val="28"/>
          <w:lang w:val="es-CL"/>
        </w:rPr>
        <w:t>pentester</w:t>
      </w:r>
      <w:proofErr w:type="spellEnd"/>
    </w:p>
    <w:p w14:paraId="344E715A" w14:textId="77777777" w:rsidR="00336E6C" w:rsidRPr="00336E6C" w:rsidRDefault="00336E6C" w:rsidP="00336E6C">
      <w:pPr>
        <w:numPr>
          <w:ilvl w:val="0"/>
          <w:numId w:val="18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lastRenderedPageBreak/>
        <w:t>Detener la extracción masiva: validar la vulnerabilidad sin descargar la base completa (ej. acceder a un único registro como prueba de concepto).</w:t>
      </w:r>
    </w:p>
    <w:p w14:paraId="405F5141" w14:textId="77777777" w:rsidR="00336E6C" w:rsidRPr="00336E6C" w:rsidRDefault="00336E6C" w:rsidP="00336E6C">
      <w:pPr>
        <w:numPr>
          <w:ilvl w:val="0"/>
          <w:numId w:val="18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t xml:space="preserve">Documentar la falla: registrar la evidencia mínima (captura de pantalla, error de configuración, </w:t>
      </w:r>
      <w:proofErr w:type="spellStart"/>
      <w:r w:rsidRPr="00336E6C">
        <w:rPr>
          <w:rFonts w:ascii="Calibri" w:hAnsi="Calibri" w:cs="Calibri"/>
          <w:lang w:val="es-CL"/>
        </w:rPr>
        <w:t>query</w:t>
      </w:r>
      <w:proofErr w:type="spellEnd"/>
      <w:r w:rsidRPr="00336E6C">
        <w:rPr>
          <w:rFonts w:ascii="Calibri" w:hAnsi="Calibri" w:cs="Calibri"/>
          <w:lang w:val="es-CL"/>
        </w:rPr>
        <w:t xml:space="preserve"> de ejemplo).</w:t>
      </w:r>
    </w:p>
    <w:p w14:paraId="23BCF000" w14:textId="77777777" w:rsidR="00336E6C" w:rsidRPr="00336E6C" w:rsidRDefault="00336E6C" w:rsidP="00336E6C">
      <w:pPr>
        <w:numPr>
          <w:ilvl w:val="0"/>
          <w:numId w:val="18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t xml:space="preserve">Notificación inmediata: reportar el hallazgo al cliente/empresa, siguiendo el ciclo de </w:t>
      </w:r>
      <w:proofErr w:type="spellStart"/>
      <w:r w:rsidRPr="00336E6C">
        <w:rPr>
          <w:rFonts w:ascii="Calibri" w:hAnsi="Calibri" w:cs="Calibri"/>
          <w:lang w:val="es-CL"/>
        </w:rPr>
        <w:t>Responsible</w:t>
      </w:r>
      <w:proofErr w:type="spellEnd"/>
      <w:r w:rsidRPr="00336E6C">
        <w:rPr>
          <w:rFonts w:ascii="Calibri" w:hAnsi="Calibri" w:cs="Calibri"/>
          <w:lang w:val="es-CL"/>
        </w:rPr>
        <w:t xml:space="preserve"> </w:t>
      </w:r>
      <w:proofErr w:type="spellStart"/>
      <w:r w:rsidRPr="00336E6C">
        <w:rPr>
          <w:rFonts w:ascii="Calibri" w:hAnsi="Calibri" w:cs="Calibri"/>
          <w:lang w:val="es-CL"/>
        </w:rPr>
        <w:t>Disclosure</w:t>
      </w:r>
      <w:proofErr w:type="spellEnd"/>
      <w:r w:rsidRPr="00336E6C">
        <w:rPr>
          <w:rFonts w:ascii="Calibri" w:hAnsi="Calibri" w:cs="Calibri"/>
          <w:lang w:val="es-CL"/>
        </w:rPr>
        <w:t>.</w:t>
      </w:r>
    </w:p>
    <w:p w14:paraId="224FEB1F" w14:textId="77777777" w:rsidR="00336E6C" w:rsidRPr="00336E6C" w:rsidRDefault="00336E6C" w:rsidP="00336E6C">
      <w:pPr>
        <w:numPr>
          <w:ilvl w:val="0"/>
          <w:numId w:val="18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t>Recomendación técnica: sugerir medidas como restringir el acceso a la API, aplicar autenticación y cifrado, reforzar controles de acceso (ISO 27001 A.9, OWASP API Security Top 10).</w:t>
      </w:r>
    </w:p>
    <w:p w14:paraId="6EFBC3CC" w14:textId="77777777" w:rsidR="00336E6C" w:rsidRPr="00336E6C" w:rsidRDefault="00336E6C" w:rsidP="00336E6C">
      <w:pPr>
        <w:rPr>
          <w:rFonts w:ascii="Calibri" w:hAnsi="Calibri" w:cs="Calibri"/>
        </w:rPr>
      </w:pPr>
      <w:r w:rsidRPr="00336E6C">
        <w:rPr>
          <w:rFonts w:ascii="Calibri" w:hAnsi="Calibri" w:cs="Calibri"/>
        </w:rPr>
        <w:pict w14:anchorId="293C6BE8">
          <v:rect id="_x0000_i1067" style="width:0;height:1.5pt" o:hralign="center" o:hrstd="t" o:hr="t" fillcolor="#a0a0a0" stroked="f"/>
        </w:pict>
      </w:r>
    </w:p>
    <w:p w14:paraId="4B936A83" w14:textId="6E4B462C" w:rsidR="00336E6C" w:rsidRPr="00336E6C" w:rsidRDefault="008C32D5" w:rsidP="00336E6C">
      <w:pPr>
        <w:rPr>
          <w:rFonts w:ascii="Calibri" w:hAnsi="Calibri" w:cs="Calibri"/>
          <w:b/>
          <w:bCs/>
          <w:sz w:val="28"/>
          <w:szCs w:val="28"/>
          <w:lang w:val="es-CL"/>
        </w:rPr>
      </w:pPr>
      <w:r>
        <w:rPr>
          <w:rFonts w:ascii="Calibri" w:hAnsi="Calibri" w:cs="Calibri"/>
          <w:b/>
          <w:bCs/>
          <w:sz w:val="28"/>
          <w:szCs w:val="28"/>
          <w:lang w:val="es-CL"/>
        </w:rPr>
        <w:t>6</w:t>
      </w:r>
      <w:r w:rsidR="00336E6C" w:rsidRPr="00336E6C">
        <w:rPr>
          <w:rFonts w:ascii="Calibri" w:hAnsi="Calibri" w:cs="Calibri"/>
          <w:b/>
          <w:bCs/>
          <w:sz w:val="28"/>
          <w:szCs w:val="28"/>
          <w:lang w:val="es-CL"/>
        </w:rPr>
        <w:t>. Implicancias legales si se filtra la información</w:t>
      </w:r>
    </w:p>
    <w:p w14:paraId="7169F1BD" w14:textId="77777777" w:rsidR="00336E6C" w:rsidRPr="00336E6C" w:rsidRDefault="00336E6C" w:rsidP="00336E6C">
      <w:pPr>
        <w:numPr>
          <w:ilvl w:val="0"/>
          <w:numId w:val="19"/>
        </w:numPr>
        <w:rPr>
          <w:rFonts w:ascii="Calibri" w:hAnsi="Calibri" w:cs="Calibri"/>
        </w:rPr>
      </w:pPr>
      <w:r w:rsidRPr="00336E6C">
        <w:rPr>
          <w:rFonts w:ascii="Calibri" w:hAnsi="Calibri" w:cs="Calibri"/>
        </w:rPr>
        <w:t xml:space="preserve">Para </w:t>
      </w:r>
      <w:proofErr w:type="spellStart"/>
      <w:r w:rsidRPr="00336E6C">
        <w:rPr>
          <w:rFonts w:ascii="Calibri" w:hAnsi="Calibri" w:cs="Calibri"/>
        </w:rPr>
        <w:t>el</w:t>
      </w:r>
      <w:proofErr w:type="spellEnd"/>
      <w:r w:rsidRPr="00336E6C">
        <w:rPr>
          <w:rFonts w:ascii="Calibri" w:hAnsi="Calibri" w:cs="Calibri"/>
        </w:rPr>
        <w:t xml:space="preserve"> </w:t>
      </w:r>
      <w:proofErr w:type="spellStart"/>
      <w:r w:rsidRPr="00336E6C">
        <w:rPr>
          <w:rFonts w:ascii="Calibri" w:hAnsi="Calibri" w:cs="Calibri"/>
        </w:rPr>
        <w:t>pentester</w:t>
      </w:r>
      <w:proofErr w:type="spellEnd"/>
      <w:r w:rsidRPr="00336E6C">
        <w:rPr>
          <w:rFonts w:ascii="Calibri" w:hAnsi="Calibri" w:cs="Calibri"/>
        </w:rPr>
        <w:t>:</w:t>
      </w:r>
    </w:p>
    <w:p w14:paraId="086BCAD0" w14:textId="77777777" w:rsidR="00336E6C" w:rsidRPr="00336E6C" w:rsidRDefault="00336E6C" w:rsidP="00336E6C">
      <w:pPr>
        <w:numPr>
          <w:ilvl w:val="1"/>
          <w:numId w:val="19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t xml:space="preserve">Puede enfrentar cargos por uso indebido de información confidencial, violación de contratos de confidencialidad (NDA) y hasta delitos informáticos (según legislación local, ej. Ley de Delitos Informáticos en Chile, GDPR en Europa, HIPAA en </w:t>
      </w:r>
      <w:proofErr w:type="gramStart"/>
      <w:r w:rsidRPr="00336E6C">
        <w:rPr>
          <w:rFonts w:ascii="Calibri" w:hAnsi="Calibri" w:cs="Calibri"/>
          <w:lang w:val="es-CL"/>
        </w:rPr>
        <w:t>EE.UU.</w:t>
      </w:r>
      <w:proofErr w:type="gramEnd"/>
      <w:r w:rsidRPr="00336E6C">
        <w:rPr>
          <w:rFonts w:ascii="Calibri" w:hAnsi="Calibri" w:cs="Calibri"/>
          <w:lang w:val="es-CL"/>
        </w:rPr>
        <w:t>).</w:t>
      </w:r>
    </w:p>
    <w:p w14:paraId="2A503773" w14:textId="77777777" w:rsidR="00336E6C" w:rsidRPr="00336E6C" w:rsidRDefault="00336E6C" w:rsidP="00336E6C">
      <w:pPr>
        <w:numPr>
          <w:ilvl w:val="1"/>
          <w:numId w:val="19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t>Pérdida de credibilidad profesional y posibles sanciones de certificadoras (ej. revocación de CEH, CISSP).</w:t>
      </w:r>
    </w:p>
    <w:p w14:paraId="626BFEDB" w14:textId="77777777" w:rsidR="00336E6C" w:rsidRPr="00336E6C" w:rsidRDefault="00336E6C" w:rsidP="00336E6C">
      <w:pPr>
        <w:numPr>
          <w:ilvl w:val="0"/>
          <w:numId w:val="19"/>
        </w:numPr>
        <w:rPr>
          <w:rFonts w:ascii="Calibri" w:hAnsi="Calibri" w:cs="Calibri"/>
        </w:rPr>
      </w:pPr>
      <w:r w:rsidRPr="00336E6C">
        <w:rPr>
          <w:rFonts w:ascii="Calibri" w:hAnsi="Calibri" w:cs="Calibri"/>
        </w:rPr>
        <w:t xml:space="preserve">Para la </w:t>
      </w:r>
      <w:proofErr w:type="spellStart"/>
      <w:r w:rsidRPr="00336E6C">
        <w:rPr>
          <w:rFonts w:ascii="Calibri" w:hAnsi="Calibri" w:cs="Calibri"/>
        </w:rPr>
        <w:t>empresa</w:t>
      </w:r>
      <w:proofErr w:type="spellEnd"/>
      <w:r w:rsidRPr="00336E6C">
        <w:rPr>
          <w:rFonts w:ascii="Calibri" w:hAnsi="Calibri" w:cs="Calibri"/>
        </w:rPr>
        <w:t>:</w:t>
      </w:r>
    </w:p>
    <w:p w14:paraId="641D0DB8" w14:textId="77777777" w:rsidR="00336E6C" w:rsidRPr="00336E6C" w:rsidRDefault="00336E6C" w:rsidP="00336E6C">
      <w:pPr>
        <w:numPr>
          <w:ilvl w:val="1"/>
          <w:numId w:val="19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t>Responsabilidad legal por fuga de datos personales (GDPR, Ley 19.628 en Chile, ISO 27701).</w:t>
      </w:r>
    </w:p>
    <w:p w14:paraId="49A436D7" w14:textId="77777777" w:rsidR="00336E6C" w:rsidRPr="00336E6C" w:rsidRDefault="00336E6C" w:rsidP="00336E6C">
      <w:pPr>
        <w:numPr>
          <w:ilvl w:val="1"/>
          <w:numId w:val="19"/>
        </w:numPr>
        <w:rPr>
          <w:rFonts w:ascii="Calibri" w:hAnsi="Calibri" w:cs="Calibri"/>
          <w:lang w:val="es-CL"/>
        </w:rPr>
      </w:pPr>
      <w:r w:rsidRPr="00336E6C">
        <w:rPr>
          <w:rFonts w:ascii="Calibri" w:hAnsi="Calibri" w:cs="Calibri"/>
          <w:lang w:val="es-CL"/>
        </w:rPr>
        <w:t>Posibles sanciones económicas, demandas de clientes y daño reputacional.</w:t>
      </w:r>
    </w:p>
    <w:p w14:paraId="684035CB" w14:textId="3BD8BEA2" w:rsidR="00AC4CC4" w:rsidRPr="00742830" w:rsidRDefault="00AC4CC4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</w:p>
    <w:p w14:paraId="132093A9" w14:textId="77777777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AED3E6B">
          <v:rect id="_x0000_i1031" style="width:0;height:1.5pt" o:hralign="center" o:hrstd="t" o:hr="t" fillcolor="#a0a0a0" stroked="f"/>
        </w:pict>
      </w:r>
    </w:p>
    <w:p w14:paraId="792216C6" w14:textId="4AA597CB" w:rsidR="00AC4CC4" w:rsidRPr="00DB44CE" w:rsidRDefault="00AC4CC4" w:rsidP="00AC4CC4">
      <w:pPr>
        <w:rPr>
          <w:rFonts w:ascii="Calibri" w:hAnsi="Calibri" w:cs="Calibri"/>
          <w:b/>
          <w:bCs/>
          <w:i/>
          <w:iCs/>
          <w:sz w:val="26"/>
          <w:szCs w:val="26"/>
        </w:rPr>
      </w:pPr>
    </w:p>
    <w:p w14:paraId="69BC4BA3" w14:textId="77777777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14B3A3C">
          <v:rect id="_x0000_i1033" style="width:0;height:1.5pt" o:hralign="center" o:hrstd="t" o:hr="t" fillcolor="#a0a0a0" stroked="f"/>
        </w:pict>
      </w:r>
    </w:p>
    <w:p w14:paraId="77AE97BC" w14:textId="3BB5FD5C" w:rsidR="00AC4CC4" w:rsidRDefault="008C32D5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>
        <w:rPr>
          <w:rFonts w:ascii="Calibri" w:hAnsi="Calibri" w:cs="Calibri"/>
          <w:b/>
          <w:bCs/>
          <w:sz w:val="28"/>
          <w:szCs w:val="28"/>
          <w:lang w:val="es-CL"/>
        </w:rPr>
        <w:lastRenderedPageBreak/>
        <w:t>7</w:t>
      </w:r>
      <w:r w:rsidR="00AC4CC4" w:rsidRPr="00DB44CE">
        <w:rPr>
          <w:rFonts w:ascii="Calibri" w:hAnsi="Calibri" w:cs="Calibri"/>
          <w:b/>
          <w:bCs/>
          <w:sz w:val="28"/>
          <w:szCs w:val="28"/>
          <w:lang w:val="es-CL"/>
        </w:rPr>
        <w:t>. Conclusiones</w:t>
      </w:r>
    </w:p>
    <w:p w14:paraId="7BDDF1E0" w14:textId="3CEF9FC1" w:rsidR="00336E6C" w:rsidRPr="00336E6C" w:rsidRDefault="006A128D" w:rsidP="00AC4CC4">
      <w:pPr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 xml:space="preserve">Desde el analisis realizado podemos señalar que, </w:t>
      </w:r>
      <w:r w:rsidR="00336E6C" w:rsidRPr="00336E6C">
        <w:rPr>
          <w:rFonts w:ascii="Calibri" w:hAnsi="Calibri" w:cs="Calibri"/>
          <w:lang w:val="es-CL"/>
        </w:rPr>
        <w:t xml:space="preserve">el </w:t>
      </w:r>
      <w:proofErr w:type="spellStart"/>
      <w:r w:rsidR="00336E6C" w:rsidRPr="00336E6C">
        <w:rPr>
          <w:rFonts w:ascii="Calibri" w:hAnsi="Calibri" w:cs="Calibri"/>
          <w:lang w:val="es-CL"/>
        </w:rPr>
        <w:t>pentester</w:t>
      </w:r>
      <w:proofErr w:type="spellEnd"/>
      <w:r w:rsidR="008C32D5">
        <w:rPr>
          <w:rFonts w:ascii="Calibri" w:hAnsi="Calibri" w:cs="Calibri"/>
          <w:lang w:val="es-CL"/>
        </w:rPr>
        <w:t xml:space="preserve"> o auditor</w:t>
      </w:r>
      <w:r w:rsidR="00336E6C" w:rsidRPr="00336E6C">
        <w:rPr>
          <w:rFonts w:ascii="Calibri" w:hAnsi="Calibri" w:cs="Calibri"/>
          <w:lang w:val="es-CL"/>
        </w:rPr>
        <w:t xml:space="preserve"> </w:t>
      </w:r>
      <w:r w:rsidR="00336E6C">
        <w:rPr>
          <w:rFonts w:ascii="Calibri" w:hAnsi="Calibri" w:cs="Calibri"/>
          <w:lang w:val="es-CL"/>
        </w:rPr>
        <w:t xml:space="preserve">no </w:t>
      </w:r>
      <w:r w:rsidR="00336E6C" w:rsidRPr="00336E6C">
        <w:rPr>
          <w:rFonts w:ascii="Calibri" w:hAnsi="Calibri" w:cs="Calibri"/>
          <w:lang w:val="es-CL"/>
        </w:rPr>
        <w:t>actuó de forma ética</w:t>
      </w:r>
      <w:r w:rsidR="00336E6C">
        <w:rPr>
          <w:rFonts w:ascii="Calibri" w:hAnsi="Calibri" w:cs="Calibri"/>
          <w:lang w:val="es-CL"/>
        </w:rPr>
        <w:t xml:space="preserve"> ni</w:t>
      </w:r>
      <w:r w:rsidR="00336E6C" w:rsidRPr="00336E6C">
        <w:rPr>
          <w:rFonts w:ascii="Calibri" w:hAnsi="Calibri" w:cs="Calibri"/>
          <w:lang w:val="es-CL"/>
        </w:rPr>
        <w:t xml:space="preserve"> legal</w:t>
      </w:r>
      <w:r w:rsidR="00336E6C">
        <w:rPr>
          <w:rFonts w:ascii="Calibri" w:hAnsi="Calibri" w:cs="Calibri"/>
          <w:lang w:val="es-CL"/>
        </w:rPr>
        <w:t>, pues</w:t>
      </w:r>
      <w:r w:rsidR="00336E6C" w:rsidRPr="00336E6C">
        <w:rPr>
          <w:rFonts w:ascii="Calibri" w:hAnsi="Calibri" w:cs="Calibri"/>
          <w:lang w:val="es-CL"/>
        </w:rPr>
        <w:t xml:space="preserve"> usa datos sensibles fuera del alcance del contrato</w:t>
      </w:r>
      <w:r w:rsidR="008C32D5">
        <w:rPr>
          <w:rFonts w:ascii="Calibri" w:hAnsi="Calibri" w:cs="Calibri"/>
          <w:lang w:val="es-CL"/>
        </w:rPr>
        <w:t>.</w:t>
      </w:r>
      <w:r w:rsidR="00336E6C" w:rsidRPr="00336E6C">
        <w:rPr>
          <w:rFonts w:ascii="Calibri" w:hAnsi="Calibri" w:cs="Calibri"/>
          <w:lang w:val="es-CL"/>
        </w:rPr>
        <w:t xml:space="preserve"> Lo correcto </w:t>
      </w:r>
      <w:r w:rsidR="008C32D5">
        <w:rPr>
          <w:rFonts w:ascii="Calibri" w:hAnsi="Calibri" w:cs="Calibri"/>
          <w:lang w:val="es-CL"/>
        </w:rPr>
        <w:t>sería</w:t>
      </w:r>
      <w:r w:rsidR="00336E6C" w:rsidRPr="00336E6C">
        <w:rPr>
          <w:rFonts w:ascii="Calibri" w:hAnsi="Calibri" w:cs="Calibri"/>
          <w:lang w:val="es-CL"/>
        </w:rPr>
        <w:t xml:space="preserve"> informar de inmediato, registrar evidencia mínima, y nunca reutilizar datos reales con fines personales.</w:t>
      </w:r>
    </w:p>
    <w:p w14:paraId="1A2FC237" w14:textId="77777777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E05D4A8">
          <v:rect id="_x0000_i1034" style="width:0;height:1.5pt" o:hralign="center" o:hrstd="t" o:hr="t" fillcolor="#a0a0a0" stroked="f"/>
        </w:pict>
      </w:r>
    </w:p>
    <w:sectPr w:rsidR="00AC4CC4" w:rsidRPr="00742830" w:rsidSect="0035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5334"/>
    <w:multiLevelType w:val="multilevel"/>
    <w:tmpl w:val="543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618F"/>
    <w:multiLevelType w:val="multilevel"/>
    <w:tmpl w:val="DF96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87BF9"/>
    <w:multiLevelType w:val="multilevel"/>
    <w:tmpl w:val="8A9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C721F"/>
    <w:multiLevelType w:val="multilevel"/>
    <w:tmpl w:val="9AA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E6B26"/>
    <w:multiLevelType w:val="multilevel"/>
    <w:tmpl w:val="B830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21FDC"/>
    <w:multiLevelType w:val="multilevel"/>
    <w:tmpl w:val="E05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B44F7"/>
    <w:multiLevelType w:val="multilevel"/>
    <w:tmpl w:val="E106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038CF"/>
    <w:multiLevelType w:val="multilevel"/>
    <w:tmpl w:val="43CE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860AF"/>
    <w:multiLevelType w:val="multilevel"/>
    <w:tmpl w:val="B72C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E264E"/>
    <w:multiLevelType w:val="multilevel"/>
    <w:tmpl w:val="59D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B27F7"/>
    <w:multiLevelType w:val="multilevel"/>
    <w:tmpl w:val="E38E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57AB4"/>
    <w:multiLevelType w:val="multilevel"/>
    <w:tmpl w:val="1A7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83C83"/>
    <w:multiLevelType w:val="multilevel"/>
    <w:tmpl w:val="3FD0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8413B"/>
    <w:multiLevelType w:val="multilevel"/>
    <w:tmpl w:val="6CA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66AC3"/>
    <w:multiLevelType w:val="multilevel"/>
    <w:tmpl w:val="2AA2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27465"/>
    <w:multiLevelType w:val="hybridMultilevel"/>
    <w:tmpl w:val="D42C1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B59C1"/>
    <w:multiLevelType w:val="multilevel"/>
    <w:tmpl w:val="354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0D7CC4"/>
    <w:multiLevelType w:val="multilevel"/>
    <w:tmpl w:val="904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040075">
    <w:abstractNumId w:val="6"/>
  </w:num>
  <w:num w:numId="2" w16cid:durableId="2135127427">
    <w:abstractNumId w:val="17"/>
  </w:num>
  <w:num w:numId="3" w16cid:durableId="729579515">
    <w:abstractNumId w:val="16"/>
  </w:num>
  <w:num w:numId="4" w16cid:durableId="1682510312">
    <w:abstractNumId w:val="2"/>
  </w:num>
  <w:num w:numId="5" w16cid:durableId="256523325">
    <w:abstractNumId w:val="5"/>
  </w:num>
  <w:num w:numId="6" w16cid:durableId="203180564">
    <w:abstractNumId w:val="9"/>
  </w:num>
  <w:num w:numId="7" w16cid:durableId="918758236">
    <w:abstractNumId w:val="3"/>
  </w:num>
  <w:num w:numId="8" w16cid:durableId="70273028">
    <w:abstractNumId w:val="11"/>
  </w:num>
  <w:num w:numId="9" w16cid:durableId="413862111">
    <w:abstractNumId w:val="1"/>
  </w:num>
  <w:num w:numId="10" w16cid:durableId="111440226">
    <w:abstractNumId w:val="1"/>
    <w:lvlOverride w:ilvl="1">
      <w:lvl w:ilvl="1">
        <w:numFmt w:val="decimal"/>
        <w:lvlText w:val="%2."/>
        <w:lvlJc w:val="left"/>
      </w:lvl>
    </w:lvlOverride>
  </w:num>
  <w:num w:numId="11" w16cid:durableId="1685595676">
    <w:abstractNumId w:val="14"/>
  </w:num>
  <w:num w:numId="12" w16cid:durableId="1884511968">
    <w:abstractNumId w:val="14"/>
    <w:lvlOverride w:ilvl="1">
      <w:lvl w:ilvl="1">
        <w:numFmt w:val="decimal"/>
        <w:lvlText w:val="%2."/>
        <w:lvlJc w:val="left"/>
      </w:lvl>
    </w:lvlOverride>
  </w:num>
  <w:num w:numId="13" w16cid:durableId="1156070597">
    <w:abstractNumId w:val="4"/>
  </w:num>
  <w:num w:numId="14" w16cid:durableId="1449206179">
    <w:abstractNumId w:val="0"/>
  </w:num>
  <w:num w:numId="15" w16cid:durableId="1105349508">
    <w:abstractNumId w:val="10"/>
  </w:num>
  <w:num w:numId="16" w16cid:durableId="1976641335">
    <w:abstractNumId w:val="12"/>
  </w:num>
  <w:num w:numId="17" w16cid:durableId="617220077">
    <w:abstractNumId w:val="7"/>
  </w:num>
  <w:num w:numId="18" w16cid:durableId="932668240">
    <w:abstractNumId w:val="8"/>
  </w:num>
  <w:num w:numId="19" w16cid:durableId="1944223508">
    <w:abstractNumId w:val="13"/>
  </w:num>
  <w:num w:numId="20" w16cid:durableId="2757228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EB"/>
    <w:rsid w:val="0008748B"/>
    <w:rsid w:val="00331103"/>
    <w:rsid w:val="00336E6C"/>
    <w:rsid w:val="00353B9D"/>
    <w:rsid w:val="00663FEB"/>
    <w:rsid w:val="006A128D"/>
    <w:rsid w:val="00742830"/>
    <w:rsid w:val="007A0D76"/>
    <w:rsid w:val="008734C8"/>
    <w:rsid w:val="008C32D5"/>
    <w:rsid w:val="00AC4CC4"/>
    <w:rsid w:val="00B47759"/>
    <w:rsid w:val="00C5321A"/>
    <w:rsid w:val="00D644EC"/>
    <w:rsid w:val="00DB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C359"/>
  <w15:chartTrackingRefBased/>
  <w15:docId w15:val="{3D97FB08-D205-47A2-B57C-5EC082A4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9D"/>
  </w:style>
  <w:style w:type="paragraph" w:styleId="Heading1">
    <w:name w:val="heading 1"/>
    <w:basedOn w:val="Normal"/>
    <w:next w:val="Normal"/>
    <w:link w:val="Heading1Char"/>
    <w:uiPriority w:val="9"/>
    <w:qFormat/>
    <w:rsid w:val="00663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EB"/>
    <w:pPr>
      <w:keepNext/>
      <w:keepLines/>
      <w:spacing w:before="160" w:after="80"/>
      <w:outlineLvl w:val="2"/>
    </w:pPr>
    <w:rPr>
      <w:rFonts w:eastAsiaTheme="majorEastAsia" w:cstheme="majorBidi"/>
      <w:color w:val="AB1E19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B1E1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EB"/>
    <w:pPr>
      <w:keepNext/>
      <w:keepLines/>
      <w:spacing w:before="80" w:after="40"/>
      <w:outlineLvl w:val="4"/>
    </w:pPr>
    <w:rPr>
      <w:rFonts w:eastAsiaTheme="majorEastAsia" w:cstheme="majorBidi"/>
      <w:color w:val="AB1E1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EB"/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FEB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EB"/>
    <w:rPr>
      <w:rFonts w:eastAsiaTheme="majorEastAsia" w:cstheme="majorBidi"/>
      <w:color w:val="AB1E19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EB"/>
    <w:rPr>
      <w:rFonts w:eastAsiaTheme="majorEastAsia" w:cstheme="majorBidi"/>
      <w:i/>
      <w:iCs/>
      <w:color w:val="AB1E1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EB"/>
    <w:rPr>
      <w:rFonts w:eastAsiaTheme="majorEastAsia" w:cstheme="majorBidi"/>
      <w:color w:val="AB1E1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EB"/>
    <w:rPr>
      <w:i/>
      <w:iCs/>
      <w:color w:val="AB1E1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EB"/>
    <w:pPr>
      <w:pBdr>
        <w:top w:val="single" w:sz="4" w:space="10" w:color="AB1E19" w:themeColor="accent1" w:themeShade="BF"/>
        <w:bottom w:val="single" w:sz="4" w:space="10" w:color="AB1E19" w:themeColor="accent1" w:themeShade="BF"/>
      </w:pBdr>
      <w:spacing w:before="360" w:after="360"/>
      <w:ind w:left="864" w:right="864"/>
      <w:jc w:val="center"/>
    </w:pPr>
    <w:rPr>
      <w:i/>
      <w:iCs/>
      <w:color w:val="AB1E1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EB"/>
    <w:rPr>
      <w:i/>
      <w:iCs/>
      <w:color w:val="AB1E19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EB"/>
    <w:rPr>
      <w:b/>
      <w:bCs/>
      <w:smallCaps/>
      <w:color w:val="AB1E19" w:themeColor="accent1" w:themeShade="BF"/>
      <w:spacing w:val="5"/>
    </w:rPr>
  </w:style>
  <w:style w:type="table" w:styleId="TableGrid">
    <w:name w:val="Table Grid"/>
    <w:basedOn w:val="TableNormal"/>
    <w:uiPriority w:val="39"/>
    <w:rsid w:val="00AC4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6</cp:revision>
  <dcterms:created xsi:type="dcterms:W3CDTF">2025-07-08T20:43:00Z</dcterms:created>
  <dcterms:modified xsi:type="dcterms:W3CDTF">2025-08-22T00:34:00Z</dcterms:modified>
</cp:coreProperties>
</file>