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7AD4D" w14:textId="77777777" w:rsidR="0003309E" w:rsidRDefault="0003309E" w:rsidP="0003309E"/>
    <w:p w14:paraId="38903F0F"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1FD2FCAE" wp14:editId="7C3461F8">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D2E21F2" w14:textId="77777777" w:rsidR="0003309E" w:rsidRDefault="0003309E" w:rsidP="0003309E">
                              <w:pPr>
                                <w:spacing w:after="0" w:line="240" w:lineRule="auto"/>
                                <w:rPr>
                                  <w:b/>
                                  <w:color w:val="FF0000"/>
                                  <w:sz w:val="48"/>
                                  <w:szCs w:val="48"/>
                                </w:rPr>
                              </w:pPr>
                            </w:p>
                            <w:p w14:paraId="0DD908A0"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5A2C8F15"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10D0055C" w14:textId="77777777" w:rsidR="0003309E" w:rsidRDefault="0003309E" w:rsidP="0003309E">
      <w:pPr>
        <w:rPr>
          <w:rFonts w:cs="Calibri Light"/>
          <w:color w:val="595959" w:themeColor="text1" w:themeTint="A6"/>
          <w:sz w:val="24"/>
          <w:szCs w:val="24"/>
          <w:lang w:val="es-ES"/>
        </w:rPr>
      </w:pPr>
    </w:p>
    <w:p w14:paraId="176A44E9" w14:textId="77777777" w:rsidR="0003309E" w:rsidRDefault="0003309E" w:rsidP="0003309E">
      <w:pPr>
        <w:rPr>
          <w:rFonts w:cs="Calibri Light"/>
          <w:color w:val="595959" w:themeColor="text1" w:themeTint="A6"/>
          <w:sz w:val="24"/>
          <w:szCs w:val="24"/>
          <w:lang w:val="es-ES"/>
        </w:rPr>
      </w:pPr>
    </w:p>
    <w:p w14:paraId="62E251BE" w14:textId="77777777" w:rsidR="0003309E" w:rsidRDefault="0003309E" w:rsidP="0003309E">
      <w:pPr>
        <w:rPr>
          <w:rFonts w:cs="Calibri Light"/>
          <w:color w:val="595959" w:themeColor="text1" w:themeTint="A6"/>
          <w:sz w:val="24"/>
          <w:szCs w:val="24"/>
          <w:lang w:val="es-ES"/>
        </w:rPr>
      </w:pPr>
    </w:p>
    <w:p w14:paraId="1F66E195" w14:textId="77777777" w:rsidR="0003309E" w:rsidRDefault="0003309E" w:rsidP="0003309E">
      <w:pPr>
        <w:rPr>
          <w:rFonts w:cs="Calibri Light"/>
          <w:color w:val="595959" w:themeColor="text1" w:themeTint="A6"/>
          <w:sz w:val="24"/>
          <w:szCs w:val="24"/>
          <w:lang w:val="es-ES"/>
        </w:rPr>
      </w:pPr>
    </w:p>
    <w:p w14:paraId="48E8D8C3" w14:textId="77777777" w:rsidR="0003309E" w:rsidRDefault="0003309E" w:rsidP="0003309E">
      <w:pPr>
        <w:rPr>
          <w:rFonts w:cs="Calibri Light"/>
          <w:color w:val="595959" w:themeColor="text1" w:themeTint="A6"/>
          <w:sz w:val="24"/>
          <w:szCs w:val="24"/>
          <w:lang w:val="es-ES"/>
        </w:rPr>
      </w:pPr>
    </w:p>
    <w:p w14:paraId="27D07D32"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343712B" w14:textId="77777777" w:rsidTr="00C5122E">
        <w:trPr>
          <w:trHeight w:val="440"/>
        </w:trPr>
        <w:tc>
          <w:tcPr>
            <w:tcW w:w="9639" w:type="dxa"/>
            <w:vAlign w:val="center"/>
          </w:tcPr>
          <w:p w14:paraId="045F9E2A" w14:textId="77777777"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5D0A1A55" w14:textId="77777777" w:rsidTr="00C5122E">
        <w:trPr>
          <w:trHeight w:val="800"/>
        </w:trPr>
        <w:tc>
          <w:tcPr>
            <w:tcW w:w="9639" w:type="dxa"/>
            <w:shd w:val="clear" w:color="auto" w:fill="D9E2F3" w:themeFill="accent1" w:themeFillTint="33"/>
            <w:vAlign w:val="center"/>
          </w:tcPr>
          <w:p w14:paraId="2D597C81"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67A114EE" w14:textId="77777777" w:rsidR="0003309E" w:rsidRDefault="0003309E" w:rsidP="0003309E">
      <w:pPr>
        <w:spacing w:after="0" w:line="240" w:lineRule="auto"/>
        <w:rPr>
          <w:rFonts w:cs="Calibri Light"/>
          <w:color w:val="595959" w:themeColor="text1" w:themeTint="A6"/>
          <w:sz w:val="24"/>
          <w:szCs w:val="24"/>
          <w:lang w:val="es-ES"/>
        </w:rPr>
      </w:pPr>
    </w:p>
    <w:p w14:paraId="29ACD770"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1F145837" w14:textId="77777777" w:rsidTr="000A1331">
        <w:tc>
          <w:tcPr>
            <w:tcW w:w="2528" w:type="dxa"/>
            <w:vAlign w:val="center"/>
          </w:tcPr>
          <w:p w14:paraId="66D1A98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1461383F"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Al cierre de la semana 10, el proyecto completó los tres primeros sprints planificados en la guía de la Fase 1. LogiSLA ya permite cargar un archivo de envíos, auditarlo contra la regla SLA de cada transportista y revisar los resultados en un dashboard, con la tabla de guías y la descarga de incumplimientos en CSV. El Sprint 3 se cerró con un alcance ajustado: los gráficos de multa y atraso y el módulo de IA generativa, previstos para ese sprint, se trasladaron al Sprint 4 (ver sección 3).</w:t>
            </w:r>
          </w:p>
          <w:p w14:paraId="70B7960F"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Sprint 1 (semanas 1 a 6, completado). </w:t>
            </w:r>
            <w:r>
              <w:rPr>
                <w:rFonts w:ascii="Calibri" w:hAnsi="Calibri"/>
                <w:color w:val="1F2937"/>
                <w:sz w:val="20"/>
              </w:rPr>
              <w:t>Se construyó el modelo relacional de cinco tablas (empresas, transportistas, reglas_sla, lotes_auditoria y envios) y la API de carga en FastAPI. El sistema reconoce automáticamente las columnas del archivo CSV o Excel aunque vengan con nombres distintos (por ejemplo, «N° Guía», «Numero de Guia» o «tracking_number») y rechaza con un mensaje claro los archivos que no traen las columnas obligatorias. Cumple el objetivo específico 1.</w:t>
            </w:r>
          </w:p>
          <w:p w14:paraId="4E04C119"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Sprint 2 (semanas 7 y 8, completado). </w:t>
            </w:r>
            <w:r>
              <w:rPr>
                <w:rFonts w:ascii="Calibri" w:hAnsi="Calibri"/>
                <w:color w:val="1F2937"/>
                <w:sz w:val="20"/>
              </w:rPr>
              <w:t xml:space="preserve">Se desarrolló el motor de auditoría determinístico en Python: calcula el tiempo de tránsito en horas hábiles (lunes a viernes, de 09:00 a 18:00), descuenta fines de semana y feriados chilenos con la librería Workalendar, determina el atraso sobre el plazo de la regla SLA y aplica la multa fija por guía definida en esa regla. Cumple el objetivo específico 2.</w:t>
            </w:r>
          </w:p>
          <w:p w14:paraId="2770BB78"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Sprint 3 (semanas 9 y 10, completado con alcance ajustado). </w:t>
            </w:r>
            <w:r>
              <w:rPr>
                <w:rFonts w:ascii="Calibri" w:hAnsi="Calibri"/>
                <w:color w:val="1F2937"/>
                <w:sz w:val="20"/>
              </w:rPr>
              <w:t xml:space="preserve">Se desarrollaron los endpoints de consulta y el dashboard en Next.js, con el listado de lotes y el detalle de cada lote: franja de cumplimiento, desglose por transportista y tabla de guías con filtros, búsqueda, paginación y descarga en CSV. Avanza el objetivo específico 3; los gráficos de multa y de atraso (HU-15) lo completan en el Sprint 4. El módulo de IA generativa del objetivo específico 4 (carta de reclamo y resumen ejecutivo con la API de Claude) se trasladó al Sprint 4, porque se planificaron 36 puntos (dashboard, gráficos e IA) y la capacidad real fue de 20 puntos.</w:t>
            </w:r>
          </w:p>
          <w:p w14:paraId="2AD4A6D6"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Pruebas. </w:t>
            </w:r>
            <w:r>
              <w:rPr>
                <w:rFonts w:ascii="Calibri" w:hAnsi="Calibri"/>
                <w:color w:val="1F2937"/>
                <w:sz w:val="20"/>
              </w:rPr>
              <w:t xml:space="preserve">En cada sprint las pruebas se escribieron junto con el código, como define la metodología. A la fecha hay 38 casos automatizados en el backend (PyTest): 20 del motor de auditoría, 6 del mapeo de columnas, 4 de la carga de archivos, 3 de la auditoría vía API y 5 de las consultas del dashboard. El objetivo específico 5 avanza según lo replanificado: las pruebas del frontend con node:test corresponden al Sprint 4 y las pruebas end-to-end con Playwright, al Sprint 5. El objetivo específico 6 (despliegue en GCP con CI/CD) se aborda en los Sprints 4 y 5 y aún no se inicia.</w:t>
            </w:r>
          </w:p>
          <w:p w14:paraId="3B113B15"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color w:val="1F2937"/>
                <w:sz w:val="20"/>
              </w:rPr>
              <w:lastRenderedPageBreak/>
              <w:t xml:space="preserve">Los objetivos se mantienen. La metodología y el calendario tienen ajustes acotados, que se indican en los campos siguientes y se justifican en la sección 3.</w:t>
            </w:r>
          </w:p>
        </w:tc>
      </w:tr>
      <w:tr w:rsidR="0003309E" w14:paraId="414017B9" w14:textId="77777777" w:rsidTr="000A1331">
        <w:trPr>
          <w:trHeight w:val="1247"/>
        </w:trPr>
        <w:tc>
          <w:tcPr>
            <w:tcW w:w="2528" w:type="dxa"/>
            <w:vAlign w:val="center"/>
          </w:tcPr>
          <w:p w14:paraId="6A8909A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6450791" w14:textId="77777777" w:rsidR="0003309E" w:rsidRPr="00A370C8" w:rsidRDefault="0003309E" w:rsidP="00585A13">
            <w:pPr>
              <w:spacing w:after="80"/>
              <w:jc w:val="both"/>
              <w:rPr>
                <w:rFonts w:ascii="Calibri" w:hAnsi="Calibri" w:cs="Arial"/>
                <w:b/>
                <w:i/>
                <w:color w:val="548DD4"/>
                <w:sz w:val="20"/>
                <w:szCs w:val="20"/>
                <w:lang w:eastAsia="es-CL"/>
              </w:rPr>
            </w:pPr>
            <w:r>
              <w:rPr>
                <w:rFonts w:ascii="Calibri" w:hAnsi="Calibri"/>
                <w:color w:val="1F2937"/>
                <w:sz w:val="20"/>
              </w:rPr>
              <w:t>Se mantienen el objetivo general y los seis objetivos específicos de la guía de la Fase 1. El único ajuste es de coherencia: la presentación de la Fase 1 indicaba un plazo de 12 semanas y la guía, de 15 semanas; se adopta el plazo de 15 semanas de la guía, que corresponde al calendario de la asignatura.</w:t>
            </w:r>
          </w:p>
        </w:tc>
      </w:tr>
      <w:tr w:rsidR="0003309E" w14:paraId="33D74C13" w14:textId="77777777" w:rsidTr="000A1331">
        <w:trPr>
          <w:trHeight w:val="939"/>
        </w:trPr>
        <w:tc>
          <w:tcPr>
            <w:tcW w:w="2528" w:type="dxa"/>
            <w:vAlign w:val="center"/>
          </w:tcPr>
          <w:p w14:paraId="52DAEA1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3352BAE3"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Se mantiene Scrum con cinco sprints en 15 semanas, gestión en Jira y trabajo con ramas y Pull Requests en GitHub. Se ajustan cuatro aspectos:</w:t>
            </w:r>
          </w:p>
          <w:p w14:paraId="07D86418"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Cronograma único: </w:t>
            </w:r>
            <w:r>
              <w:rPr>
                <w:rFonts w:ascii="Calibri" w:hAnsi="Calibri"/>
                <w:color w:val="1F2937"/>
                <w:sz w:val="20"/>
              </w:rPr>
              <w:t>se adopta la versión de la guía de la Fase 1 (cinco sprints, con pruebas en cada sprint) y se descarta la de seis sprints con un sprint exclusivo de pruebas que aparecía en la presentación.</w:t>
            </w:r>
          </w:p>
          <w:p w14:paraId="1384A717"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Base de datos por ambiente: </w:t>
            </w:r>
            <w:r>
              <w:rPr>
                <w:rFonts w:ascii="Calibri" w:hAnsi="Calibri"/>
                <w:color w:val="1F2937"/>
                <w:sz w:val="20"/>
              </w:rPr>
              <w:t xml:space="preserve">SQLite para desarrollo y demostración local; PostgreSQL 16 en Cloud SQL para el despliegue. El paso a PostgreSQL y las migraciones con Alembic se realizan en el Sprint 4.</w:t>
            </w:r>
          </w:p>
          <w:p w14:paraId="630AE3F0"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Pruebas del frontend: </w:t>
            </w:r>
            <w:r>
              <w:rPr>
                <w:rFonts w:ascii="Calibri" w:hAnsi="Calibri"/>
                <w:color w:val="1F2937"/>
                <w:sz w:val="20"/>
              </w:rPr>
              <w:t xml:space="preserve">la lógica se probará con el runner nativo de Node.js (node:test) en lugar de Jest, en el Sprint 4; las pruebas de interfaz completa se mantienen con Playwright en el Sprint 5.</w:t>
            </w:r>
          </w:p>
          <w:p w:rsidR="0003309E" w:rsidRPr="00711C16"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Calendario replanificado: </w:t>
            </w:r>
            <w:r>
              <w:rPr>
                <w:rFonts w:ascii="Calibri" w:hAnsi="Calibri"/>
                <w:color w:val="1F2937"/>
                <w:sz w:val="20"/>
              </w:rPr>
              <w:t xml:space="preserve">la clase del martes 13 de octubre (semana 10) se suspendió por un temporal de lluvia y viento, y la del 20 de octubre (semana 11) fue en línea y se dedicó a las instrucciones del docente para la presentación de la Fase 2 del 27 de octubre (semana 12). Por eso las semanas 11 y 12, hasta la presentación, se destinan al cierre de la Fase 2 (documentación, repositorio y presentación de avance). El Sprint 4 va del 28 de octubre al 9 de noviembre (semanas 12 y 13) y el Sprint 5, del 10 al 16 de noviembre (semana 14), porque el martes 17 de noviembre (semana 15) el proyecto debe estar terminado y funcionando sin errores. La defensa es el 1 de diciembre (semana 17).</w:t>
            </w:r>
          </w:p>
        </w:tc>
      </w:tr>
      <w:tr w:rsidR="0003309E" w14:paraId="4BB743B0" w14:textId="77777777" w:rsidTr="000A1331">
        <w:trPr>
          <w:trHeight w:val="2377"/>
        </w:trPr>
        <w:tc>
          <w:tcPr>
            <w:tcW w:w="2528" w:type="dxa"/>
            <w:vAlign w:val="center"/>
          </w:tcPr>
          <w:p w14:paraId="658E3F3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1D1C9B78"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Se presentan las evidencias de avance comprometidas en la guía de la Fase 1. Todas están en el repositorio GitHub del proyecto, en la carpeta de la Fase 2 (la ubicación de cada una se detalla en el Anexo B).</w:t>
            </w:r>
          </w:p>
          <w:p w14:paraId="6D8506AF"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1. Código fuente de los Sprints 1 a 3: </w:t>
            </w:r>
            <w:r>
              <w:rPr>
                <w:rFonts w:ascii="Calibri" w:hAnsi="Calibri"/>
                <w:color w:val="1F2937"/>
                <w:sz w:val="20"/>
              </w:rPr>
              <w:t>backend en FastAPI y frontend en Next.js, con su historial de cambios. Da cuenta del avance real del software y de la integración del trabajo de ambos integrantes.</w:t>
            </w:r>
          </w:p>
          <w:p w14:paraId="235E5B57"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2. Modelo de datos: </w:t>
            </w:r>
            <w:r>
              <w:rPr>
                <w:rFonts w:ascii="Calibri" w:hAnsi="Calibri"/>
                <w:color w:val="1F2937"/>
                <w:sz w:val="20"/>
              </w:rPr>
              <w:t>script schema.sql para PostgreSQL 16 (validado en un servidor PostgreSQL 16), datos de prueba, consultas de verificación y diagrama entidad-relación (Anexo A). Acredita el diseño e implementación del modelo que soporta la auditoría.</w:t>
            </w:r>
          </w:p>
          <w:p w14:paraId="75E2E481"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3. Prototipo funcional: </w:t>
            </w:r>
            <w:r>
              <w:rPr>
                <w:rFonts w:ascii="Calibri" w:hAnsi="Calibri"/>
                <w:color w:val="1F2937"/>
                <w:sz w:val="20"/>
              </w:rPr>
              <w:t xml:space="preserve">capturas de la aplicación procesando el archivo de prueba de 60 guías: columnas detectadas, resultado de la auditoría, franja de cumplimiento, desglose por transportista y tabla de guías. Valida la funcionalidad principal comprometida para el Sprint 3.</w:t>
            </w:r>
          </w:p>
          <w:p w14:paraId="1C652925"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4. Reporte de pruebas: </w:t>
            </w:r>
            <w:r>
              <w:rPr>
                <w:rFonts w:ascii="Calibri" w:hAnsi="Calibri"/>
                <w:color w:val="1F2937"/>
                <w:sz w:val="20"/>
              </w:rPr>
              <w:t xml:space="preserve">resultado de las 38 pruebas de PyTest con su cobertura (pytest-cov). Certifica que el cálculo de horas hábiles y multas y los demás módulos funcionan según lo especificado. Las pruebas del frontend se incorporan en el Sprint 4.</w:t>
            </w:r>
          </w:p>
          <w:p w14:paraId="6FE822B7"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5. Tablero Jira: </w:t>
            </w:r>
            <w:r>
              <w:rPr>
                <w:rFonts w:ascii="Calibri" w:hAnsi="Calibri"/>
                <w:color w:val="1F2937"/>
                <w:sz w:val="20"/>
              </w:rPr>
              <w:t>historias de usuario de los Sprints 1 a 3 en estado terminado. Acredita la gestión ágil del proyecto.</w:t>
            </w:r>
          </w:p>
          <w:p w14:paraId="3788C21D"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color w:val="1F2937"/>
                <w:sz w:val="20"/>
              </w:rPr>
              <w:t xml:space="preserve">Resguardo de la calidad. </w:t>
            </w:r>
            <w:r>
              <w:rPr>
                <w:rFonts w:ascii="Calibri" w:hAnsi="Calibri"/>
                <w:color w:val="1F2937"/>
                <w:sz w:val="20"/>
              </w:rPr>
              <w:t xml:space="preserve">(a) Pruebas automatizadas escritas junto con cada módulo, que no dependen de red ni de una base de datos externa. (b) Separación entre el cálculo, que es determinístico, de autoría propia y está probado, y la redacción con IA del Sprint 4, que no modificará montos: las cifras y el anexo con el detalle de guías y multas los generará siempre el sistema. (c) Integración a la rama principal mediante Pull Requests con revisión del otro integrante. (d) Manejo explícito de casos límite: archivos con columnas no reconocidas, guías sin fecha de entrega y transportistas sin regla SLA. (e) Seguridad básica: las claves se leen desde variables de entorno y no se suben al repositorio, y la exportación CSV neutraliza textos que Excel interpretaría como fórmulas.</w:t>
            </w:r>
          </w:p>
          <w:p w14:paraId="148BA14A" w14:textId="77777777" w:rsidR="0003309E" w:rsidRPr="00A370C8" w:rsidRDefault="0003309E" w:rsidP="00585A13">
            <w:pPr>
              <w:spacing w:after="80"/>
              <w:jc w:val="both"/>
              <w:rPr>
                <w:rFonts w:ascii="Calibri" w:hAnsi="Calibri" w:cs="Arial"/>
                <w:b/>
                <w:i/>
                <w:color w:val="548DD4"/>
                <w:sz w:val="20"/>
                <w:szCs w:val="20"/>
                <w:lang w:eastAsia="es-CL"/>
              </w:rPr>
            </w:pPr>
            <w:r>
              <w:rPr>
                <w:rFonts w:ascii="Calibri" w:hAnsi="Calibri"/>
                <w:color w:val="1F2937"/>
                <w:sz w:val="20"/>
              </w:rPr>
              <w:t>Las evidencias se adjuntan en el repositorio (Anexo B) y el diagrama entidad-relación se incluye en el Anexo A de este informe.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06943B78" w14:textId="77777777" w:rsidTr="000A1331">
        <w:trPr>
          <w:trHeight w:val="440"/>
        </w:trPr>
        <w:tc>
          <w:tcPr>
            <w:tcW w:w="9640" w:type="dxa"/>
            <w:vAlign w:val="center"/>
          </w:tcPr>
          <w:p w14:paraId="50AC8C6E"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23625BBA" w14:textId="77777777" w:rsidTr="000A1331">
        <w:trPr>
          <w:trHeight w:val="800"/>
        </w:trPr>
        <w:tc>
          <w:tcPr>
            <w:tcW w:w="9640" w:type="dxa"/>
            <w:shd w:val="clear" w:color="auto" w:fill="D9E2F3" w:themeFill="accent1" w:themeFillTint="33"/>
            <w:vAlign w:val="center"/>
          </w:tcPr>
          <w:p w14:paraId="7FBA2675"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0F65C6E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0"/>
        <w:gridCol w:w="1150"/>
        <w:gridCol w:w="1200"/>
        <w:gridCol w:w="950"/>
        <w:gridCol w:w="1200"/>
        <w:gridCol w:w="1400"/>
        <w:gridCol w:w="1050"/>
        <w:gridCol w:w="1576"/>
      </w:tblGrid>
      <w:tr w:rsidR="00FD5149" w:rsidRPr="006E3B0D" w14:paraId="078B2681" w14:textId="77777777" w:rsidTr="00EA0C09">
        <w:trPr>
          <w:trHeight w:val="415"/>
        </w:trPr>
        <w:tc>
          <w:tcPr>
            <w:tcW w:w="9776" w:type="dxa"/>
            <w:gridSpan w:val="8"/>
            <w:vAlign w:val="center"/>
          </w:tcPr>
          <w:p w14:paraId="4E8CB86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24EED938" w14:textId="77777777" w:rsidTr="009552E5">
        <w:trPr>
          <w:trHeight w:val="711"/>
        </w:trPr>
        <w:tc>
          <w:tcPr>
            <w:tcW w:w="1250" w:type="dxa"/>
            <w:vAlign w:val="center"/>
          </w:tcPr>
          <w:p w14:paraId="0050E99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150" w:type="dxa"/>
            <w:vAlign w:val="center"/>
          </w:tcPr>
          <w:p w14:paraId="3B1E580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00" w:type="dxa"/>
            <w:vAlign w:val="center"/>
          </w:tcPr>
          <w:p w14:paraId="1624601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950" w:type="dxa"/>
            <w:vAlign w:val="center"/>
          </w:tcPr>
          <w:p w14:paraId="0C86F5C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00" w:type="dxa"/>
            <w:vAlign w:val="center"/>
          </w:tcPr>
          <w:p w14:paraId="309069B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400" w:type="dxa"/>
            <w:vAlign w:val="center"/>
          </w:tcPr>
          <w:p w14:paraId="2F34DD8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050" w:type="dxa"/>
            <w:vAlign w:val="center"/>
          </w:tcPr>
          <w:p w14:paraId="1A22B55F"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1576" w:type="dxa"/>
            <w:vAlign w:val="center"/>
          </w:tcPr>
          <w:p w14:paraId="4094BBA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237CE8CA" w14:textId="77777777" w:rsidTr="00EA0C09">
        <w:tc>
          <w:tcPr>
            <w:tcW w:w="1250" w:type="dxa"/>
          </w:tcPr>
          <w:p w14:paraId="7A1008FD" w14:textId="77777777" w:rsidR="00FD5149" w:rsidRPr="006E3B0D" w:rsidRDefault="00FD5149" w:rsidP="00FD5149">
            <w:pPr>
              <w:spacing w:after="0"/>
              <w:rPr>
                <w:b/>
                <w:sz w:val="18"/>
                <w:szCs w:val="24"/>
              </w:rPr>
            </w:pPr>
            <w:r>
              <w:rPr>
                <w:rFonts w:ascii="Calibri" w:hAnsi="Calibri"/>
                <w:color w:val="1F2937"/>
                <w:sz w:val="16"/>
              </w:rPr>
              <w:t>Desarrollar soluciones de software / Construir modelos de datos / Realizar pruebas de certificación</w:t>
            </w:r>
          </w:p>
        </w:tc>
        <w:tc>
          <w:tcPr>
            <w:tcW w:w="1150" w:type="dxa"/>
          </w:tcPr>
          <w:p w14:paraId="5435D55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Sprint 1: ingesta, base backend y pruebas de ingesta</w:t>
            </w:r>
          </w:p>
        </w:tc>
        <w:tc>
          <w:tcPr>
            <w:tcW w:w="1200" w:type="dxa"/>
          </w:tcPr>
          <w:p w14:paraId="30460ECC" w14:textId="77777777" w:rsidR="00FD5149" w:rsidRPr="006E3B0D" w:rsidRDefault="00FD5149" w:rsidP="00FD5149">
            <w:pPr>
              <w:spacing w:after="0"/>
              <w:rPr>
                <w:b/>
                <w:sz w:val="18"/>
                <w:szCs w:val="24"/>
              </w:rPr>
            </w:pPr>
            <w:r>
              <w:rPr>
                <w:rFonts w:ascii="Calibri" w:hAnsi="Calibri"/>
                <w:color w:val="1F2937"/>
                <w:sz w:val="16"/>
              </w:rPr>
              <w:t>Python, FastAPI, Pandas, SQLAlchemy, PostgreSQL / SQLite, Next.js, PyTest, GitHub</w:t>
            </w:r>
          </w:p>
        </w:tc>
        <w:tc>
          <w:tcPr>
            <w:tcW w:w="950" w:type="dxa"/>
          </w:tcPr>
          <w:p w14:paraId="0AB277B0" w14:textId="77777777" w:rsidR="00FD5149" w:rsidRPr="006E3B0D" w:rsidRDefault="00FD5149" w:rsidP="00FD5149">
            <w:pPr>
              <w:spacing w:after="0"/>
              <w:rPr>
                <w:b/>
                <w:sz w:val="18"/>
                <w:szCs w:val="24"/>
              </w:rPr>
            </w:pPr>
            <w:r>
              <w:rPr>
                <w:rFonts w:ascii="Calibri" w:hAnsi="Calibri"/>
                <w:color w:val="1F2937"/>
                <w:sz w:val="16"/>
              </w:rPr>
              <w:t>Semanas 1 a 6</w:t>
            </w:r>
          </w:p>
        </w:tc>
        <w:tc>
          <w:tcPr>
            <w:tcW w:w="1200" w:type="dxa"/>
          </w:tcPr>
          <w:p w14:paraId="7BA64AAA"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Sebastián Acuña (backend y BD) / José Salvatierra (frontend)</w:t>
            </w:r>
          </w:p>
        </w:tc>
        <w:tc>
          <w:tcPr>
            <w:tcW w:w="1400" w:type="dxa"/>
          </w:tcPr>
          <w:p w14:paraId="358B50A6"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Facilitador: librerías maduras. Dificultad: el backend se retomó desde cero, por eso el sprint se extendió a 6 semanas.</w:t>
            </w:r>
          </w:p>
        </w:tc>
        <w:tc>
          <w:tcPr>
            <w:tcW w:w="1050" w:type="dxa"/>
          </w:tcPr>
          <w:p w14:paraId="3CA1B191"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color w:val="1F2937"/>
                <w:sz w:val="16"/>
              </w:rPr>
              <w:t>Completado</w:t>
            </w:r>
          </w:p>
        </w:tc>
        <w:tc>
          <w:tcPr>
            <w:tcW w:w="1576" w:type="dxa"/>
          </w:tcPr>
          <w:p w14:paraId="2225E989"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Se eliminó el mapeo manual de columnas: un archivo no reconocido se rechaza indicando las columnas faltantes. SQLite para desarrollo local.</w:t>
            </w:r>
          </w:p>
        </w:tc>
      </w:tr>
      <w:tr w:rsidR="00FD5149" w:rsidRPr="006E3B0D" w14:paraId="781349B5" w14:textId="77777777" w:rsidTr="00EA0C09">
        <w:tc>
          <w:tcPr>
            <w:tcW w:w="1250" w:type="dxa"/>
          </w:tcPr>
          <w:p w14:paraId="09FB53D2" w14:textId="77777777" w:rsidR="00FD5149" w:rsidRPr="006E3B0D" w:rsidRDefault="00FD5149" w:rsidP="00FD5149">
            <w:pPr>
              <w:spacing w:after="0"/>
              <w:rPr>
                <w:b/>
                <w:sz w:val="18"/>
                <w:szCs w:val="24"/>
              </w:rPr>
            </w:pPr>
            <w:r>
              <w:rPr>
                <w:rFonts w:ascii="Calibri" w:hAnsi="Calibri"/>
                <w:color w:val="1F2937"/>
                <w:sz w:val="16"/>
              </w:rPr>
              <w:t>Desarrollar soluciones de software / Realizar pruebas de certificación</w:t>
            </w:r>
          </w:p>
        </w:tc>
        <w:tc>
          <w:tcPr>
            <w:tcW w:w="1150" w:type="dxa"/>
          </w:tcPr>
          <w:p w14:paraId="09CB48E1"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Sprint 2: motor de auditoría y pruebas unitarias</w:t>
            </w:r>
          </w:p>
        </w:tc>
        <w:tc>
          <w:tcPr>
            <w:tcW w:w="1200" w:type="dxa"/>
          </w:tcPr>
          <w:p w14:paraId="56B78BF2" w14:textId="77777777" w:rsidR="00FD5149" w:rsidRPr="006E3B0D" w:rsidRDefault="00FD5149" w:rsidP="00FD5149">
            <w:pPr>
              <w:spacing w:after="0"/>
              <w:rPr>
                <w:b/>
                <w:sz w:val="18"/>
                <w:szCs w:val="24"/>
              </w:rPr>
            </w:pPr>
            <w:r>
              <w:rPr>
                <w:rFonts w:ascii="Calibri" w:hAnsi="Calibri"/>
                <w:color w:val="1F2937"/>
                <w:sz w:val="16"/>
              </w:rPr>
              <w:t>Python, Pandas, Workalendar, PyTest</w:t>
            </w:r>
          </w:p>
        </w:tc>
        <w:tc>
          <w:tcPr>
            <w:tcW w:w="950" w:type="dxa"/>
          </w:tcPr>
          <w:p w14:paraId="5A80A332" w14:textId="77777777" w:rsidR="00FD5149" w:rsidRPr="006E3B0D" w:rsidRDefault="00FD5149" w:rsidP="00FD5149">
            <w:pPr>
              <w:spacing w:after="0"/>
              <w:rPr>
                <w:b/>
                <w:sz w:val="18"/>
                <w:szCs w:val="24"/>
              </w:rPr>
            </w:pPr>
            <w:r>
              <w:rPr>
                <w:rFonts w:ascii="Calibri" w:hAnsi="Calibri"/>
                <w:color w:val="1F2937"/>
                <w:sz w:val="16"/>
              </w:rPr>
              <w:t>Semanas 7 y 8</w:t>
            </w:r>
          </w:p>
        </w:tc>
        <w:tc>
          <w:tcPr>
            <w:tcW w:w="1200" w:type="dxa"/>
          </w:tcPr>
          <w:p w14:paraId="14019EAB"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Sebastián Acuña</w:t>
            </w:r>
          </w:p>
        </w:tc>
        <w:tc>
          <w:tcPr>
            <w:tcW w:w="1400" w:type="dxa"/>
          </w:tcPr>
          <w:p w14:paraId="1D30B002"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Cero fallas toleradas en el cálculo de multas: 20 pruebas unitarias del motor de auditoría (horas hábiles, cumplimiento y multa, transportistas y reglas SLA).</w:t>
            </w:r>
          </w:p>
        </w:tc>
        <w:tc>
          <w:tcPr>
            <w:tcW w:w="1050" w:type="dxa"/>
          </w:tcPr>
          <w:p w14:paraId="6FDD04CE"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color w:val="1F2937"/>
                <w:sz w:val="16"/>
              </w:rPr>
              <w:t>Completado</w:t>
            </w:r>
          </w:p>
        </w:tc>
        <w:tc>
          <w:tcPr>
            <w:tcW w:w="1576" w:type="dxa"/>
          </w:tcPr>
          <w:p w14:paraId="0D0E4900"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Regla SLA por transportista con multa fija por guía (sin zonas de origen y destino ni tipo de servicio, que los archivos no traen).</w:t>
            </w:r>
          </w:p>
        </w:tc>
      </w:tr>
      <w:tr w:rsidR="00FD5149" w:rsidRPr="006E3B0D" w14:paraId="69E1E4F5" w14:textId="77777777" w:rsidTr="00EA0C09">
        <w:tc>
          <w:tcPr>
            <w:tcW w:w="1250" w:type="dxa"/>
          </w:tcPr>
          <w:p w14:paraId="16FF9440" w14:textId="77777777" w:rsidR="00FD5149" w:rsidRPr="006E3B0D" w:rsidRDefault="00FD5149" w:rsidP="00FD5149">
            <w:pPr>
              <w:spacing w:after="0"/>
              <w:rPr>
                <w:b/>
                <w:sz w:val="18"/>
                <w:szCs w:val="24"/>
              </w:rPr>
            </w:pPr>
            <w:r>
              <w:rPr>
                <w:rFonts w:ascii="Calibri" w:hAnsi="Calibri"/>
                <w:color w:val="1F2937"/>
                <w:sz w:val="16"/>
              </w:rPr>
              <w:t>Desarrollar soluciones de software / Gestionar proyectos / Realizar pruebas de certificación</w:t>
            </w:r>
          </w:p>
        </w:tc>
        <w:tc>
          <w:tcPr>
            <w:tcW w:w="1150" w:type="dxa"/>
          </w:tcPr>
          <w:p w14:paraId="65E71983"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Sprint 3: consultas, dashboard, tabla de guías y pruebas de integración</w:t>
            </w:r>
          </w:p>
        </w:tc>
        <w:tc>
          <w:tcPr>
            <w:tcW w:w="1200" w:type="dxa"/>
          </w:tcPr>
          <w:p w14:paraId="6DCAB49E" w14:textId="77777777" w:rsidR="00FD5149" w:rsidRPr="006E3B0D" w:rsidRDefault="00FD5149" w:rsidP="00FD5149">
            <w:pPr>
              <w:spacing w:after="0"/>
              <w:rPr>
                <w:b/>
                <w:sz w:val="18"/>
                <w:szCs w:val="24"/>
              </w:rPr>
            </w:pPr>
            <w:r>
              <w:rPr>
                <w:rFonts w:ascii="Calibri" w:hAnsi="Calibri"/>
                <w:color w:val="1F2937"/>
                <w:sz w:val="16"/>
              </w:rPr>
              <w:t xml:space="preserve">Next.js 16, Tailwind CSS, FastAPI, SQLAlchemy, PyTest</w:t>
            </w:r>
          </w:p>
        </w:tc>
        <w:tc>
          <w:tcPr>
            <w:tcW w:w="950" w:type="dxa"/>
          </w:tcPr>
          <w:p w14:paraId="147FFF2C" w14:textId="77777777" w:rsidR="00FD5149" w:rsidRPr="006E3B0D" w:rsidRDefault="00FD5149" w:rsidP="00FD5149">
            <w:pPr>
              <w:spacing w:after="0"/>
              <w:rPr>
                <w:b/>
                <w:sz w:val="18"/>
                <w:szCs w:val="24"/>
              </w:rPr>
            </w:pPr>
            <w:r>
              <w:rPr>
                <w:rFonts w:ascii="Calibri" w:hAnsi="Calibri"/>
                <w:color w:val="1F2937"/>
                <w:sz w:val="16"/>
              </w:rPr>
              <w:t>Semanas 9 y 10</w:t>
            </w:r>
          </w:p>
        </w:tc>
        <w:tc>
          <w:tcPr>
            <w:tcW w:w="1200" w:type="dxa"/>
          </w:tcPr>
          <w:p w14:paraId="0D6CF282"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José Salvatierra (dashboard y tabla de guías) / Sebastián Acuña (endpoints de consulta y pruebas)</w:t>
            </w:r>
          </w:p>
        </w:tc>
        <w:tc>
          <w:tcPr>
            <w:tcW w:w="1400" w:type="dxa"/>
          </w:tcPr>
          <w:p w14:paraId="27A02F8F"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Dificultad: se planificaron 36 puntos (dashboard, gráficos e IA) y la capacidad real fue de 20 puntos. La clase del 13 de octubre se suspendió por un temporal de lluvia y viento.</w:t>
            </w:r>
          </w:p>
        </w:tc>
        <w:tc>
          <w:tcPr>
            <w:tcW w:w="1050" w:type="dxa"/>
          </w:tcPr>
          <w:p w14:paraId="474D3B9E"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color w:val="1F2937"/>
                <w:sz w:val="16"/>
              </w:rPr>
              <w:t>Completado</w:t>
            </w:r>
          </w:p>
        </w:tc>
        <w:tc>
          <w:tcPr>
            <w:tcW w:w="1576" w:type="dxa"/>
          </w:tcPr>
          <w:p w14:paraId="78F4FEDA"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Los gráficos de multa y atraso (HU-15) y el módulo de IA (HU-17 y HU-18) se trasladan al Sprint 4. Franja de cumplimiento con HTML y CSS, sin librería externa.</w:t>
            </w:r>
          </w:p>
        </w:tc>
      </w:tr>
      <w:tr w:rsidR="00FD5149" w:rsidRPr="006E3B0D" w14:paraId="0FBFC11A" w14:textId="77777777" w:rsidTr="00EA0C09">
        <w:tc>
          <w:tcPr>
            <w:tcW w:w="1250" w:type="dxa"/>
          </w:tcPr>
          <w:p w14:paraId="1A197D46" w14:textId="77777777" w:rsidR="00FD5149" w:rsidRPr="006E3B0D" w:rsidRDefault="00FD5149" w:rsidP="00FD5149">
            <w:pPr>
              <w:spacing w:after="0"/>
              <w:rPr>
                <w:b/>
                <w:sz w:val="18"/>
                <w:szCs w:val="24"/>
              </w:rPr>
            </w:pPr>
            <w:r>
              <w:rPr>
                <w:rFonts w:ascii="Calibri" w:hAnsi="Calibri"/>
                <w:color w:val="1F2937"/>
                <w:sz w:val="16"/>
              </w:rPr>
              <w:t>Gestionar proyectos / Desarrollar soluciones de software / Realizar pruebas de certificación</w:t>
            </w:r>
          </w:p>
        </w:tc>
        <w:tc>
          <w:tcPr>
            <w:tcW w:w="1150" w:type="dxa"/>
          </w:tcPr>
          <w:p w14:paraId="5EE799FB"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Sprint 4: IA generativa, gráficos, PostgreSQL con Alembic, Docker y pruebas del frontend</w:t>
            </w:r>
          </w:p>
        </w:tc>
        <w:tc>
          <w:tcPr>
            <w:tcW w:w="1200" w:type="dxa"/>
          </w:tcPr>
          <w:p w14:paraId="760B0AD2" w14:textId="77777777" w:rsidR="00FD5149" w:rsidRPr="006E3B0D" w:rsidRDefault="00FD5149" w:rsidP="00FD5149">
            <w:pPr>
              <w:spacing w:after="0"/>
              <w:rPr>
                <w:b/>
                <w:sz w:val="18"/>
                <w:szCs w:val="24"/>
              </w:rPr>
            </w:pPr>
            <w:r>
              <w:rPr>
                <w:rFonts w:ascii="Calibri" w:hAnsi="Calibri"/>
                <w:color w:val="1F2937"/>
                <w:sz w:val="16"/>
              </w:rPr>
              <w:t xml:space="preserve">API de Claude, PostgreSQL 16, Alembic, Docker, Next.js, node:test, PyTest</w:t>
            </w:r>
          </w:p>
        </w:tc>
        <w:tc>
          <w:tcPr>
            <w:tcW w:w="950" w:type="dxa"/>
          </w:tcPr>
          <w:p w14:paraId="20AB15EC" w14:textId="77777777" w:rsidR="00FD5149" w:rsidRPr="006E3B0D" w:rsidRDefault="00FD5149" w:rsidP="00FD5149">
            <w:pPr>
              <w:spacing w:after="0"/>
              <w:rPr>
                <w:b/>
                <w:sz w:val="18"/>
                <w:szCs w:val="24"/>
              </w:rPr>
            </w:pPr>
            <w:r>
              <w:rPr>
                <w:rFonts w:ascii="Calibri" w:hAnsi="Calibri"/>
                <w:color w:val="1F2937"/>
                <w:sz w:val="16"/>
              </w:rPr>
              <w:t xml:space="preserve">Semanas 12 y 13 (28 de octubre al 9 de noviembre)</w:t>
            </w:r>
          </w:p>
        </w:tc>
        <w:tc>
          <w:tcPr>
            <w:tcW w:w="1200" w:type="dxa"/>
          </w:tcPr>
          <w:p w14:paraId="5E74CD7C"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Sebastián Acuña (IA, PostgreSQL y Docker) / José Salvatierra (gráficos y pruebas del frontend)</w:t>
            </w:r>
          </w:p>
        </w:tc>
        <w:tc>
          <w:tcPr>
            <w:tcW w:w="1400" w:type="dxa"/>
          </w:tcPr>
          <w:p w14:paraId="41FBE437"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Riesgo de falla o latencia de la API de IA: se diseñará con tiempo máximo de espera y plantilla de respaldo. El compromiso (29 puntos) supera la velocidad real (20 a 24).</w:t>
            </w:r>
          </w:p>
        </w:tc>
        <w:tc>
          <w:tcPr>
            <w:tcW w:w="1050" w:type="dxa"/>
          </w:tcPr>
          <w:p w14:paraId="776EE778"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Por iniciar</w:t>
            </w:r>
          </w:p>
        </w:tc>
        <w:tc>
          <w:tcPr>
            <w:tcW w:w="1576" w:type="dxa"/>
          </w:tcPr>
          <w:p w14:paraId="74B2F07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Se reprograma para comenzar el 28 de octubre, después de la presentación, porque la suspensión de la clase del 13 de octubre y la clase en línea del 20 de octubre (instrucciones para la presentación) llevaron las semanas 11 y 12 al cierre de la Fase 2. Recibe HU-15, HU-17 y HU-18 del Sprint 3; Cloud Run y CI/CD pasan al Sprint 5.</w:t>
            </w:r>
          </w:p>
        </w:tc>
      </w:tr>
      <w:tr w:rsidR="00FD5149" w:rsidRPr="006E3B0D" w14:paraId="33071258" w14:textId="77777777" w:rsidTr="00EA0C09">
        <w:tc>
          <w:tcPr>
            <w:tcW w:w="1250" w:type="dxa"/>
          </w:tcPr>
          <w:p w14:paraId="4A5FBB04" w14:textId="77777777" w:rsidR="00FD5149" w:rsidRPr="006E3B0D" w:rsidRDefault="00FD5149" w:rsidP="00FD5149">
            <w:pPr>
              <w:spacing w:after="0"/>
              <w:rPr>
                <w:b/>
                <w:sz w:val="18"/>
                <w:szCs w:val="24"/>
              </w:rPr>
            </w:pPr>
            <w:r>
              <w:rPr>
                <w:rFonts w:ascii="Calibri" w:hAnsi="Calibri"/>
                <w:color w:val="1F2937"/>
                <w:sz w:val="16"/>
              </w:rPr>
              <w:t>Gestionar proyectos informáticos</w:t>
            </w:r>
          </w:p>
        </w:tc>
        <w:tc>
          <w:tcPr>
            <w:tcW w:w="1150" w:type="dxa"/>
          </w:tcPr>
          <w:p w14:paraId="5596679C"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Sprint 5: CI/CD, pruebas E2E, despliegue en GCP y cierre</w:t>
            </w:r>
          </w:p>
        </w:tc>
        <w:tc>
          <w:tcPr>
            <w:tcW w:w="1200" w:type="dxa"/>
          </w:tcPr>
          <w:p w14:paraId="0611BFBD" w14:textId="77777777" w:rsidR="00FD5149" w:rsidRPr="006E3B0D" w:rsidRDefault="00FD5149" w:rsidP="00FD5149">
            <w:pPr>
              <w:spacing w:after="0"/>
              <w:rPr>
                <w:b/>
                <w:sz w:val="18"/>
                <w:szCs w:val="24"/>
              </w:rPr>
            </w:pPr>
            <w:r>
              <w:rPr>
                <w:rFonts w:ascii="Calibri" w:hAnsi="Calibri"/>
                <w:color w:val="1F2937"/>
                <w:sz w:val="16"/>
              </w:rPr>
              <w:t xml:space="preserve">GitHub Actions, Playwright, Cloud Run, Cloud SQL, Secret Manager, Word, software de grabación, Canva</w:t>
            </w:r>
          </w:p>
        </w:tc>
        <w:tc>
          <w:tcPr>
            <w:tcW w:w="950" w:type="dxa"/>
          </w:tcPr>
          <w:p w14:paraId="71F576FF" w14:textId="77777777" w:rsidR="00FD5149" w:rsidRPr="006E3B0D" w:rsidRDefault="00FD5149" w:rsidP="00FD5149">
            <w:pPr>
              <w:spacing w:after="0"/>
              <w:rPr>
                <w:b/>
                <w:sz w:val="18"/>
                <w:szCs w:val="24"/>
              </w:rPr>
            </w:pPr>
            <w:r>
              <w:rPr>
                <w:rFonts w:ascii="Calibri" w:hAnsi="Calibri"/>
                <w:color w:val="1F2937"/>
                <w:sz w:val="16"/>
              </w:rPr>
              <w:t xml:space="preserve">Semana 14 (10 al 16 de noviembre). Entrega el 17 de noviembre (semana 15); defensa el 1 de diciembre (semana 17)</w:t>
            </w:r>
          </w:p>
        </w:tc>
        <w:tc>
          <w:tcPr>
            <w:tcW w:w="1200" w:type="dxa"/>
          </w:tcPr>
          <w:p w14:paraId="70E2FD7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Sebastián Acuña (GCP y CI/CD) / José Salvatierra (pruebas E2E) / ambos (informe y defensa)</w:t>
            </w:r>
          </w:p>
        </w:tc>
        <w:tc>
          <w:tcPr>
            <w:tcW w:w="1400" w:type="dxa"/>
          </w:tcPr>
          <w:p w14:paraId="4F227634"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Curva de aprendizaje de GCP; la API key debe quedar en Secret Manager. Consolida el reporte de pruebas y prepara la defensa del 1 de diciembre.</w:t>
            </w:r>
          </w:p>
        </w:tc>
        <w:tc>
          <w:tcPr>
            <w:tcW w:w="1050" w:type="dxa"/>
          </w:tcPr>
          <w:p w14:paraId="781D76BD"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Por iniciar</w:t>
            </w:r>
          </w:p>
        </w:tc>
        <w:tc>
          <w:tcPr>
            <w:tcW w:w="1576" w:type="dxa"/>
          </w:tcPr>
          <w:p w14:paraId="1D61264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2937"/>
                <w:sz w:val="16"/>
              </w:rPr>
              <w:t xml:space="preserve">Concentra 33 puntos en una semana y el 17 de noviembre el proyecto debe estar terminado y funcionando sin errores. Si no alcanza, el orden de prioridad es: CI/CD y pruebas E2E, informe final y, al final, despliegue en la nube, con la demo local como respaldo.</w:t>
            </w:r>
          </w:p>
        </w:tc>
      </w:tr>
    </w:tbl>
    <w:p w14:paraId="315780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9781F80" w14:textId="77777777" w:rsidTr="00C5122E">
        <w:trPr>
          <w:trHeight w:val="440"/>
        </w:trPr>
        <w:tc>
          <w:tcPr>
            <w:tcW w:w="9498" w:type="dxa"/>
            <w:vAlign w:val="center"/>
          </w:tcPr>
          <w:p w14:paraId="04EB7F1D"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47340DDD" w14:textId="77777777" w:rsidTr="00C5122E">
        <w:trPr>
          <w:trHeight w:val="800"/>
        </w:trPr>
        <w:tc>
          <w:tcPr>
            <w:tcW w:w="9498" w:type="dxa"/>
            <w:shd w:val="clear" w:color="auto" w:fill="D9E2F3" w:themeFill="accent1" w:themeFillTint="33"/>
            <w:vAlign w:val="center"/>
          </w:tcPr>
          <w:p w14:paraId="705D5288"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lastRenderedPageBreak/>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304A4D6"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7F4F5170" w14:textId="77777777" w:rsidTr="00C5122E">
        <w:tc>
          <w:tcPr>
            <w:tcW w:w="5000" w:type="pct"/>
            <w:vAlign w:val="center"/>
          </w:tcPr>
          <w:p w14:paraId="54347F81" w14:textId="77777777" w:rsidR="0003309E" w:rsidRPr="00371CBB" w:rsidRDefault="0003309E" w:rsidP="00C5122E">
            <w:pPr>
              <w:spacing w:after="120"/>
              <w:jc w:val="both"/>
              <w:rPr>
                <w:rFonts w:ascii="Calibri" w:hAnsi="Calibri" w:cs="Arial"/>
                <w:i/>
                <w:iCs/>
                <w:color w:val="548DD4"/>
                <w:sz w:val="20"/>
                <w:szCs w:val="20"/>
                <w:lang w:eastAsia="es-CL"/>
              </w:rPr>
            </w:pPr>
            <w:r>
              <w:rPr>
                <w:rFonts w:ascii="Calibri" w:hAnsi="Calibri"/>
                <w:color w:val="1F3864"/>
              </w:rPr>
              <w:t>Factores que han facilitado y/o dificultado el desarrollo de mi plan de trabajo:</w:t>
            </w:r>
          </w:p>
          <w:p w14:paraId="7D0C68ED"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Facilitadores</w:t>
            </w:r>
          </w:p>
          <w:p w14:paraId="60224FF8"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color w:val="1F2937"/>
                <w:sz w:val="20"/>
              </w:rPr>
              <w:t>Librerías maduras y bien documentadas (FastAPI, Pandas, Workalendar, Next.js) permitieron construir el motor de auditoría sin desarrollar desde cero el calendario de feriados chilenos.</w:t>
            </w:r>
          </w:p>
          <w:p w14:paraId="1F62D14F"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color w:val="1F2937"/>
                <w:sz w:val="20"/>
              </w:rPr>
              <w:t>Los roles fijos y complementarios (backend y frontend), con el contrato de cada endpoint definido antes de programar, permitieron avanzar en paralelo sin bloqueos.</w:t>
            </w:r>
          </w:p>
          <w:p w14:paraId="2D0492FA"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color w:val="1F2937"/>
                <w:sz w:val="20"/>
              </w:rPr>
              <w:t>Escribir las pruebas junto con el código permitió detectar errores temprano, por ejemplo en el manejo de fechas con y sin zona horaria, en lugar de encontrarlos al final del proyecto.</w:t>
            </w:r>
          </w:p>
          <w:p w14:paraId="23873B0B"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color w:val="1F2937"/>
                <w:sz w:val="20"/>
              </w:rPr>
              <w:t>La retroalimentación de la Fase 1, que evaluó como «Logrado» los objetivos, el plan de trabajo y las evidencias, orientó este informe: cada evidencia se vincula a un archivo concreto del repositorio y el plan incorpora estado y ajustes por sprint.</w:t>
            </w:r>
          </w:p>
          <w:p w14:paraId="15F0CDA5"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Dificultades y acciones</w:t>
            </w:r>
          </w:p>
          <w:p w14:paraId="520DF2B4"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Backend retomado desde cero en el Sprint 1. </w:t>
            </w:r>
            <w:r>
              <w:rPr>
                <w:rFonts w:ascii="Calibri" w:hAnsi="Calibri"/>
                <w:color w:val="1F2937"/>
                <w:sz w:val="20"/>
              </w:rPr>
              <w:t>Acción: el sprint se extendió a seis semanas, como ya consideraba el plan de la Fase 1, y se priorizó el motor de auditoría sobre el pulido visual.</w:t>
            </w:r>
          </w:p>
          <w:p w14:paraId="7C24D355"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Equipo de práctica bloqueado. </w:t>
            </w:r>
            <w:r>
              <w:rPr>
                <w:rFonts w:ascii="Calibri" w:hAnsi="Calibri"/>
                <w:color w:val="1F2937"/>
                <w:sz w:val="20"/>
              </w:rPr>
              <w:t>Uno de los integrantes no puede ejecutar el proyecto en el computador de su práctica profesional por restricciones de seguridad. Acción: las pruebas se realizan en equipos personales, con un script de inicio (iniciar.bat) que instala y levanta el sistema con un doble clic.</w:t>
            </w:r>
          </w:p>
          <w:p w14:paraId="2BCC4BF5"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Instalación en Windows. </w:t>
            </w:r>
            <w:r>
              <w:rPr>
                <w:rFonts w:ascii="Calibri" w:hAnsi="Calibri"/>
                <w:color w:val="1F2937"/>
                <w:sz w:val="20"/>
              </w:rPr>
              <w:t>Hubo fallas al instalar dependencias con versiones no estables de Python. Acción: el script de inicio verifica las versiones de Python y Node.js y guarda el detalle de cualquier error en un archivo de registro.</w:t>
            </w:r>
          </w:p>
          <w:p w14:paraId="578AB504"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Dependencia futura de un servicio externo de IA. </w:t>
            </w:r>
            <w:r>
              <w:rPr>
                <w:rFonts w:ascii="Calibri" w:hAnsi="Calibri"/>
                <w:color w:val="1F2937"/>
                <w:sz w:val="20"/>
              </w:rPr>
              <w:t xml:space="preserve">La API puede fallar o demorar. Acción (Sprint 4): tiempo máximo de espera configurable y generación del documento con plantilla cuando la API no responda.</w:t>
            </w:r>
          </w:p>
          <w:p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Sobrecompromiso del Sprint 3. </w:t>
            </w:r>
            <w:r>
              <w:rPr>
                <w:rFonts w:ascii="Calibri" w:hAnsi="Calibri"/>
                <w:color w:val="1F2937"/>
                <w:sz w:val="20"/>
              </w:rPr>
              <w:t xml:space="preserve">Se planificaron 36 puntos (dashboard, gráficos e IA) y la capacidad real fue de 20. Acción: el sprint se cerró con el dashboard y la tabla de guías, los gráficos y la IA pasaron al Sprint 4 y los siguientes compromisos se comparan con la velocidad real del equipo.</w:t>
            </w:r>
          </w:p>
          <w:p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color w:val="1F2937"/>
                <w:sz w:val="20"/>
              </w:rPr>
              <w:t xml:space="preserve">Suspensión y cambio de modalidad de clases. </w:t>
            </w:r>
            <w:r>
              <w:rPr>
                <w:rFonts w:ascii="Calibri" w:hAnsi="Calibri"/>
                <w:color w:val="1F2937"/>
                <w:sz w:val="20"/>
              </w:rPr>
              <w:t xml:space="preserve">La clase del martes 13 de octubre (semana 10) se suspendió por un temporal de lluvia y viento, justo al cierre del Sprint 3, y la del 20 de octubre (semana 11) fue en línea y se dedicó a las instrucciones del docente para la presentación de la Fase 2. Esto atrasó el inicio de la IA y de la migración a PostgreSQL. Acción: la revisión con el docente se realiza el 27 de octubre (semana 12) y el calendario se reordenó para cumplir la entrega del 17 de noviembre: Sprint 4 del 28 de octubre al 9 de noviembre y Sprint 5 del 10 al 16 de noviembre.</w:t>
            </w:r>
          </w:p>
        </w:tc>
      </w:tr>
    </w:tbl>
    <w:p w14:paraId="20F4209D"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6C09C6F2" w14:textId="77777777" w:rsidTr="00C5122E">
        <w:tc>
          <w:tcPr>
            <w:tcW w:w="5000" w:type="pct"/>
            <w:vAlign w:val="center"/>
          </w:tcPr>
          <w:p w14:paraId="5093E24E" w14:textId="77777777" w:rsidR="0003309E" w:rsidRDefault="0003309E" w:rsidP="00C5122E">
            <w:pPr>
              <w:spacing w:after="120"/>
              <w:jc w:val="both"/>
              <w:rPr>
                <w:rFonts w:ascii="Calibri" w:hAnsi="Calibri" w:cs="Arial"/>
                <w:i/>
                <w:color w:val="548DD4"/>
                <w:sz w:val="20"/>
                <w:szCs w:val="20"/>
                <w:lang w:eastAsia="es-CL"/>
              </w:rPr>
            </w:pPr>
            <w:r>
              <w:rPr>
                <w:rFonts w:ascii="Calibri" w:hAnsi="Calibri"/>
                <w:color w:val="1F3864"/>
              </w:rPr>
              <w:t>Actividades ajustadas o eliminadas:</w:t>
            </w:r>
          </w:p>
          <w:p w14:paraId="545D97D0"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Mapeo manual de columnas (eliminado). </w:t>
            </w:r>
            <w:r>
              <w:rPr>
                <w:rFonts w:ascii="Calibri" w:hAnsi="Calibri"/>
                <w:color w:val="1F2937"/>
                <w:sz w:val="20"/>
              </w:rPr>
              <w:t>La Fase 1 contemplaba un formulario para asignar columnas a mano cuando el reconocimiento automático fallara. Se eliminó porque las empresas trabajan con planillas estructuradas y un mapeo manual introduce errores difíciles de rastrear en el cálculo de multas. Ahora el sistema rechaza el archivo e indica qué columnas faltan, sin escribir datos en la base.</w:t>
            </w:r>
          </w:p>
          <w:p w14:paraId="2595D95C"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Reglas SLA por zona (simplificada). </w:t>
            </w:r>
            <w:r>
              <w:rPr>
                <w:rFonts w:ascii="Calibri" w:hAnsi="Calibri"/>
                <w:color w:val="1F2937"/>
                <w:sz w:val="20"/>
              </w:rPr>
              <w:t xml:space="preserve">La presentación mencionaba reglas por transportista, zona de origen y zona de destino. Se implementó la regla por transportista con multa fija por guía: el modelo admite un tipo de servicio, pero como los archivos de envío no traen el origen ni el tipo de servicio, el motor usa la regla general de cada transportista. La estandarización de comunas (API DPA) estaba definida como opcional. La regla por zona queda como mejora posterior y no afecta el MVP.</w:t>
            </w:r>
          </w:p>
          <w:p w14:paraId="00C06D40"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Sprint de calidad separado (eliminado). </w:t>
            </w:r>
            <w:r>
              <w:rPr>
                <w:rFonts w:ascii="Calibri" w:hAnsi="Calibri"/>
                <w:color w:val="1F2937"/>
                <w:sz w:val="20"/>
              </w:rPr>
              <w:t>Se adopta el cronograma de la guía de la Fase 1, con pruebas en cada sprint, porque probar cada módulo al construirlo evita acumular errores para el final.</w:t>
            </w:r>
          </w:p>
          <w:p w14:paraId="712BE705"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Base de datos y migraciones. </w:t>
            </w:r>
            <w:r>
              <w:rPr>
                <w:rFonts w:ascii="Calibri" w:hAnsi="Calibri"/>
                <w:color w:val="1F2937"/>
                <w:sz w:val="20"/>
              </w:rPr>
              <w:t>Se usa SQLite en desarrollo local para que el sistema corra sin instalar un servidor de base de datos; el código (SQLAlchemy) es el mismo y el esquema PostgreSQL equivalente se validó en PostgreSQL 16. Las migraciones con Alembic se trasladan al Sprint 4, donde se necesitan para el despliegue.</w:t>
            </w:r>
          </w:p>
          <w:p w14:paraId="3C4AA28E"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Pruebas del frontend. </w:t>
            </w:r>
            <w:r>
              <w:rPr>
                <w:rFonts w:ascii="Calibri" w:hAnsi="Calibri"/>
                <w:color w:val="1F2937"/>
                <w:sz w:val="20"/>
              </w:rPr>
              <w:t xml:space="preserve">Jest se reemplaza por el runner nativo de Node.js (node:test), que no requiere dependencias adicionales; estas pruebas se escriben en el Sprint 4. Las pruebas de interfaz completa se mantienen con Playwright en el Sprint 5.</w:t>
            </w:r>
          </w:p>
          <w:p w14:paraId="164AEAA5"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lastRenderedPageBreak/>
              <w:t xml:space="preserve">Tecnología y nomenclatura. </w:t>
            </w:r>
            <w:r>
              <w:rPr>
                <w:rFonts w:ascii="Calibri" w:hAnsi="Calibri"/>
                <w:color w:val="1F2937"/>
                <w:sz w:val="20"/>
              </w:rPr>
              <w:t>Se usa Next.js 16, versión vigente al iniciar el desarrollo, en lugar de Next.js 14. Las tablas se nombraron en español (empresas, transportistas, reglas_sla, lotes_auditoria, envios) por coherencia con el resto del código.</w:t>
            </w:r>
          </w:p>
          <w:p w14:paraId="5318733D"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Módulo de IA con respaldo (agregado al diseño, Sprint 4). </w:t>
            </w:r>
            <w:r>
              <w:rPr>
                <w:rFonts w:ascii="Calibri" w:hAnsi="Calibri"/>
                <w:color w:val="1F2937"/>
                <w:sz w:val="20"/>
              </w:rPr>
              <w:t xml:space="preserve">La IA solo redactará el texto; las cifras y el anexo de guías los generará el sistema. Si la API no responde, el documento se generará con una plantilla, para que una falla externa no bloquee el trabajo del usuario.</w:t>
            </w:r>
          </w:p>
          <w:p w:rsidR="0003309E" w:rsidRDefault="0003309E" w:rsidP="00C5122E">
            <w:pPr>
              <w:spacing w:after="80"/>
              <w:jc w:val="both"/>
              <w:rPr>
                <w:rFonts w:ascii="Calibri" w:hAnsi="Calibri" w:cs="Arial"/>
                <w:i/>
                <w:color w:val="548DD4"/>
                <w:sz w:val="20"/>
                <w:szCs w:val="20"/>
                <w:lang w:eastAsia="es-CL"/>
              </w:rPr>
            </w:pPr>
            <w:r>
              <w:rPr>
                <w:rFonts w:ascii="Calibri" w:hAnsi="Calibri"/>
                <w:b/>
                <w:color w:val="1F2937"/>
                <w:sz w:val="20"/>
              </w:rPr>
              <w:t xml:space="preserve">Replanificación del Sprint 3 y del calendario. </w:t>
            </w:r>
            <w:r>
              <w:rPr>
                <w:rFonts w:ascii="Calibri" w:hAnsi="Calibri"/>
                <w:color w:val="1F2937"/>
                <w:sz w:val="20"/>
              </w:rPr>
              <w:t xml:space="preserve">Los gráficos de multa y atraso (HU-15) y el módulo de IA (HU-17 y HU-18) pasan al Sprint 4 para ajustar el compromiso a la capacidad real. Por la suspensión de la clase del 13 de octubre y la clase en línea del 20 de octubre, las semanas 11 y 12 se destinan al cierre de la Fase 2. El Sprint 4 se ejecuta del 28 de octubre al 9 de noviembre y el Sprint 5, del 10 al 16 de noviembre, para que el 17 de noviembre (semana 15) el proyecto esté terminado y funcionando sin errores.</w:t>
            </w:r>
          </w:p>
        </w:tc>
      </w:tr>
    </w:tbl>
    <w:p w14:paraId="4E221F4F" w14:textId="77777777" w:rsidR="0003309E" w:rsidRDefault="0003309E" w:rsidP="0003309E">
      <w:pPr>
        <w:spacing w:after="0" w:line="240" w:lineRule="auto"/>
        <w:jc w:val="both"/>
        <w:rPr>
          <w:rFonts w:ascii="Calibri" w:hAnsi="Calibri" w:cs="Arial"/>
          <w:i/>
          <w:color w:val="548DD4"/>
          <w:sz w:val="20"/>
          <w:szCs w:val="20"/>
          <w:lang w:eastAsia="es-CL"/>
        </w:rPr>
      </w:pPr>
    </w:p>
    <w:p w14:paraId="0E17FB09"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694D9A4A" w14:textId="77777777" w:rsidTr="00C5122E">
        <w:tc>
          <w:tcPr>
            <w:tcW w:w="5000" w:type="pct"/>
            <w:vAlign w:val="center"/>
          </w:tcPr>
          <w:p w14:paraId="490639DF" w14:textId="77777777" w:rsidR="0003309E" w:rsidRDefault="0003309E" w:rsidP="00585A13">
            <w:pPr>
              <w:spacing w:after="120"/>
              <w:jc w:val="both"/>
              <w:rPr>
                <w:rFonts w:ascii="Calibri" w:hAnsi="Calibri" w:cs="Arial"/>
                <w:i/>
                <w:color w:val="548DD4"/>
                <w:sz w:val="20"/>
                <w:szCs w:val="20"/>
                <w:lang w:eastAsia="es-CL"/>
              </w:rPr>
            </w:pPr>
            <w:r>
              <w:rPr>
                <w:rFonts w:ascii="Calibri" w:hAnsi="Calibri"/>
                <w:color w:val="1F3864"/>
              </w:rPr>
              <w:t>Actividades que no has iniciado o están retrasadas:</w:t>
            </w:r>
          </w:p>
          <w:p w14:paraId="0EE7034C"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Actividades retrasadas: los gráficos de multa y atraso (HU-15) y el módulo de IA generativa (HU-17 y HU-18), comprometidos para el Sprint 3, se trasladaron al Sprint 4 por sobrecompromiso. La migración a PostgreSQL y el resto del Sprint 4 también se corrieron, por la suspensión de la clase del 13 de octubre y la clase en línea del 20 de octubre, dedicada a preparar la presentación de la Fase 2. Actividades no iniciadas: el Sprint 4 (28 de octubre al 9 de noviembre) y el Sprint 5 (10 al 16 de noviembre). El martes 17 de noviembre (semana 15) el proyecto debe estar terminado y funcionando sin errores.</w:t>
            </w:r>
          </w:p>
          <w:p w14:paraId="4F762192"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Los Sprints 4 y 5 concentran el mayor riesgo: la integración con la API de IA, la curva de aprendizaje de GCP y un plazo corto (proyecto completo el 17 de noviembre). Para no afectar el proyecto se tomarán estas medidas:</w:t>
            </w:r>
          </w:p>
          <w:p w14:paraId="01F2C944"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Priorizar el módulo de IA al inicio del Sprint 4 y revisar el burndown a diario, porque el compromiso del sprint supera la velocidad real del equipo.</w:t>
            </w:r>
          </w:p>
          <w:p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 xml:space="preserve">Preparar el Dockerfile en el Sprint 4 y el pipeline de GitHub Actions (instalación, pruebas y construcción) al inicio del Sprint 5, antes de configurar Cloud Run, para que las pruebas automáticas corran en cada push desde el inicio.</w:t>
            </w:r>
          </w:p>
          <w:p w14:paraId="5A1FE668"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Usar la capa gratuita de GCP y guardar la API key en Secret Manager.</w:t>
            </w:r>
          </w:p>
          <w:p w14:paraId="14D7002C"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Escribir las pruebas E2E con Playwright primero contra el ambiente local y luego ejecutarlas contra el ambiente desplegado.</w:t>
            </w:r>
          </w:p>
          <w:p w14:paraId="172E610B" w14:textId="77777777" w:rsidR="0003309E" w:rsidRDefault="0003309E" w:rsidP="00585A13">
            <w:pPr>
              <w:spacing w:after="80"/>
              <w:jc w:val="both"/>
              <w:rPr>
                <w:rFonts w:ascii="Calibri" w:hAnsi="Calibri" w:cs="Arial"/>
                <w:i/>
                <w:color w:val="548DD4"/>
                <w:sz w:val="20"/>
                <w:szCs w:val="20"/>
                <w:lang w:eastAsia="es-CL"/>
              </w:rPr>
            </w:pPr>
            <w:r>
              <w:rPr>
                <w:rFonts w:ascii="Calibri" w:hAnsi="Calibri"/>
                <w:color w:val="1F2937"/>
                <w:sz w:val="20"/>
              </w:rPr>
              <w:t>Mantener la demostración local funcionando como respaldo para la presentación, en caso de inconvenientes con la nube.</w:t>
            </w:r>
          </w:p>
        </w:tc>
      </w:tr>
    </w:tbl>
    <w:p w14:paraId="61250B08" w14:textId="77777777" w:rsidR="0003309E" w:rsidRPr="0003309E" w:rsidRDefault="0003309E">
      <w:pPr>
        <w:rPr>
          <w:lang w:val="es-ES"/>
        </w:rPr>
      </w:pPr>
    </w:p>
    <w:p w14:paraId="65251F4D" w14:textId="77777777" w:rsidR="00822AAC" w:rsidRDefault="00000000">
      <w:pPr>
        <w:spacing w:after="120"/>
      </w:pPr>
      <w:r>
        <w:br w:type="page"/>
      </w:r>
      <w:r>
        <w:rPr>
          <w:rFonts w:ascii="Calibri" w:hAnsi="Calibri"/>
          <w:b/>
          <w:color w:val="1F2937"/>
          <w:sz w:val="26"/>
        </w:rPr>
        <w:lastRenderedPageBreak/>
        <w:t>Anexo A: Modelo entidad-relación</w:t>
      </w:r>
    </w:p>
    <w:p w14:paraId="5C2EAE4E" w14:textId="77777777" w:rsidR="00822AAC" w:rsidRDefault="00000000">
      <w:pPr>
        <w:spacing w:after="120"/>
        <w:jc w:val="both"/>
      </w:pPr>
      <w:r>
        <w:rPr>
          <w:rFonts w:ascii="Calibri" w:hAnsi="Calibri"/>
          <w:color w:val="1F2937"/>
          <w:sz w:val="20"/>
        </w:rPr>
        <w:t xml:space="preserve">Modelo relacional de LogiSLA (Fase 2/Evidencias Proyecto/Evidencias de sistema/Base de datos/modelo_er.png). Las empresas cargan lotes de auditoría; cada lote contiene envíos; cada transportista tiene reglas SLA y transporta envíos. El vínculo entre envío y transportista es opcional porque se resuelve al auditar.</w:t>
      </w:r>
    </w:p>
    <w:p w14:paraId="05E1BE4E" w14:textId="77777777" w:rsidR="00822AAC" w:rsidRDefault="00000000">
      <w:pPr>
        <w:jc w:val="center"/>
      </w:pPr>
      <w:r>
        <w:rPr>
          <w:noProof/>
        </w:rPr>
        <w:drawing>
          <wp:inline distT="0" distB="0" distL="0" distR="0" wp14:anchorId="009F613B" wp14:editId="7D61CAE7">
            <wp:extent cx="3824957" cy="60350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10"/>
                    <a:stretch>
                      <a:fillRect/>
                    </a:stretch>
                  </pic:blipFill>
                  <pic:spPr>
                    <a:xfrm>
                      <a:off x="0" y="0"/>
                      <a:ext cx="3824957" cy="6035040"/>
                    </a:xfrm>
                    <a:prstGeom prst="rect">
                      <a:avLst/>
                    </a:prstGeom>
                  </pic:spPr>
                </pic:pic>
              </a:graphicData>
            </a:graphic>
          </wp:inline>
        </w:drawing>
      </w:r>
    </w:p>
    <w:p w14:paraId="404E7341" w14:textId="77777777" w:rsidR="00822AAC" w:rsidRDefault="00000000">
      <w:pPr>
        <w:spacing w:after="120"/>
      </w:pPr>
      <w:r>
        <w:br w:type="page"/>
      </w:r>
      <w:r>
        <w:rPr>
          <w:rFonts w:ascii="Calibri" w:hAnsi="Calibri"/>
          <w:b/>
          <w:color w:val="1F2937"/>
          <w:sz w:val="26"/>
        </w:rPr>
        <w:lastRenderedPageBreak/>
        <w:t>Anexo B: Ubicación de las evidencias en el repositorio</w:t>
      </w:r>
    </w:p>
    <w:p w14:paraId="1CA851F1" w14:textId="77777777" w:rsidR="00822AAC" w:rsidRDefault="00000000">
      <w:pPr>
        <w:spacing w:after="120"/>
      </w:pPr>
      <w:r>
        <w:rPr>
          <w:rFonts w:ascii="Calibri" w:hAnsi="Calibri"/>
          <w:b/>
          <w:color w:val="1F2937"/>
          <w:sz w:val="20"/>
        </w:rPr>
        <w:t xml:space="preserve">Código fuente (aplicación): </w:t>
      </w:r>
      <w:r>
        <w:rPr>
          <w:rFonts w:ascii="Calibri" w:hAnsi="Calibri"/>
          <w:color w:val="1F2937"/>
          <w:sz w:val="20"/>
        </w:rPr>
        <w:t>Fase 2/Evidencias Proyecto/Evidencias de sistema/Aplicación/</w:t>
      </w:r>
    </w:p>
    <w:p w14:paraId="005C4F6A" w14:textId="77777777" w:rsidR="00822AAC" w:rsidRDefault="00000000">
      <w:pPr>
        <w:spacing w:after="120"/>
      </w:pPr>
      <w:r>
        <w:rPr>
          <w:rFonts w:ascii="Calibri" w:hAnsi="Calibri"/>
          <w:b/>
          <w:color w:val="1F2937"/>
          <w:sz w:val="20"/>
        </w:rPr>
        <w:t xml:space="preserve">Esquema SQL, datos de prueba y consultas: </w:t>
      </w:r>
      <w:r>
        <w:rPr>
          <w:rFonts w:ascii="Calibri" w:hAnsi="Calibri"/>
          <w:color w:val="1F2937"/>
          <w:sz w:val="20"/>
        </w:rPr>
        <w:t>Fase 2/Evidencias Proyecto/Evidencias de sistema/Base de datos/</w:t>
      </w:r>
    </w:p>
    <w:p w14:paraId="705F4635" w14:textId="77777777" w:rsidR="00822AAC" w:rsidRDefault="00000000">
      <w:pPr>
        <w:spacing w:after="120"/>
      </w:pPr>
      <w:r>
        <w:rPr>
          <w:rFonts w:ascii="Calibri" w:hAnsi="Calibri"/>
          <w:b/>
          <w:color w:val="1F2937"/>
          <w:sz w:val="20"/>
        </w:rPr>
        <w:t xml:space="preserve">Diagrama entidad-relación: </w:t>
      </w:r>
      <w:r>
        <w:rPr>
          <w:rFonts w:ascii="Calibri" w:hAnsi="Calibri"/>
          <w:color w:val="1F2937"/>
          <w:sz w:val="20"/>
        </w:rPr>
        <w:t>Fase 2/Evidencias Proyecto/Evidencias de sistema/Base de datos/modelo_er.png</w:t>
      </w:r>
    </w:p>
    <w:p w14:paraId="12156202" w14:textId="77777777" w:rsidR="00822AAC" w:rsidRDefault="00000000">
      <w:pPr>
        <w:spacing w:after="120"/>
      </w:pPr>
      <w:r>
        <w:rPr>
          <w:rFonts w:ascii="Calibri" w:hAnsi="Calibri"/>
          <w:b/>
          <w:color w:val="1F2937"/>
          <w:sz w:val="20"/>
        </w:rPr>
        <w:t xml:space="preserve">Reporte de pruebas y capturas del prototipo: </w:t>
      </w:r>
      <w:r>
        <w:rPr>
          <w:rFonts w:ascii="Calibri" w:hAnsi="Calibri"/>
          <w:color w:val="1F2937"/>
          <w:sz w:val="20"/>
        </w:rPr>
        <w:t>Fase 2/Evidencias Proyecto/Evidencias de documentación/</w:t>
      </w:r>
    </w:p>
    <w:p w14:paraId="595DA73D" w14:textId="77777777" w:rsidR="00822AAC" w:rsidRDefault="00000000">
      <w:pPr>
        <w:spacing w:after="120"/>
      </w:pPr>
      <w:r>
        <w:rPr>
          <w:rFonts w:ascii="Calibri" w:hAnsi="Calibri"/>
          <w:b/>
          <w:color w:val="1F2937"/>
          <w:sz w:val="20"/>
        </w:rPr>
        <w:t xml:space="preserve">Arquitectura, ajustes y reglas del motor: </w:t>
      </w:r>
      <w:r>
        <w:rPr>
          <w:rFonts w:ascii="Calibri" w:hAnsi="Calibri"/>
          <w:color w:val="1F2937"/>
          <w:sz w:val="20"/>
        </w:rPr>
        <w:t>Fase 2/Evidencias Proyecto/Evidencias de documentación/</w:t>
      </w:r>
    </w:p>
    <w:p w14:paraId="78E5B80E" w14:textId="77777777" w:rsidR="00822AAC" w:rsidRDefault="00000000">
      <w:pPr>
        <w:spacing w:after="120"/>
      </w:pPr>
      <w:r>
        <w:rPr>
          <w:rFonts w:ascii="Calibri" w:hAnsi="Calibri"/>
          <w:b/>
          <w:color w:val="1F2937"/>
          <w:sz w:val="20"/>
        </w:rPr>
        <w:t xml:space="preserve">Presentación de avance: </w:t>
      </w:r>
      <w:r>
        <w:rPr>
          <w:rFonts w:ascii="Calibri" w:hAnsi="Calibri"/>
          <w:color w:val="1F2937"/>
          <w:sz w:val="20"/>
        </w:rPr>
        <w:t>Fase 2/Evidencias Proyecto/Presentación Proyecto.pptx</w:t>
      </w:r>
    </w:p>
    <w:sectPr w:rsidR="00822AA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717EF" w14:textId="77777777" w:rsidR="00055AA4" w:rsidRDefault="00055AA4" w:rsidP="0003309E">
      <w:pPr>
        <w:spacing w:after="0" w:line="240" w:lineRule="auto"/>
      </w:pPr>
      <w:r>
        <w:separator/>
      </w:r>
    </w:p>
  </w:endnote>
  <w:endnote w:type="continuationSeparator" w:id="0">
    <w:p w14:paraId="167391A0" w14:textId="77777777" w:rsidR="00055AA4" w:rsidRDefault="00055AA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DD850" w14:textId="77777777" w:rsidR="00055AA4" w:rsidRDefault="00055AA4" w:rsidP="0003309E">
      <w:pPr>
        <w:spacing w:after="0" w:line="240" w:lineRule="auto"/>
      </w:pPr>
      <w:r>
        <w:separator/>
      </w:r>
    </w:p>
  </w:footnote>
  <w:footnote w:type="continuationSeparator" w:id="0">
    <w:p w14:paraId="48BA1C8E" w14:textId="77777777" w:rsidR="00055AA4" w:rsidRDefault="00055AA4" w:rsidP="0003309E">
      <w:pPr>
        <w:spacing w:after="0" w:line="240" w:lineRule="auto"/>
      </w:pPr>
      <w:r>
        <w:continuationSeparator/>
      </w:r>
    </w:p>
  </w:footnote>
  <w:footnote w:id="1">
    <w:p w14:paraId="690848DD"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7BC3EB7C" w14:textId="77777777" w:rsidTr="00C44557">
      <w:trPr>
        <w:trHeight w:val="697"/>
      </w:trPr>
      <w:tc>
        <w:tcPr>
          <w:tcW w:w="5954" w:type="dxa"/>
          <w:tcBorders>
            <w:top w:val="nil"/>
            <w:left w:val="nil"/>
            <w:bottom w:val="nil"/>
            <w:right w:val="nil"/>
          </w:tcBorders>
        </w:tcPr>
        <w:p w14:paraId="23C09984"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2ECE28EF"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6051358"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0239DF64" wp14:editId="013BAA7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62DF00E"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8874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5AA4"/>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22AAC"/>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57579"/>
    <w:rsid w:val="00F8347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F61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2190</Words>
  <Characters>12045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Usuario</cp:lastModifiedBy>
  <cp:revision>5</cp:revision>
  <dcterms:created xsi:type="dcterms:W3CDTF">2022-08-24T18:14:00Z</dcterms:created>
  <dcterms:modified xsi:type="dcterms:W3CDTF">2026-10-12T23:55:00Z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