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07AD4D" w14:textId="77777777" w:rsidR="0003309E" w:rsidRDefault="0003309E" w:rsidP="0003309E"/>
    <w:p w14:paraId="38903F0F"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1FD2FCAE" wp14:editId="7C3461F8">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D2E21F2" w14:textId="77777777" w:rsidR="0003309E" w:rsidRDefault="0003309E" w:rsidP="0003309E">
                              <w:pPr>
                                <w:spacing w:after="0" w:line="240" w:lineRule="auto"/>
                                <w:rPr>
                                  <w:b/>
                                  <w:color w:val="FF0000"/>
                                  <w:sz w:val="48"/>
                                  <w:szCs w:val="48"/>
                                </w:rPr>
                              </w:pPr>
                            </w:p>
                            <w:p w14:paraId="0DD908A0" w14:textId="77777777"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5A2C8F15"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10D0055C" w14:textId="77777777" w:rsidR="0003309E" w:rsidRDefault="0003309E" w:rsidP="0003309E">
      <w:pPr>
        <w:rPr>
          <w:rFonts w:cs="Calibri Light"/>
          <w:color w:val="595959" w:themeColor="text1" w:themeTint="A6"/>
          <w:sz w:val="24"/>
          <w:szCs w:val="24"/>
          <w:lang w:val="es-ES"/>
        </w:rPr>
      </w:pPr>
    </w:p>
    <w:p w14:paraId="176A44E9" w14:textId="77777777" w:rsidR="0003309E" w:rsidRDefault="0003309E" w:rsidP="0003309E">
      <w:pPr>
        <w:rPr>
          <w:rFonts w:cs="Calibri Light"/>
          <w:color w:val="595959" w:themeColor="text1" w:themeTint="A6"/>
          <w:sz w:val="24"/>
          <w:szCs w:val="24"/>
          <w:lang w:val="es-ES"/>
        </w:rPr>
      </w:pPr>
    </w:p>
    <w:p w14:paraId="62E251BE" w14:textId="77777777" w:rsidR="0003309E" w:rsidRDefault="0003309E" w:rsidP="0003309E">
      <w:pPr>
        <w:rPr>
          <w:rFonts w:cs="Calibri Light"/>
          <w:color w:val="595959" w:themeColor="text1" w:themeTint="A6"/>
          <w:sz w:val="24"/>
          <w:szCs w:val="24"/>
          <w:lang w:val="es-ES"/>
        </w:rPr>
      </w:pPr>
    </w:p>
    <w:p w14:paraId="1F66E195" w14:textId="77777777" w:rsidR="0003309E" w:rsidRDefault="0003309E" w:rsidP="0003309E">
      <w:pPr>
        <w:rPr>
          <w:rFonts w:cs="Calibri Light"/>
          <w:color w:val="595959" w:themeColor="text1" w:themeTint="A6"/>
          <w:sz w:val="24"/>
          <w:szCs w:val="24"/>
          <w:lang w:val="es-ES"/>
        </w:rPr>
      </w:pPr>
    </w:p>
    <w:p w14:paraId="48E8D8C3" w14:textId="77777777" w:rsidR="0003309E" w:rsidRDefault="0003309E" w:rsidP="0003309E">
      <w:pPr>
        <w:rPr>
          <w:rFonts w:cs="Calibri Light"/>
          <w:color w:val="595959" w:themeColor="text1" w:themeTint="A6"/>
          <w:sz w:val="24"/>
          <w:szCs w:val="24"/>
          <w:lang w:val="es-ES"/>
        </w:rPr>
      </w:pPr>
    </w:p>
    <w:p w14:paraId="27D07D32"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343712B" w14:textId="77777777" w:rsidTr="00C5122E">
        <w:trPr>
          <w:trHeight w:val="440"/>
        </w:trPr>
        <w:tc>
          <w:tcPr>
            <w:tcW w:w="9639" w:type="dxa"/>
            <w:vAlign w:val="center"/>
          </w:tcPr>
          <w:p w14:paraId="045F9E2A" w14:textId="77777777"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5D0A1A55" w14:textId="77777777" w:rsidTr="00C5122E">
        <w:trPr>
          <w:trHeight w:val="800"/>
        </w:trPr>
        <w:tc>
          <w:tcPr>
            <w:tcW w:w="9639" w:type="dxa"/>
            <w:shd w:val="clear" w:color="auto" w:fill="D9E2F3" w:themeFill="accent1" w:themeFillTint="33"/>
            <w:vAlign w:val="center"/>
          </w:tcPr>
          <w:p w14:paraId="2D597C81"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67A114EE" w14:textId="77777777" w:rsidR="0003309E" w:rsidRDefault="0003309E" w:rsidP="0003309E">
      <w:pPr>
        <w:spacing w:after="0" w:line="240" w:lineRule="auto"/>
        <w:rPr>
          <w:rFonts w:cs="Calibri Light"/>
          <w:color w:val="595959" w:themeColor="text1" w:themeTint="A6"/>
          <w:sz w:val="24"/>
          <w:szCs w:val="24"/>
          <w:lang w:val="es-ES"/>
        </w:rPr>
      </w:pPr>
    </w:p>
    <w:p w14:paraId="29ACD770"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1F145837" w14:textId="77777777" w:rsidTr="000A1331">
        <w:tc>
          <w:tcPr>
            <w:tcW w:w="2528" w:type="dxa"/>
            <w:vAlign w:val="center"/>
          </w:tcPr>
          <w:p w14:paraId="66D1A985"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1461383F" w14:textId="77777777" w:rsidR="0003309E" w:rsidRDefault="0003309E" w:rsidP="00585A13">
            <w:pPr>
              <w:spacing w:after="80"/>
              <w:jc w:val="both"/>
              <w:rPr>
                <w:rFonts w:ascii="Calibri" w:hAnsi="Calibri" w:cs="Arial"/>
                <w:i/>
                <w:color w:val="548DD4"/>
                <w:sz w:val="20"/>
                <w:szCs w:val="20"/>
                <w:lang w:eastAsia="es-CL"/>
              </w:rPr>
            </w:pPr>
            <w:r>
              <w:rPr>
                <w:rFonts w:ascii="Calibri" w:hAnsi="Calibri"/>
                <w:color w:val="1F2937"/>
                <w:sz w:val="20"/>
              </w:rPr>
              <w:t>Al cierre de la semana 10, el proyecto completó los tres primeros sprints planificados en la guía de la Fase 1. LogiSLA ya permite cargar un archivo de envíos, auditarlo contra las reglas SLA de cada transportista, revisar los resultados en un dashboard y generar con IA la carta de reclamo y el resumen ejecutivo del lote.</w:t>
            </w:r>
          </w:p>
          <w:p w14:paraId="70B7960F" w14:textId="77777777" w:rsidR="0003309E" w:rsidRDefault="0003309E" w:rsidP="00585A13">
            <w:pPr>
              <w:spacing w:after="80"/>
              <w:jc w:val="both"/>
              <w:rPr>
                <w:rFonts w:ascii="Calibri" w:hAnsi="Calibri" w:cs="Arial"/>
                <w:i/>
                <w:color w:val="548DD4"/>
                <w:sz w:val="20"/>
                <w:szCs w:val="20"/>
                <w:lang w:eastAsia="es-CL"/>
              </w:rPr>
            </w:pPr>
            <w:r>
              <w:rPr>
                <w:rFonts w:ascii="Calibri" w:hAnsi="Calibri"/>
                <w:b/>
                <w:color w:val="1F2937"/>
                <w:sz w:val="20"/>
              </w:rPr>
              <w:t xml:space="preserve">Sprint 1 (semanas 1 a 6, completado). </w:t>
            </w:r>
            <w:r>
              <w:rPr>
                <w:rFonts w:ascii="Calibri" w:hAnsi="Calibri"/>
                <w:color w:val="1F2937"/>
                <w:sz w:val="20"/>
              </w:rPr>
              <w:t>Se construyó el modelo relacional de cinco tablas (empresas, transportistas, reglas_sla, lotes_auditoria y envios) y la API de carga en FastAPI. El sistema reconoce automáticamente las columnas del archivo CSV o Excel aunque vengan con nombres distintos (por ejemplo, «N° Guía», «Numero de Guia» o «tracking_number») y rechaza con un mensaje claro los archivos que no traen las columnas obligatorias. Cumple el objetivo específico 1.</w:t>
            </w:r>
          </w:p>
          <w:p w14:paraId="4E04C119" w14:textId="77777777" w:rsidR="0003309E" w:rsidRDefault="0003309E" w:rsidP="00585A13">
            <w:pPr>
              <w:spacing w:after="80"/>
              <w:jc w:val="both"/>
              <w:rPr>
                <w:rFonts w:ascii="Calibri" w:hAnsi="Calibri" w:cs="Arial"/>
                <w:i/>
                <w:color w:val="548DD4"/>
                <w:sz w:val="20"/>
                <w:szCs w:val="20"/>
                <w:lang w:eastAsia="es-CL"/>
              </w:rPr>
            </w:pPr>
            <w:r>
              <w:rPr>
                <w:rFonts w:ascii="Calibri" w:hAnsi="Calibri"/>
                <w:b/>
                <w:color w:val="1F2937"/>
                <w:sz w:val="20"/>
              </w:rPr>
              <w:t xml:space="preserve">Sprint 2 (semanas 7 y 8, completado). </w:t>
            </w:r>
            <w:r>
              <w:rPr>
                <w:rFonts w:ascii="Calibri" w:hAnsi="Calibri"/>
                <w:color w:val="1F2937"/>
                <w:sz w:val="20"/>
              </w:rPr>
              <w:t>Se desarrolló el motor de auditoría determinístico en Python: calcula el tiempo de tránsito en horas hábiles (lunes a viernes, de 09:00 a 18:00), descuenta fines de semana y feriados chilenos con la librería Workalendar, determina el atraso sobre el plazo de la regla SLA y aplica la multa correspondiente. Cumple el objetivo específico 2.</w:t>
            </w:r>
          </w:p>
          <w:p w14:paraId="2770BB78" w14:textId="77777777" w:rsidR="0003309E" w:rsidRDefault="0003309E" w:rsidP="00585A13">
            <w:pPr>
              <w:spacing w:after="80"/>
              <w:jc w:val="both"/>
              <w:rPr>
                <w:rFonts w:ascii="Calibri" w:hAnsi="Calibri" w:cs="Arial"/>
                <w:i/>
                <w:color w:val="548DD4"/>
                <w:sz w:val="20"/>
                <w:szCs w:val="20"/>
                <w:lang w:eastAsia="es-CL"/>
              </w:rPr>
            </w:pPr>
            <w:r>
              <w:rPr>
                <w:rFonts w:ascii="Calibri" w:hAnsi="Calibri"/>
                <w:b/>
                <w:color w:val="1F2937"/>
                <w:sz w:val="20"/>
              </w:rPr>
              <w:t xml:space="preserve">Sprint 3 (semanas 9 y 10, completado). </w:t>
            </w:r>
            <w:r>
              <w:rPr>
                <w:rFonts w:ascii="Calibri" w:hAnsi="Calibri"/>
                <w:color w:val="1F2937"/>
                <w:sz w:val="20"/>
              </w:rPr>
              <w:t>Se desarrolló el dashboard en Next.js, con el listado de lotes y el detalle de cada lote: franja de cumplimiento, desglose por transportista, gráficos de multa y de atraso, y tabla de guías con filtros, búsqueda y descarga en CSV. También se integró el módulo de IA generativa, que redacta con la API de Claude la carta de reclamo por transportista y el resumen ejecutivo. Cumple los objetivos específicos 3 y 4.</w:t>
            </w:r>
          </w:p>
          <w:p w14:paraId="2AD4A6D6" w14:textId="77777777" w:rsidR="0003309E" w:rsidRDefault="0003309E" w:rsidP="00585A13">
            <w:pPr>
              <w:spacing w:after="80"/>
              <w:jc w:val="both"/>
              <w:rPr>
                <w:rFonts w:ascii="Calibri" w:hAnsi="Calibri" w:cs="Arial"/>
                <w:i/>
                <w:color w:val="548DD4"/>
                <w:sz w:val="20"/>
                <w:szCs w:val="20"/>
                <w:lang w:eastAsia="es-CL"/>
              </w:rPr>
            </w:pPr>
            <w:r>
              <w:rPr>
                <w:rFonts w:ascii="Calibri" w:hAnsi="Calibri"/>
                <w:b/>
                <w:color w:val="1F2937"/>
                <w:sz w:val="20"/>
              </w:rPr>
              <w:t xml:space="preserve">Pruebas. </w:t>
            </w:r>
            <w:r>
              <w:rPr>
                <w:rFonts w:ascii="Calibri" w:hAnsi="Calibri"/>
                <w:color w:val="1F2937"/>
                <w:sz w:val="20"/>
              </w:rPr>
              <w:t>En cada sprint las pruebas se escribieron junto con el código, como define la metodología. A la fecha hay 53 casos automatizados en el backend (PyTest) y 13 en el frontend, que cubren el mapeo de columnas, la carga de archivos, el cálculo de horas hábiles y multas, las consultas del dashboard y el módulo de IA. El objetivo específico 5 avanza según lo planificado: faltan las pruebas end-to-end, que corresponden al Sprint 4. El objetivo específico 6 (despliegue en GCP con CI/CD) también corresponde al Sprint 4 y aún no se inicia.</w:t>
            </w:r>
          </w:p>
          <w:p w14:paraId="3B113B15" w14:textId="77777777" w:rsidR="0003309E" w:rsidRPr="00711C16" w:rsidRDefault="0003309E" w:rsidP="00585A13">
            <w:pPr>
              <w:spacing w:after="80"/>
              <w:jc w:val="both"/>
              <w:rPr>
                <w:rFonts w:ascii="Calibri" w:hAnsi="Calibri" w:cs="Arial"/>
                <w:i/>
                <w:color w:val="548DD4"/>
                <w:sz w:val="20"/>
                <w:szCs w:val="20"/>
                <w:lang w:eastAsia="es-CL"/>
              </w:rPr>
            </w:pPr>
            <w:r>
              <w:rPr>
                <w:rFonts w:ascii="Calibri" w:hAnsi="Calibri"/>
                <w:color w:val="1F2937"/>
                <w:sz w:val="20"/>
              </w:rPr>
              <w:lastRenderedPageBreak/>
              <w:t>Los objetivos se mantienen. La metodología tiene ajustes acotados, que se indican en los campos siguientes y se justifican en la sección 3.</w:t>
            </w:r>
          </w:p>
        </w:tc>
      </w:tr>
      <w:tr w:rsidR="0003309E" w14:paraId="414017B9" w14:textId="77777777" w:rsidTr="000A1331">
        <w:trPr>
          <w:trHeight w:val="1247"/>
        </w:trPr>
        <w:tc>
          <w:tcPr>
            <w:tcW w:w="2528" w:type="dxa"/>
            <w:vAlign w:val="center"/>
          </w:tcPr>
          <w:p w14:paraId="6A8909AC"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Objetivos</w:t>
            </w:r>
          </w:p>
        </w:tc>
        <w:tc>
          <w:tcPr>
            <w:tcW w:w="7111" w:type="dxa"/>
            <w:vAlign w:val="center"/>
          </w:tcPr>
          <w:p w14:paraId="26450791" w14:textId="77777777" w:rsidR="0003309E" w:rsidRPr="00A370C8" w:rsidRDefault="0003309E" w:rsidP="00585A13">
            <w:pPr>
              <w:spacing w:after="80"/>
              <w:jc w:val="both"/>
              <w:rPr>
                <w:rFonts w:ascii="Calibri" w:hAnsi="Calibri" w:cs="Arial"/>
                <w:b/>
                <w:i/>
                <w:color w:val="548DD4"/>
                <w:sz w:val="20"/>
                <w:szCs w:val="20"/>
                <w:lang w:eastAsia="es-CL"/>
              </w:rPr>
            </w:pPr>
            <w:r>
              <w:rPr>
                <w:rFonts w:ascii="Calibri" w:hAnsi="Calibri"/>
                <w:color w:val="1F2937"/>
                <w:sz w:val="20"/>
              </w:rPr>
              <w:t>Se mantienen el objetivo general y los seis objetivos específicos de la guía de la Fase 1. El único ajuste es de coherencia: la presentación de la Fase 1 indicaba un plazo de 12 semanas y la guía, de 15 semanas; se adopta el plazo de 15 semanas de la guía, que corresponde al calendario de la asignatura.</w:t>
            </w:r>
          </w:p>
        </w:tc>
      </w:tr>
      <w:tr w:rsidR="0003309E" w14:paraId="33D74C13" w14:textId="77777777" w:rsidTr="000A1331">
        <w:trPr>
          <w:trHeight w:val="939"/>
        </w:trPr>
        <w:tc>
          <w:tcPr>
            <w:tcW w:w="2528" w:type="dxa"/>
            <w:vAlign w:val="center"/>
          </w:tcPr>
          <w:p w14:paraId="52DAEA13"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3352BAE3" w14:textId="77777777" w:rsidR="0003309E" w:rsidRPr="00711C16" w:rsidRDefault="0003309E" w:rsidP="00585A13">
            <w:pPr>
              <w:spacing w:after="80"/>
              <w:jc w:val="both"/>
              <w:rPr>
                <w:rFonts w:ascii="Calibri" w:hAnsi="Calibri" w:cs="Arial"/>
                <w:i/>
                <w:color w:val="548DD4"/>
                <w:sz w:val="20"/>
                <w:szCs w:val="20"/>
                <w:lang w:eastAsia="es-CL"/>
              </w:rPr>
            </w:pPr>
            <w:r>
              <w:rPr>
                <w:rFonts w:ascii="Calibri" w:hAnsi="Calibri"/>
                <w:color w:val="1F2937"/>
                <w:sz w:val="20"/>
              </w:rPr>
              <w:t>Se mantiene Scrum con cinco sprints en 15 semanas, gestión en Jira y trabajo con ramas y Pull Requests en GitHub. Se ajustan tres aspectos:</w:t>
            </w:r>
          </w:p>
          <w:p w14:paraId="07D86418" w14:textId="77777777" w:rsidR="0003309E" w:rsidRPr="00711C16" w:rsidRDefault="0003309E" w:rsidP="00585A13">
            <w:pPr>
              <w:spacing w:after="80"/>
              <w:jc w:val="both"/>
              <w:rPr>
                <w:rFonts w:ascii="Calibri" w:hAnsi="Calibri" w:cs="Arial"/>
                <w:i/>
                <w:color w:val="548DD4"/>
                <w:sz w:val="20"/>
                <w:szCs w:val="20"/>
                <w:lang w:eastAsia="es-CL"/>
              </w:rPr>
            </w:pPr>
            <w:r>
              <w:rPr>
                <w:rFonts w:ascii="Calibri" w:hAnsi="Calibri"/>
                <w:b/>
                <w:color w:val="1F2937"/>
                <w:sz w:val="20"/>
              </w:rPr>
              <w:t xml:space="preserve">Cronograma único: </w:t>
            </w:r>
            <w:r>
              <w:rPr>
                <w:rFonts w:ascii="Calibri" w:hAnsi="Calibri"/>
                <w:color w:val="1F2937"/>
                <w:sz w:val="20"/>
              </w:rPr>
              <w:t>se adopta la versión de la guía de la Fase 1 (cinco sprints, con pruebas en cada sprint) y se descarta la de seis sprints con un sprint exclusivo de pruebas que aparecía en la presentación.</w:t>
            </w:r>
          </w:p>
          <w:p w14:paraId="1384A717" w14:textId="77777777" w:rsidR="0003309E" w:rsidRPr="00711C16" w:rsidRDefault="0003309E" w:rsidP="00585A13">
            <w:pPr>
              <w:spacing w:after="80"/>
              <w:jc w:val="both"/>
              <w:rPr>
                <w:rFonts w:ascii="Calibri" w:hAnsi="Calibri" w:cs="Arial"/>
                <w:i/>
                <w:color w:val="548DD4"/>
                <w:sz w:val="20"/>
                <w:szCs w:val="20"/>
                <w:lang w:eastAsia="es-CL"/>
              </w:rPr>
            </w:pPr>
            <w:r>
              <w:rPr>
                <w:rFonts w:ascii="Calibri" w:hAnsi="Calibri"/>
                <w:b/>
                <w:color w:val="1F2937"/>
                <w:sz w:val="20"/>
              </w:rPr>
              <w:t xml:space="preserve">Base de datos por ambiente: </w:t>
            </w:r>
            <w:r>
              <w:rPr>
                <w:rFonts w:ascii="Calibri" w:hAnsi="Calibri"/>
                <w:color w:val="1F2937"/>
                <w:sz w:val="20"/>
              </w:rPr>
              <w:t>SQLite para desarrollo y demostración local; PostgreSQL 16 en Cloud SQL para el despliegue. Las migraciones con Alembic pasan al Sprint 4.</w:t>
            </w:r>
          </w:p>
          <w:p w14:paraId="630AE3F0" w14:textId="77777777" w:rsidR="0003309E" w:rsidRPr="00711C16" w:rsidRDefault="0003309E" w:rsidP="00585A13">
            <w:pPr>
              <w:spacing w:after="80"/>
              <w:jc w:val="both"/>
              <w:rPr>
                <w:rFonts w:ascii="Calibri" w:hAnsi="Calibri" w:cs="Arial"/>
                <w:i/>
                <w:color w:val="548DD4"/>
                <w:sz w:val="20"/>
                <w:szCs w:val="20"/>
                <w:lang w:eastAsia="es-CL"/>
              </w:rPr>
            </w:pPr>
            <w:r>
              <w:rPr>
                <w:rFonts w:ascii="Calibri" w:hAnsi="Calibri"/>
                <w:b/>
                <w:color w:val="1F2937"/>
                <w:sz w:val="20"/>
              </w:rPr>
              <w:t xml:space="preserve">Pruebas del frontend: </w:t>
            </w:r>
            <w:r>
              <w:rPr>
                <w:rFonts w:ascii="Calibri" w:hAnsi="Calibri"/>
                <w:color w:val="1F2937"/>
                <w:sz w:val="20"/>
              </w:rPr>
              <w:t>la lógica se prueba con el runner nativo de Node.js (node:test) en lugar de Jest; las pruebas de interfaz completa se mantienen con Playwright en el Sprint 4.</w:t>
            </w:r>
          </w:p>
        </w:tc>
      </w:tr>
      <w:tr w:rsidR="0003309E" w14:paraId="4BB743B0" w14:textId="77777777" w:rsidTr="000A1331">
        <w:trPr>
          <w:trHeight w:val="2377"/>
        </w:trPr>
        <w:tc>
          <w:tcPr>
            <w:tcW w:w="2528" w:type="dxa"/>
            <w:vAlign w:val="center"/>
          </w:tcPr>
          <w:p w14:paraId="658E3F3B"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1D1C9B78" w14:textId="77777777" w:rsidR="0003309E" w:rsidRDefault="0003309E" w:rsidP="00585A13">
            <w:pPr>
              <w:spacing w:after="80"/>
              <w:jc w:val="both"/>
              <w:rPr>
                <w:rFonts w:ascii="Calibri" w:hAnsi="Calibri" w:cs="Arial"/>
                <w:i/>
                <w:color w:val="548DD4"/>
                <w:sz w:val="20"/>
                <w:szCs w:val="20"/>
                <w:lang w:eastAsia="es-CL"/>
              </w:rPr>
            </w:pPr>
            <w:r>
              <w:rPr>
                <w:rFonts w:ascii="Calibri" w:hAnsi="Calibri"/>
                <w:color w:val="1F2937"/>
                <w:sz w:val="20"/>
              </w:rPr>
              <w:t>Se presentan las evidencias de avance comprometidas en la guía de la Fase 1. Todas están en el repositorio GitHub del proyecto, en la carpeta de la Fase 2 (la ubicación de cada una se detalla en el Anexo B).</w:t>
            </w:r>
          </w:p>
          <w:p w14:paraId="6D8506AF" w14:textId="77777777" w:rsidR="0003309E" w:rsidRDefault="0003309E" w:rsidP="00585A13">
            <w:pPr>
              <w:spacing w:after="80"/>
              <w:jc w:val="both"/>
              <w:rPr>
                <w:rFonts w:ascii="Calibri" w:hAnsi="Calibri" w:cs="Arial"/>
                <w:i/>
                <w:color w:val="548DD4"/>
                <w:sz w:val="20"/>
                <w:szCs w:val="20"/>
                <w:lang w:eastAsia="es-CL"/>
              </w:rPr>
            </w:pPr>
            <w:r>
              <w:rPr>
                <w:rFonts w:ascii="Calibri" w:hAnsi="Calibri"/>
                <w:b/>
                <w:color w:val="1F2937"/>
                <w:sz w:val="20"/>
              </w:rPr>
              <w:t xml:space="preserve">1. Código fuente de los Sprints 1 a 3: </w:t>
            </w:r>
            <w:r>
              <w:rPr>
                <w:rFonts w:ascii="Calibri" w:hAnsi="Calibri"/>
                <w:color w:val="1F2937"/>
                <w:sz w:val="20"/>
              </w:rPr>
              <w:t>backend en FastAPI y frontend en Next.js, con su historial de cambios. Da cuenta del avance real del software y de la integración del trabajo de ambos integrantes.</w:t>
            </w:r>
          </w:p>
          <w:p w14:paraId="235E5B57" w14:textId="77777777" w:rsidR="0003309E" w:rsidRDefault="0003309E" w:rsidP="00585A13">
            <w:pPr>
              <w:spacing w:after="80"/>
              <w:jc w:val="both"/>
              <w:rPr>
                <w:rFonts w:ascii="Calibri" w:hAnsi="Calibri" w:cs="Arial"/>
                <w:i/>
                <w:color w:val="548DD4"/>
                <w:sz w:val="20"/>
                <w:szCs w:val="20"/>
                <w:lang w:eastAsia="es-CL"/>
              </w:rPr>
            </w:pPr>
            <w:r>
              <w:rPr>
                <w:rFonts w:ascii="Calibri" w:hAnsi="Calibri"/>
                <w:b/>
                <w:color w:val="1F2937"/>
                <w:sz w:val="20"/>
              </w:rPr>
              <w:t xml:space="preserve">2. Modelo de datos: </w:t>
            </w:r>
            <w:r>
              <w:rPr>
                <w:rFonts w:ascii="Calibri" w:hAnsi="Calibri"/>
                <w:color w:val="1F2937"/>
                <w:sz w:val="20"/>
              </w:rPr>
              <w:t>script schema.sql para PostgreSQL 16 (validado en un servidor PostgreSQL 16), datos de prueba, consultas de verificación y diagrama entidad-relación (Anexo A). Acredita el diseño e implementación del modelo que soporta la auditoría.</w:t>
            </w:r>
          </w:p>
          <w:p w14:paraId="75E2E481" w14:textId="77777777" w:rsidR="0003309E" w:rsidRDefault="0003309E" w:rsidP="00585A13">
            <w:pPr>
              <w:spacing w:after="80"/>
              <w:jc w:val="both"/>
              <w:rPr>
                <w:rFonts w:ascii="Calibri" w:hAnsi="Calibri" w:cs="Arial"/>
                <w:i/>
                <w:color w:val="548DD4"/>
                <w:sz w:val="20"/>
                <w:szCs w:val="20"/>
                <w:lang w:eastAsia="es-CL"/>
              </w:rPr>
            </w:pPr>
            <w:r>
              <w:rPr>
                <w:rFonts w:ascii="Calibri" w:hAnsi="Calibri"/>
                <w:b/>
                <w:color w:val="1F2937"/>
                <w:sz w:val="20"/>
              </w:rPr>
              <w:t xml:space="preserve">3. Prototipo funcional: </w:t>
            </w:r>
            <w:r>
              <w:rPr>
                <w:rFonts w:ascii="Calibri" w:hAnsi="Calibri"/>
                <w:color w:val="1F2937"/>
                <w:sz w:val="20"/>
              </w:rPr>
              <w:t>capturas de la aplicación procesando el archivo de prueba de 60 guías, con el resultado de la auditoría, los gráficos y la carta de reclamo generada. Valida la funcionalidad principal comprometida para el Sprint 3.</w:t>
            </w:r>
          </w:p>
          <w:p w14:paraId="1C652925" w14:textId="77777777" w:rsidR="0003309E" w:rsidRDefault="0003309E" w:rsidP="00585A13">
            <w:pPr>
              <w:spacing w:after="80"/>
              <w:jc w:val="both"/>
              <w:rPr>
                <w:rFonts w:ascii="Calibri" w:hAnsi="Calibri" w:cs="Arial"/>
                <w:i/>
                <w:color w:val="548DD4"/>
                <w:sz w:val="20"/>
                <w:szCs w:val="20"/>
                <w:lang w:eastAsia="es-CL"/>
              </w:rPr>
            </w:pPr>
            <w:r>
              <w:rPr>
                <w:rFonts w:ascii="Calibri" w:hAnsi="Calibri"/>
                <w:b/>
                <w:color w:val="1F2937"/>
                <w:sz w:val="20"/>
              </w:rPr>
              <w:t xml:space="preserve">4. Reporte de pruebas: </w:t>
            </w:r>
            <w:r>
              <w:rPr>
                <w:rFonts w:ascii="Calibri" w:hAnsi="Calibri"/>
                <w:color w:val="1F2937"/>
                <w:sz w:val="20"/>
              </w:rPr>
              <w:t>resultado de PyTest con cobertura (backend) y de las pruebas del frontend. Certifica que el cálculo de multas y los demás módulos funcionan según lo especificado.</w:t>
            </w:r>
          </w:p>
          <w:p w14:paraId="6FE822B7" w14:textId="77777777" w:rsidR="0003309E" w:rsidRDefault="0003309E" w:rsidP="00585A13">
            <w:pPr>
              <w:spacing w:after="80"/>
              <w:jc w:val="both"/>
              <w:rPr>
                <w:rFonts w:ascii="Calibri" w:hAnsi="Calibri" w:cs="Arial"/>
                <w:i/>
                <w:color w:val="548DD4"/>
                <w:sz w:val="20"/>
                <w:szCs w:val="20"/>
                <w:lang w:eastAsia="es-CL"/>
              </w:rPr>
            </w:pPr>
            <w:r>
              <w:rPr>
                <w:rFonts w:ascii="Calibri" w:hAnsi="Calibri"/>
                <w:b/>
                <w:color w:val="1F2937"/>
                <w:sz w:val="20"/>
              </w:rPr>
              <w:t xml:space="preserve">5. Tablero Jira: </w:t>
            </w:r>
            <w:r>
              <w:rPr>
                <w:rFonts w:ascii="Calibri" w:hAnsi="Calibri"/>
                <w:color w:val="1F2937"/>
                <w:sz w:val="20"/>
              </w:rPr>
              <w:t>historias de usuario de los Sprints 1 a 3 en estado terminado. Acredita la gestión ágil del proyecto.</w:t>
            </w:r>
          </w:p>
          <w:p w14:paraId="3788C21D" w14:textId="77777777" w:rsidR="0003309E" w:rsidRDefault="0003309E" w:rsidP="00585A13">
            <w:pPr>
              <w:spacing w:after="80"/>
              <w:jc w:val="both"/>
              <w:rPr>
                <w:rFonts w:ascii="Calibri" w:hAnsi="Calibri" w:cs="Arial"/>
                <w:i/>
                <w:color w:val="548DD4"/>
                <w:sz w:val="20"/>
                <w:szCs w:val="20"/>
                <w:lang w:eastAsia="es-CL"/>
              </w:rPr>
            </w:pPr>
            <w:r>
              <w:rPr>
                <w:rFonts w:ascii="Calibri" w:hAnsi="Calibri"/>
                <w:b/>
                <w:color w:val="1F2937"/>
                <w:sz w:val="20"/>
              </w:rPr>
              <w:t xml:space="preserve">Resguardo de la calidad. </w:t>
            </w:r>
            <w:r>
              <w:rPr>
                <w:rFonts w:ascii="Calibri" w:hAnsi="Calibri"/>
                <w:color w:val="1F2937"/>
                <w:sz w:val="20"/>
              </w:rPr>
              <w:t>(a) Pruebas automatizadas escritas junto con cada módulo, que no dependen de red ni de una base de datos externa. (b) Separación entre el cálculo, que es determinístico, de autoría propia y está probado, y la redacción con IA, que nunca modifica montos: el anexo con el detalle de guías y multas lo genera siempre el sistema. (c) Integración a la rama principal mediante Pull Requests con revisión del otro integrante. (d) Manejo explícito de casos límite: archivos con columnas no reconocidas, guías sin fecha de entrega, transportistas sin regla SLA y caídas de la API de IA. (e) Seguridad básica: las claves se leen desde variables de entorno y no se suben al repositorio, y la exportación CSV neutraliza textos que Excel interpretaría como fórmulas.</w:t>
            </w:r>
          </w:p>
          <w:p w14:paraId="148BA14A" w14:textId="77777777" w:rsidR="0003309E" w:rsidRPr="00A370C8" w:rsidRDefault="0003309E" w:rsidP="00585A13">
            <w:pPr>
              <w:spacing w:after="80"/>
              <w:jc w:val="both"/>
              <w:rPr>
                <w:rFonts w:ascii="Calibri" w:hAnsi="Calibri" w:cs="Arial"/>
                <w:b/>
                <w:i/>
                <w:color w:val="548DD4"/>
                <w:sz w:val="20"/>
                <w:szCs w:val="20"/>
                <w:lang w:eastAsia="es-CL"/>
              </w:rPr>
            </w:pPr>
            <w:r>
              <w:rPr>
                <w:rFonts w:ascii="Calibri" w:hAnsi="Calibri"/>
                <w:color w:val="1F2937"/>
                <w:sz w:val="20"/>
              </w:rPr>
              <w:t>Las evidencias se adjuntan en el repositorio (Anexo B) y el diagrama entidad-relación se incluye en el Anexo A de este informe.</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06943B78" w14:textId="77777777" w:rsidTr="000A1331">
        <w:trPr>
          <w:trHeight w:val="440"/>
        </w:trPr>
        <w:tc>
          <w:tcPr>
            <w:tcW w:w="9640" w:type="dxa"/>
            <w:vAlign w:val="center"/>
          </w:tcPr>
          <w:p w14:paraId="50AC8C6E"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23625BBA" w14:textId="77777777" w:rsidTr="000A1331">
        <w:trPr>
          <w:trHeight w:val="800"/>
        </w:trPr>
        <w:tc>
          <w:tcPr>
            <w:tcW w:w="9640" w:type="dxa"/>
            <w:shd w:val="clear" w:color="auto" w:fill="D9E2F3" w:themeFill="accent1" w:themeFillTint="33"/>
            <w:vAlign w:val="center"/>
          </w:tcPr>
          <w:p w14:paraId="7FBA2675" w14:textId="77777777"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0F65C6E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250"/>
        <w:gridCol w:w="1150"/>
        <w:gridCol w:w="1200"/>
        <w:gridCol w:w="950"/>
        <w:gridCol w:w="1200"/>
        <w:gridCol w:w="1400"/>
        <w:gridCol w:w="1050"/>
        <w:gridCol w:w="1576"/>
      </w:tblGrid>
      <w:tr w:rsidR="00FD5149" w:rsidRPr="006E3B0D" w14:paraId="078B2681" w14:textId="77777777" w:rsidTr="00EA0C09">
        <w:trPr>
          <w:trHeight w:val="415"/>
        </w:trPr>
        <w:tc>
          <w:tcPr>
            <w:tcW w:w="9776" w:type="dxa"/>
            <w:gridSpan w:val="8"/>
            <w:vAlign w:val="center"/>
          </w:tcPr>
          <w:p w14:paraId="4E8CB867"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24EED938" w14:textId="77777777" w:rsidTr="009552E5">
        <w:trPr>
          <w:trHeight w:val="711"/>
        </w:trPr>
        <w:tc>
          <w:tcPr>
            <w:tcW w:w="1250" w:type="dxa"/>
            <w:vAlign w:val="center"/>
          </w:tcPr>
          <w:p w14:paraId="0050E99A"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150" w:type="dxa"/>
            <w:vAlign w:val="center"/>
          </w:tcPr>
          <w:p w14:paraId="3B1E580B"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00" w:type="dxa"/>
            <w:vAlign w:val="center"/>
          </w:tcPr>
          <w:p w14:paraId="16246016"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950" w:type="dxa"/>
            <w:vAlign w:val="center"/>
          </w:tcPr>
          <w:p w14:paraId="0C86F5C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00" w:type="dxa"/>
            <w:vAlign w:val="center"/>
          </w:tcPr>
          <w:p w14:paraId="309069B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400" w:type="dxa"/>
            <w:vAlign w:val="center"/>
          </w:tcPr>
          <w:p w14:paraId="2F34DD83"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050" w:type="dxa"/>
            <w:vAlign w:val="center"/>
          </w:tcPr>
          <w:p w14:paraId="1A22B55F"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1576" w:type="dxa"/>
            <w:vAlign w:val="center"/>
          </w:tcPr>
          <w:p w14:paraId="4094BBA1"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237CE8CA" w14:textId="77777777" w:rsidTr="00EA0C09">
        <w:tc>
          <w:tcPr>
            <w:tcW w:w="1250" w:type="dxa"/>
          </w:tcPr>
          <w:p w14:paraId="7A1008FD" w14:textId="77777777" w:rsidR="00FD5149" w:rsidRPr="006E3B0D" w:rsidRDefault="00FD5149" w:rsidP="00FD5149">
            <w:pPr>
              <w:spacing w:after="0"/>
              <w:rPr>
                <w:b/>
                <w:sz w:val="18"/>
                <w:szCs w:val="24"/>
              </w:rPr>
            </w:pPr>
            <w:r>
              <w:rPr>
                <w:rFonts w:ascii="Calibri" w:hAnsi="Calibri"/>
                <w:color w:val="1F2937"/>
                <w:sz w:val="16"/>
              </w:rPr>
              <w:t>Desarrollar soluciones de software / Construir modelos de datos / Realizar pruebas de certificación</w:t>
            </w:r>
          </w:p>
        </w:tc>
        <w:tc>
          <w:tcPr>
            <w:tcW w:w="1150" w:type="dxa"/>
          </w:tcPr>
          <w:p w14:paraId="5435D555" w14:textId="77777777" w:rsidR="00FD5149" w:rsidRPr="006E3B0D" w:rsidRDefault="00FD5149" w:rsidP="00FD5149">
            <w:pPr>
              <w:spacing w:after="0"/>
              <w:rPr>
                <w:rFonts w:ascii="Calibri" w:hAnsi="Calibri" w:cs="Arial"/>
                <w:i/>
                <w:color w:val="548DD4"/>
                <w:sz w:val="18"/>
                <w:szCs w:val="20"/>
                <w:lang w:eastAsia="es-CL"/>
              </w:rPr>
            </w:pPr>
            <w:r>
              <w:rPr>
                <w:rFonts w:ascii="Calibri" w:hAnsi="Calibri"/>
                <w:color w:val="1F2937"/>
                <w:sz w:val="16"/>
              </w:rPr>
              <w:t>Sprint 1: ingesta, base backend y pruebas de ingesta</w:t>
            </w:r>
          </w:p>
        </w:tc>
        <w:tc>
          <w:tcPr>
            <w:tcW w:w="1200" w:type="dxa"/>
          </w:tcPr>
          <w:p w14:paraId="30460ECC" w14:textId="77777777" w:rsidR="00FD5149" w:rsidRPr="006E3B0D" w:rsidRDefault="00FD5149" w:rsidP="00FD5149">
            <w:pPr>
              <w:spacing w:after="0"/>
              <w:rPr>
                <w:b/>
                <w:sz w:val="18"/>
                <w:szCs w:val="24"/>
              </w:rPr>
            </w:pPr>
            <w:r>
              <w:rPr>
                <w:rFonts w:ascii="Calibri" w:hAnsi="Calibri"/>
                <w:color w:val="1F2937"/>
                <w:sz w:val="16"/>
              </w:rPr>
              <w:t>Python, FastAPI, Pandas, SQLAlchemy, PostgreSQL / SQLite, Next.js, PyTest, GitHub</w:t>
            </w:r>
          </w:p>
        </w:tc>
        <w:tc>
          <w:tcPr>
            <w:tcW w:w="950" w:type="dxa"/>
          </w:tcPr>
          <w:p w14:paraId="0AB277B0" w14:textId="77777777" w:rsidR="00FD5149" w:rsidRPr="006E3B0D" w:rsidRDefault="00FD5149" w:rsidP="00FD5149">
            <w:pPr>
              <w:spacing w:after="0"/>
              <w:rPr>
                <w:b/>
                <w:sz w:val="18"/>
                <w:szCs w:val="24"/>
              </w:rPr>
            </w:pPr>
            <w:r>
              <w:rPr>
                <w:rFonts w:ascii="Calibri" w:hAnsi="Calibri"/>
                <w:color w:val="1F2937"/>
                <w:sz w:val="16"/>
              </w:rPr>
              <w:t>Semanas 1 a 6</w:t>
            </w:r>
          </w:p>
        </w:tc>
        <w:tc>
          <w:tcPr>
            <w:tcW w:w="1200" w:type="dxa"/>
          </w:tcPr>
          <w:p w14:paraId="7BA64AAA" w14:textId="77777777" w:rsidR="00FD5149" w:rsidRPr="006E3B0D" w:rsidRDefault="00FD5149" w:rsidP="00FD5149">
            <w:pPr>
              <w:spacing w:after="0"/>
              <w:rPr>
                <w:rFonts w:ascii="Calibri" w:hAnsi="Calibri" w:cs="Arial"/>
                <w:i/>
                <w:color w:val="548DD4"/>
                <w:sz w:val="18"/>
                <w:szCs w:val="20"/>
                <w:lang w:eastAsia="es-CL"/>
              </w:rPr>
            </w:pPr>
            <w:r>
              <w:rPr>
                <w:rFonts w:ascii="Calibri" w:hAnsi="Calibri"/>
                <w:color w:val="1F2937"/>
                <w:sz w:val="16"/>
              </w:rPr>
              <w:t>Sebastián Acuña (backend y BD) / José Salvatierra (frontend)</w:t>
            </w:r>
          </w:p>
        </w:tc>
        <w:tc>
          <w:tcPr>
            <w:tcW w:w="1400" w:type="dxa"/>
          </w:tcPr>
          <w:p w14:paraId="358B50A6" w14:textId="77777777" w:rsidR="00FD5149" w:rsidRPr="006E3B0D" w:rsidRDefault="00FD5149" w:rsidP="00FD5149">
            <w:pPr>
              <w:spacing w:after="0"/>
              <w:rPr>
                <w:rFonts w:ascii="Calibri" w:hAnsi="Calibri" w:cs="Arial"/>
                <w:i/>
                <w:color w:val="548DD4"/>
                <w:sz w:val="18"/>
                <w:szCs w:val="20"/>
                <w:lang w:eastAsia="es-CL"/>
              </w:rPr>
            </w:pPr>
            <w:r>
              <w:rPr>
                <w:rFonts w:ascii="Calibri" w:hAnsi="Calibri"/>
                <w:color w:val="1F2937"/>
                <w:sz w:val="16"/>
              </w:rPr>
              <w:t>Facilitador: librerías maduras. Dificultad: el backend se retomó desde cero, por eso el sprint se extendió a 6 semanas.</w:t>
            </w:r>
          </w:p>
        </w:tc>
        <w:tc>
          <w:tcPr>
            <w:tcW w:w="1050" w:type="dxa"/>
          </w:tcPr>
          <w:p w14:paraId="3CA1B191" w14:textId="77777777" w:rsidR="00FD5149" w:rsidRPr="00E54467" w:rsidRDefault="00FD5149" w:rsidP="00FD5149">
            <w:pPr>
              <w:spacing w:after="0"/>
              <w:rPr>
                <w:rFonts w:ascii="Calibri" w:hAnsi="Calibri" w:cs="Arial"/>
                <w:i/>
                <w:color w:val="548DD4"/>
                <w:sz w:val="18"/>
                <w:szCs w:val="20"/>
                <w:lang w:eastAsia="es-CL"/>
              </w:rPr>
            </w:pPr>
            <w:r>
              <w:rPr>
                <w:rFonts w:ascii="Calibri" w:hAnsi="Calibri"/>
                <w:color w:val="1F2937"/>
                <w:sz w:val="16"/>
              </w:rPr>
              <w:t>Completado</w:t>
            </w:r>
          </w:p>
        </w:tc>
        <w:tc>
          <w:tcPr>
            <w:tcW w:w="1576" w:type="dxa"/>
          </w:tcPr>
          <w:p w14:paraId="2225E989" w14:textId="77777777" w:rsidR="00FD5149" w:rsidRPr="006E3B0D" w:rsidRDefault="00FD5149" w:rsidP="00FD5149">
            <w:pPr>
              <w:spacing w:after="0"/>
              <w:rPr>
                <w:rFonts w:ascii="Calibri" w:hAnsi="Calibri" w:cs="Arial"/>
                <w:i/>
                <w:color w:val="548DD4"/>
                <w:sz w:val="18"/>
                <w:szCs w:val="20"/>
                <w:lang w:eastAsia="es-CL"/>
              </w:rPr>
            </w:pPr>
            <w:r>
              <w:rPr>
                <w:rFonts w:ascii="Calibri" w:hAnsi="Calibri"/>
                <w:color w:val="1F2937"/>
                <w:sz w:val="16"/>
              </w:rPr>
              <w:t>Se eliminó el mapeo manual de columnas: un archivo no reconocido se rechaza indicando las columnas faltantes. SQLite para desarrollo local.</w:t>
            </w:r>
          </w:p>
        </w:tc>
      </w:tr>
      <w:tr w:rsidR="00FD5149" w:rsidRPr="006E3B0D" w14:paraId="781349B5" w14:textId="77777777" w:rsidTr="00EA0C09">
        <w:tc>
          <w:tcPr>
            <w:tcW w:w="1250" w:type="dxa"/>
          </w:tcPr>
          <w:p w14:paraId="09FB53D2" w14:textId="77777777" w:rsidR="00FD5149" w:rsidRPr="006E3B0D" w:rsidRDefault="00FD5149" w:rsidP="00FD5149">
            <w:pPr>
              <w:spacing w:after="0"/>
              <w:rPr>
                <w:b/>
                <w:sz w:val="18"/>
                <w:szCs w:val="24"/>
              </w:rPr>
            </w:pPr>
            <w:r>
              <w:rPr>
                <w:rFonts w:ascii="Calibri" w:hAnsi="Calibri"/>
                <w:color w:val="1F2937"/>
                <w:sz w:val="16"/>
              </w:rPr>
              <w:t>Desarrollar soluciones de software / Realizar pruebas de certificación</w:t>
            </w:r>
          </w:p>
        </w:tc>
        <w:tc>
          <w:tcPr>
            <w:tcW w:w="1150" w:type="dxa"/>
          </w:tcPr>
          <w:p w14:paraId="09CB48E1" w14:textId="77777777" w:rsidR="00FD5149" w:rsidRPr="006E3B0D" w:rsidRDefault="00FD5149" w:rsidP="00FD5149">
            <w:pPr>
              <w:spacing w:after="0"/>
              <w:rPr>
                <w:rFonts w:ascii="Calibri" w:hAnsi="Calibri" w:cs="Arial"/>
                <w:i/>
                <w:color w:val="548DD4"/>
                <w:sz w:val="18"/>
                <w:szCs w:val="20"/>
                <w:lang w:eastAsia="es-CL"/>
              </w:rPr>
            </w:pPr>
            <w:r>
              <w:rPr>
                <w:rFonts w:ascii="Calibri" w:hAnsi="Calibri"/>
                <w:color w:val="1F2937"/>
                <w:sz w:val="16"/>
              </w:rPr>
              <w:t>Sprint 2: motor de auditoría y pruebas unitarias</w:t>
            </w:r>
          </w:p>
        </w:tc>
        <w:tc>
          <w:tcPr>
            <w:tcW w:w="1200" w:type="dxa"/>
          </w:tcPr>
          <w:p w14:paraId="56B78BF2" w14:textId="77777777" w:rsidR="00FD5149" w:rsidRPr="006E3B0D" w:rsidRDefault="00FD5149" w:rsidP="00FD5149">
            <w:pPr>
              <w:spacing w:after="0"/>
              <w:rPr>
                <w:b/>
                <w:sz w:val="18"/>
                <w:szCs w:val="24"/>
              </w:rPr>
            </w:pPr>
            <w:r>
              <w:rPr>
                <w:rFonts w:ascii="Calibri" w:hAnsi="Calibri"/>
                <w:color w:val="1F2937"/>
                <w:sz w:val="16"/>
              </w:rPr>
              <w:t>Python, Pandas, Workalendar, PyTest</w:t>
            </w:r>
          </w:p>
        </w:tc>
        <w:tc>
          <w:tcPr>
            <w:tcW w:w="950" w:type="dxa"/>
          </w:tcPr>
          <w:p w14:paraId="5A80A332" w14:textId="77777777" w:rsidR="00FD5149" w:rsidRPr="006E3B0D" w:rsidRDefault="00FD5149" w:rsidP="00FD5149">
            <w:pPr>
              <w:spacing w:after="0"/>
              <w:rPr>
                <w:b/>
                <w:sz w:val="18"/>
                <w:szCs w:val="24"/>
              </w:rPr>
            </w:pPr>
            <w:r>
              <w:rPr>
                <w:rFonts w:ascii="Calibri" w:hAnsi="Calibri"/>
                <w:color w:val="1F2937"/>
                <w:sz w:val="16"/>
              </w:rPr>
              <w:t>Semanas 7 y 8</w:t>
            </w:r>
          </w:p>
        </w:tc>
        <w:tc>
          <w:tcPr>
            <w:tcW w:w="1200" w:type="dxa"/>
          </w:tcPr>
          <w:p w14:paraId="14019EAB" w14:textId="77777777" w:rsidR="00FD5149" w:rsidRPr="006E3B0D" w:rsidRDefault="00FD5149" w:rsidP="00FD5149">
            <w:pPr>
              <w:spacing w:after="0"/>
              <w:rPr>
                <w:rFonts w:ascii="Calibri" w:hAnsi="Calibri" w:cs="Arial"/>
                <w:i/>
                <w:color w:val="548DD4"/>
                <w:sz w:val="18"/>
                <w:szCs w:val="20"/>
                <w:lang w:eastAsia="es-CL"/>
              </w:rPr>
            </w:pPr>
            <w:r>
              <w:rPr>
                <w:rFonts w:ascii="Calibri" w:hAnsi="Calibri"/>
                <w:color w:val="1F2937"/>
                <w:sz w:val="16"/>
              </w:rPr>
              <w:t>Sebastián Acuña</w:t>
            </w:r>
          </w:p>
        </w:tc>
        <w:tc>
          <w:tcPr>
            <w:tcW w:w="1400" w:type="dxa"/>
          </w:tcPr>
          <w:p w14:paraId="1D30B002" w14:textId="77777777" w:rsidR="00FD5149" w:rsidRPr="006E3B0D" w:rsidRDefault="00FD5149" w:rsidP="00FD5149">
            <w:pPr>
              <w:spacing w:after="0"/>
              <w:rPr>
                <w:rFonts w:ascii="Calibri" w:hAnsi="Calibri" w:cs="Arial"/>
                <w:i/>
                <w:color w:val="548DD4"/>
                <w:sz w:val="18"/>
                <w:szCs w:val="20"/>
                <w:lang w:eastAsia="es-CL"/>
              </w:rPr>
            </w:pPr>
            <w:r>
              <w:rPr>
                <w:rFonts w:ascii="Calibri" w:hAnsi="Calibri"/>
                <w:color w:val="1F2937"/>
                <w:sz w:val="16"/>
              </w:rPr>
              <w:t>Cero fallas toleradas en el cálculo de multas: 20 pruebas unitarias de horas hábiles y multas.</w:t>
            </w:r>
          </w:p>
        </w:tc>
        <w:tc>
          <w:tcPr>
            <w:tcW w:w="1050" w:type="dxa"/>
          </w:tcPr>
          <w:p w14:paraId="6FDD04CE" w14:textId="77777777" w:rsidR="00FD5149" w:rsidRPr="00E54467" w:rsidRDefault="00FD5149" w:rsidP="00FD5149">
            <w:pPr>
              <w:spacing w:after="0"/>
              <w:rPr>
                <w:rFonts w:ascii="Calibri" w:hAnsi="Calibri" w:cs="Arial"/>
                <w:i/>
                <w:color w:val="548DD4"/>
                <w:sz w:val="18"/>
                <w:szCs w:val="20"/>
                <w:lang w:eastAsia="es-CL"/>
              </w:rPr>
            </w:pPr>
            <w:r>
              <w:rPr>
                <w:rFonts w:ascii="Calibri" w:hAnsi="Calibri"/>
                <w:color w:val="1F2937"/>
                <w:sz w:val="16"/>
              </w:rPr>
              <w:t>Completado</w:t>
            </w:r>
          </w:p>
        </w:tc>
        <w:tc>
          <w:tcPr>
            <w:tcW w:w="1576" w:type="dxa"/>
          </w:tcPr>
          <w:p w14:paraId="0D0E4900" w14:textId="77777777" w:rsidR="00FD5149" w:rsidRPr="006E3B0D" w:rsidRDefault="00FD5149" w:rsidP="00FD5149">
            <w:pPr>
              <w:spacing w:after="0"/>
              <w:rPr>
                <w:rFonts w:ascii="Calibri" w:hAnsi="Calibri" w:cs="Arial"/>
                <w:i/>
                <w:color w:val="548DD4"/>
                <w:sz w:val="18"/>
                <w:szCs w:val="20"/>
                <w:lang w:eastAsia="es-CL"/>
              </w:rPr>
            </w:pPr>
            <w:r>
              <w:rPr>
                <w:rFonts w:ascii="Calibri" w:hAnsi="Calibri"/>
                <w:color w:val="1F2937"/>
                <w:sz w:val="16"/>
              </w:rPr>
              <w:t>Regla SLA por transportista con multa fija por guía (sin zonas de origen y destino).</w:t>
            </w:r>
          </w:p>
        </w:tc>
      </w:tr>
      <w:tr w:rsidR="00FD5149" w:rsidRPr="006E3B0D" w14:paraId="69E1E4F5" w14:textId="77777777" w:rsidTr="00EA0C09">
        <w:tc>
          <w:tcPr>
            <w:tcW w:w="1250" w:type="dxa"/>
          </w:tcPr>
          <w:p w14:paraId="16FF9440" w14:textId="77777777" w:rsidR="00FD5149" w:rsidRPr="006E3B0D" w:rsidRDefault="00FD5149" w:rsidP="00FD5149">
            <w:pPr>
              <w:spacing w:after="0"/>
              <w:rPr>
                <w:b/>
                <w:sz w:val="18"/>
                <w:szCs w:val="24"/>
              </w:rPr>
            </w:pPr>
            <w:r>
              <w:rPr>
                <w:rFonts w:ascii="Calibri" w:hAnsi="Calibri"/>
                <w:color w:val="1F2937"/>
                <w:sz w:val="16"/>
              </w:rPr>
              <w:t>Desarrollar soluciones de software / Gestionar proyectos / Realizar pruebas de certificación</w:t>
            </w:r>
          </w:p>
        </w:tc>
        <w:tc>
          <w:tcPr>
            <w:tcW w:w="1150" w:type="dxa"/>
          </w:tcPr>
          <w:p w14:paraId="65E71983" w14:textId="77777777" w:rsidR="00FD5149" w:rsidRPr="006E3B0D" w:rsidRDefault="00FD5149" w:rsidP="00FD5149">
            <w:pPr>
              <w:spacing w:after="0"/>
              <w:rPr>
                <w:rFonts w:ascii="Calibri" w:hAnsi="Calibri" w:cs="Arial"/>
                <w:i/>
                <w:color w:val="548DD4"/>
                <w:sz w:val="18"/>
                <w:szCs w:val="20"/>
                <w:lang w:eastAsia="es-CL"/>
              </w:rPr>
            </w:pPr>
            <w:r>
              <w:rPr>
                <w:rFonts w:ascii="Calibri" w:hAnsi="Calibri"/>
                <w:color w:val="1F2937"/>
                <w:sz w:val="16"/>
              </w:rPr>
              <w:t>Sprint 3: dashboard, IA generativa y pruebas de integración</w:t>
            </w:r>
          </w:p>
        </w:tc>
        <w:tc>
          <w:tcPr>
            <w:tcW w:w="1200" w:type="dxa"/>
          </w:tcPr>
          <w:p w14:paraId="6DCAB49E" w14:textId="77777777" w:rsidR="00FD5149" w:rsidRPr="006E3B0D" w:rsidRDefault="00FD5149" w:rsidP="00FD5149">
            <w:pPr>
              <w:spacing w:after="0"/>
              <w:rPr>
                <w:b/>
                <w:sz w:val="18"/>
                <w:szCs w:val="24"/>
              </w:rPr>
            </w:pPr>
            <w:r>
              <w:rPr>
                <w:rFonts w:ascii="Calibri" w:hAnsi="Calibri"/>
                <w:color w:val="1F2937"/>
                <w:sz w:val="16"/>
              </w:rPr>
              <w:t>Next.js 16, Tailwind, API de Claude, PyTest, node:test</w:t>
            </w:r>
          </w:p>
        </w:tc>
        <w:tc>
          <w:tcPr>
            <w:tcW w:w="950" w:type="dxa"/>
          </w:tcPr>
          <w:p w14:paraId="147FFF2C" w14:textId="77777777" w:rsidR="00FD5149" w:rsidRPr="006E3B0D" w:rsidRDefault="00FD5149" w:rsidP="00FD5149">
            <w:pPr>
              <w:spacing w:after="0"/>
              <w:rPr>
                <w:b/>
                <w:sz w:val="18"/>
                <w:szCs w:val="24"/>
              </w:rPr>
            </w:pPr>
            <w:r>
              <w:rPr>
                <w:rFonts w:ascii="Calibri" w:hAnsi="Calibri"/>
                <w:color w:val="1F2937"/>
                <w:sz w:val="16"/>
              </w:rPr>
              <w:t>Semanas 9 y 10</w:t>
            </w:r>
          </w:p>
        </w:tc>
        <w:tc>
          <w:tcPr>
            <w:tcW w:w="1200" w:type="dxa"/>
          </w:tcPr>
          <w:p w14:paraId="0D6CF282" w14:textId="77777777" w:rsidR="00FD5149" w:rsidRPr="006E3B0D" w:rsidRDefault="00FD5149" w:rsidP="00FD5149">
            <w:pPr>
              <w:spacing w:after="0"/>
              <w:rPr>
                <w:rFonts w:ascii="Calibri" w:hAnsi="Calibri" w:cs="Arial"/>
                <w:i/>
                <w:color w:val="548DD4"/>
                <w:sz w:val="18"/>
                <w:szCs w:val="20"/>
                <w:lang w:eastAsia="es-CL"/>
              </w:rPr>
            </w:pPr>
            <w:r>
              <w:rPr>
                <w:rFonts w:ascii="Calibri" w:hAnsi="Calibri"/>
                <w:color w:val="1F2937"/>
                <w:sz w:val="16"/>
              </w:rPr>
              <w:t>José Salvatierra (dashboard y gráficos) / Sebastián Acuña (módulo de IA)</w:t>
            </w:r>
          </w:p>
        </w:tc>
        <w:tc>
          <w:tcPr>
            <w:tcW w:w="1400" w:type="dxa"/>
          </w:tcPr>
          <w:p w14:paraId="27A02F8F" w14:textId="77777777" w:rsidR="00FD5149" w:rsidRPr="006E3B0D" w:rsidRDefault="00FD5149" w:rsidP="00FD5149">
            <w:pPr>
              <w:spacing w:after="0"/>
              <w:rPr>
                <w:rFonts w:ascii="Calibri" w:hAnsi="Calibri" w:cs="Arial"/>
                <w:i/>
                <w:color w:val="548DD4"/>
                <w:sz w:val="18"/>
                <w:szCs w:val="20"/>
                <w:lang w:eastAsia="es-CL"/>
              </w:rPr>
            </w:pPr>
            <w:r>
              <w:rPr>
                <w:rFonts w:ascii="Calibri" w:hAnsi="Calibri"/>
                <w:color w:val="1F2937"/>
                <w:sz w:val="16"/>
              </w:rPr>
              <w:t>Riesgo de falla o latencia de la API de IA: se resolvió con plantilla de respaldo y tiempo máximo de espera.</w:t>
            </w:r>
          </w:p>
        </w:tc>
        <w:tc>
          <w:tcPr>
            <w:tcW w:w="1050" w:type="dxa"/>
          </w:tcPr>
          <w:p w14:paraId="474D3B9E" w14:textId="77777777" w:rsidR="00FD5149" w:rsidRPr="00E54467" w:rsidRDefault="00FD5149" w:rsidP="00FD5149">
            <w:pPr>
              <w:spacing w:after="0"/>
              <w:rPr>
                <w:rFonts w:ascii="Calibri" w:hAnsi="Calibri" w:cs="Arial"/>
                <w:i/>
                <w:color w:val="548DD4"/>
                <w:sz w:val="18"/>
                <w:szCs w:val="20"/>
                <w:lang w:eastAsia="es-CL"/>
              </w:rPr>
            </w:pPr>
            <w:r>
              <w:rPr>
                <w:rFonts w:ascii="Calibri" w:hAnsi="Calibri"/>
                <w:color w:val="1F2937"/>
                <w:sz w:val="16"/>
              </w:rPr>
              <w:t>Completado</w:t>
            </w:r>
          </w:p>
        </w:tc>
        <w:tc>
          <w:tcPr>
            <w:tcW w:w="1576" w:type="dxa"/>
          </w:tcPr>
          <w:p w14:paraId="78F4FEDA" w14:textId="77777777" w:rsidR="00FD5149" w:rsidRPr="006E3B0D" w:rsidRDefault="00FD5149" w:rsidP="00FD5149">
            <w:pPr>
              <w:spacing w:after="0"/>
              <w:rPr>
                <w:rFonts w:ascii="Calibri" w:hAnsi="Calibri" w:cs="Arial"/>
                <w:i/>
                <w:color w:val="548DD4"/>
                <w:sz w:val="18"/>
                <w:szCs w:val="20"/>
                <w:lang w:eastAsia="es-CL"/>
              </w:rPr>
            </w:pPr>
            <w:r>
              <w:rPr>
                <w:rFonts w:ascii="Calibri" w:hAnsi="Calibri"/>
                <w:color w:val="1F2937"/>
                <w:sz w:val="16"/>
              </w:rPr>
              <w:t>Pruebas del frontend con node:test en lugar de Jest. Gráficos con HTML y CSS, sin librería externa.</w:t>
            </w:r>
          </w:p>
        </w:tc>
      </w:tr>
      <w:tr w:rsidR="00FD5149" w:rsidRPr="006E3B0D" w14:paraId="0FBFC11A" w14:textId="77777777" w:rsidTr="00EA0C09">
        <w:tc>
          <w:tcPr>
            <w:tcW w:w="1250" w:type="dxa"/>
          </w:tcPr>
          <w:p w14:paraId="1A197D46" w14:textId="77777777" w:rsidR="00FD5149" w:rsidRPr="006E3B0D" w:rsidRDefault="00FD5149" w:rsidP="00FD5149">
            <w:pPr>
              <w:spacing w:after="0"/>
              <w:rPr>
                <w:b/>
                <w:sz w:val="18"/>
                <w:szCs w:val="24"/>
              </w:rPr>
            </w:pPr>
            <w:r>
              <w:rPr>
                <w:rFonts w:ascii="Calibri" w:hAnsi="Calibri"/>
                <w:color w:val="1F2937"/>
                <w:sz w:val="16"/>
              </w:rPr>
              <w:t>Gestionar proyectos / Desarrollar soluciones de software / Realizar pruebas de certificación</w:t>
            </w:r>
          </w:p>
        </w:tc>
        <w:tc>
          <w:tcPr>
            <w:tcW w:w="1150" w:type="dxa"/>
          </w:tcPr>
          <w:p w14:paraId="5EE799FB" w14:textId="77777777" w:rsidR="00FD5149" w:rsidRPr="006E3B0D" w:rsidRDefault="00FD5149" w:rsidP="00FD5149">
            <w:pPr>
              <w:spacing w:after="0"/>
              <w:rPr>
                <w:rFonts w:ascii="Calibri" w:hAnsi="Calibri" w:cs="Arial"/>
                <w:i/>
                <w:color w:val="548DD4"/>
                <w:sz w:val="18"/>
                <w:szCs w:val="20"/>
                <w:lang w:eastAsia="es-CL"/>
              </w:rPr>
            </w:pPr>
            <w:r>
              <w:rPr>
                <w:rFonts w:ascii="Calibri" w:hAnsi="Calibri"/>
                <w:color w:val="1F2937"/>
                <w:sz w:val="16"/>
              </w:rPr>
              <w:t>Sprint 4: despliegue en GCP, CI/CD y pruebas E2E</w:t>
            </w:r>
          </w:p>
        </w:tc>
        <w:tc>
          <w:tcPr>
            <w:tcW w:w="1200" w:type="dxa"/>
          </w:tcPr>
          <w:p w14:paraId="760B0AD2" w14:textId="77777777" w:rsidR="00FD5149" w:rsidRPr="006E3B0D" w:rsidRDefault="00FD5149" w:rsidP="00FD5149">
            <w:pPr>
              <w:spacing w:after="0"/>
              <w:rPr>
                <w:b/>
                <w:sz w:val="18"/>
                <w:szCs w:val="24"/>
              </w:rPr>
            </w:pPr>
            <w:r>
              <w:rPr>
                <w:rFonts w:ascii="Calibri" w:hAnsi="Calibri"/>
                <w:color w:val="1F2937"/>
                <w:sz w:val="16"/>
              </w:rPr>
              <w:t>Docker, Cloud Run, Cloud SQL, Secret Manager, GitHub Actions, Playwright, Alembic</w:t>
            </w:r>
          </w:p>
        </w:tc>
        <w:tc>
          <w:tcPr>
            <w:tcW w:w="950" w:type="dxa"/>
          </w:tcPr>
          <w:p w14:paraId="20AB15EC" w14:textId="77777777" w:rsidR="00FD5149" w:rsidRPr="006E3B0D" w:rsidRDefault="00FD5149" w:rsidP="00FD5149">
            <w:pPr>
              <w:spacing w:after="0"/>
              <w:rPr>
                <w:b/>
                <w:sz w:val="18"/>
                <w:szCs w:val="24"/>
              </w:rPr>
            </w:pPr>
            <w:r>
              <w:rPr>
                <w:rFonts w:ascii="Calibri" w:hAnsi="Calibri"/>
                <w:color w:val="1F2937"/>
                <w:sz w:val="16"/>
              </w:rPr>
              <w:t>Semanas 11 y 12</w:t>
            </w:r>
          </w:p>
        </w:tc>
        <w:tc>
          <w:tcPr>
            <w:tcW w:w="1200" w:type="dxa"/>
          </w:tcPr>
          <w:p w14:paraId="5E74CD7C" w14:textId="77777777" w:rsidR="00FD5149" w:rsidRPr="006E3B0D" w:rsidRDefault="00FD5149" w:rsidP="00FD5149">
            <w:pPr>
              <w:spacing w:after="0"/>
              <w:rPr>
                <w:rFonts w:ascii="Calibri" w:hAnsi="Calibri" w:cs="Arial"/>
                <w:i/>
                <w:color w:val="548DD4"/>
                <w:sz w:val="18"/>
                <w:szCs w:val="20"/>
                <w:lang w:eastAsia="es-CL"/>
              </w:rPr>
            </w:pPr>
            <w:r>
              <w:rPr>
                <w:rFonts w:ascii="Calibri" w:hAnsi="Calibri"/>
                <w:color w:val="1F2937"/>
                <w:sz w:val="16"/>
              </w:rPr>
              <w:t>Sebastián Acuña (GCP y CI/CD) / José Salvatierra (pruebas E2E)</w:t>
            </w:r>
          </w:p>
        </w:tc>
        <w:tc>
          <w:tcPr>
            <w:tcW w:w="1400" w:type="dxa"/>
          </w:tcPr>
          <w:p w14:paraId="41FBE437" w14:textId="77777777" w:rsidR="00FD5149" w:rsidRPr="006E3B0D" w:rsidRDefault="00FD5149" w:rsidP="00FD5149">
            <w:pPr>
              <w:spacing w:after="0"/>
              <w:rPr>
                <w:rFonts w:ascii="Calibri" w:hAnsi="Calibri" w:cs="Arial"/>
                <w:i/>
                <w:color w:val="548DD4"/>
                <w:sz w:val="18"/>
                <w:szCs w:val="20"/>
                <w:lang w:eastAsia="es-CL"/>
              </w:rPr>
            </w:pPr>
            <w:r>
              <w:rPr>
                <w:rFonts w:ascii="Calibri" w:hAnsi="Calibri"/>
                <w:color w:val="1F2937"/>
                <w:sz w:val="16"/>
              </w:rPr>
              <w:t>Curva de aprendizaje de GCP; la API key debe quedar en Secret Manager.</w:t>
            </w:r>
          </w:p>
        </w:tc>
        <w:tc>
          <w:tcPr>
            <w:tcW w:w="1050" w:type="dxa"/>
          </w:tcPr>
          <w:p w14:paraId="776EE778" w14:textId="77777777" w:rsidR="00FD5149" w:rsidRPr="00E54467" w:rsidRDefault="00FD5149" w:rsidP="00FD5149">
            <w:pPr>
              <w:spacing w:after="0"/>
              <w:rPr>
                <w:rFonts w:ascii="Calibri" w:hAnsi="Calibri" w:cs="Arial"/>
                <w:i/>
                <w:color w:val="548DD4"/>
                <w:sz w:val="18"/>
                <w:szCs w:val="20"/>
                <w:lang w:eastAsia="es-CL"/>
              </w:rPr>
            </w:pPr>
            <w:r>
              <w:rPr>
                <w:rFonts w:ascii="Calibri" w:hAnsi="Calibri"/>
                <w:color w:val="1F2937"/>
                <w:sz w:val="16"/>
              </w:rPr>
              <w:t>No iniciado</w:t>
            </w:r>
          </w:p>
        </w:tc>
        <w:tc>
          <w:tcPr>
            <w:tcW w:w="1576" w:type="dxa"/>
          </w:tcPr>
          <w:p w14:paraId="74B2F075" w14:textId="77777777" w:rsidR="00FD5149" w:rsidRPr="006E3B0D" w:rsidRDefault="00FD5149" w:rsidP="00FD5149">
            <w:pPr>
              <w:spacing w:after="0"/>
              <w:rPr>
                <w:rFonts w:ascii="Calibri" w:hAnsi="Calibri" w:cs="Arial"/>
                <w:i/>
                <w:color w:val="548DD4"/>
                <w:sz w:val="18"/>
                <w:szCs w:val="20"/>
                <w:lang w:eastAsia="es-CL"/>
              </w:rPr>
            </w:pPr>
            <w:r>
              <w:rPr>
                <w:rFonts w:ascii="Calibri" w:hAnsi="Calibri"/>
                <w:color w:val="1F2937"/>
                <w:sz w:val="16"/>
              </w:rPr>
              <w:t>Se agregan las migraciones con Alembic y el paso de SQLite a PostgreSQL en Cloud SQL.</w:t>
            </w:r>
          </w:p>
        </w:tc>
      </w:tr>
      <w:tr w:rsidR="00FD5149" w:rsidRPr="006E3B0D" w14:paraId="33071258" w14:textId="77777777" w:rsidTr="00EA0C09">
        <w:tc>
          <w:tcPr>
            <w:tcW w:w="1250" w:type="dxa"/>
          </w:tcPr>
          <w:p w14:paraId="4A5FBB04" w14:textId="77777777" w:rsidR="00FD5149" w:rsidRPr="006E3B0D" w:rsidRDefault="00FD5149" w:rsidP="00FD5149">
            <w:pPr>
              <w:spacing w:after="0"/>
              <w:rPr>
                <w:b/>
                <w:sz w:val="18"/>
                <w:szCs w:val="24"/>
              </w:rPr>
            </w:pPr>
            <w:r>
              <w:rPr>
                <w:rFonts w:ascii="Calibri" w:hAnsi="Calibri"/>
                <w:color w:val="1F2937"/>
                <w:sz w:val="16"/>
              </w:rPr>
              <w:t>Gestionar proyectos informáticos</w:t>
            </w:r>
          </w:p>
        </w:tc>
        <w:tc>
          <w:tcPr>
            <w:tcW w:w="1150" w:type="dxa"/>
          </w:tcPr>
          <w:p w14:paraId="5596679C" w14:textId="77777777" w:rsidR="00FD5149" w:rsidRPr="006E3B0D" w:rsidRDefault="00FD5149" w:rsidP="00FD5149">
            <w:pPr>
              <w:spacing w:after="0"/>
              <w:rPr>
                <w:rFonts w:ascii="Calibri" w:hAnsi="Calibri" w:cs="Arial"/>
                <w:i/>
                <w:color w:val="548DD4"/>
                <w:sz w:val="18"/>
                <w:szCs w:val="20"/>
                <w:lang w:eastAsia="es-CL"/>
              </w:rPr>
            </w:pPr>
            <w:r>
              <w:rPr>
                <w:rFonts w:ascii="Calibri" w:hAnsi="Calibri"/>
                <w:color w:val="1F2937"/>
                <w:sz w:val="16"/>
              </w:rPr>
              <w:t>Sprint 5: cierre, documentación y defensa</w:t>
            </w:r>
          </w:p>
        </w:tc>
        <w:tc>
          <w:tcPr>
            <w:tcW w:w="1200" w:type="dxa"/>
          </w:tcPr>
          <w:p w14:paraId="0611BFBD" w14:textId="77777777" w:rsidR="00FD5149" w:rsidRPr="006E3B0D" w:rsidRDefault="00FD5149" w:rsidP="00FD5149">
            <w:pPr>
              <w:spacing w:after="0"/>
              <w:rPr>
                <w:b/>
                <w:sz w:val="18"/>
                <w:szCs w:val="24"/>
              </w:rPr>
            </w:pPr>
            <w:r>
              <w:rPr>
                <w:rFonts w:ascii="Calibri" w:hAnsi="Calibri"/>
                <w:color w:val="1F2937"/>
                <w:sz w:val="16"/>
              </w:rPr>
              <w:t>Word, software de grabación, Canva</w:t>
            </w:r>
          </w:p>
        </w:tc>
        <w:tc>
          <w:tcPr>
            <w:tcW w:w="950" w:type="dxa"/>
          </w:tcPr>
          <w:p w14:paraId="71F576FF" w14:textId="77777777" w:rsidR="00FD5149" w:rsidRPr="006E3B0D" w:rsidRDefault="00FD5149" w:rsidP="00FD5149">
            <w:pPr>
              <w:spacing w:after="0"/>
              <w:rPr>
                <w:b/>
                <w:sz w:val="18"/>
                <w:szCs w:val="24"/>
              </w:rPr>
            </w:pPr>
            <w:r>
              <w:rPr>
                <w:rFonts w:ascii="Calibri" w:hAnsi="Calibri"/>
                <w:color w:val="1F2937"/>
                <w:sz w:val="16"/>
              </w:rPr>
              <w:t>Semanas 13 a 15</w:t>
            </w:r>
          </w:p>
        </w:tc>
        <w:tc>
          <w:tcPr>
            <w:tcW w:w="1200" w:type="dxa"/>
          </w:tcPr>
          <w:p w14:paraId="70E2FD75" w14:textId="77777777" w:rsidR="00FD5149" w:rsidRPr="006E3B0D" w:rsidRDefault="00FD5149" w:rsidP="00FD5149">
            <w:pPr>
              <w:spacing w:after="0"/>
              <w:rPr>
                <w:rFonts w:ascii="Calibri" w:hAnsi="Calibri" w:cs="Arial"/>
                <w:i/>
                <w:color w:val="548DD4"/>
                <w:sz w:val="18"/>
                <w:szCs w:val="20"/>
                <w:lang w:eastAsia="es-CL"/>
              </w:rPr>
            </w:pPr>
            <w:r>
              <w:rPr>
                <w:rFonts w:ascii="Calibri" w:hAnsi="Calibri"/>
                <w:color w:val="1F2937"/>
                <w:sz w:val="16"/>
              </w:rPr>
              <w:t>Sebastián Acuña / José Salvatierra</w:t>
            </w:r>
          </w:p>
        </w:tc>
        <w:tc>
          <w:tcPr>
            <w:tcW w:w="1400" w:type="dxa"/>
          </w:tcPr>
          <w:p w14:paraId="4F227634" w14:textId="77777777" w:rsidR="00FD5149" w:rsidRPr="006E3B0D" w:rsidRDefault="00FD5149" w:rsidP="00FD5149">
            <w:pPr>
              <w:spacing w:after="0"/>
              <w:rPr>
                <w:rFonts w:ascii="Calibri" w:hAnsi="Calibri" w:cs="Arial"/>
                <w:i/>
                <w:color w:val="548DD4"/>
                <w:sz w:val="18"/>
                <w:szCs w:val="20"/>
                <w:lang w:eastAsia="es-CL"/>
              </w:rPr>
            </w:pPr>
            <w:r>
              <w:rPr>
                <w:rFonts w:ascii="Calibri" w:hAnsi="Calibri"/>
                <w:color w:val="1F2937"/>
                <w:sz w:val="16"/>
              </w:rPr>
              <w:t>Consolida el reporte de pruebas de todos los sprints y prepara la defensa ante la comisión.</w:t>
            </w:r>
          </w:p>
        </w:tc>
        <w:tc>
          <w:tcPr>
            <w:tcW w:w="1050" w:type="dxa"/>
          </w:tcPr>
          <w:p w14:paraId="781D76BD" w14:textId="77777777" w:rsidR="00FD5149" w:rsidRPr="00E54467" w:rsidRDefault="00FD5149" w:rsidP="00FD5149">
            <w:pPr>
              <w:spacing w:after="0"/>
              <w:rPr>
                <w:rFonts w:ascii="Calibri" w:hAnsi="Calibri" w:cs="Arial"/>
                <w:i/>
                <w:color w:val="548DD4"/>
                <w:sz w:val="18"/>
                <w:szCs w:val="20"/>
                <w:lang w:eastAsia="es-CL"/>
              </w:rPr>
            </w:pPr>
            <w:r>
              <w:rPr>
                <w:rFonts w:ascii="Calibri" w:hAnsi="Calibri"/>
                <w:color w:val="1F2937"/>
                <w:sz w:val="16"/>
              </w:rPr>
              <w:t>No iniciado</w:t>
            </w:r>
          </w:p>
        </w:tc>
        <w:tc>
          <w:tcPr>
            <w:tcW w:w="1576" w:type="dxa"/>
          </w:tcPr>
          <w:p w14:paraId="1D61264D" w14:textId="77777777" w:rsidR="00FD5149" w:rsidRPr="006E3B0D" w:rsidRDefault="00FD5149" w:rsidP="00FD5149">
            <w:pPr>
              <w:spacing w:after="0"/>
              <w:rPr>
                <w:rFonts w:ascii="Calibri" w:hAnsi="Calibri" w:cs="Arial"/>
                <w:i/>
                <w:color w:val="548DD4"/>
                <w:sz w:val="18"/>
                <w:szCs w:val="20"/>
                <w:lang w:eastAsia="es-CL"/>
              </w:rPr>
            </w:pPr>
            <w:r>
              <w:rPr>
                <w:rFonts w:ascii="Calibri" w:hAnsi="Calibri"/>
                <w:color w:val="1F2937"/>
                <w:sz w:val="16"/>
              </w:rPr>
              <w:t>Sin ajustes.</w:t>
            </w:r>
          </w:p>
        </w:tc>
      </w:tr>
    </w:tbl>
    <w:p w14:paraId="315780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59781F80" w14:textId="77777777" w:rsidTr="00C5122E">
        <w:trPr>
          <w:trHeight w:val="440"/>
        </w:trPr>
        <w:tc>
          <w:tcPr>
            <w:tcW w:w="9498" w:type="dxa"/>
            <w:vAlign w:val="center"/>
          </w:tcPr>
          <w:p w14:paraId="04EB7F1D"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47340DDD" w14:textId="77777777" w:rsidTr="00C5122E">
        <w:trPr>
          <w:trHeight w:val="800"/>
        </w:trPr>
        <w:tc>
          <w:tcPr>
            <w:tcW w:w="9498" w:type="dxa"/>
            <w:shd w:val="clear" w:color="auto" w:fill="D9E2F3" w:themeFill="accent1" w:themeFillTint="33"/>
            <w:vAlign w:val="center"/>
          </w:tcPr>
          <w:p w14:paraId="705D5288" w14:textId="77777777"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lastRenderedPageBreak/>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3304A4D6" w14:textId="77777777" w:rsidR="0003309E" w:rsidRDefault="0003309E" w:rsidP="0003309E">
      <w:pPr>
        <w:rPr>
          <w:rFonts w:cs="Calibri Light"/>
          <w:color w:val="595959" w:themeColor="text1" w:themeTint="A6"/>
          <w:sz w:val="24"/>
          <w:szCs w:val="24"/>
          <w:lang w:val="es-ES"/>
        </w:rPr>
      </w:pPr>
    </w:p>
    <w:tbl>
      <w:tblPr>
        <w:tblStyle w:val="Tablaconcuadrcula"/>
        <w:tblW w:w="5590"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7F4F5170" w14:textId="77777777" w:rsidTr="00C5122E">
        <w:tc>
          <w:tcPr>
            <w:tcW w:w="5000" w:type="pct"/>
            <w:vAlign w:val="center"/>
          </w:tcPr>
          <w:p w14:paraId="54347F81" w14:textId="77777777" w:rsidR="0003309E" w:rsidRPr="00371CBB" w:rsidRDefault="0003309E" w:rsidP="00C5122E">
            <w:pPr>
              <w:spacing w:after="120"/>
              <w:jc w:val="both"/>
              <w:rPr>
                <w:rFonts w:ascii="Calibri" w:hAnsi="Calibri" w:cs="Arial"/>
                <w:i/>
                <w:iCs/>
                <w:color w:val="548DD4"/>
                <w:sz w:val="20"/>
                <w:szCs w:val="20"/>
                <w:lang w:eastAsia="es-CL"/>
              </w:rPr>
            </w:pPr>
            <w:r>
              <w:rPr>
                <w:rFonts w:ascii="Calibri" w:hAnsi="Calibri"/>
                <w:color w:val="1F3864"/>
              </w:rPr>
              <w:t>Factores que han facilitado y/o dificultado el desarrollo de mi plan de trabajo:</w:t>
            </w:r>
          </w:p>
          <w:p w14:paraId="7D0C68ED" w14:textId="77777777" w:rsidR="0003309E" w:rsidRPr="00371CBB" w:rsidRDefault="0003309E" w:rsidP="00C5122E">
            <w:pPr>
              <w:spacing w:after="80"/>
              <w:jc w:val="both"/>
              <w:rPr>
                <w:rFonts w:ascii="Calibri" w:hAnsi="Calibri" w:cs="Arial"/>
                <w:i/>
                <w:iCs/>
                <w:color w:val="548DD4"/>
                <w:sz w:val="20"/>
                <w:szCs w:val="20"/>
                <w:lang w:eastAsia="es-CL"/>
              </w:rPr>
            </w:pPr>
            <w:r>
              <w:rPr>
                <w:rFonts w:ascii="Calibri" w:hAnsi="Calibri"/>
                <w:b/>
                <w:color w:val="1F2937"/>
                <w:sz w:val="20"/>
              </w:rPr>
              <w:t>Facilitadores</w:t>
            </w:r>
          </w:p>
          <w:p w14:paraId="60224FF8" w14:textId="77777777" w:rsidR="0003309E" w:rsidRPr="00371CBB" w:rsidRDefault="0003309E" w:rsidP="00C5122E">
            <w:pPr>
              <w:spacing w:after="80"/>
              <w:jc w:val="both"/>
              <w:rPr>
                <w:rFonts w:ascii="Calibri" w:hAnsi="Calibri" w:cs="Arial"/>
                <w:i/>
                <w:iCs/>
                <w:color w:val="548DD4"/>
                <w:sz w:val="20"/>
                <w:szCs w:val="20"/>
                <w:lang w:eastAsia="es-CL"/>
              </w:rPr>
            </w:pPr>
            <w:r>
              <w:rPr>
                <w:rFonts w:ascii="Calibri" w:hAnsi="Calibri"/>
                <w:color w:val="1F2937"/>
                <w:sz w:val="20"/>
              </w:rPr>
              <w:t>Librerías maduras y bien documentadas (FastAPI, Pandas, Workalendar, Next.js) permitieron construir el motor de auditoría sin desarrollar desde cero el calendario de feriados chilenos.</w:t>
            </w:r>
          </w:p>
          <w:p w14:paraId="1F62D14F" w14:textId="77777777" w:rsidR="0003309E" w:rsidRPr="00371CBB" w:rsidRDefault="0003309E" w:rsidP="00C5122E">
            <w:pPr>
              <w:spacing w:after="80"/>
              <w:jc w:val="both"/>
              <w:rPr>
                <w:rFonts w:ascii="Calibri" w:hAnsi="Calibri" w:cs="Arial"/>
                <w:i/>
                <w:iCs/>
                <w:color w:val="548DD4"/>
                <w:sz w:val="20"/>
                <w:szCs w:val="20"/>
                <w:lang w:eastAsia="es-CL"/>
              </w:rPr>
            </w:pPr>
            <w:r>
              <w:rPr>
                <w:rFonts w:ascii="Calibri" w:hAnsi="Calibri"/>
                <w:color w:val="1F2937"/>
                <w:sz w:val="20"/>
              </w:rPr>
              <w:t>Los roles fijos y complementarios (backend y frontend), con el contrato de cada endpoint definido antes de programar, permitieron avanzar en paralelo sin bloqueos.</w:t>
            </w:r>
          </w:p>
          <w:p w14:paraId="2D0492FA" w14:textId="77777777" w:rsidR="0003309E" w:rsidRPr="00371CBB" w:rsidRDefault="0003309E" w:rsidP="00C5122E">
            <w:pPr>
              <w:spacing w:after="80"/>
              <w:jc w:val="both"/>
              <w:rPr>
                <w:rFonts w:ascii="Calibri" w:hAnsi="Calibri" w:cs="Arial"/>
                <w:i/>
                <w:iCs/>
                <w:color w:val="548DD4"/>
                <w:sz w:val="20"/>
                <w:szCs w:val="20"/>
                <w:lang w:eastAsia="es-CL"/>
              </w:rPr>
            </w:pPr>
            <w:r>
              <w:rPr>
                <w:rFonts w:ascii="Calibri" w:hAnsi="Calibri"/>
                <w:color w:val="1F2937"/>
                <w:sz w:val="20"/>
              </w:rPr>
              <w:t>Escribir las pruebas junto con el código permitió detectar errores temprano, por ejemplo en el manejo de fechas con y sin zona horaria, en lugar de encontrarlos al final del proyecto.</w:t>
            </w:r>
          </w:p>
          <w:p w14:paraId="23873B0B" w14:textId="77777777" w:rsidR="0003309E" w:rsidRPr="00371CBB" w:rsidRDefault="0003309E" w:rsidP="00C5122E">
            <w:pPr>
              <w:spacing w:after="80"/>
              <w:jc w:val="both"/>
              <w:rPr>
                <w:rFonts w:ascii="Calibri" w:hAnsi="Calibri" w:cs="Arial"/>
                <w:i/>
                <w:iCs/>
                <w:color w:val="548DD4"/>
                <w:sz w:val="20"/>
                <w:szCs w:val="20"/>
                <w:lang w:eastAsia="es-CL"/>
              </w:rPr>
            </w:pPr>
            <w:r>
              <w:rPr>
                <w:rFonts w:ascii="Calibri" w:hAnsi="Calibri"/>
                <w:color w:val="1F2937"/>
                <w:sz w:val="20"/>
              </w:rPr>
              <w:t>La retroalimentación de la Fase 1, que evaluó como «Logrado» los objetivos, el plan de trabajo y las evidencias, orientó este informe: cada evidencia se vincula a un archivo concreto del repositorio y el plan incorpora estado y ajustes por sprint.</w:t>
            </w:r>
          </w:p>
          <w:p w14:paraId="15F0CDA5" w14:textId="77777777" w:rsidR="0003309E" w:rsidRPr="00371CBB" w:rsidRDefault="0003309E" w:rsidP="00C5122E">
            <w:pPr>
              <w:spacing w:after="80"/>
              <w:jc w:val="both"/>
              <w:rPr>
                <w:rFonts w:ascii="Calibri" w:hAnsi="Calibri" w:cs="Arial"/>
                <w:i/>
                <w:iCs/>
                <w:color w:val="548DD4"/>
                <w:sz w:val="20"/>
                <w:szCs w:val="20"/>
                <w:lang w:eastAsia="es-CL"/>
              </w:rPr>
            </w:pPr>
            <w:r>
              <w:rPr>
                <w:rFonts w:ascii="Calibri" w:hAnsi="Calibri"/>
                <w:b/>
                <w:color w:val="1F2937"/>
                <w:sz w:val="20"/>
              </w:rPr>
              <w:t>Dificultades y acciones</w:t>
            </w:r>
          </w:p>
          <w:p w14:paraId="520DF2B4" w14:textId="77777777" w:rsidR="0003309E" w:rsidRPr="00371CBB" w:rsidRDefault="0003309E" w:rsidP="00C5122E">
            <w:pPr>
              <w:spacing w:after="80"/>
              <w:jc w:val="both"/>
              <w:rPr>
                <w:rFonts w:ascii="Calibri" w:hAnsi="Calibri" w:cs="Arial"/>
                <w:i/>
                <w:iCs/>
                <w:color w:val="548DD4"/>
                <w:sz w:val="20"/>
                <w:szCs w:val="20"/>
                <w:lang w:eastAsia="es-CL"/>
              </w:rPr>
            </w:pPr>
            <w:r>
              <w:rPr>
                <w:rFonts w:ascii="Calibri" w:hAnsi="Calibri"/>
                <w:b/>
                <w:color w:val="1F2937"/>
                <w:sz w:val="20"/>
              </w:rPr>
              <w:t xml:space="preserve">Backend retomado desde cero en el Sprint 1. </w:t>
            </w:r>
            <w:r>
              <w:rPr>
                <w:rFonts w:ascii="Calibri" w:hAnsi="Calibri"/>
                <w:color w:val="1F2937"/>
                <w:sz w:val="20"/>
              </w:rPr>
              <w:t>Acción: el sprint se extendió a seis semanas, como ya consideraba el plan de la Fase 1, y se priorizó el motor de auditoría sobre el pulido visual.</w:t>
            </w:r>
          </w:p>
          <w:p w14:paraId="7C24D355" w14:textId="77777777" w:rsidR="0003309E" w:rsidRPr="00371CBB" w:rsidRDefault="0003309E" w:rsidP="00C5122E">
            <w:pPr>
              <w:spacing w:after="80"/>
              <w:jc w:val="both"/>
              <w:rPr>
                <w:rFonts w:ascii="Calibri" w:hAnsi="Calibri" w:cs="Arial"/>
                <w:i/>
                <w:iCs/>
                <w:color w:val="548DD4"/>
                <w:sz w:val="20"/>
                <w:szCs w:val="20"/>
                <w:lang w:eastAsia="es-CL"/>
              </w:rPr>
            </w:pPr>
            <w:r>
              <w:rPr>
                <w:rFonts w:ascii="Calibri" w:hAnsi="Calibri"/>
                <w:b/>
                <w:color w:val="1F2937"/>
                <w:sz w:val="20"/>
              </w:rPr>
              <w:t xml:space="preserve">Equipo de práctica bloqueado. </w:t>
            </w:r>
            <w:r>
              <w:rPr>
                <w:rFonts w:ascii="Calibri" w:hAnsi="Calibri"/>
                <w:color w:val="1F2937"/>
                <w:sz w:val="20"/>
              </w:rPr>
              <w:t>Uno de los integrantes no puede ejecutar el proyecto en el computador de su práctica profesional por restricciones de seguridad. Acción: las pruebas se realizan en equipos personales, con un script de inicio (iniciar.bat) que instala y levanta el sistema con un doble clic.</w:t>
            </w:r>
          </w:p>
          <w:p w14:paraId="2BCC4BF5" w14:textId="77777777" w:rsidR="0003309E" w:rsidRPr="00371CBB" w:rsidRDefault="0003309E" w:rsidP="00C5122E">
            <w:pPr>
              <w:spacing w:after="80"/>
              <w:jc w:val="both"/>
              <w:rPr>
                <w:rFonts w:ascii="Calibri" w:hAnsi="Calibri" w:cs="Arial"/>
                <w:i/>
                <w:iCs/>
                <w:color w:val="548DD4"/>
                <w:sz w:val="20"/>
                <w:szCs w:val="20"/>
                <w:lang w:eastAsia="es-CL"/>
              </w:rPr>
            </w:pPr>
            <w:r>
              <w:rPr>
                <w:rFonts w:ascii="Calibri" w:hAnsi="Calibri"/>
                <w:b/>
                <w:color w:val="1F2937"/>
                <w:sz w:val="20"/>
              </w:rPr>
              <w:t xml:space="preserve">Instalación en Windows. </w:t>
            </w:r>
            <w:r>
              <w:rPr>
                <w:rFonts w:ascii="Calibri" w:hAnsi="Calibri"/>
                <w:color w:val="1F2937"/>
                <w:sz w:val="20"/>
              </w:rPr>
              <w:t>Hubo fallas al instalar dependencias con versiones no estables de Python. Acción: el script de inicio verifica las versiones de Python y Node.js y guarda el detalle de cualquier error en un archivo de registro.</w:t>
            </w:r>
          </w:p>
          <w:p w14:paraId="578AB504" w14:textId="77777777" w:rsidR="0003309E" w:rsidRPr="00371CBB" w:rsidRDefault="0003309E" w:rsidP="00C5122E">
            <w:pPr>
              <w:spacing w:after="80"/>
              <w:jc w:val="both"/>
              <w:rPr>
                <w:rFonts w:ascii="Calibri" w:hAnsi="Calibri" w:cs="Arial"/>
                <w:i/>
                <w:iCs/>
                <w:color w:val="548DD4"/>
                <w:sz w:val="20"/>
                <w:szCs w:val="20"/>
                <w:lang w:eastAsia="es-CL"/>
              </w:rPr>
            </w:pPr>
            <w:r>
              <w:rPr>
                <w:rFonts w:ascii="Calibri" w:hAnsi="Calibri"/>
                <w:b/>
                <w:color w:val="1F2937"/>
                <w:sz w:val="20"/>
              </w:rPr>
              <w:t xml:space="preserve">Dependencia de un servicio externo de IA. </w:t>
            </w:r>
            <w:r>
              <w:rPr>
                <w:rFonts w:ascii="Calibri" w:hAnsi="Calibri"/>
                <w:color w:val="1F2937"/>
                <w:sz w:val="20"/>
              </w:rPr>
              <w:t>La API puede fallar o demorar. Acción: tiempo máximo de espera configurable y generación del documento con plantilla cuando la API no responde.</w:t>
            </w:r>
          </w:p>
        </w:tc>
      </w:tr>
    </w:tbl>
    <w:p w14:paraId="20F4209D" w14:textId="77777777" w:rsidR="0003309E" w:rsidRDefault="0003309E" w:rsidP="0003309E">
      <w:pPr>
        <w:rPr>
          <w:rFonts w:cs="Calibri Light"/>
          <w:color w:val="595959" w:themeColor="text1" w:themeTint="A6"/>
          <w:sz w:val="24"/>
          <w:szCs w:val="24"/>
          <w:lang w:val="es-ES"/>
        </w:rPr>
      </w:pPr>
    </w:p>
    <w:tbl>
      <w:tblPr>
        <w:tblStyle w:val="Tablaconcuadrcula"/>
        <w:tblW w:w="5588"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6C09C6F2" w14:textId="77777777" w:rsidTr="00C5122E">
        <w:tc>
          <w:tcPr>
            <w:tcW w:w="5000" w:type="pct"/>
            <w:vAlign w:val="center"/>
          </w:tcPr>
          <w:p w14:paraId="5093E24E" w14:textId="77777777" w:rsidR="0003309E" w:rsidRDefault="0003309E" w:rsidP="00C5122E">
            <w:pPr>
              <w:spacing w:after="120"/>
              <w:jc w:val="both"/>
              <w:rPr>
                <w:rFonts w:ascii="Calibri" w:hAnsi="Calibri" w:cs="Arial"/>
                <w:i/>
                <w:color w:val="548DD4"/>
                <w:sz w:val="20"/>
                <w:szCs w:val="20"/>
                <w:lang w:eastAsia="es-CL"/>
              </w:rPr>
            </w:pPr>
            <w:r>
              <w:rPr>
                <w:rFonts w:ascii="Calibri" w:hAnsi="Calibri"/>
                <w:color w:val="1F3864"/>
              </w:rPr>
              <w:t>Actividades ajustadas o eliminadas:</w:t>
            </w:r>
          </w:p>
          <w:p w14:paraId="545D97D0" w14:textId="77777777" w:rsidR="0003309E" w:rsidRDefault="0003309E" w:rsidP="00C5122E">
            <w:pPr>
              <w:spacing w:after="80"/>
              <w:jc w:val="both"/>
              <w:rPr>
                <w:rFonts w:ascii="Calibri" w:hAnsi="Calibri" w:cs="Arial"/>
                <w:i/>
                <w:color w:val="548DD4"/>
                <w:sz w:val="20"/>
                <w:szCs w:val="20"/>
                <w:lang w:eastAsia="es-CL"/>
              </w:rPr>
            </w:pPr>
            <w:r>
              <w:rPr>
                <w:rFonts w:ascii="Calibri" w:hAnsi="Calibri"/>
                <w:b/>
                <w:color w:val="1F2937"/>
                <w:sz w:val="20"/>
              </w:rPr>
              <w:t xml:space="preserve">Mapeo manual de columnas (eliminado). </w:t>
            </w:r>
            <w:r>
              <w:rPr>
                <w:rFonts w:ascii="Calibri" w:hAnsi="Calibri"/>
                <w:color w:val="1F2937"/>
                <w:sz w:val="20"/>
              </w:rPr>
              <w:t>La Fase 1 contemplaba un formulario para asignar columnas a mano cuando el reconocimiento automático fallara. Se eliminó porque las empresas trabajan con planillas estructuradas y un mapeo manual introduce errores difíciles de rastrear en el cálculo de multas. Ahora el sistema rechaza el archivo e indica qué columnas faltan, sin escribir datos en la base.</w:t>
            </w:r>
          </w:p>
          <w:p w14:paraId="2595D95C" w14:textId="77777777" w:rsidR="0003309E" w:rsidRDefault="0003309E" w:rsidP="00C5122E">
            <w:pPr>
              <w:spacing w:after="80"/>
              <w:jc w:val="both"/>
              <w:rPr>
                <w:rFonts w:ascii="Calibri" w:hAnsi="Calibri" w:cs="Arial"/>
                <w:i/>
                <w:color w:val="548DD4"/>
                <w:sz w:val="20"/>
                <w:szCs w:val="20"/>
                <w:lang w:eastAsia="es-CL"/>
              </w:rPr>
            </w:pPr>
            <w:r>
              <w:rPr>
                <w:rFonts w:ascii="Calibri" w:hAnsi="Calibri"/>
                <w:b/>
                <w:color w:val="1F2937"/>
                <w:sz w:val="20"/>
              </w:rPr>
              <w:t xml:space="preserve">Reglas SLA por zona (simplificada). </w:t>
            </w:r>
            <w:r>
              <w:rPr>
                <w:rFonts w:ascii="Calibri" w:hAnsi="Calibri"/>
                <w:color w:val="1F2937"/>
                <w:sz w:val="20"/>
              </w:rPr>
              <w:t>La presentación mencionaba reglas por transportista, zona de origen y zona de destino. Se implementó la regla por transportista y tipo de servicio, con multa fija por guía, porque los archivos de envío no traen el origen y la estandarización de comunas (API DPA) estaba definida como opcional. La regla por zona queda como mejora posterior y no afecta el MVP.</w:t>
            </w:r>
          </w:p>
          <w:p w14:paraId="00C06D40" w14:textId="77777777" w:rsidR="0003309E" w:rsidRDefault="0003309E" w:rsidP="00C5122E">
            <w:pPr>
              <w:spacing w:after="80"/>
              <w:jc w:val="both"/>
              <w:rPr>
                <w:rFonts w:ascii="Calibri" w:hAnsi="Calibri" w:cs="Arial"/>
                <w:i/>
                <w:color w:val="548DD4"/>
                <w:sz w:val="20"/>
                <w:szCs w:val="20"/>
                <w:lang w:eastAsia="es-CL"/>
              </w:rPr>
            </w:pPr>
            <w:r>
              <w:rPr>
                <w:rFonts w:ascii="Calibri" w:hAnsi="Calibri"/>
                <w:b/>
                <w:color w:val="1F2937"/>
                <w:sz w:val="20"/>
              </w:rPr>
              <w:t xml:space="preserve">Sprint de calidad separado (eliminado). </w:t>
            </w:r>
            <w:r>
              <w:rPr>
                <w:rFonts w:ascii="Calibri" w:hAnsi="Calibri"/>
                <w:color w:val="1F2937"/>
                <w:sz w:val="20"/>
              </w:rPr>
              <w:t>Se adopta el cronograma de la guía de la Fase 1, con pruebas en cada sprint, porque probar cada módulo al construirlo evita acumular errores para el final.</w:t>
            </w:r>
          </w:p>
          <w:p w14:paraId="712BE705" w14:textId="77777777" w:rsidR="0003309E" w:rsidRDefault="0003309E" w:rsidP="00C5122E">
            <w:pPr>
              <w:spacing w:after="80"/>
              <w:jc w:val="both"/>
              <w:rPr>
                <w:rFonts w:ascii="Calibri" w:hAnsi="Calibri" w:cs="Arial"/>
                <w:i/>
                <w:color w:val="548DD4"/>
                <w:sz w:val="20"/>
                <w:szCs w:val="20"/>
                <w:lang w:eastAsia="es-CL"/>
              </w:rPr>
            </w:pPr>
            <w:r>
              <w:rPr>
                <w:rFonts w:ascii="Calibri" w:hAnsi="Calibri"/>
                <w:b/>
                <w:color w:val="1F2937"/>
                <w:sz w:val="20"/>
              </w:rPr>
              <w:t xml:space="preserve">Base de datos y migraciones. </w:t>
            </w:r>
            <w:r>
              <w:rPr>
                <w:rFonts w:ascii="Calibri" w:hAnsi="Calibri"/>
                <w:color w:val="1F2937"/>
                <w:sz w:val="20"/>
              </w:rPr>
              <w:t>Se usa SQLite en desarrollo local para que el sistema corra sin instalar un servidor de base de datos; el código (SQLAlchemy) es el mismo y el esquema PostgreSQL equivalente se validó en PostgreSQL 16. Las migraciones con Alembic se trasladan al Sprint 4, donde se necesitan para el despliegue.</w:t>
            </w:r>
          </w:p>
          <w:p w14:paraId="3C4AA28E" w14:textId="77777777" w:rsidR="0003309E" w:rsidRDefault="0003309E" w:rsidP="00C5122E">
            <w:pPr>
              <w:spacing w:after="80"/>
              <w:jc w:val="both"/>
              <w:rPr>
                <w:rFonts w:ascii="Calibri" w:hAnsi="Calibri" w:cs="Arial"/>
                <w:i/>
                <w:color w:val="548DD4"/>
                <w:sz w:val="20"/>
                <w:szCs w:val="20"/>
                <w:lang w:eastAsia="es-CL"/>
              </w:rPr>
            </w:pPr>
            <w:r>
              <w:rPr>
                <w:rFonts w:ascii="Calibri" w:hAnsi="Calibri"/>
                <w:b/>
                <w:color w:val="1F2937"/>
                <w:sz w:val="20"/>
              </w:rPr>
              <w:t xml:space="preserve">Pruebas del frontend. </w:t>
            </w:r>
            <w:r>
              <w:rPr>
                <w:rFonts w:ascii="Calibri" w:hAnsi="Calibri"/>
                <w:color w:val="1F2937"/>
                <w:sz w:val="20"/>
              </w:rPr>
              <w:t>Jest se reemplaza por el runner nativo de Node.js (node:test), que no requiere dependencias adicionales. Las pruebas de interfaz completa se mantienen con Playwright en el Sprint 4.</w:t>
            </w:r>
          </w:p>
          <w:p w14:paraId="164AEAA5" w14:textId="77777777" w:rsidR="0003309E" w:rsidRDefault="0003309E" w:rsidP="00C5122E">
            <w:pPr>
              <w:spacing w:after="80"/>
              <w:jc w:val="both"/>
              <w:rPr>
                <w:rFonts w:ascii="Calibri" w:hAnsi="Calibri" w:cs="Arial"/>
                <w:i/>
                <w:color w:val="548DD4"/>
                <w:sz w:val="20"/>
                <w:szCs w:val="20"/>
                <w:lang w:eastAsia="es-CL"/>
              </w:rPr>
            </w:pPr>
            <w:r>
              <w:rPr>
                <w:rFonts w:ascii="Calibri" w:hAnsi="Calibri"/>
                <w:b/>
                <w:color w:val="1F2937"/>
                <w:sz w:val="20"/>
              </w:rPr>
              <w:lastRenderedPageBreak/>
              <w:t xml:space="preserve">Tecnología y nomenclatura. </w:t>
            </w:r>
            <w:r>
              <w:rPr>
                <w:rFonts w:ascii="Calibri" w:hAnsi="Calibri"/>
                <w:color w:val="1F2937"/>
                <w:sz w:val="20"/>
              </w:rPr>
              <w:t>Se usa Next.js 16, versión vigente al iniciar el desarrollo, en lugar de Next.js 14. Las tablas se nombraron en español (empresas, transportistas, reglas_sla, lotes_auditoria, envios) por coherencia con el resto del código.</w:t>
            </w:r>
          </w:p>
          <w:p w14:paraId="5318733D" w14:textId="77777777" w:rsidR="0003309E" w:rsidRDefault="0003309E" w:rsidP="00C5122E">
            <w:pPr>
              <w:spacing w:after="80"/>
              <w:jc w:val="both"/>
              <w:rPr>
                <w:rFonts w:ascii="Calibri" w:hAnsi="Calibri" w:cs="Arial"/>
                <w:i/>
                <w:color w:val="548DD4"/>
                <w:sz w:val="20"/>
                <w:szCs w:val="20"/>
                <w:lang w:eastAsia="es-CL"/>
              </w:rPr>
            </w:pPr>
            <w:r>
              <w:rPr>
                <w:rFonts w:ascii="Calibri" w:hAnsi="Calibri"/>
                <w:b/>
                <w:color w:val="1F2937"/>
                <w:sz w:val="20"/>
              </w:rPr>
              <w:t xml:space="preserve">Módulo de IA con respaldo (agregado). </w:t>
            </w:r>
            <w:r>
              <w:rPr>
                <w:rFonts w:ascii="Calibri" w:hAnsi="Calibri"/>
                <w:color w:val="1F2937"/>
                <w:sz w:val="20"/>
              </w:rPr>
              <w:t>La IA solo redacta el texto; las cifras y el anexo de guías los genera el sistema. Si la API no responde, el documento se genera con una plantilla, para que una falla externa no bloquee el trabajo del usuario.</w:t>
            </w:r>
          </w:p>
        </w:tc>
      </w:tr>
    </w:tbl>
    <w:p w14:paraId="4E221F4F" w14:textId="77777777" w:rsidR="0003309E" w:rsidRDefault="0003309E" w:rsidP="0003309E">
      <w:pPr>
        <w:spacing w:after="0" w:line="240" w:lineRule="auto"/>
        <w:jc w:val="both"/>
        <w:rPr>
          <w:rFonts w:ascii="Calibri" w:hAnsi="Calibri" w:cs="Arial"/>
          <w:i/>
          <w:color w:val="548DD4"/>
          <w:sz w:val="20"/>
          <w:szCs w:val="20"/>
          <w:lang w:eastAsia="es-CL"/>
        </w:rPr>
      </w:pPr>
    </w:p>
    <w:p w14:paraId="0E17FB09"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694D9A4A" w14:textId="77777777" w:rsidTr="00C5122E">
        <w:tc>
          <w:tcPr>
            <w:tcW w:w="5000" w:type="pct"/>
            <w:vAlign w:val="center"/>
          </w:tcPr>
          <w:p w14:paraId="490639DF" w14:textId="77777777" w:rsidR="0003309E" w:rsidRDefault="0003309E" w:rsidP="00585A13">
            <w:pPr>
              <w:spacing w:after="120"/>
              <w:jc w:val="both"/>
              <w:rPr>
                <w:rFonts w:ascii="Calibri" w:hAnsi="Calibri" w:cs="Arial"/>
                <w:i/>
                <w:color w:val="548DD4"/>
                <w:sz w:val="20"/>
                <w:szCs w:val="20"/>
                <w:lang w:eastAsia="es-CL"/>
              </w:rPr>
            </w:pPr>
            <w:r>
              <w:rPr>
                <w:rFonts w:ascii="Calibri" w:hAnsi="Calibri"/>
                <w:color w:val="1F3864"/>
              </w:rPr>
              <w:t>Actividades que no has iniciado o están retrasadas:</w:t>
            </w:r>
          </w:p>
          <w:p w14:paraId="0EE7034C" w14:textId="77777777" w:rsidR="0003309E" w:rsidRDefault="0003309E" w:rsidP="00585A13">
            <w:pPr>
              <w:spacing w:after="80"/>
              <w:jc w:val="both"/>
              <w:rPr>
                <w:rFonts w:ascii="Calibri" w:hAnsi="Calibri" w:cs="Arial"/>
                <w:i/>
                <w:color w:val="548DD4"/>
                <w:sz w:val="20"/>
                <w:szCs w:val="20"/>
                <w:lang w:eastAsia="es-CL"/>
              </w:rPr>
            </w:pPr>
            <w:r>
              <w:rPr>
                <w:rFonts w:ascii="Calibri" w:hAnsi="Calibri"/>
                <w:color w:val="1F2937"/>
                <w:sz w:val="20"/>
              </w:rPr>
              <w:t>No hay actividades retrasadas respecto del plan: los Sprints 1 a 3 se completaron dentro de las semanas 1 a 10. Los Sprints 4 y 5 aún no se inician porque corresponden a las semanas 11 a 15.</w:t>
            </w:r>
          </w:p>
          <w:p w14:paraId="4F762192" w14:textId="77777777" w:rsidR="0003309E" w:rsidRDefault="0003309E" w:rsidP="00585A13">
            <w:pPr>
              <w:spacing w:after="80"/>
              <w:jc w:val="both"/>
              <w:rPr>
                <w:rFonts w:ascii="Calibri" w:hAnsi="Calibri" w:cs="Arial"/>
                <w:i/>
                <w:color w:val="548DD4"/>
                <w:sz w:val="20"/>
                <w:szCs w:val="20"/>
                <w:lang w:eastAsia="es-CL"/>
              </w:rPr>
            </w:pPr>
            <w:r>
              <w:rPr>
                <w:rFonts w:ascii="Calibri" w:hAnsi="Calibri"/>
                <w:color w:val="1F2937"/>
                <w:sz w:val="20"/>
              </w:rPr>
              <w:t>El Sprint 4 concentra el mayor riesgo técnico, por la curva de aprendizaje de GCP. Para no afectar el proyecto se tomarán estas medidas:</w:t>
            </w:r>
          </w:p>
          <w:p w14:paraId="01F2C944" w14:textId="77777777" w:rsidR="0003309E" w:rsidRDefault="0003309E" w:rsidP="00585A13">
            <w:pPr>
              <w:spacing w:after="80"/>
              <w:jc w:val="both"/>
              <w:rPr>
                <w:rFonts w:ascii="Calibri" w:hAnsi="Calibri" w:cs="Arial"/>
                <w:i/>
                <w:color w:val="548DD4"/>
                <w:sz w:val="20"/>
                <w:szCs w:val="20"/>
                <w:lang w:eastAsia="es-CL"/>
              </w:rPr>
            </w:pPr>
            <w:r>
              <w:rPr>
                <w:rFonts w:ascii="Calibri" w:hAnsi="Calibri"/>
                <w:color w:val="1F2937"/>
                <w:sz w:val="20"/>
              </w:rPr>
              <w:t>Preparar en la semana 11 el Dockerfile y el pipeline de GitHub Actions (instalación, pruebas y construcción) antes de configurar Cloud Run, para que las pruebas automáticas corran en cada push desde el inicio.</w:t>
            </w:r>
          </w:p>
          <w:p w14:paraId="5A1FE668" w14:textId="77777777" w:rsidR="0003309E" w:rsidRDefault="0003309E" w:rsidP="00585A13">
            <w:pPr>
              <w:spacing w:after="80"/>
              <w:jc w:val="both"/>
              <w:rPr>
                <w:rFonts w:ascii="Calibri" w:hAnsi="Calibri" w:cs="Arial"/>
                <w:i/>
                <w:color w:val="548DD4"/>
                <w:sz w:val="20"/>
                <w:szCs w:val="20"/>
                <w:lang w:eastAsia="es-CL"/>
              </w:rPr>
            </w:pPr>
            <w:r>
              <w:rPr>
                <w:rFonts w:ascii="Calibri" w:hAnsi="Calibri"/>
                <w:color w:val="1F2937"/>
                <w:sz w:val="20"/>
              </w:rPr>
              <w:t>Usar la capa gratuita de GCP y guardar la API key en Secret Manager.</w:t>
            </w:r>
          </w:p>
          <w:p w14:paraId="14D7002C" w14:textId="77777777" w:rsidR="0003309E" w:rsidRDefault="0003309E" w:rsidP="00585A13">
            <w:pPr>
              <w:spacing w:after="80"/>
              <w:jc w:val="both"/>
              <w:rPr>
                <w:rFonts w:ascii="Calibri" w:hAnsi="Calibri" w:cs="Arial"/>
                <w:i/>
                <w:color w:val="548DD4"/>
                <w:sz w:val="20"/>
                <w:szCs w:val="20"/>
                <w:lang w:eastAsia="es-CL"/>
              </w:rPr>
            </w:pPr>
            <w:r>
              <w:rPr>
                <w:rFonts w:ascii="Calibri" w:hAnsi="Calibri"/>
                <w:color w:val="1F2937"/>
                <w:sz w:val="20"/>
              </w:rPr>
              <w:t>Escribir las pruebas E2E con Playwright primero contra el ambiente local y luego ejecutarlas contra el ambiente desplegado.</w:t>
            </w:r>
          </w:p>
          <w:p w14:paraId="172E610B" w14:textId="77777777" w:rsidR="0003309E" w:rsidRDefault="0003309E" w:rsidP="00585A13">
            <w:pPr>
              <w:spacing w:after="80"/>
              <w:jc w:val="both"/>
              <w:rPr>
                <w:rFonts w:ascii="Calibri" w:hAnsi="Calibri" w:cs="Arial"/>
                <w:i/>
                <w:color w:val="548DD4"/>
                <w:sz w:val="20"/>
                <w:szCs w:val="20"/>
                <w:lang w:eastAsia="es-CL"/>
              </w:rPr>
            </w:pPr>
            <w:r>
              <w:rPr>
                <w:rFonts w:ascii="Calibri" w:hAnsi="Calibri"/>
                <w:color w:val="1F2937"/>
                <w:sz w:val="20"/>
              </w:rPr>
              <w:t>Mantener la demostración local funcionando como respaldo para la presentación, en caso de inconvenientes con la nube.</w:t>
            </w:r>
          </w:p>
        </w:tc>
      </w:tr>
    </w:tbl>
    <w:p w14:paraId="61250B08" w14:textId="77777777" w:rsidR="0003309E" w:rsidRPr="0003309E" w:rsidRDefault="0003309E">
      <w:pPr>
        <w:rPr>
          <w:lang w:val="es-ES"/>
        </w:rPr>
      </w:pPr>
    </w:p>
    <w:p w14:paraId="65251F4D" w14:textId="77777777" w:rsidR="00822AAC" w:rsidRDefault="00000000">
      <w:pPr>
        <w:spacing w:after="120"/>
      </w:pPr>
      <w:r>
        <w:br w:type="page"/>
      </w:r>
      <w:r>
        <w:rPr>
          <w:rFonts w:ascii="Calibri" w:hAnsi="Calibri"/>
          <w:b/>
          <w:color w:val="1F2937"/>
          <w:sz w:val="26"/>
        </w:rPr>
        <w:lastRenderedPageBreak/>
        <w:t>Anexo A: Modelo entidad-relación</w:t>
      </w:r>
    </w:p>
    <w:p w14:paraId="5C2EAE4E" w14:textId="77777777" w:rsidR="00822AAC" w:rsidRDefault="00000000">
      <w:pPr>
        <w:spacing w:after="120"/>
        <w:jc w:val="both"/>
      </w:pPr>
      <w:r>
        <w:rPr>
          <w:rFonts w:ascii="Calibri" w:hAnsi="Calibri"/>
          <w:color w:val="1F2937"/>
          <w:sz w:val="20"/>
        </w:rPr>
        <w:t>Modelo relacional de LogiSLA (backend/db/modelo_er.png). Empresas cargan lotes de auditoría; cada lote contiene envíos; cada transportista tiene reglas SLA y transporta envíos. El vínculo entre envío y transportista es opcional porque se resuelve al auditar.</w:t>
      </w:r>
    </w:p>
    <w:p w14:paraId="05E1BE4E" w14:textId="77777777" w:rsidR="00822AAC" w:rsidRDefault="00000000">
      <w:pPr>
        <w:jc w:val="center"/>
      </w:pPr>
      <w:r>
        <w:rPr>
          <w:noProof/>
        </w:rPr>
        <w:drawing>
          <wp:inline distT="0" distB="0" distL="0" distR="0" wp14:anchorId="009F613B" wp14:editId="7D61CAE7">
            <wp:extent cx="3824957" cy="603504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er.png"/>
                    <pic:cNvPicPr/>
                  </pic:nvPicPr>
                  <pic:blipFill>
                    <a:blip r:embed="rId10"/>
                    <a:stretch>
                      <a:fillRect/>
                    </a:stretch>
                  </pic:blipFill>
                  <pic:spPr>
                    <a:xfrm>
                      <a:off x="0" y="0"/>
                      <a:ext cx="3824957" cy="6035040"/>
                    </a:xfrm>
                    <a:prstGeom prst="rect">
                      <a:avLst/>
                    </a:prstGeom>
                  </pic:spPr>
                </pic:pic>
              </a:graphicData>
            </a:graphic>
          </wp:inline>
        </w:drawing>
      </w:r>
    </w:p>
    <w:p w14:paraId="404E7341" w14:textId="77777777" w:rsidR="00822AAC" w:rsidRDefault="00000000">
      <w:pPr>
        <w:spacing w:after="120"/>
      </w:pPr>
      <w:r>
        <w:br w:type="page"/>
      </w:r>
      <w:r>
        <w:rPr>
          <w:rFonts w:ascii="Calibri" w:hAnsi="Calibri"/>
          <w:b/>
          <w:color w:val="1F2937"/>
          <w:sz w:val="26"/>
        </w:rPr>
        <w:lastRenderedPageBreak/>
        <w:t>Anexo B: Ubicación de las evidencias en el repositorio</w:t>
      </w:r>
    </w:p>
    <w:p w14:paraId="1CA851F1" w14:textId="77777777" w:rsidR="00822AAC" w:rsidRDefault="00000000">
      <w:pPr>
        <w:spacing w:after="120"/>
      </w:pPr>
      <w:r>
        <w:rPr>
          <w:rFonts w:ascii="Calibri" w:hAnsi="Calibri"/>
          <w:b/>
          <w:color w:val="1F2937"/>
          <w:sz w:val="20"/>
        </w:rPr>
        <w:t xml:space="preserve">Código fuente (aplicación): </w:t>
      </w:r>
      <w:r>
        <w:rPr>
          <w:rFonts w:ascii="Calibri" w:hAnsi="Calibri"/>
          <w:color w:val="1F2937"/>
          <w:sz w:val="20"/>
        </w:rPr>
        <w:t>Fase 2/Evidencias Proyecto/Evidencias de sistema/Aplicación/</w:t>
      </w:r>
    </w:p>
    <w:p w14:paraId="005C4F6A" w14:textId="77777777" w:rsidR="00822AAC" w:rsidRDefault="00000000">
      <w:pPr>
        <w:spacing w:after="120"/>
      </w:pPr>
      <w:r>
        <w:rPr>
          <w:rFonts w:ascii="Calibri" w:hAnsi="Calibri"/>
          <w:b/>
          <w:color w:val="1F2937"/>
          <w:sz w:val="20"/>
        </w:rPr>
        <w:t xml:space="preserve">Esquema SQL, datos de prueba y consultas: </w:t>
      </w:r>
      <w:r>
        <w:rPr>
          <w:rFonts w:ascii="Calibri" w:hAnsi="Calibri"/>
          <w:color w:val="1F2937"/>
          <w:sz w:val="20"/>
        </w:rPr>
        <w:t>Fase 2/Evidencias Proyecto/Evidencias de sistema/Base de datos/</w:t>
      </w:r>
    </w:p>
    <w:p w14:paraId="705F4635" w14:textId="77777777" w:rsidR="00822AAC" w:rsidRDefault="00000000">
      <w:pPr>
        <w:spacing w:after="120"/>
      </w:pPr>
      <w:r>
        <w:rPr>
          <w:rFonts w:ascii="Calibri" w:hAnsi="Calibri"/>
          <w:b/>
          <w:color w:val="1F2937"/>
          <w:sz w:val="20"/>
        </w:rPr>
        <w:t xml:space="preserve">Diagrama entidad-relación: </w:t>
      </w:r>
      <w:r>
        <w:rPr>
          <w:rFonts w:ascii="Calibri" w:hAnsi="Calibri"/>
          <w:color w:val="1F2937"/>
          <w:sz w:val="20"/>
        </w:rPr>
        <w:t>Fase 2/Evidencias Proyecto/Evidencias de sistema/Base de datos/modelo_er.png</w:t>
      </w:r>
    </w:p>
    <w:p w14:paraId="12156202" w14:textId="77777777" w:rsidR="00822AAC" w:rsidRDefault="00000000">
      <w:pPr>
        <w:spacing w:after="120"/>
      </w:pPr>
      <w:r>
        <w:rPr>
          <w:rFonts w:ascii="Calibri" w:hAnsi="Calibri"/>
          <w:b/>
          <w:color w:val="1F2937"/>
          <w:sz w:val="20"/>
        </w:rPr>
        <w:t xml:space="preserve">Reporte de pruebas y capturas del prototipo: </w:t>
      </w:r>
      <w:r>
        <w:rPr>
          <w:rFonts w:ascii="Calibri" w:hAnsi="Calibri"/>
          <w:color w:val="1F2937"/>
          <w:sz w:val="20"/>
        </w:rPr>
        <w:t>Fase 2/Evidencias Proyecto/Evidencias de documentación/</w:t>
      </w:r>
    </w:p>
    <w:p w14:paraId="595DA73D" w14:textId="77777777" w:rsidR="00822AAC" w:rsidRDefault="00000000">
      <w:pPr>
        <w:spacing w:after="120"/>
      </w:pPr>
      <w:r>
        <w:rPr>
          <w:rFonts w:ascii="Calibri" w:hAnsi="Calibri"/>
          <w:b/>
          <w:color w:val="1F2937"/>
          <w:sz w:val="20"/>
        </w:rPr>
        <w:t xml:space="preserve">Arquitectura, ajustes y reglas del motor: </w:t>
      </w:r>
      <w:r>
        <w:rPr>
          <w:rFonts w:ascii="Calibri" w:hAnsi="Calibri"/>
          <w:color w:val="1F2937"/>
          <w:sz w:val="20"/>
        </w:rPr>
        <w:t>Fase 2/Evidencias Proyecto/Evidencias de documentación/</w:t>
      </w:r>
    </w:p>
    <w:p w14:paraId="78E5B80E" w14:textId="77777777" w:rsidR="00822AAC" w:rsidRDefault="00000000">
      <w:pPr>
        <w:spacing w:after="120"/>
      </w:pPr>
      <w:r>
        <w:rPr>
          <w:rFonts w:ascii="Calibri" w:hAnsi="Calibri"/>
          <w:b/>
          <w:color w:val="1F2937"/>
          <w:sz w:val="20"/>
        </w:rPr>
        <w:t xml:space="preserve">Presentación de avance: </w:t>
      </w:r>
      <w:r>
        <w:rPr>
          <w:rFonts w:ascii="Calibri" w:hAnsi="Calibri"/>
          <w:color w:val="1F2937"/>
          <w:sz w:val="20"/>
        </w:rPr>
        <w:t>Fase 2/Evidencias Proyecto/Presentación Proyecto.pptx</w:t>
      </w:r>
    </w:p>
    <w:sectPr w:rsidR="00822AAC">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2717EF" w14:textId="77777777" w:rsidR="00055AA4" w:rsidRDefault="00055AA4" w:rsidP="0003309E">
      <w:pPr>
        <w:spacing w:after="0" w:line="240" w:lineRule="auto"/>
      </w:pPr>
      <w:r>
        <w:separator/>
      </w:r>
    </w:p>
  </w:endnote>
  <w:endnote w:type="continuationSeparator" w:id="0">
    <w:p w14:paraId="167391A0" w14:textId="77777777" w:rsidR="00055AA4" w:rsidRDefault="00055AA4"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BDD850" w14:textId="77777777" w:rsidR="00055AA4" w:rsidRDefault="00055AA4" w:rsidP="0003309E">
      <w:pPr>
        <w:spacing w:after="0" w:line="240" w:lineRule="auto"/>
      </w:pPr>
      <w:r>
        <w:separator/>
      </w:r>
    </w:p>
  </w:footnote>
  <w:footnote w:type="continuationSeparator" w:id="0">
    <w:p w14:paraId="48BA1C8E" w14:textId="77777777" w:rsidR="00055AA4" w:rsidRDefault="00055AA4" w:rsidP="0003309E">
      <w:pPr>
        <w:spacing w:after="0" w:line="240" w:lineRule="auto"/>
      </w:pPr>
      <w:r>
        <w:continuationSeparator/>
      </w:r>
    </w:p>
  </w:footnote>
  <w:footnote w:id="1">
    <w:p w14:paraId="690848DD"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7BC3EB7C" w14:textId="77777777" w:rsidTr="00C44557">
      <w:trPr>
        <w:trHeight w:val="697"/>
      </w:trPr>
      <w:tc>
        <w:tcPr>
          <w:tcW w:w="5954" w:type="dxa"/>
          <w:tcBorders>
            <w:top w:val="nil"/>
            <w:left w:val="nil"/>
            <w:bottom w:val="nil"/>
            <w:right w:val="nil"/>
          </w:tcBorders>
        </w:tcPr>
        <w:p w14:paraId="23C09984" w14:textId="77777777"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2ECE28EF" w14:textId="77777777"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36051358"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0239DF64" wp14:editId="013BAA7E">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62DF00E"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788744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55AA4"/>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22AAC"/>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57579"/>
    <w:rsid w:val="00F83475"/>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7F61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2190</Words>
  <Characters>12045</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Usuario</cp:lastModifiedBy>
  <cp:revision>5</cp:revision>
  <dcterms:created xsi:type="dcterms:W3CDTF">2022-08-24T18:14:00Z</dcterms:created>
  <dcterms:modified xsi:type="dcterms:W3CDTF">2026-10-12T23:55:00Z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