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6ABC" w14:textId="77777777" w:rsidR="00584B83" w:rsidRDefault="00584B83">
      <w:pPr>
        <w:spacing w:after="12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00"/>
      </w:tblGrid>
      <w:tr w:rsidR="00584B83" w14:paraId="79CF28D1" w14:textId="77777777">
        <w:tblPrEx>
          <w:tblCellMar>
            <w:top w:w="0" w:type="dxa"/>
            <w:bottom w:w="0" w:type="dxa"/>
          </w:tblCellMar>
        </w:tblPrEx>
        <w:trPr>
          <w:trHeight w:val="1700"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</w:tcPr>
          <w:p w14:paraId="243580F2" w14:textId="77777777" w:rsidR="00584B83" w:rsidRDefault="00584B83"/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300" w:type="dxa"/>
              <w:bottom w:w="100" w:type="dxa"/>
              <w:right w:w="100" w:type="dxa"/>
            </w:tcMar>
            <w:vAlign w:val="center"/>
          </w:tcPr>
          <w:p w14:paraId="33A084CE" w14:textId="77777777" w:rsidR="00584B83" w:rsidRDefault="00000000">
            <w:r>
              <w:rPr>
                <w:b/>
                <w:bCs/>
                <w:color w:val="1F3864"/>
                <w:sz w:val="40"/>
                <w:szCs w:val="40"/>
              </w:rPr>
              <w:t>Evidencia 2. Impact Mapping, User Story Mapping, Datos y Arquitectura</w:t>
            </w:r>
          </w:p>
          <w:p w14:paraId="301391DA" w14:textId="77777777" w:rsidR="00584B83" w:rsidRDefault="00000000">
            <w:r>
              <w:rPr>
                <w:b/>
                <w:bCs/>
                <w:color w:val="1F3864"/>
                <w:sz w:val="40"/>
                <w:szCs w:val="40"/>
              </w:rPr>
              <w:t>Asignatura Capstone</w:t>
            </w:r>
          </w:p>
        </w:tc>
      </w:tr>
    </w:tbl>
    <w:p w14:paraId="1B5DC4DA" w14:textId="77777777" w:rsidR="00584B83" w:rsidRDefault="00000000">
      <w:pPr>
        <w:spacing w:before="140" w:after="200"/>
      </w:pPr>
      <w:r>
        <w:rPr>
          <w:i/>
          <w:iCs/>
          <w:color w:val="595959"/>
          <w:sz w:val="20"/>
          <w:szCs w:val="20"/>
        </w:rPr>
        <w:t>Técnicas de planificación visual y modelos que evolucionan por sprint</w:t>
      </w:r>
    </w:p>
    <w:p w14:paraId="77559A76" w14:textId="77777777" w:rsidR="00584B83" w:rsidRDefault="00584B83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84B83" w14:paraId="4C3CB6B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94B5" w14:textId="77777777" w:rsidR="00584B83" w:rsidRDefault="00000000">
            <w:r>
              <w:rPr>
                <w:b/>
                <w:bCs/>
                <w:color w:val="1F3864"/>
                <w:sz w:val="24"/>
                <w:szCs w:val="24"/>
              </w:rPr>
              <w:t>Datos generales del proyecto</w:t>
            </w:r>
          </w:p>
        </w:tc>
      </w:tr>
      <w:tr w:rsidR="00584B83" w14:paraId="5498934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CDCA" w14:textId="77777777" w:rsidR="00584B83" w:rsidRDefault="00000000">
            <w:r>
              <w:rPr>
                <w:color w:val="2F5496"/>
                <w:sz w:val="20"/>
                <w:szCs w:val="20"/>
              </w:rPr>
              <w:t>A continuación se resumen los datos del proyecto y de la asignatura a los que corresponde esta evidencia.</w:t>
            </w:r>
          </w:p>
        </w:tc>
      </w:tr>
    </w:tbl>
    <w:p w14:paraId="7C56DCE9" w14:textId="77777777" w:rsidR="00584B83" w:rsidRDefault="00584B83">
      <w:pPr>
        <w:spacing w:after="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200"/>
      </w:tblGrid>
      <w:tr w:rsidR="00584B83" w14:paraId="5C52D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5D9D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30F67" w14:textId="7777777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LogiSLA — Auditoría Inteligente de SLA de Transporte (plataforma SaaS: carga de envíos, cálculo de multas y reclamos redactados con IA)</w:t>
            </w:r>
          </w:p>
        </w:tc>
      </w:tr>
      <w:tr w:rsidR="00584B83" w14:paraId="28115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1E7F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Asignatura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DBB90" w14:textId="7777777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Capstone (PTY4614) · Duoc UC, sede Padre Alonso de Ovalle · Ingeniería en Informática</w:t>
            </w:r>
          </w:p>
        </w:tc>
      </w:tr>
      <w:tr w:rsidR="00584B83" w14:paraId="4FC7B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4FCA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Fase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E0BCE" w14:textId="7777777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Fase 2 — Desarrollo del proyecto</w:t>
            </w:r>
          </w:p>
        </w:tc>
      </w:tr>
      <w:tr w:rsidR="00584B83" w14:paraId="204EC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C1C7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Equipo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DF938" w14:textId="7D023F2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Sebastián Acuña · José Salvatierra</w:t>
            </w:r>
          </w:p>
        </w:tc>
      </w:tr>
      <w:tr w:rsidR="00584B83" w14:paraId="63DAA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4848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Metodología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CE930" w14:textId="7777777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Scrum · 5 sprints en 15 semanas · tablero Kanban en Jira · ramas y Pull Requests en GitHub</w:t>
            </w:r>
          </w:p>
        </w:tc>
      </w:tr>
      <w:tr w:rsidR="00584B83" w14:paraId="7287A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46891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Estado del proyecto</w:t>
            </w:r>
          </w:p>
        </w:tc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C723F" w14:textId="77777777" w:rsidR="00584B83" w:rsidRDefault="00000000">
            <w:pPr>
              <w:spacing w:after="20"/>
              <w:jc w:val="both"/>
            </w:pPr>
            <w:r>
              <w:rPr>
                <w:color w:val="1F2937"/>
                <w:sz w:val="18"/>
                <w:szCs w:val="18"/>
              </w:rPr>
              <w:t>Semana 10 completada: Sprints 1 a 3 cerrados (ingesta, motor de auditoría y dashboard). El módulo de IA, la migración a PostgreSQL, el CI/CD y las pruebas E2E se desarrollan entre las semanas 13 y 15. Proyecto final completo el martes 17 de noviembre; defensa el martes 1 de diciembre</w:t>
            </w:r>
          </w:p>
        </w:tc>
      </w:tr>
    </w:tbl>
    <w:p w14:paraId="581698CE" w14:textId="77777777" w:rsidR="00584B83" w:rsidRDefault="00584B83">
      <w:pPr>
        <w:spacing w:after="80"/>
      </w:pPr>
    </w:p>
    <w:p w14:paraId="75F1050D" w14:textId="77777777" w:rsidR="00584B83" w:rsidRDefault="00584B83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84B83" w14:paraId="6E94C01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CB58" w14:textId="77777777" w:rsidR="00584B83" w:rsidRDefault="00000000">
            <w:r>
              <w:rPr>
                <w:b/>
                <w:bCs/>
                <w:color w:val="1F3864"/>
                <w:sz w:val="24"/>
                <w:szCs w:val="24"/>
              </w:rPr>
              <w:t>1. Impact Mapping</w:t>
            </w:r>
          </w:p>
        </w:tc>
      </w:tr>
      <w:tr w:rsidR="00584B83" w14:paraId="66700F3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0DDF" w14:textId="77777777" w:rsidR="00584B83" w:rsidRDefault="00000000">
            <w:r>
              <w:rPr>
                <w:color w:val="2F5496"/>
                <w:sz w:val="20"/>
                <w:szCs w:val="20"/>
              </w:rPr>
              <w:t>Conecta el objetivo de negocio con los actores, los impactos buscados y los entregables del proyecto.</w:t>
            </w:r>
          </w:p>
        </w:tc>
      </w:tr>
    </w:tbl>
    <w:p w14:paraId="740547DC" w14:textId="77777777" w:rsidR="00584B83" w:rsidRDefault="00584B83">
      <w:pPr>
        <w:spacing w:after="60"/>
      </w:pPr>
    </w:p>
    <w:p w14:paraId="09A2C5AD" w14:textId="77777777" w:rsidR="00584B83" w:rsidRDefault="00000000">
      <w:pPr>
        <w:spacing w:after="100" w:line="259" w:lineRule="auto"/>
        <w:jc w:val="both"/>
      </w:pPr>
      <w:r>
        <w:rPr>
          <w:color w:val="1F2937"/>
          <w:sz w:val="20"/>
          <w:szCs w:val="20"/>
        </w:rPr>
        <w:t xml:space="preserve">El Impact Map conecta el objetivo de negocio con los actores, el cambio de comportamiento buscado y las funcionalidades que lo provocan. Se lee de izquierda a derecha: </w:t>
      </w:r>
      <w:r>
        <w:rPr>
          <w:b/>
          <w:bCs/>
          <w:color w:val="1F2937"/>
          <w:sz w:val="20"/>
          <w:szCs w:val="20"/>
        </w:rPr>
        <w:t>Por qué → Quién → Cómo → Qué</w:t>
      </w:r>
      <w:r>
        <w:rPr>
          <w:color w:val="1F2937"/>
          <w:sz w:val="20"/>
          <w:szCs w:val="20"/>
        </w:rPr>
        <w:t>.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5"/>
        <w:gridCol w:w="1615"/>
        <w:gridCol w:w="2660"/>
        <w:gridCol w:w="2660"/>
      </w:tblGrid>
      <w:tr w:rsidR="00584B83" w14:paraId="344EB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62FFA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Por qué (objetivo)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B5126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Quién (actor)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51C02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Cómo (impacto buscado)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066A5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Qué (entregable)</w:t>
            </w:r>
          </w:p>
        </w:tc>
      </w:tr>
      <w:tr w:rsidR="00584B83" w14:paraId="5E5F1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0486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Que las empresas dejen de perder dinero por incumplimientos de SLA de transporte y puedan reclamarlo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716C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Analista de logística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84F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Audita miles de guías en segundos en vez de días de revisión manual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6EC2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Ingesta con reconocimiento automático de columnas (HU-03, HU-04)</w:t>
            </w:r>
          </w:p>
        </w:tc>
      </w:tr>
      <w:tr w:rsidR="00584B83" w14:paraId="164C7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AB9B2" w14:textId="77777777" w:rsidR="00584B83" w:rsidRDefault="00584B83">
            <w:pPr>
              <w:spacing w:after="20"/>
            </w:pP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29B6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Analista de logística / equipo de finanzas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1CCE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Confía en un cálculo exacto y reproducible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E075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Motor de horas hábiles con feriados y multa fija por guía (HU-07 a HU-11)</w:t>
            </w:r>
          </w:p>
        </w:tc>
      </w:tr>
      <w:tr w:rsidR="00584B83" w14:paraId="7F035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7A318" w14:textId="77777777" w:rsidR="00584B83" w:rsidRDefault="00584B83">
            <w:pPr>
              <w:spacing w:after="20"/>
            </w:pP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8926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Jefe de operaciones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56C9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Controla el cumplimiento de cada transportista y decide a quién reclamar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3710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Dashboard con franja de cumplimiento, desglose por transportista, tabla filtrable y gráficos (HU-14 a HU-16)</w:t>
            </w:r>
          </w:p>
        </w:tc>
      </w:tr>
      <w:tr w:rsidR="00584B83" w14:paraId="2736F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49A30" w14:textId="77777777" w:rsidR="00584B83" w:rsidRDefault="00584B83">
            <w:pPr>
              <w:spacing w:after="20"/>
            </w:pP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BF5F0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Equipo de finanzas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6AB2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Reclama sin redactar cartas desde cero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04B56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Carta de reclamo y resumen ejecutivo con IA, con plantilla de respaldo (HU-17, HU-18)</w:t>
            </w:r>
          </w:p>
        </w:tc>
      </w:tr>
      <w:tr w:rsidR="00584B83" w14:paraId="1DFA7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33481" w14:textId="77777777" w:rsidR="00584B83" w:rsidRDefault="00584B83">
            <w:pPr>
              <w:spacing w:after="20"/>
            </w:pP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1F6E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Equipo LogiSLA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9E50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Entrega un producto confiable y operable</w:t>
            </w:r>
          </w:p>
        </w:tc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4C1C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Docker, PostgreSQL, CI/CD, pruebas E2E y despliegue en Cloud Run (HU-20 a HU-24, HU-28)</w:t>
            </w:r>
          </w:p>
        </w:tc>
      </w:tr>
    </w:tbl>
    <w:p w14:paraId="2C94DE30" w14:textId="77777777" w:rsidR="00584B83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Meta medible: pasar de una revisión manual de días a una auditoría de pocos segundos para un archivo de 10.000+ filas.</w:t>
      </w:r>
    </w:p>
    <w:p w14:paraId="661CAD9A" w14:textId="77777777" w:rsidR="00584B83" w:rsidRDefault="00584B83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84B83" w14:paraId="3CBBE3F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E8CD" w14:textId="77777777" w:rsidR="00584B83" w:rsidRDefault="00000000">
            <w:r>
              <w:rPr>
                <w:b/>
                <w:bCs/>
                <w:color w:val="1F3864"/>
                <w:sz w:val="24"/>
                <w:szCs w:val="24"/>
              </w:rPr>
              <w:t>2. User Story Mapping</w:t>
            </w:r>
          </w:p>
        </w:tc>
      </w:tr>
      <w:tr w:rsidR="00584B83" w14:paraId="38AB619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D00E" w14:textId="77777777" w:rsidR="00584B83" w:rsidRDefault="00000000">
            <w:r>
              <w:rPr>
                <w:color w:val="2F5496"/>
                <w:sz w:val="20"/>
                <w:szCs w:val="20"/>
              </w:rPr>
              <w:t>Organiza el recorrido del usuario y distribuye las historias por sprint.</w:t>
            </w:r>
          </w:p>
        </w:tc>
      </w:tr>
    </w:tbl>
    <w:p w14:paraId="21CB6952" w14:textId="77777777" w:rsidR="00584B83" w:rsidRDefault="00584B83">
      <w:pPr>
        <w:spacing w:after="60"/>
      </w:pPr>
    </w:p>
    <w:p w14:paraId="1394409D" w14:textId="77777777" w:rsidR="00584B83" w:rsidRDefault="00000000">
      <w:pPr>
        <w:spacing w:after="100" w:line="259" w:lineRule="auto"/>
        <w:jc w:val="both"/>
      </w:pPr>
      <w:r>
        <w:rPr>
          <w:color w:val="1F2937"/>
          <w:sz w:val="20"/>
          <w:szCs w:val="20"/>
        </w:rPr>
        <w:t>El mapa organiza el recorrido completo del usuario (columna vertebral) y, bajo cada actividad, las historias distribuidas por sprint. Cada sprint entrega un incremento que se puede demostrar.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0"/>
        <w:gridCol w:w="1615"/>
        <w:gridCol w:w="1615"/>
        <w:gridCol w:w="1805"/>
        <w:gridCol w:w="1615"/>
        <w:gridCol w:w="1520"/>
      </w:tblGrid>
      <w:tr w:rsidR="00584B83" w14:paraId="74C2DB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F8800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Actividad →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12DFB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1. Cargar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DE90D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2. Auditar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5CBA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3. Revisar resultados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C56EF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4. Reclamar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00956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5. Operar y calidad</w:t>
            </w:r>
          </w:p>
        </w:tc>
      </w:tr>
      <w:tr w:rsidR="00584B83" w14:paraId="4008E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A14A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1</w:t>
            </w:r>
          </w:p>
          <w:p w14:paraId="04D82F6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Semanas 1–6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F5450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HU-03 API de carga</w:t>
            </w:r>
          </w:p>
          <w:p w14:paraId="1F726F5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HU-04 Columnas automáticas</w:t>
            </w:r>
          </w:p>
          <w:p w14:paraId="0426DE4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HU-05 Rechazo claro</w:t>
            </w:r>
          </w:p>
          <w:p w14:paraId="622A636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HU-06 Módulo de carga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4017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92206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B1A52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D82F9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HU-01 Modelo de datos</w:t>
            </w:r>
          </w:p>
          <w:p w14:paraId="3696535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HU-02 Datos de ejemplo</w:t>
            </w:r>
          </w:p>
        </w:tc>
      </w:tr>
      <w:tr w:rsidR="00584B83" w14:paraId="6D6D7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FED42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2</w:t>
            </w:r>
          </w:p>
          <w:p w14:paraId="36BDC34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Semanas 7–8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8A35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F8E82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HU-07 Horas hábiles</w:t>
            </w:r>
          </w:p>
          <w:p w14:paraId="352AF0C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HU-08 Regla SLA</w:t>
            </w:r>
          </w:p>
          <w:p w14:paraId="4B63330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HU-09 Multa fija</w:t>
            </w:r>
          </w:p>
          <w:p w14:paraId="37A919E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HU-10 Casos límite</w:t>
            </w:r>
          </w:p>
          <w:p w14:paraId="6D53EA5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HU-11 Endpoint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1FE9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1ECB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2B88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HU-12 20 pruebas unitarias</w:t>
            </w:r>
          </w:p>
        </w:tc>
      </w:tr>
      <w:tr w:rsidR="00584B83" w14:paraId="6E565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87B0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3</w:t>
            </w:r>
          </w:p>
          <w:p w14:paraId="7B049F6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Semanas 9–10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4D0F1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09E2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0B1C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HU-13 Consultas</w:t>
            </w:r>
          </w:p>
          <w:p w14:paraId="6CA04D0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HU-14 Listado y detalle</w:t>
            </w:r>
          </w:p>
          <w:p w14:paraId="5CB7A81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HU-16 Tabla, filtros y CSV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B823C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1E762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HU-19 Pruebas de consultas</w:t>
            </w:r>
          </w:p>
        </w:tc>
      </w:tr>
      <w:tr w:rsidR="00584B83" w14:paraId="1071C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18D9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Sprint 4</w:t>
            </w:r>
          </w:p>
          <w:p w14:paraId="4211B14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Semanas 13–14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B897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5E82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73FE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HU-15 Gráficos de multa y atraso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AB1A6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HU-17 Carta y resumen con IA</w:t>
            </w:r>
          </w:p>
          <w:p w14:paraId="446DDA0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HU-18 Plantilla de respaldo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28CF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HU-21 PostgreSQL y Alembic</w:t>
            </w:r>
          </w:p>
          <w:p w14:paraId="0AF6F00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HU-20 Docker</w:t>
            </w:r>
          </w:p>
          <w:p w14:paraId="3E63A9B1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HU-27 Pruebas del frontend</w:t>
            </w:r>
          </w:p>
        </w:tc>
      </w:tr>
      <w:tr w:rsidR="00584B83" w14:paraId="35B09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6AED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lastRenderedPageBreak/>
              <w:t>Sprint 5</w:t>
            </w:r>
          </w:p>
          <w:p w14:paraId="566F2A2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Semana 15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0FA4E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F378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8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25B4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6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3F7A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—</w:t>
            </w:r>
          </w:p>
        </w:tc>
        <w:tc>
          <w:tcPr>
            <w:tcW w:w="1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175A0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HU-22 CI/CD</w:t>
            </w:r>
          </w:p>
          <w:p w14:paraId="3CBA436E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HU-24 Pruebas E2E</w:t>
            </w:r>
          </w:p>
          <w:p w14:paraId="50B9B7A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HU-28 Cloud Run</w:t>
            </w:r>
          </w:p>
          <w:p w14:paraId="7FC7D36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HU-23 Secret Manager</w:t>
            </w:r>
          </w:p>
          <w:p w14:paraId="30058CF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HU-25 Informe final</w:t>
            </w:r>
          </w:p>
          <w:p w14:paraId="5FFE312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HU-26 Video y defensa</w:t>
            </w:r>
          </w:p>
        </w:tc>
      </w:tr>
    </w:tbl>
    <w:p w14:paraId="52F63401" w14:textId="77777777" w:rsidR="00584B83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Línea de corte actual: Sprints 1 a 3 (completados) permiten cargar un archivo, auditarlo y revisar el dinero por reclamar. El Sprint 4 agrega la IA y la base de datos de producción; el Sprint 5 lleva el producto a la nube y al cierre académico.</w:t>
      </w:r>
    </w:p>
    <w:p w14:paraId="4A35EF11" w14:textId="77777777" w:rsidR="00584B83" w:rsidRDefault="00584B83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84B83" w14:paraId="204D17D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3DD0" w14:textId="77777777" w:rsidR="00584B83" w:rsidRDefault="00000000">
            <w:r>
              <w:rPr>
                <w:b/>
                <w:bCs/>
                <w:color w:val="1F3864"/>
                <w:sz w:val="24"/>
                <w:szCs w:val="24"/>
              </w:rPr>
              <w:t>3. Modelo de Datos</w:t>
            </w:r>
          </w:p>
        </w:tc>
      </w:tr>
      <w:tr w:rsidR="00584B83" w14:paraId="26BE85A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8BE04" w14:textId="77777777" w:rsidR="00584B83" w:rsidRDefault="00000000">
            <w:r>
              <w:rPr>
                <w:color w:val="2F5496"/>
                <w:sz w:val="20"/>
                <w:szCs w:val="20"/>
              </w:rPr>
              <w:t>Muestra el modelo relacional de la plataforma y las decisiones de diseño que lo sustentan.</w:t>
            </w:r>
          </w:p>
        </w:tc>
      </w:tr>
    </w:tbl>
    <w:p w14:paraId="761A4E94" w14:textId="77777777" w:rsidR="00584B83" w:rsidRDefault="00584B83">
      <w:pPr>
        <w:spacing w:after="60"/>
      </w:pPr>
    </w:p>
    <w:p w14:paraId="6A4567B8" w14:textId="77777777" w:rsidR="00584B83" w:rsidRDefault="00000000">
      <w:pPr>
        <w:spacing w:after="100" w:line="259" w:lineRule="auto"/>
        <w:jc w:val="both"/>
      </w:pPr>
      <w:r>
        <w:rPr>
          <w:color w:val="1F2937"/>
          <w:sz w:val="20"/>
          <w:szCs w:val="20"/>
        </w:rPr>
        <w:t xml:space="preserve">El modelo relacional tiene cinco tablas: una </w:t>
      </w:r>
      <w:r>
        <w:rPr>
          <w:b/>
          <w:bCs/>
          <w:color w:val="1F2937"/>
          <w:sz w:val="20"/>
          <w:szCs w:val="20"/>
        </w:rPr>
        <w:t>empresa</w:t>
      </w:r>
      <w:r>
        <w:rPr>
          <w:color w:val="1F2937"/>
          <w:sz w:val="20"/>
          <w:szCs w:val="20"/>
        </w:rPr>
        <w:t xml:space="preserve"> carga </w:t>
      </w:r>
      <w:r>
        <w:rPr>
          <w:b/>
          <w:bCs/>
          <w:color w:val="1F2937"/>
          <w:sz w:val="20"/>
          <w:szCs w:val="20"/>
        </w:rPr>
        <w:t>lotes de auditoría</w:t>
      </w:r>
      <w:r>
        <w:rPr>
          <w:color w:val="1F2937"/>
          <w:sz w:val="20"/>
          <w:szCs w:val="20"/>
        </w:rPr>
        <w:t xml:space="preserve">; cada lote contiene </w:t>
      </w:r>
      <w:r>
        <w:rPr>
          <w:b/>
          <w:bCs/>
          <w:color w:val="1F2937"/>
          <w:sz w:val="20"/>
          <w:szCs w:val="20"/>
        </w:rPr>
        <w:t>envíos</w:t>
      </w:r>
      <w:r>
        <w:rPr>
          <w:color w:val="1F2937"/>
          <w:sz w:val="20"/>
          <w:szCs w:val="20"/>
        </w:rPr>
        <w:t xml:space="preserve">; cada </w:t>
      </w:r>
      <w:r>
        <w:rPr>
          <w:b/>
          <w:bCs/>
          <w:color w:val="1F2937"/>
          <w:sz w:val="20"/>
          <w:szCs w:val="20"/>
        </w:rPr>
        <w:t>transportista</w:t>
      </w:r>
      <w:r>
        <w:rPr>
          <w:color w:val="1F2937"/>
          <w:sz w:val="20"/>
          <w:szCs w:val="20"/>
        </w:rPr>
        <w:t xml:space="preserve"> tiene </w:t>
      </w:r>
      <w:r>
        <w:rPr>
          <w:b/>
          <w:bCs/>
          <w:color w:val="1F2937"/>
          <w:sz w:val="20"/>
          <w:szCs w:val="20"/>
        </w:rPr>
        <w:t>reglas SLA</w:t>
      </w:r>
      <w:r>
        <w:rPr>
          <w:color w:val="1F2937"/>
          <w:sz w:val="20"/>
          <w:szCs w:val="20"/>
        </w:rPr>
        <w:t xml:space="preserve"> y transporta envíos. Los tres campos en negrita de envios (incumplio_sla, horas_atraso, monto_multa) quedan vacíos en la ingesta y los completa el motor de auditoría en el Sprint 2, por eso el modelo no cambió de estructura al agregar el motor. El vínculo entre envío y transportista es opcional porque se resuelve al auditar.</w:t>
      </w:r>
    </w:p>
    <w:p w14:paraId="03A8E3AD" w14:textId="77777777" w:rsidR="00584B83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69F935C" wp14:editId="32E4DEA7">
            <wp:extent cx="5143500" cy="23336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18F" w14:textId="77777777" w:rsidR="00584B83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Figura 1. Modelo entidad-relación de LogiSLA. El script schema.sql para PostgreSQL 16 y el diagrama final están en la carpeta de evidencias de sistema.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3230"/>
        <w:gridCol w:w="4560"/>
      </w:tblGrid>
      <w:tr w:rsidR="00584B83" w14:paraId="08A53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546C9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Tabla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94A76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Propósito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741C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Decisión de diseño</w:t>
            </w:r>
          </w:p>
        </w:tc>
      </w:tr>
      <w:tr w:rsidR="00584B83" w14:paraId="0C65E3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B4F3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empresas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A3F86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Clientes que cargan archivos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3FC60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RUT único y opcional</w:t>
            </w:r>
          </w:p>
        </w:tc>
      </w:tr>
      <w:tr w:rsidR="00584B83" w14:paraId="6AB6E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5B8A1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transportistas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8D91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Catálogo de transportistas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C668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Nombre único; se conserva el nombre original que venía en el archivo</w:t>
            </w:r>
          </w:p>
        </w:tc>
      </w:tr>
      <w:tr w:rsidR="00584B83" w14:paraId="0BC36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B297E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reglas_sla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3887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Plazo en horas hábiles y multa fija por guía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7E25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Regla por transportista y tipo de servicio; la zona de origen y destino quedó como mejora</w:t>
            </w:r>
          </w:p>
        </w:tc>
      </w:tr>
      <w:tr w:rsidR="00584B83" w14:paraId="73149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42560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lotes_auditoria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AB50E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Un archivo cargado y su estado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CA7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Guarda el mapeo de columnas y las advertencias en JSON para trazabilidad</w:t>
            </w:r>
          </w:p>
        </w:tc>
      </w:tr>
      <w:tr w:rsidR="00584B83" w14:paraId="3FB6F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54C0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lastRenderedPageBreak/>
              <w:t>envios</w:t>
            </w:r>
          </w:p>
        </w:tc>
        <w:tc>
          <w:tcPr>
            <w:tcW w:w="32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33469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Una guía de despacho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E881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Campos de resultado nulos hasta auditar; transportista opcional hasta resolverlo</w:t>
            </w:r>
          </w:p>
        </w:tc>
      </w:tr>
    </w:tbl>
    <w:p w14:paraId="686B232D" w14:textId="77777777" w:rsidR="00584B83" w:rsidRDefault="00584B83">
      <w:pPr>
        <w:keepNext/>
        <w:spacing w:before="160"/>
      </w:pP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84B83" w14:paraId="10803F05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6F1A" w14:textId="77777777" w:rsidR="00584B83" w:rsidRDefault="00000000">
            <w:r>
              <w:rPr>
                <w:b/>
                <w:bCs/>
                <w:color w:val="1F3864"/>
                <w:sz w:val="24"/>
                <w:szCs w:val="24"/>
              </w:rPr>
              <w:t>4. Arquitectura</w:t>
            </w:r>
          </w:p>
        </w:tc>
      </w:tr>
      <w:tr w:rsidR="00584B83" w14:paraId="138EBDE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E5EFC" w14:textId="77777777" w:rsidR="00584B83" w:rsidRDefault="00000000">
            <w:r>
              <w:rPr>
                <w:color w:val="2F5496"/>
                <w:sz w:val="20"/>
                <w:szCs w:val="20"/>
              </w:rPr>
              <w:t>Describe la arquitectura lógica y cómo evolucionaron las decisiones técnicas por sprint.</w:t>
            </w:r>
          </w:p>
        </w:tc>
      </w:tr>
    </w:tbl>
    <w:p w14:paraId="6618A813" w14:textId="77777777" w:rsidR="00584B83" w:rsidRDefault="00584B83">
      <w:pPr>
        <w:spacing w:after="60"/>
      </w:pPr>
    </w:p>
    <w:p w14:paraId="5AF4DA96" w14:textId="77777777" w:rsidR="00584B83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113E8948" wp14:editId="2725561D">
            <wp:extent cx="4476750" cy="3133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85BA" w14:textId="77777777" w:rsidR="00584B83" w:rsidRDefault="00000000">
      <w:pPr>
        <w:spacing w:before="60" w:after="120"/>
      </w:pPr>
      <w:r>
        <w:rPr>
          <w:i/>
          <w:iCs/>
          <w:color w:val="595959"/>
          <w:sz w:val="19"/>
          <w:szCs w:val="19"/>
        </w:rPr>
        <w:t>Figura 2. Arquitectura lógica de LogiSLA: Frontend y Backend desacoplados.</w:t>
      </w:r>
    </w:p>
    <w:p w14:paraId="0A813D97" w14:textId="77777777" w:rsidR="00584B83" w:rsidRDefault="00000000">
      <w:pPr>
        <w:pStyle w:val="Ttulo2"/>
        <w:keepNext/>
        <w:spacing w:before="200" w:after="80"/>
      </w:pPr>
      <w:r>
        <w:rPr>
          <w:b/>
          <w:bCs/>
          <w:color w:val="1F3864"/>
          <w:sz w:val="22"/>
          <w:szCs w:val="22"/>
        </w:rPr>
        <w:t>4.1 Decisiones de arquitectura y su evolución por sprint</w:t>
      </w:r>
    </w:p>
    <w:tbl>
      <w:tblPr>
        <w:tblW w:w="9500" w:type="dxa"/>
        <w:tblInd w:w="-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0"/>
        <w:gridCol w:w="4750"/>
        <w:gridCol w:w="1140"/>
      </w:tblGrid>
      <w:tr w:rsidR="00584B83" w14:paraId="2E3546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477A4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Decisión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E8161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Motivo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45ED" w14:textId="77777777" w:rsidR="00584B83" w:rsidRDefault="00000000">
            <w:pPr>
              <w:spacing w:after="20"/>
            </w:pPr>
            <w:r>
              <w:rPr>
                <w:b/>
                <w:bCs/>
                <w:color w:val="1F3864"/>
                <w:sz w:val="18"/>
                <w:szCs w:val="18"/>
              </w:rPr>
              <w:t>Sprint</w:t>
            </w:r>
          </w:p>
        </w:tc>
      </w:tr>
      <w:tr w:rsidR="00584B83" w14:paraId="55745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BE40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Arquitectura desacoplada Frontend (Next.js) y Backend (FastAPI)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88BC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Roles fijos y complementarios; el contrato de cada endpoint se define antes de programar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849C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</w:tr>
      <w:tr w:rsidR="00584B83" w14:paraId="4A918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6163E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Reconocimiento automático de columnas, sin mapeo manual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04B0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Las empresas usan planillas estructuradas y un mapeo manual introduce errores difíciles de rastrear en las multas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F562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</w:t>
            </w:r>
          </w:p>
        </w:tc>
      </w:tr>
      <w:tr w:rsidR="00584B83" w14:paraId="77630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8814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SQLite en desarrollo, PostgreSQL 16 al desplegar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53966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El sistema corre sin instalar un servidor; el código (SQLAlchemy) es el mismo. La migración a Cloud SQL con Alembic está planificada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AA0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1 → 4</w:t>
            </w:r>
          </w:p>
        </w:tc>
      </w:tr>
      <w:tr w:rsidR="00584B83" w14:paraId="6AEF7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6FB97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Motor de auditoría determinístico (Pandas + Workalendar)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E9F0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Cálculo reproducible y explicable; cero fallas toleradas en multas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8B5B3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</w:tr>
      <w:tr w:rsidR="00584B83" w14:paraId="653F3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B1F5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Regla SLA por transportista y tipo de servicio con multa fija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EE091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Los archivos no traen origen; la estandarización de comunas (API DPA) era opcional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9F3E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2</w:t>
            </w:r>
          </w:p>
        </w:tc>
      </w:tr>
      <w:tr w:rsidR="00584B83" w14:paraId="29A2C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3AD8A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La IA solo redactará texto; cifras y anexo los genera el sistema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5604D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La IA nunca modifica montos (decisión de diseño, implementación en el Sprint 4)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C234C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</w:tr>
      <w:tr w:rsidR="00584B83" w14:paraId="22E70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6D6A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Módulo de IA con plantilla de respaldo y tiempo máximo de espera (planificado)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52DAB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Una falla de la API externa no debe bloquear al usuario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5B5A9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</w:t>
            </w:r>
          </w:p>
        </w:tc>
      </w:tr>
      <w:tr w:rsidR="00584B83" w14:paraId="33B54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51E64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lastRenderedPageBreak/>
              <w:t>Franja de cumplimiento con HTML y CSS; pruebas del frontend con node:test (planificadas)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B971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Sin dependencias adicionales (reemplaza a Jest y a una librería de gráficos)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FAF4F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3 y 4</w:t>
            </w:r>
          </w:p>
        </w:tc>
      </w:tr>
      <w:tr w:rsidR="00584B83" w14:paraId="187B6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B6C38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Docker, Cloud Run, Cloud SQL, Secret Manager y GitHub Actions (planificado)</w:t>
            </w:r>
          </w:p>
        </w:tc>
        <w:tc>
          <w:tcPr>
            <w:tcW w:w="4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38AE5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Despliegue serverless con CI/CD; la API key queda en Secret Manager</w:t>
            </w:r>
          </w:p>
        </w:tc>
        <w:tc>
          <w:tcPr>
            <w:tcW w:w="11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431E9" w14:textId="77777777" w:rsidR="00584B83" w:rsidRDefault="00000000">
            <w:pPr>
              <w:spacing w:after="20"/>
            </w:pPr>
            <w:r>
              <w:rPr>
                <w:color w:val="1F2937"/>
                <w:sz w:val="18"/>
                <w:szCs w:val="18"/>
              </w:rPr>
              <w:t>4 y 5</w:t>
            </w:r>
          </w:p>
        </w:tc>
      </w:tr>
    </w:tbl>
    <w:p w14:paraId="51FA33BC" w14:textId="77777777" w:rsidR="00F469EE" w:rsidRDefault="00F469EE"/>
    <w:sectPr w:rsidR="00F469EE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F8E0" w14:textId="77777777" w:rsidR="00F469EE" w:rsidRDefault="00F469EE">
      <w:r>
        <w:separator/>
      </w:r>
    </w:p>
  </w:endnote>
  <w:endnote w:type="continuationSeparator" w:id="0">
    <w:p w14:paraId="6DDFF44D" w14:textId="77777777" w:rsidR="00F469EE" w:rsidRDefault="00F46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CBD32" w14:textId="77777777" w:rsidR="00584B83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5177C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EB8F9" w14:textId="77777777" w:rsidR="00F469EE" w:rsidRDefault="00F469EE">
      <w:r>
        <w:separator/>
      </w:r>
    </w:p>
  </w:footnote>
  <w:footnote w:type="continuationSeparator" w:id="0">
    <w:p w14:paraId="1037A28E" w14:textId="77777777" w:rsidR="00F469EE" w:rsidRDefault="00F469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0" w:type="dxa"/>
      <w:tblInd w:w="-70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54"/>
      <w:gridCol w:w="4216"/>
    </w:tblGrid>
    <w:tr w:rsidR="00584B83" w14:paraId="32984087" w14:textId="77777777">
      <w:tblPrEx>
        <w:tblCellMar>
          <w:top w:w="0" w:type="dxa"/>
          <w:bottom w:w="0" w:type="dxa"/>
        </w:tblCellMar>
      </w:tblPrEx>
      <w:trPr>
        <w:trHeight w:val="697"/>
      </w:trPr>
      <w:tc>
        <w:tcPr>
          <w:tcW w:w="5954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691484F8" w14:textId="77777777" w:rsidR="00584B83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Evidencias Ágiles - Proyecto APT</w:t>
          </w:r>
        </w:p>
        <w:p w14:paraId="533E18D3" w14:textId="77777777" w:rsidR="00584B83" w:rsidRDefault="00000000">
          <w:r>
            <w:rPr>
              <w:rFonts w:ascii="Century Gothic" w:eastAsia="Century Gothic" w:hAnsi="Century Gothic" w:cs="Century Gothic"/>
              <w:b/>
              <w:bCs/>
              <w:color w:val="1D2763"/>
            </w:rPr>
            <w:t>Fase 2</w:t>
          </w:r>
        </w:p>
      </w:tc>
      <w:tc>
        <w:tcPr>
          <w:tcW w:w="421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04B44BA" w14:textId="77777777" w:rsidR="00584B83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7B9A6B0D" wp14:editId="6E09D0F3">
                <wp:extent cx="1428750" cy="32385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5F05449" w14:textId="77777777" w:rsidR="00584B83" w:rsidRDefault="00584B8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307C3"/>
    <w:multiLevelType w:val="hybridMultilevel"/>
    <w:tmpl w:val="FF587DAC"/>
    <w:lvl w:ilvl="0" w:tplc="AD78889A">
      <w:start w:val="1"/>
      <w:numFmt w:val="bullet"/>
      <w:lvlText w:val="•"/>
      <w:lvlJc w:val="left"/>
      <w:pPr>
        <w:ind w:left="540" w:hanging="270"/>
      </w:pPr>
    </w:lvl>
    <w:lvl w:ilvl="1" w:tplc="F6E68270">
      <w:numFmt w:val="decimal"/>
      <w:lvlText w:val=""/>
      <w:lvlJc w:val="left"/>
    </w:lvl>
    <w:lvl w:ilvl="2" w:tplc="AB6607C8">
      <w:numFmt w:val="decimal"/>
      <w:lvlText w:val=""/>
      <w:lvlJc w:val="left"/>
    </w:lvl>
    <w:lvl w:ilvl="3" w:tplc="D75216DE">
      <w:numFmt w:val="decimal"/>
      <w:lvlText w:val=""/>
      <w:lvlJc w:val="left"/>
    </w:lvl>
    <w:lvl w:ilvl="4" w:tplc="BE60F380">
      <w:numFmt w:val="decimal"/>
      <w:lvlText w:val=""/>
      <w:lvlJc w:val="left"/>
    </w:lvl>
    <w:lvl w:ilvl="5" w:tplc="29808BC0">
      <w:numFmt w:val="decimal"/>
      <w:lvlText w:val=""/>
      <w:lvlJc w:val="left"/>
    </w:lvl>
    <w:lvl w:ilvl="6" w:tplc="EAE4C9BA">
      <w:numFmt w:val="decimal"/>
      <w:lvlText w:val=""/>
      <w:lvlJc w:val="left"/>
    </w:lvl>
    <w:lvl w:ilvl="7" w:tplc="9B48A19E">
      <w:numFmt w:val="decimal"/>
      <w:lvlText w:val=""/>
      <w:lvlJc w:val="left"/>
    </w:lvl>
    <w:lvl w:ilvl="8" w:tplc="A77A5F02">
      <w:numFmt w:val="decimal"/>
      <w:lvlText w:val=""/>
      <w:lvlJc w:val="left"/>
    </w:lvl>
  </w:abstractNum>
  <w:abstractNum w:abstractNumId="1" w15:restartNumberingAfterBreak="0">
    <w:nsid w:val="5CA61036"/>
    <w:multiLevelType w:val="hybridMultilevel"/>
    <w:tmpl w:val="4678DFF2"/>
    <w:lvl w:ilvl="0" w:tplc="F380F750">
      <w:start w:val="1"/>
      <w:numFmt w:val="bullet"/>
      <w:lvlText w:val="●"/>
      <w:lvlJc w:val="left"/>
      <w:pPr>
        <w:ind w:left="720" w:hanging="360"/>
      </w:pPr>
    </w:lvl>
    <w:lvl w:ilvl="1" w:tplc="4B5EE326">
      <w:start w:val="1"/>
      <w:numFmt w:val="bullet"/>
      <w:lvlText w:val="○"/>
      <w:lvlJc w:val="left"/>
      <w:pPr>
        <w:ind w:left="1440" w:hanging="360"/>
      </w:pPr>
    </w:lvl>
    <w:lvl w:ilvl="2" w:tplc="BFB06D0E">
      <w:start w:val="1"/>
      <w:numFmt w:val="bullet"/>
      <w:lvlText w:val="■"/>
      <w:lvlJc w:val="left"/>
      <w:pPr>
        <w:ind w:left="2160" w:hanging="360"/>
      </w:pPr>
    </w:lvl>
    <w:lvl w:ilvl="3" w:tplc="47EECC70">
      <w:start w:val="1"/>
      <w:numFmt w:val="bullet"/>
      <w:lvlText w:val="●"/>
      <w:lvlJc w:val="left"/>
      <w:pPr>
        <w:ind w:left="2880" w:hanging="360"/>
      </w:pPr>
    </w:lvl>
    <w:lvl w:ilvl="4" w:tplc="8828E2C4">
      <w:start w:val="1"/>
      <w:numFmt w:val="bullet"/>
      <w:lvlText w:val="○"/>
      <w:lvlJc w:val="left"/>
      <w:pPr>
        <w:ind w:left="3600" w:hanging="360"/>
      </w:pPr>
    </w:lvl>
    <w:lvl w:ilvl="5" w:tplc="0B7E52A4">
      <w:start w:val="1"/>
      <w:numFmt w:val="bullet"/>
      <w:lvlText w:val="■"/>
      <w:lvlJc w:val="left"/>
      <w:pPr>
        <w:ind w:left="4320" w:hanging="360"/>
      </w:pPr>
    </w:lvl>
    <w:lvl w:ilvl="6" w:tplc="C57A8C58">
      <w:start w:val="1"/>
      <w:numFmt w:val="bullet"/>
      <w:lvlText w:val="●"/>
      <w:lvlJc w:val="left"/>
      <w:pPr>
        <w:ind w:left="5040" w:hanging="360"/>
      </w:pPr>
    </w:lvl>
    <w:lvl w:ilvl="7" w:tplc="89AE61B0">
      <w:start w:val="1"/>
      <w:numFmt w:val="bullet"/>
      <w:lvlText w:val="●"/>
      <w:lvlJc w:val="left"/>
      <w:pPr>
        <w:ind w:left="5760" w:hanging="360"/>
      </w:pPr>
    </w:lvl>
    <w:lvl w:ilvl="8" w:tplc="0414B7C2">
      <w:start w:val="1"/>
      <w:numFmt w:val="bullet"/>
      <w:lvlText w:val="●"/>
      <w:lvlJc w:val="left"/>
      <w:pPr>
        <w:ind w:left="6480" w:hanging="360"/>
      </w:pPr>
    </w:lvl>
  </w:abstractNum>
  <w:num w:numId="1" w16cid:durableId="16769564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B83"/>
    <w:rsid w:val="005177C9"/>
    <w:rsid w:val="00584B83"/>
    <w:rsid w:val="006A3DD2"/>
    <w:rsid w:val="00E435F3"/>
    <w:rsid w:val="00F4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B832"/>
  <w15:docId w15:val="{BB31BC70-3B1B-406B-91AD-86A559BE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1051</Words>
  <Characters>5784</Characters>
  <Application>Microsoft Office Word</Application>
  <DocSecurity>0</DocSecurity>
  <Lines>48</Lines>
  <Paragraphs>13</Paragraphs>
  <ScaleCrop>false</ScaleCrop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Evidencia_2_ImpactMapping_StoryMapping_Datos_Arquitectura_LogiSLA.docx</dc:title>
  <dc:creator>Equipo LogiSLA</dc:creator>
  <cp:lastModifiedBy>Usuario</cp:lastModifiedBy>
  <cp:revision>6</cp:revision>
  <dcterms:created xsi:type="dcterms:W3CDTF">2026-10-22T20:03:00Z</dcterms:created>
  <dcterms:modified xsi:type="dcterms:W3CDTF">2026-10-23T02:26:00Z</dcterms:modified>
</cp:coreProperties>
</file>