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OPERACIONES</w:t>
      </w:r>
    </w:p>
    <w:p>
      <w:pPr>
        <w:pStyle w:val="Heading1"/>
        <w:jc w:val="center"/>
      </w:pPr>
      <w:r>
        <w:t>SmartRoute Logistics</w:t>
      </w:r>
    </w:p>
    <w:p>
      <w:r>
        <w:t>Periodo: 05/01/2026 al 03/07/2026</w:t>
      </w:r>
    </w:p>
    <w:p>
      <w:r>
        <w:t>Fecha de generación: 17/10/2026 16:32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la capacidad operativa y el cumplimiento de la demanda de despacho para SmartRoute Logistics durante el periodo 05/01/2026 al 03/07/2026. Su propósito es fundamentar la reasignación de carga entre hubs logísticos y optimizar la capacidad operativa durante campañas programadas a partir de los resultados calculados en el pipeline automatizado.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Capacidad Total</w:t>
            </w:r>
          </w:p>
        </w:tc>
        <w:tc>
          <w:tcPr>
            <w:tcW w:type="dxa" w:w="4320"/>
          </w:tcPr>
          <w:p>
            <w:r>
              <w:t>1,577,212 paq</w:t>
            </w:r>
          </w:p>
        </w:tc>
      </w:tr>
      <w:tr>
        <w:tc>
          <w:tcPr>
            <w:tcW w:type="dxa" w:w="4320"/>
          </w:tcPr>
          <w:p>
            <w:r>
              <w:t>Demanda Total</w:t>
            </w:r>
          </w:p>
        </w:tc>
        <w:tc>
          <w:tcPr>
            <w:tcW w:type="dxa" w:w="4320"/>
          </w:tcPr>
          <w:p>
            <w:r>
              <w:t>1,692,646 paq</w:t>
            </w:r>
          </w:p>
        </w:tc>
      </w:tr>
      <w:tr>
        <w:tc>
          <w:tcPr>
            <w:tcW w:type="dxa" w:w="4320"/>
          </w:tcPr>
          <w:p>
            <w:r>
              <w:t>Déficit Total</w:t>
            </w:r>
          </w:p>
        </w:tc>
        <w:tc>
          <w:tcPr>
            <w:tcW w:type="dxa" w:w="4320"/>
          </w:tcPr>
          <w:p>
            <w:r>
              <w:t>172,314 paq</w:t>
            </w:r>
          </w:p>
        </w:tc>
      </w:tr>
      <w:tr>
        <w:tc>
          <w:tcPr>
            <w:tcW w:type="dxa" w:w="4320"/>
          </w:tcPr>
          <w:p>
            <w:r>
              <w:t>Cobertura %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Periodo</w:t>
            </w:r>
          </w:p>
        </w:tc>
        <w:tc>
          <w:tcPr>
            <w:tcW w:type="dxa" w:w="4320"/>
          </w:tcPr>
          <w:p>
            <w:r>
              <w:t>05/01/2026 al 03/07/2026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Temporal: Demanda vs. Capacidad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Déficit por Centro de Distribución (Hubs)</w:t>
      </w:r>
    </w:p>
    <w:p>
      <w:r>
        <w:drawing>
          <wp:inline xmlns:a="http://schemas.openxmlformats.org/drawingml/2006/main" xmlns:pic="http://schemas.openxmlformats.org/drawingml/2006/picture">
            <wp:extent cx="5486400" cy="3254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entr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Déficit según Campaña Programada</w:t>
      </w:r>
    </w:p>
    <w:p>
      <w:r>
        <w:drawing>
          <wp:inline xmlns:a="http://schemas.openxmlformats.org/drawingml/2006/main" xmlns:pic="http://schemas.openxmlformats.org/drawingml/2006/picture">
            <wp:extent cx="5486400" cy="3398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mp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Operativo por Región</w:t>
      </w:r>
    </w:p>
    <w:p>
      <w:r>
        <w:drawing>
          <wp:inline xmlns:a="http://schemas.openxmlformats.org/drawingml/2006/main" xmlns:pic="http://schemas.openxmlformats.org/drawingml/2006/picture">
            <wp:extent cx="5486400" cy="3262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hub C07 concentra el mayor nivel de déficit</w:t>
      </w:r>
    </w:p>
    <w:p>
      <w:r>
        <w:t>Evidencia: El hub C07 acumuló 36,725 paquetes de déficit, representando el 21.3% del total.</w:t>
      </w:r>
    </w:p>
    <w:p>
      <w:r>
        <w:t>Interpretación: Existe un cuello de botella crítico en la capacidad instalada y la asignación de transporte en este nodo.</w:t>
      </w:r>
    </w:p>
    <w:p>
      <w:r>
        <w:t>Impacto: Demoras directas en entregas y riesgo de incumplimiento en los niveles de servicio contractuales.</w:t>
      </w:r>
    </w:p>
    <w:p>
      <w:r>
        <w:t>Decisión: Asignar flota de apoyo y programar turnos adicionales durante días de mayor demanda.</w:t>
      </w:r>
    </w:p>
    <w:p>
      <w:pPr>
        <w:pStyle w:val="Heading3"/>
      </w:pPr>
      <w:r>
        <w:t>2. Saturación en días con Campaña Programada</w:t>
      </w:r>
    </w:p>
    <w:p>
      <w:r>
        <w:t>Evidencia: Las jornadas con campaña acumularon 67,211 paquetes de déficit.</w:t>
      </w:r>
    </w:p>
    <w:p>
      <w:r>
        <w:t>Interpretación: Los picos de volumen por promociones sobrepasan la capacidad diaria fija de los centros.</w:t>
      </w:r>
    </w:p>
    <w:p>
      <w:r>
        <w:t>Impacto: Saturación temporal de la red logística en periodos de alta demanda.</w:t>
      </w:r>
    </w:p>
    <w:p>
      <w:r>
        <w:t>Decisión: Establecer ventanas de despacho escalonadas antes del inicio de campañas.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78,626 paquetes de déficit total.</w:t>
      </w:r>
    </w:p>
    <w:p>
      <w:r>
        <w:t>Interpretación: La infraestructura de despacho en la zona central se encuentra ampliamente superada por la demanda.</w:t>
      </w:r>
    </w:p>
    <w:p>
      <w:r>
        <w:t>Impacto: Riesgo de insatisfacción y pérdida de cobertura en nodos estratégicos.</w:t>
      </w:r>
    </w:p>
    <w:p>
      <w:r>
        <w:t>Decisión: Redirigir rutas excedentes hacia la región Occidente (la de mayor porcentaje de cobertura).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Reasignar flota de respaldo hacia el hub C07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Director de Logística</w:t>
            </w:r>
          </w:p>
        </w:tc>
        <w:tc>
          <w:tcPr>
            <w:tcW w:type="dxa" w:w="1728"/>
          </w:tcPr>
          <w:p>
            <w:r>
              <w:t>Inmediato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Ajustar planificación de despachos en días con campaña programada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Planificador de Operaciones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Derivar envíos excedentes de la región Centro a hubs secundarios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Jefe de Red de Distribución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Mantener monitoreo diario del indicador global de cobertura (meta &gt;= 90%)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Diario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Capacidad rígida: El modelo asume capacidad diaria fija por hub sin flexibilidad horaria.</w:t>
      </w:r>
    </w:p>
    <w:p>
      <w:pPr>
        <w:pStyle w:val="ListBullet"/>
      </w:pPr>
      <w:r>
        <w:t>Granularidad diaria: Los datos están agregados por día y no por turno de trabajo.</w:t>
      </w:r>
    </w:p>
    <w:p>
      <w:pPr>
        <w:pStyle w:val="ListBullet"/>
      </w:pPr>
      <w:r>
        <w:t>Sin modelo de costos: No se incluye el costo por kilometraje ni consumo de combustible.</w:t>
      </w:r>
    </w:p>
    <w:p>
      <w:pPr>
        <w:pStyle w:val="ListBullet"/>
      </w:pPr>
      <w:r>
        <w:t>Asunción estática: La capacidad sobrante de un hub no compensa a otro sin transporte físico.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