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GERENCIAL OPERATIVO</w:t>
      </w:r>
    </w:p>
    <w:p>
      <w:pPr>
        <w:pStyle w:val="Heading1"/>
        <w:jc w:val="center"/>
      </w:pPr>
      <w:r>
        <w:t>DevOps Metrics Analytics</w:t>
      </w:r>
    </w:p>
    <w:p>
      <w:r>
        <w:t>Periodo: 01/01/2026 - 30/06/2026</w:t>
      </w:r>
    </w:p>
    <w:p>
      <w:r>
        <w:t>Fecha de generación: 08/10/2026 05:17</w:t>
      </w:r>
    </w:p>
    <w:p>
      <w:r>
        <w:t>Versión: 1.0 (Final)</w:t>
      </w:r>
    </w:p>
    <w:p>
      <w:r>
        <w:t>Desarrollador: Alan Aguirre</w:t>
      </w:r>
    </w:p>
    <w:p>
      <w:pPr>
        <w:pStyle w:val="Heading2"/>
      </w:pPr>
      <w:r>
        <w:t>1. Resumen Ejecutivo</w:t>
      </w:r>
    </w:p>
    <w:p>
      <w:r>
        <w:t>El presente informe analiza el desempeño de la infraestructura tecnológica y soporte durante el periodo 01/01/2026 - 30/06/2026.</w:t>
      </w:r>
    </w:p>
    <w:p>
      <w:pPr>
        <w:pStyle w:val="Heading3"/>
      </w:pPr>
      <w:r>
        <w:t>Indicadores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Incidentes</w:t>
            </w:r>
          </w:p>
        </w:tc>
        <w:tc>
          <w:tcPr>
            <w:tcW w:type="dxa" w:w="4320"/>
          </w:tcPr>
          <w:p>
            <w:r>
              <w:t>4,000</w:t>
            </w:r>
          </w:p>
        </w:tc>
      </w:tr>
      <w:tr>
        <w:tc>
          <w:tcPr>
            <w:tcW w:type="dxa" w:w="4320"/>
          </w:tcPr>
          <w:p>
            <w:r>
              <w:t>Downtime Total (Horas)</w:t>
            </w:r>
          </w:p>
        </w:tc>
        <w:tc>
          <w:tcPr>
            <w:tcW w:type="dxa" w:w="4320"/>
          </w:tcPr>
          <w:p>
            <w:r>
              <w:t>20,176.5 h</w:t>
            </w:r>
          </w:p>
        </w:tc>
      </w:tr>
      <w:tr>
        <w:tc>
          <w:tcPr>
            <w:tcW w:type="dxa" w:w="4320"/>
          </w:tcPr>
          <w:p>
            <w:r>
              <w:t>Tiempo Resolución Prom.</w:t>
            </w:r>
          </w:p>
        </w:tc>
        <w:tc>
          <w:tcPr>
            <w:tcW w:type="dxa" w:w="4320"/>
          </w:tcPr>
          <w:p>
            <w:r>
              <w:t>6.31 h</w:t>
            </w:r>
          </w:p>
        </w:tc>
      </w:tr>
      <w:tr>
        <w:tc>
          <w:tcPr>
            <w:tcW w:type="dxa" w:w="4320"/>
          </w:tcPr>
          <w:p>
            <w:r>
              <w:t>Disponibilidad Prom.</w:t>
            </w:r>
          </w:p>
        </w:tc>
        <w:tc>
          <w:tcPr>
            <w:tcW w:type="dxa" w:w="4320"/>
          </w:tcPr>
          <w:p>
            <w:r>
              <w:t>97.48%</w:t>
            </w:r>
          </w:p>
        </w:tc>
      </w:tr>
      <w:tr>
        <w:tc>
          <w:tcPr>
            <w:tcW w:type="dxa" w:w="4320"/>
          </w:tcPr>
          <w:p>
            <w:r>
              <w:t>Tickets Procesados</w:t>
            </w:r>
          </w:p>
        </w:tc>
        <w:tc>
          <w:tcPr>
            <w:tcW w:type="dxa" w:w="4320"/>
          </w:tcPr>
          <w:p>
            <w:r>
              <w:t>50,000</w:t>
            </w:r>
          </w:p>
        </w:tc>
      </w:tr>
      <w:tr>
        <w:tc>
          <w:tcPr>
            <w:tcW w:type="dxa" w:w="4320"/>
          </w:tcPr>
          <w:p>
            <w:r>
              <w:t>Empresas Anonimizadas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p>
      <w:pPr>
        <w:pStyle w:val="Heading2"/>
      </w:pPr>
      <w:r>
        <w:t>2. Resultados Generales</w:t>
      </w:r>
    </w:p>
    <w:p>
      <w:pPr>
        <w:pStyle w:val="Heading3"/>
      </w:pPr>
      <w:r>
        <w:t>2.1 Evolución de Inactividad del Sistema</w:t>
      </w:r>
    </w:p>
    <w:p>
      <w:r>
        <w:drawing>
          <wp:inline xmlns:a="http://schemas.openxmlformats.org/drawingml/2006/main" xmlns:pic="http://schemas.openxmlformats.org/drawingml/2006/picture">
            <wp:extent cx="5486400" cy="2251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down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 Incidentes por Área de Producto</w:t>
      </w:r>
    </w:p>
    <w:p>
      <w:r>
        <w:drawing>
          <wp:inline xmlns:a="http://schemas.openxmlformats.org/drawingml/2006/main" xmlns:pic="http://schemas.openxmlformats.org/drawingml/2006/picture">
            <wp:extent cx="5486400" cy="32636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incid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2.3 Tickets de Soporte por Prioridad</w:t>
      </w:r>
    </w:p>
    <w:p>
      <w:r>
        <w:drawing>
          <wp:inline xmlns:a="http://schemas.openxmlformats.org/drawingml/2006/main" xmlns:pic="http://schemas.openxmlformats.org/drawingml/2006/picture">
            <wp:extent cx="5486400" cy="3263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rior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2.4 Top 5 Departamentos Críticos</w:t>
      </w:r>
    </w:p>
    <w:p>
      <w:r>
        <w:drawing>
          <wp:inline xmlns:a="http://schemas.openxmlformats.org/drawingml/2006/main" xmlns:pic="http://schemas.openxmlformats.org/drawingml/2006/picture">
            <wp:extent cx="5486400" cy="32636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departamen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2.5 Auditoría y Gobernanza</w:t>
      </w:r>
    </w:p>
    <w:p>
      <w:r>
        <w:drawing>
          <wp:inline xmlns:a="http://schemas.openxmlformats.org/drawingml/2006/main" xmlns:pic="http://schemas.openxmlformats.org/drawingml/2006/picture">
            <wp:extent cx="5486400" cy="32636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gobernanz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562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l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Hallazgos Principales</w:t>
      </w:r>
    </w:p>
    <w:p>
      <w:pPr>
        <w:pStyle w:val="Heading3"/>
      </w:pPr>
      <w:r>
        <w:t>1. El módulo Auth concentra el mayor número de incidentes</w:t>
      </w:r>
    </w:p>
    <w:p>
      <w:r>
        <w:t>Evidencia: El área Auth generó 790 incidentes, acumulando 231,342 minutos de caída.</w:t>
      </w:r>
    </w:p>
    <w:p>
      <w:r>
        <w:t>Interpretación: El servicio de autenticación y acceso es inestable bajo la carga actual.</w:t>
      </w:r>
    </w:p>
    <w:p>
      <w:r>
        <w:t>Impacto: Bloquea el uso de todas las demás herramientas de la plataforma.</w:t>
      </w:r>
    </w:p>
    <w:p>
      <w:r>
        <w:t>Decisión: Escalar recursos y refactorizar código de Auth de inmediato.</w:t>
      </w:r>
    </w:p>
    <w:p>
      <w:pPr>
        <w:pStyle w:val="Heading3"/>
      </w:pPr>
      <w:r>
        <w:t>2. El departamento de La Libertad es el más inestable geográficamente</w:t>
      </w:r>
    </w:p>
    <w:p>
      <w:r>
        <w:t>Evidencia: Se registraron 209,140 minutos de downtime en La Libertad.</w:t>
      </w:r>
    </w:p>
    <w:p>
      <w:r>
        <w:t>Interpretación: Problemas serios de enrutamiento o fallos en el centro de datos de esa zona.</w:t>
      </w:r>
    </w:p>
    <w:p>
      <w:r>
        <w:t>Impacto: Degrada la experiencia de usuario a nivel regional.</w:t>
      </w:r>
    </w:p>
    <w:p>
      <w:r>
        <w:t>Decisión: Desplegar equipo técnico presencial a nodos de conectividad.</w:t>
      </w:r>
    </w:p>
    <w:p>
      <w:pPr>
        <w:pStyle w:val="Heading3"/>
      </w:pPr>
      <w:r>
        <w:t>3. Alta carga de tickets de nivel bajo</w:t>
      </w:r>
    </w:p>
    <w:p>
      <w:r>
        <w:t>Evidencia: Existen 25,000 tickets procesados con prioridad "low".</w:t>
      </w:r>
    </w:p>
    <w:p>
      <w:r>
        <w:t>Interpretación: El equipo de soporte invierte mucho tiempo en tareas menores.</w:t>
      </w:r>
    </w:p>
    <w:p>
      <w:r>
        <w:t>Impacto: Posible descuido de los {df_prioridad.iloc[2]["total_tickets"]:,.0f} tickets de prioridad Alta que afectan a 5 millones de usuarios.</w:t>
      </w:r>
    </w:p>
    <w:p>
      <w:r>
        <w:t>Decisión: Implementar un chatbot de IA para resolver automáticamente tickets Low.</w:t>
      </w:r>
    </w:p>
    <w:p>
      <w:pPr>
        <w:pStyle w:val="Heading2"/>
      </w:pPr>
      <w:r>
        <w:t>4. Recomendaciones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Acción</w:t>
            </w:r>
          </w:p>
        </w:tc>
        <w:tc>
          <w:tcPr>
            <w:tcW w:type="dxa" w:w="1728"/>
          </w:tcPr>
          <w:p>
            <w:r>
              <w:t>Prioridad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Refactorizar el microservicio de Auth</w:t>
            </w:r>
          </w:p>
        </w:tc>
        <w:tc>
          <w:tcPr>
            <w:tcW w:type="dxa" w:w="1728"/>
          </w:tcPr>
          <w:p>
            <w:r>
              <w:t>Crítica</w:t>
            </w:r>
          </w:p>
        </w:tc>
        <w:tc>
          <w:tcPr>
            <w:tcW w:type="dxa" w:w="1728"/>
          </w:tcPr>
          <w:p>
            <w:r>
              <w:t>DevOps / Backend</w:t>
            </w:r>
          </w:p>
        </w:tc>
        <w:tc>
          <w:tcPr>
            <w:tcW w:type="dxa" w:w="1728"/>
          </w:tcPr>
          <w:p>
            <w:r>
              <w:t>Inmediato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Revisar infraestructura física en La Libertad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Ing. Redes</w:t>
            </w:r>
          </w:p>
        </w:tc>
        <w:tc>
          <w:tcPr>
            <w:tcW w:type="dxa" w:w="1728"/>
          </w:tcPr>
          <w:p>
            <w:r>
              <w:t>1 Semana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Automatizar tickets de baja prioridad (Nivel 1)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Soporte IT</w:t>
            </w:r>
          </w:p>
        </w:tc>
        <w:tc>
          <w:tcPr>
            <w:tcW w:type="dxa" w:w="1728"/>
          </w:tcPr>
          <w:p>
            <w:r>
              <w:t>3 Meses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Mantener políticas de anonimización (Company Token)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Gobernanza de Datos</w:t>
            </w:r>
          </w:p>
        </w:tc>
        <w:tc>
          <w:tcPr>
            <w:tcW w:type="dxa" w:w="1728"/>
          </w:tcPr>
          <w:p>
            <w:r>
              <w:t>Continuo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Corregir valores nulos reportados en auditoría de calidad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Data Engineering</w:t>
            </w:r>
          </w:p>
        </w:tc>
        <w:tc>
          <w:tcPr>
            <w:tcW w:type="dxa" w:w="1728"/>
          </w:tcPr>
          <w:p>
            <w:r>
              <w:t>1 Mes</w:t>
            </w:r>
          </w:p>
        </w:tc>
      </w:tr>
    </w:tbl>
    <w:p>
      <w:pPr>
        <w:pStyle w:val="Heading2"/>
      </w:pPr>
      <w:r>
        <w:t>5. Limitaciones</w:t>
      </w:r>
    </w:p>
    <w:p>
      <w:pPr>
        <w:pStyle w:val="ListBullet"/>
      </w:pPr>
      <w:r>
        <w:t>Correlación espacial no implica causalidad física (Guía 6).</w:t>
      </w:r>
    </w:p>
    <w:p>
      <w:pPr>
        <w:pStyle w:val="ListBullet"/>
      </w:pPr>
      <w:r>
        <w:t>Las métricas de disponibilidad asumen un peso igual para todos los servicios.</w:t>
      </w:r>
    </w:p>
    <w:p>
      <w:pPr>
        <w:pStyle w:val="ListBullet"/>
      </w:pPr>
      <w:r>
        <w:t>La calidad de los datos depende de los reportes manuales de soporte.</w:t>
      </w:r>
    </w:p>
    <w:p>
      <w:pPr>
        <w:pStyle w:val="ListBullet"/>
      </w:pPr>
      <w:r>
        <w:t>El análisis de gobernanza solo cubre PII a nivel empresarial, no correos individuales.</w:t>
      </w:r>
    </w:p>
    <w:p>
      <w:pPr>
        <w:pStyle w:val="ListBullet"/>
      </w:pPr>
      <w:r>
        <w:t>Los costos operativos de mantenimiento no están incluidos en el modelo.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