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11 De Septiembre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por debajo de $ 940 pese a que el IPC de agosto en EEUU consolidó la apuesta a una próxima subida de tasas de la Fed</w:t>
      </w:r>
    </w:p>
    <w:p>
      <w:pPr>
        <w:spacing w:before="40" w:after="60"/>
        <w:ind w:left="283"/>
      </w:pPr>
      <w:r>
        <w:rPr>
          <w:rFonts w:ascii="Arial" w:hAnsi="Arial"/>
          <w:color w:val="404040"/>
          <w:sz w:val="21"/>
        </w:rPr>
        <w:t>La divisa estadounidense retrocedió $ 2,8 hasta $ 939,1 a media mañana en Chile, llegando a tocar los $ 936 tras conocerse el dato de inflación de EEUU, luego de venir de su mayor alza en tres meses y máximos de siete semanas. El IPC de agosto avanzó 0,4% mensual en línea con lo previsto y 0,3% en su serie subyacente (una décima sobre lo esperado), con variaciones anuales de 3,4% y 2,4% respectivamente, lo que elevó a 80% la probabilidad implícita de un alza de tasas de la Fed la próxima semana según el modelo de Bloomberg. Pese a ello, los tramos medio y largo de la curva del Tesoro cedieron: el bono a 10 años perdió 4,5 puntos base y el de 30 años 5,1 pb. El factor gatillante fue la caída de 3,4% del Brent hasta US$ 103,9 por barril, ante versiones de que los cancilleres del Golfo se reunirán con su par iraní para respaldar un acuerdo transitorio de navegación por Ormuz, aunque el crudo aún acumula un alza semanal de 8%.</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recupera algo de terreno aun cuando datos de inflación refuerzan la expectativa de un alza de tasas en EEUU la próxima semana</w:t>
      </w:r>
    </w:p>
    <w:p>
      <w:pPr>
        <w:spacing w:before="40" w:after="60"/>
        <w:ind w:left="283"/>
      </w:pPr>
      <w:r>
        <w:rPr>
          <w:rFonts w:ascii="Arial" w:hAnsi="Arial"/>
          <w:color w:val="404040"/>
          <w:sz w:val="21"/>
        </w:rPr>
        <w:t>Tras seis sesiones consecutivas en rojo, el MSCI IPSA avanzaba 0,3% hasta 11.270,79 puntos, impulsado por CCU (1,7%), Mallplaza (1,3%), Enel Chile (1,1%) y Latam (1%), en una jornada en que el petróleo aflojaba desde sus recientes máximos. Los bancos locales habían publicado sus cifras preliminares de agosto: Bci destacó con utilidades 42% superiores a julio y una caída interanual de apenas 7%, mientras Banco de Chile y Santander anotaron retrocesos cercanos a 30% en doce meses e Itaú creció interanualmente tras pérdidas mensuales en julio. En Wall Street el Dow Jones subía 1,1% y el S&amp;P 500 junto al Nasdaq ganaban 1%, con alzas similares en Europa y pérdidas en Asia. El dato de inflación estadounidense, en línea con lo previsto en el índice general pero una décima sobre lo esperado en el subyacente, consolidó en 80% la apuesta por un alza del tipo rector de la Fed.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cobre se encamina a su primera caída semanal desde junio por las dudas sobre los aranceles de EEUU</w:t>
      </w:r>
    </w:p>
    <w:p>
      <w:pPr>
        <w:spacing w:before="40" w:after="60"/>
        <w:ind w:left="283"/>
      </w:pPr>
      <w:r>
        <w:rPr>
          <w:rFonts w:ascii="Arial" w:hAnsi="Arial"/>
          <w:color w:val="404040"/>
          <w:sz w:val="21"/>
        </w:rPr>
        <w:t>El metal rojo se dirigía a cerrar la semana con un descenso de 1,4%, interrumpiendo una racha alcista de diez semanas, luego del fuerte retroceso del jueves motivado por una información de Reuters según la cual la Casa Blanca aún no define si impondrá un arancel al cobre. El contrato a tres meses en la Bolsa de Metales de Londres cedía 0,1% hasta US$ 14.221 por tonelada (US$ 6,45 la libra), más de 4% por debajo del récord histórico de US$ 14.875 alcanzado el jueves. Los inventarios en la LME se mantenían estables en 117.600 toneladas, pero en la Bolsa de Futuros de Shanghái se desplomaron 13% hasta 54.780 toneladas, el nivel más bajo desde enero de 2024. El diferencial entre el contrato spot y el de tres meses pasó a contango, con un descuento de US$ 14 por tonelada, señal de menor preocupación por la disponibilidad inmediata, aunque corredoras como Sucden estiman que la escasez de fondo limitará una venta masiva adicional.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Fiscal Juan Pablo Araya y el Caso Sartor: “Hay operaciones que todavía no han sido objeto de formalización y que vamos a seguir investigando”</w:t>
      </w:r>
    </w:p>
    <w:p>
      <w:pPr>
        <w:spacing w:before="40" w:after="60"/>
        <w:ind w:left="283"/>
      </w:pPr>
      <w:r>
        <w:rPr>
          <w:rFonts w:ascii="Arial" w:hAnsi="Arial"/>
          <w:color w:val="404040"/>
          <w:sz w:val="21"/>
        </w:rPr>
        <w:t>El persecutor de la Unidad de Alta Complejidad Oriente sostuvo que la tesis acreditada ante el Cuarto Juzgado de Garantía describe un esquema en que fondos públicos financiaban negocios de socios y directores, trasladando el riesgo a los aportantes; la jueza dio por probados seis de los siete delitos formalizados, entre ellos administración desleal, estafa, lavado de activos y entrega de información falsa al mercado, y decretó prisión preventiva para cuatro de los once imputados. Araya adelantó que existen operaciones adicionales no incluidas en la formalización que continuarán siendo investigadas, entre ellas el financiamiento a Grupo Araucana vinculado al socio Sergio Yáñez, además de ECapital y Azul Azul. Respecto de la recuperación para los afectados, advirtió que los activos identificados hasta ahora —principalmente Faena Residence y Azul Azul— representan montos que no alcanzan ni siquiera a un tercio del perjuicio total, con numerosos créditos por cobrar de baja o nula recuperabilidad. La fiscalía desarrolla un análisis contable interno, con apoyo de la Fiscalía Nacional y eventuales asesores externos, para rastrear la ruta del dinero y esclarecer estructuras societarias que incluyen un fondo en Islas Caimán.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Fondos generacionales: publican índices de referencia</w:t>
      </w:r>
    </w:p>
    <w:p>
      <w:pPr>
        <w:spacing w:before="40" w:after="60"/>
        <w:ind w:left="283"/>
      </w:pPr>
      <w:r>
        <w:rPr>
          <w:rFonts w:ascii="Arial" w:hAnsi="Arial"/>
          <w:color w:val="404040"/>
          <w:sz w:val="21"/>
        </w:rPr>
        <w:t>La Superintendencia de Pensiones dictó la Resolución Exenta N° 1244, que fija los índices de mercado de referencia para cada categoría de activos financieros contemplada en el nuevo régimen de inversión que regirá los fondos generacionales a partir de abril de 2027. Estos benchmarks son la base para estructurar las carteras de referencia de cada fondo, definir la asignación estratégica que realizarán las AFP y evaluar su desempeño bajo el esquema de premios y castigos. Entre los seleccionados figuran el Infoces, índice de renta variable nacional elaborado por la Bolsa de Comercio de Santiago y utilizado por los Fondos de Cesantía, y el MSCI Emerging Markets ex Latam. El régimen contempla trece categorías de activos agrupadas en activos de crecimiento —renta variable local y extranjera, high yield, renta fija emergente y alternativos— y activos de protección, que incluyen renta fija estatal y corporativa con grado de inversión y liquidez en moneda local.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Cambio a la reforma previsional: prevén eventual debate por reabrir discusión de la ley de pensiones</w:t>
      </w:r>
    </w:p>
    <w:p>
      <w:pPr>
        <w:spacing w:before="40" w:after="60"/>
        <w:ind w:left="283"/>
      </w:pPr>
      <w:r>
        <w:rPr>
          <w:rFonts w:ascii="Arial" w:hAnsi="Arial"/>
          <w:color w:val="404040"/>
          <w:sz w:val="21"/>
        </w:rPr>
        <w:t>El proyecto de ley de mercado de capitales (MK4) incluye una modificación a la reforma previsional aprobada el año pasado: eliminar la prohibición de pagar, con recursos de los fondos de pensiones, comisiones a vehículos que inviertan más del 10% de sus activos en títulos locales de oferta pública, salvo emisores de baja o mediana capitalización. El Ejecutivo justificó el cambio señalando que la restricción vigente genera una asimetría entre instrumentos locales y extranjeros. El exministro del Trabajo Giorgio Boccardo calificó la medida como un retroceso, argumentando que permitir comisiones indirectas implica que los afiliados paguen dos veces por el mismo servicio, mientras el académico Hugo Cifuentes y el exsubsecretario Pedro Pizarro advirtieron que podría reabrir la discusión previsional y tensionar el régimen de inversión recién aprobado. El diputado Carlos Bianchi anticipó escrutinio parlamentario sobre este punto, junto a materias tributarias, accionistas minoritarios y la ley de fraudes.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Mario Farren, presidente de BancoEstado: “Con el Fonavi podríamos tener la capacidad de financiar en los próximos años, más de 220 mil viviendas”</w:t>
      </w:r>
    </w:p>
    <w:p>
      <w:pPr>
        <w:spacing w:before="40" w:after="60"/>
        <w:ind w:left="283"/>
      </w:pPr>
      <w:r>
        <w:rPr>
          <w:rFonts w:ascii="Arial" w:hAnsi="Arial"/>
          <w:color w:val="404040"/>
          <w:sz w:val="21"/>
        </w:rPr>
        <w:t>El titular de BancoEstado, entidad que otorga el 40% de los créditos hipotecarios del país, proyectó que el Fondo Nacional para la Vivienda permitiría financiar más de 220 mil viviendas en los próximos años, cifra que sumada a las 30 mil del Fogaes llegaría a unas 250 mil. Destacó la eficiencia fiscal del instrumento —requiere un sexto del gasto del Fogaes para el mismo efecto— y abrió la puerta a que lo reemplace si logra implementarse antes de que este se agote. En términos concretos, el mecanismo reduciría el pie exigido de 20% a 10%, elevando el financiamiento hasta 90% del valor, y para quienes acrediten ahorro durante 30 meses el pie bajaría a 7%, aportando el Estado el 3% restante; sobre una hipoteca promedio de UF 2.300 (unos $ 100 millones), el dividendo mensual podría caer cerca de $ 50 mil desde los $ 520 mil-$ 530 mil actuales. Farren enmarcó la medida en un déficit habitacional agravado porque en dos décadas el valor de las viviendas triplicó el alza de los salarios, mientras las tasas hipotecarias pasaron de menos de 2% a 30 años a 4,3% a 20 años, y reconoció el riesgo de presión sobre precios, mitigado por la inclusión de viviendas usadas.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Sindicato de Albemarle cierra negociación colectiva con pago de más de $ 23 millones</w:t>
      </w:r>
    </w:p>
    <w:p>
      <w:pPr>
        <w:spacing w:before="40" w:after="60"/>
        <w:ind w:left="283"/>
      </w:pPr>
      <w:r>
        <w:rPr>
          <w:rFonts w:ascii="Arial" w:hAnsi="Arial"/>
          <w:color w:val="404040"/>
          <w:sz w:val="21"/>
        </w:rPr>
        <w:t>El Sindicato Unitario del Litio, que reúne a 540 trabajadores de la minera estadounidense Albemarle, cerró su negociación colectiva con un paquete total de $ 30,5 millones por término de conflicto. La estructura contempla un monto líquido garantizado de $ 23,5 millones más un bono de permanencia de $ 9 millones pagadero en 35 cuotas mensuales, este último restituible solo en caso de despido por causales disciplinarias del artículo 160, no así ante renuncia, mutuo acuerdo o necesidades de la empresa. El acuerdo incluye además un préstamo blando de $ 2 millones y el pago se concretará el 17 de septiembre. La compañía valoró el diálogo con la dirigencia sindical y calificó el resultado como mutuamente beneficioso.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Sunny Mann, presidente global de Baker McKenzie: “El hecho de que haya venido aquí a los pocos meses de asumir el cargo, envía una señal a nuestros clientes y al mercado”</w:t>
      </w:r>
    </w:p>
    <w:p>
      <w:pPr>
        <w:spacing w:before="40" w:after="60"/>
        <w:ind w:left="283"/>
      </w:pPr>
      <w:r>
        <w:rPr>
          <w:rFonts w:ascii="Arial" w:hAnsi="Arial"/>
          <w:color w:val="404040"/>
          <w:sz w:val="21"/>
        </w:rPr>
        <w:t>El líder global del estudio jurídico, con más de 70 oficinas en 40 países, visitó Chile a diez meses de asumir y sostuvo que la reconfiguración geopolítica está beneficiando a la región, porque las empresas están diversificando socios comerciales y cadenas de suministro, lo que se traduce en mayor flujo de trabajo transaccional y de inversión en Santiago. Mann destacó los minerales críticos, la energía y la agroindustria como sectores donde Chile ofrece ventajas frente a preocupaciones globales de seguridad energética y alimentaria, y valoró que el actual gobierno emita señales favorables a la inversión. En materia de inteligencia artificial, señaló que la firma es uno de los tres bufetes que más invierten a nivel mundial —con desarrollos propios desde 2024 mediante un joint venture con Spark Beyond— y que su impacto se concentra en eficiencia en litigios masivos, estrategias de negociación y respuesta ante brechas de ciberseguridad, descartando por ahora reemplazo de cargos de entrada. A nivel local, el managing partner Antonio Ortúzar proyectó alta actividad de M&amp;A en minería, impulsada por la invariabilidad tributaria para proyectos sobre US$ 350 millones de la ley de reconstrucción y la reducción de plazos en permisos ambientales.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Ricardo Hausmann: “El principal riesgo geopolítico de Chile, Perú y Colombia es el estadounidense”</w:t>
      </w:r>
    </w:p>
    <w:p>
      <w:pPr>
        <w:spacing w:before="40" w:after="60"/>
        <w:ind w:left="283"/>
      </w:pPr>
      <w:r>
        <w:rPr>
          <w:rFonts w:ascii="Arial" w:hAnsi="Arial"/>
          <w:color w:val="404040"/>
          <w:sz w:val="21"/>
        </w:rPr>
        <w:t>El fundador del Growth Lab de Harvard expuso en el seminario de mercados de capitales organizado por nuam y Asobolsa en Cartagena de Indias, donde advirtió que pese a contar con gobiernos de derecha, Chile, Perú y Colombia no están protegidos de las políticas de Donald Trump. Su argumento es que los acercamientos comerciales de estos países con China pueden generar fricciones con Washington, y citó como precedente el cable submarino de fibra óptica acordado por el gobierno de Boric con el gigante asiático, que derivó en la revocación de la visa del exministro de Transportes Juan Carlos Muñoz. Hausmann también criticó duramente la intervención estadounidense en Venezuela, afirmando que no vinieron a liberar sino a conquistar, cuestionando la falta de transparencia en la gestión del negocio petrolero y señalando que, a siete meses de la captura de Nicolás Maduro, la inflación venezolana se elevó 19,9% en julio. En el mismo encuentro, la presidenta de Asobolsa, Shenny González, planteó que el próximo desafío de nuam es la operación efectivamente integrada de las tres bolsas, lo que requiere equivalencia regulatoria, reglas transfronterizas y cooperación entre supervisores.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preparativos de Kast para su primera intervención ante la asamblea de las Naciones Unidas</w:t>
      </w:r>
    </w:p>
    <w:p>
      <w:pPr>
        <w:spacing w:before="40" w:after="60"/>
        <w:ind w:left="283"/>
      </w:pPr>
      <w:r>
        <w:rPr>
          <w:rFonts w:ascii="Arial" w:hAnsi="Arial"/>
          <w:color w:val="404040"/>
          <w:sz w:val="21"/>
        </w:rPr>
        <w:t>El Presidente José Antonio Kast debutará ante la 81ª Asamblea General de la ONU en Nueva York entre el 22 y el 24 de septiembre, con un discurso de máximo 15 minutos elaborado por la Cancillería y el jefe de contenidos Cristián Valenzuela, centrado en seguridad regional, control de la migración irregular, combate al crimen transnacional y desarrollo económico, con un tono deliberadamente moderado. El eje será transmitir neutralidad estratégica, manteniendo el equilibrio en las relaciones económicas y diplomáticas con Estados Unidos y China sin involucrarse en la disputa comercial entre ambas potencias, y promover la candidatura de Valparaíso como sede del Tratado de Alta Mar (BBNJ). La delegación buscará además concretar una reunión bilateral con Trump como señal previa a los viajes de ambos mandatarios a la cumbre APEC en China en noviembre, tras la cual Kast contempla una visita oficial y un encuentro con Xi Jinping en Beijing. El gobierno evitará abordar en el discurso la decisión de no respaldar la candidatura de Michelle Bachelet a la Secretaría General, y la intervención marcará un giro respecto de la posición que Kast sostuvo años atrás, cuando llegó a plantear el retiro de Chile del organismo.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paradoja del empleo en la Región Metropolitana: empresas proyectan casi 260 mil vacantes, pero más de 26 mil puestos ya quedaron sin cubrir</w:t>
      </w:r>
    </w:p>
    <w:p>
      <w:pPr>
        <w:spacing w:before="40" w:after="60"/>
        <w:ind w:left="283"/>
      </w:pPr>
      <w:r>
        <w:rPr>
          <w:rFonts w:ascii="Arial" w:hAnsi="Arial"/>
          <w:color w:val="404040"/>
          <w:sz w:val="21"/>
        </w:rPr>
        <w:t>La Encuesta Nacional de Demanda Laboral reveló que 26.017 vacantes en la Región Metropolitana no lograron cubrirse entre junio de 2024 y mayo del año pasado, mientras las empresas proyectan generar 257.231 nuevos puestos durante el presente ejercicio, todo en un contexto de desempleo regional de 9,5% en el trimestre mayo-julio, 0,3 punto porcentual más que un año atrás. La principal barrera detectada fue la falta de competencias técnicas, mencionada por 16.459 empresas, seguida por la ausencia de habilidades socioemocionales (12.722) y, en tercer lugar, por el rechazo de los postulantes a la remuneración ofrecida (10.374), factor que desplaza parte de la responsabilidad hacia las condiciones que ofrecen las propias compañías. Más atrás aparecen la falta de experiencia (8.739), la escasez de postulantes (7.503), la ubicación geográfica (7.457), la carencia de licencias (7.278) y las condiciones de jornada (5.753). El estudio detectó además un giro prospectivo: aunque los oficios concentran más de la mitad de las contrataciones observadas, las vacantes proyectadas exigen mayor formación técnica superior y universitaria, junto con habilidades de liderazgo, trabajo en equipo y resolución de problemas.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Pablo García, exvicepresidente del Banco Central:“El Fonavi en sí mismo requiere de un análisis cuidadoso”</w:t>
      </w:r>
    </w:p>
    <w:p>
      <w:pPr>
        <w:spacing w:before="40" w:after="60"/>
        <w:ind w:left="283"/>
      </w:pPr>
      <w:r>
        <w:rPr>
          <w:rFonts w:ascii="Arial" w:hAnsi="Arial"/>
          <w:color w:val="404040"/>
          <w:sz w:val="21"/>
        </w:rPr>
        <w:t>El académico de la UAI dividió su lectura de la MK4 en dos componentes: por un lado el Fondo Nacional para la Vivienda, que a su juicio exige un examen detallado por sus implicancias fiscales y de diseño de incentivos, interpretándolo como un sustituto de subsidios a la tasa de interés que resultaban insostenibles año a año y como respuesta al rezago extraordinario del sector construcción. Por otro lado, valoró las medidas de modernización financiera, entre ellas el acceso más fluido de inversionistas no residentes al mercado de renta fija chilena —que podría reducir los costos de financiamiento de la deuda soberana— y la autorización a los fondos de pensiones para operar Repo, ambas orientadas a la convertibilidad del peso y la internacionalización del mercado de capitales. Sobre la estimación de Hacienda de un aumento de 0,9% del PIB en una década, García señaló que no es una métrica calculable con certeza, aunque el efecto sería con alta probabilidad positivo. Respecto del último IPoM, consideró acertado retratar un 2026 débil con rebote en 2027-2028 sin cambios inflacionarios significativos, y destacó la neutralidad del comunicado del Banco Central, coherente con estar cerca de la tasa neutral y con dudas sobre la persistencia de los shocks de oferta.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IPC de EEUU en agosto cumple las expectativas pero no reduce las apuestas por un alza de tasas de la Fed</w:t>
      </w:r>
    </w:p>
    <w:p>
      <w:pPr>
        <w:spacing w:before="40" w:after="60"/>
        <w:ind w:left="283"/>
      </w:pPr>
      <w:r>
        <w:rPr>
          <w:rFonts w:ascii="Arial" w:hAnsi="Arial"/>
          <w:color w:val="404040"/>
          <w:sz w:val="21"/>
        </w:rPr>
        <w:t>La Oficina de Estadísticas Laborales informó que el IPC estadounidense avanzó 0,4% mensual en agosto, en línea con lo esperado, llevando la inflación interanual a 3,4%. El alza estuvo dominada por la energía: la gasolina subió 3,9% y explicó más de un tercio del incremento, mientras el componente energético general aumentó 2,1% y acumula un avance interanual de 16,3% por las tensiones en Medio Oriente; los alimentos se aceleraron 2,7% anual, la vivienda subió 0,3% y los servicios de transporte 0,5%. El dato subyacente sorprendió al alza en 0,1 punto porcentual, ubicándose en 0,3% mensual y 2,4% anual, de modo que ambos indicadores siguen sobre la meta de 2% de la Reserva Federal presidida por Kevin Warsh, quien ha condicionado la mantención de tasas a que continúe la desinflación. Analistas de BofA y Ebury estiman que el registro basta para convencer a los escépticos del comité de un alza, con mercados descontando más de 80 puntos base de subidas en doce meses, aunque XTB advierte que el movimiento de la próxima semana no puede darse por descontado; en paralelo, la AAA reportó un récord de US$ 6,06 por galón de diésel.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precio del diésel en EEUU alcanza un récord de US$ 6 por galón en medio de la crisis de suministro por la guerra con Irán</w:t>
      </w:r>
    </w:p>
    <w:p>
      <w:pPr>
        <w:spacing w:before="40" w:after="60"/>
        <w:ind w:left="283"/>
      </w:pPr>
      <w:r>
        <w:rPr>
          <w:rFonts w:ascii="Arial" w:hAnsi="Arial"/>
          <w:color w:val="404040"/>
          <w:sz w:val="21"/>
        </w:rPr>
        <w:t>El diésel al consumidor en Estados Unidos alcanzó US$ 6,06 por galón según la asociación AAA, superando el récord previo de US$ 5,82 de 2022 posterior a la invasión rusa de Ucrania, en medio de la guerra con Irán y los ataques ucranianos a refinerías rusas que estrangulan el suministro global de combustibles. El fenómeno es especialmente sensible porque se trata de un insumo crítico para la industria y la agricultura, y llega justo antes de la temporada alta de cosecha en el Hemisferio Norte, que alcanza su punto máximo en octubre y se extiende hasta noviembre, cuando además comienza la demanda por calefacción. Analistas consultados subrayan que no es un repunte puntual sino un ascenso sostenido y que la demanda de diésel tiene escasa elasticidad, mientras los agricultores del Cinturón del Maíz enfrentan márgenes erosionados por combustibles y fertilizantes. El costo de vida se ha convertido en un problema político a semanas de las elecciones de mitad de mandato: los precios al consumidor están 28% por sobre niveles prepandemia y la aprobación de Trump cayó a un mínimo de 33% entre votantes registrados, según una encuesta del Financial Times.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Irán y los Estados del Golfo se reunirán para impulsar un acuerdo sobre Ormuz</w:t>
      </w:r>
    </w:p>
    <w:p>
      <w:pPr>
        <w:spacing w:before="40" w:after="60"/>
        <w:ind w:left="283"/>
      </w:pPr>
      <w:r>
        <w:rPr>
          <w:rFonts w:ascii="Arial" w:hAnsi="Arial"/>
          <w:color w:val="404040"/>
          <w:sz w:val="21"/>
        </w:rPr>
        <w:t>Los cancilleres del Consejo de Cooperación del Golfo se reunirán el lunes en Salalah, Omán, con su par iraní Abbas Araghchi, en el primer encuentro de este tipo desde que Estados Unidos e Israel iniciaron la guerra contra la República Islámica en febrero. La iniciativa, impulsada por Omán e Irán, busca respaldo regional a un acuerdo temporal según el cual los buques ingresarían al estrecho de Ormuz por aguas iraníes y saldrían principalmente por territorio omaní, aunque los diplomáticos advierten que la reapertura plena requeriría un entendimiento directo entre Washington y Teherán, hoy inexistente y canalizado solo por mediadores. Irán condiciona la apertura total al levantamiento del bloqueo a sus puertos, la restitución de la exención para vender petróleo y el acceso a activos congelados, mientras Estados Unidos ha señalado que solo aceptará un acuerdo amplio que incluya el programa nuclear. La sola publicación de los planes por el Financial Times hizo caer los futuros del Brent 2,7% hasta US$ 104,74 por barril, tras haber rozado los US$ 110 el jueves, en un conflicto que ya cumple siete meses y que se ha visto agravado por la ofensiva hutí sobre Bab el-Mandeb.</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Abogados explican las implicancias del primer reglamento de la Ley de Protección de Datos Personales</w:t>
      </w:r>
    </w:p>
    <w:p>
      <w:pPr>
        <w:spacing w:before="40" w:after="60"/>
        <w:ind w:left="283"/>
      </w:pPr>
      <w:r>
        <w:rPr>
          <w:rFonts w:ascii="Arial" w:hAnsi="Arial"/>
          <w:color w:val="404040"/>
          <w:sz w:val="21"/>
        </w:rPr>
        <w:t>El Diario Oficial publicó esta semana el primer reglamento de la ley que regula el tratamiento de datos personales y crea la Agencia de Protección de Datos, normativa que entra en vigencia el 1 de diciembre salvo que el Congreso apruebe la postergación propuesta por el Ejecutivo. El texto fija requisitos, modalidades y procedimientos para implementar, certificar, registrar y supervisar los modelos de prevención de infracciones, un programa de cumplimiento de adopción voluntaria para responsables del tratamiento, sean personas naturales o jurídicas, públicas o privadas. Entre las exigencias figuran caracterizar los datos y actividades de tratamiento, construir una matriz de riesgos con los procesos más expuestos, establecer protocolos y canales de denuncia, y designar un delegado de protección de datos con conocimientos acreditados, independencia, recursos suficientes y ausencia de conflictos de interés. Especialistas de Prieto Abogados y az destacan que contar con el modelo certificado operaría como atenuante frente a sanciones, permitiendo a la agencia moverse dentro del rango en lugar de aplicar la infracción máxima de 20 mil UTM.</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Más de la mitad de las empresas en Chile están poco preparadas para cumplir la Ley de Protección de Datos</w:t>
      </w:r>
    </w:p>
    <w:p>
      <w:pPr>
        <w:spacing w:before="40" w:after="60"/>
        <w:ind w:left="283"/>
      </w:pPr>
      <w:r>
        <w:rPr>
          <w:rFonts w:ascii="Arial" w:hAnsi="Arial"/>
          <w:color w:val="404040"/>
          <w:sz w:val="21"/>
        </w:rPr>
        <w:t>Un estudio de Deloitte y la Cámara de Comercio de Santiago aplicado a 91 empresas concluyó que el 52% presenta un nivel bajo de preparación para la nueva Ley de Protección de Datos Personales, pese a que un 82% declara conocerla total o parcialmente. Las brechas más críticas están en la respuesta ante incidentes: un 84% no estaría en condiciones de cumplir la obligación de reportar a la futura agencia, ya sea por carecer de protocolo o porque el existente no contempla ese deber legal; en paralelo, un 84% no tiene política de privacidad vigente y un 86% no dispone de medios digitales ni procedimientos documentados para atender derechos de rectificación, supresión o bloqueo de decisiones automatizadas. El rezago se concentra en las MiPYME de hasta 50 trabajadores, con 61% en nivel bajo frente a 27% en compañías de más de 500 colaboradores, y por sector en consumo y retail, con 67%. Además, el 62% no ha capacitado a sus trabajadores, el 54% carece de un área dedicada y el 42% no ha iniciado plan de acción, en un contexto donde el Ejecutivo ingresó el 1 de septiembre un proyecto para postergar la entrada en vigencia fijada para el 1 de diciembre.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CPC abre discusión para reformar sus estatutos: reelección presidencial y ampliar universo de candidatos están sobre la mesa</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REFORMA AL MERCADO DE CAPITALES: REFORZAR UN PILAR DE DESARROLLO</w:t>
      </w:r>
    </w:p>
    <w:p>
      <w:pPr>
        <w:spacing w:before="40" w:after="60"/>
        <w:ind w:left="283"/>
      </w:pPr>
      <w:r>
        <w:rPr>
          <w:rFonts w:ascii="Arial" w:hAnsi="Arial"/>
          <w:color w:val="404040"/>
          <w:sz w:val="21"/>
        </w:rPr>
        <w:t>La columna sostiene que un mercado de capitales eficaz es, junto con la estabilidad de precios, la sostenibilidad fiscal y la libre competencia, uno de los pilares económicos del desarrollo, y que esa infraestructura financiera sigue siendo una ventaja competitiva de Chile frente a la región pese al daño provocado por los retiros de fondos de pensiones. Destaca que el país lleva dieciséis años sin cambios relevantes en la materia —las reformas MK1, MK2 y MK3 datan de 2001, 2007 y 2010— debido en parte a la percepción errada de que estas materias solo benefician a un segmento minoritario. Valora que el nuevo proyecto enviado al Congreso ponga el foco en el acceso a la vivienda propia y en mejores condiciones de financiamiento para emprendedores y empresas de menor tamaño, acercando los frutos del ahorro y la inversión a toda la población. Finalmente, plantea que la eliminación de trabas tributarias y regulatorias podría permitir a Chile aprovechar su ventaja regional como proveedor de servicios financieros, y espera que la tramitación legislativa mejore el texto sin prolongarse en exceso.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SEIA y su función técnica</w:t>
      </w:r>
    </w:p>
    <w:p>
      <w:pPr>
        <w:spacing w:before="40" w:after="60"/>
        <w:ind w:left="283"/>
      </w:pPr>
      <w:r>
        <w:rPr>
          <w:rFonts w:ascii="Arial" w:hAnsi="Arial"/>
          <w:color w:val="404040"/>
          <w:sz w:val="21"/>
        </w:rPr>
        <w:t>La columna argumenta que, mientras el Congreso tramita la reforma al Sistema de Evaluación de Impacto Ambiental, es necesario delimitar su propósito: evaluar técnicamente los impactos de proyectos concretos, y no resolver en cada evaluación discusiones territoriales o estratégicas que el Estado debió zanjar previamente. Propone avanzar en tres frentes: mejor planificación territorial, una Evaluación Ambiental Estratégica efectiva y un marco de obligaciones legales más robusto. Los dos primeros permitirían definir con anticipación dónde y bajo qué condiciones desarrollar actividades productivas, mientras el tercero aseguraría que los permisos se sustenten en legislación estándar, acotando la discrecionalidad de los compromisos ambientales. La conclusión es que fortalecer el SEIA no debe traducirse en cargarlo con más decisiones políticas, sino en permitirle cumplir mejor su función técnica, generando un sistema más predecible, eficiente y legítimo.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Menor complejidad, mejor atención de salud</w:t>
      </w:r>
    </w:p>
    <w:p>
      <w:pPr>
        <w:spacing w:before="40" w:after="60"/>
        <w:ind w:left="283"/>
      </w:pPr>
      <w:r>
        <w:rPr>
          <w:rFonts w:ascii="Arial" w:hAnsi="Arial"/>
          <w:color w:val="404040"/>
          <w:sz w:val="21"/>
        </w:rPr>
        <w:t>El texto critica lo que denomina la sobrecomplejización de la salud en Chile, señalando que grandes clínicas e isapres han consolidado un modelo donde procedimientos de baja complejidad y pocos minutos se tratan con la misma infraestructura y tiempos de una cirugía mayor: ayuno prolongado, vías venosas, anestesia general en pabellón central y horas de recuperación. Sostiene que esta lógica responde más al modelo de negocios e infraestructura de los grandes centros que a las necesidades del paciente, y que conlleva riesgos médicos inherentes asociados a anestesias invasivas y al ambiente intrahospitalario. Denuncia además un incentivo perverso en la cobertura: los convenios de isapres permiten que el paciente pague solo el copago en grandes prestadores, mientras en centros pequeños y ágiles debe desembolsar el total y esperar el reembolso. Concluye que descomplejizar la medicina no implica reducir calidad sino modernizarla, asignando a cada procedimiento la infraestructura y el tiempo que efectivamente requiere.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¿Sabe usted si un algoritmo decidió algo sobre su vida?</w:t>
      </w:r>
    </w:p>
    <w:p>
      <w:pPr>
        <w:spacing w:before="40" w:after="60"/>
        <w:ind w:left="283"/>
      </w:pPr>
      <w:r>
        <w:rPr>
          <w:rFonts w:ascii="Arial" w:hAnsi="Arial"/>
          <w:color w:val="404040"/>
          <w:sz w:val="21"/>
        </w:rPr>
        <w:t>La columna plantea que decisiones estatales con impacto directo en las personas —el rechazo de un subsidio, la posición en una lista de espera de salud o la selección para una fiscalización— son cada vez más tomadas por sistemas automatizados, y que cuando afectan derechos la ciudadanía tiene derecho a conocer cómo se adoptan. Señala que el requisito previo a entender el funcionamiento de un algoritmo es simplemente saber que existe, algo que casi ningún país ha resuelto. Desde 2020 decenas de naciones han implementado registros de algoritmos concebidos como catálogos institucionales, pero la experiencia internacional muestra una falla recurrente: es la propia entidad que utiliza el sistema la que decide qué declarar, sin contraste externo con la realidad. La autora, directora ejecutiva de la Red de Integridad y Estado Abierto, invita a cuestionar cuándo una decisión estatal parece automática y si ese sistema está registrado donde cualquier persona pueda encontrarlo, como primer paso de la transparencia algorítmica.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jornada invisible</w:t>
      </w:r>
    </w:p>
    <w:p>
      <w:pPr>
        <w:spacing w:before="40" w:after="60"/>
        <w:ind w:left="283"/>
      </w:pPr>
      <w:r>
        <w:rPr>
          <w:rFonts w:ascii="Arial" w:hAnsi="Arial"/>
          <w:color w:val="404040"/>
          <w:sz w:val="21"/>
        </w:rPr>
        <w:t>La columna aborda la carga de trabajo no remunerado que se suma al empleo formal, apoyándose en la Encuesta Nacional sobre Uso del Tiempo: en un día de semana las mujeres destinan en promedio cerca de una hora diaria más que los hombres a labores de cuidado y alrededor de hora y media más a tareas domésticas, y cerca de siete de cada diez personas que cuidan durante la semana son mujeres. Esa carga alcanza su mayor intensidad entre los 25 y 45 años, justo el tramo en que se acumula experiencia y se definen ascensos, y persiste incluso entre quienes trabajan más de 46 horas semanales. Un análisis de más de 100 mil postulaciones en cinco años, realizado junto a Fibra Consultores, mostró que las mujeres postulan a empleos híbridos o remotos aproximadamente el doble que los hombres. La autora concluye que la flexibilidad no es una comodidad sino una condición para competir por oportunidades laborales, y que la brecha puede originarse antes de la entrevista, cuando una misma vacante llega a personas con restricciones de tiempo muy desiguales.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Salud y bienestar: las nuevas prioridades del consumidor chileno</w:t>
      </w:r>
    </w:p>
    <w:p>
      <w:pPr>
        <w:spacing w:before="40" w:after="60"/>
        <w:ind w:left="283"/>
      </w:pPr>
      <w:r>
        <w:rPr>
          <w:rFonts w:ascii="Arial" w:hAnsi="Arial"/>
          <w:color w:val="404040"/>
          <w:sz w:val="21"/>
        </w:rPr>
        <w:t>La columna expone hallazgos del estudio Consumer Pulse 2026 de Bain &amp; Company, según el cual el 40% de las personas en Chile declara haber experimentado niveles altos o extremos de estrés en los últimos tres meses. Más relevante aún, salud y bienestar emergen como la principal fuente de estrés con un 59%, superando incluso a las preocupaciones financieras. La autora sostiene que este desplazamiento de prioridades representa simultáneamente un desafío y una oportunidad para las empresas, porque ya no basta con incorporar la palabra bienestar en una campaña o etiquetar un producto como saludable. Concluye que las marcas capaces de escuchar estas necesidades, traducirlas en soluciones concretas y construir relaciones basadas en la confianza serán las que logren conexión genuina y valor sostenible en el tiempo.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11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