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29 De Julio De 2026</w:t>
      </w:r>
    </w:p>
    <w:p>
      <w:pPr>
        <w:jc w:val="center"/>
      </w:pPr>
      <w:r>
        <w:rPr>
          <w:rFonts w:ascii="Arial" w:hAnsi="Arial"/>
          <w:color w:val="999999"/>
          <w:sz w:val="20"/>
        </w:rPr>
        <w:t>6 secciones  ·  19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Dólar salta hacia los $ 940 por repunte de tensiones en Medio Oriente previo a incierta decisión de política monetaria en EEUU</w:t>
      </w:r>
    </w:p>
    <w:p>
      <w:pPr>
        <w:spacing w:before="40" w:after="60"/>
        <w:ind w:left="283"/>
      </w:pPr>
      <w:r>
        <w:rPr>
          <w:rFonts w:ascii="Arial" w:hAnsi="Arial"/>
          <w:color w:val="404040"/>
          <w:sz w:val="21"/>
        </w:rPr>
        <w:t>Las declaraciones de Trump anunciando que EEUU 'golpeará con fuerza' a Irán tras ataques a una base en Jordania impulsaron el petróleo Brent un 7% hasta US$ 90/barril y llevaron el dólar en Chile a $ 940, máximo de la sesión. La Reserva Federal debía anunciar ese mismo día su decisión de tasas, con el mercado descontando un tercio de probabilidad de alza de 25 puntos base. El Banco Central de Chile había mantenido el día anterior su tasa en 4,5%, pero el mercado interpretó el comunicado con tono restrictivo dado los riesgos inflacionarios del conflicto geopolítico y el alza de costos laborales. Analistas de Scotiabank señalaron que, si la Fed mantiene tasas sin orientación clara, el dólar global podría debilitarse.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IPSA abre a la baja arrastrado por Latam en medio del repunte del petróleo y dudas sobre el anuncio de la Fed</w:t>
      </w:r>
    </w:p>
    <w:p>
      <w:pPr>
        <w:spacing w:before="40" w:after="60"/>
        <w:ind w:left="283"/>
      </w:pPr>
      <w:r>
        <w:rPr>
          <w:rFonts w:ascii="Arial" w:hAnsi="Arial"/>
          <w:color w:val="404040"/>
          <w:sz w:val="21"/>
        </w:rPr>
        <w:t>El S&amp;P IPSA cayó 0,2% adicional hasta los 10.860 puntos en los primeros negocios, arrastrado principalmente por Latam (-2,8%), una de las acciones de mayor ponderación del índice. Andina-B retrocedió 1,1% pese a superar expectativas con su Ebitda del segundo trimestre ($ 140 mil millones vs. consenso de $ 135 mil millones), mientras Enel Chile cayó 2,2% tras reportar un Ebitda de US$ 262 millones, por debajo de los US$ 272 millones esperados. El ambiente global fue afectado por el alza del Brent en 6,4% hasta US$ 89,5/barril ante la escalada con Irán, y Wall Street también operaba en rojo, con el Dow Jones cediendo 0,8%.</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Caso Sartor: Carlos Larraín declaró a Fiscalía que el rescate de E-Capital no fue informado al directorio de la AGF</w:t>
      </w:r>
    </w:p>
    <w:p>
      <w:pPr>
        <w:spacing w:before="40" w:after="60"/>
        <w:ind w:left="283"/>
      </w:pPr>
      <w:r>
        <w:rPr>
          <w:rFonts w:ascii="Arial" w:hAnsi="Arial"/>
          <w:color w:val="404040"/>
          <w:sz w:val="21"/>
        </w:rPr>
        <w:t>Carlos Larraín, uno de los 11 imputados a formalizar, declaró que ingresó al directorio de Sartor AGF en 2015 por pedido de su padre y sin funciones operativas ni acceso a sistemas de inversión, distanciándose de las decisiones de inversión de los fondos. Sostuvo que los socios fundadores tomaron en 2018 la decisión de rescatar a E-Capital —factoring que adeudaba cerca de $ 30.000 millones a los fondos (suma que llegó a casi $ 30 mil millones con intereses al 2021)— sin informarlo formalmente al directorio ni registrarlo en los estados financieros de ese año. Sobre las operaciones 'Back to Back', afirmó que le fueron informadas a mediados de 2023 como legítimas y validadas por el equipo legal de Sartor, y que el equipo de Credicorp estaba al tanto desde el inicio. Respecto a la venta de Danke SF SpA —vehículo creado para absorber los pasivos de E-Capital—, sostuvo que la sociedad tenía patrimonio neto negativo de $ 6.723 millones al 31 de octubre de 2024 y que personalmente no recibió dinero alguno.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Presidente de Moneda Patria Investments: "Estoy claramente más optimista respecto de Chile que hace un año"</w:t>
      </w:r>
    </w:p>
    <w:p>
      <w:pPr>
        <w:spacing w:before="40" w:after="60"/>
        <w:ind w:left="283"/>
      </w:pPr>
      <w:r>
        <w:rPr>
          <w:rFonts w:ascii="Arial" w:hAnsi="Arial"/>
          <w:color w:val="404040"/>
          <w:sz w:val="21"/>
        </w:rPr>
        <w:t>Pablo Echeverría, presidente de Moneda Patria Investments —gestora que administra más de US$ 15 mil millones y que junto a Patria Investments totaliza cerca de US$ 60 mil millones en activos bajo gestión—, expresó mayor optimismo sobre Chile en el seminario 'From Global to Local', atribuido a avances concretos como la reducción de tributación corporativa, mayor certeza para la inversión y la agilización de permisos del Plan de Reconstrucción Nacional. Planteó cuatro prioridades para reactivar el crecimiento: recuperar capacidad exportadora (señaló que Chile produce prácticamente el mismo volumen de cobre que hace dos décadas pese al precio sobre US$ 6/libra), compatibilizar desarrollo y regulación ambiental, profundizar el mercado de capitales con más IPO y mayor liquidez, y flexibilizar el mercado laboral. Advirtió que ninguno de estos ejes prosperará sin cambios institucionales que reduzcan la fragmentación política y sin recuperar la seguridad pública. Destacó que el 85% de los activos administrados por Moneda Patria ha superado sus índices de referencia en horizontes de uno, tres y cinco años.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El petróleo frena su caída y vuelve a subir en medio de una nueva escalada de tensiones entre EEUU e Irán</w:t>
      </w:r>
    </w:p>
    <w:p>
      <w:pPr>
        <w:spacing w:before="40" w:after="60"/>
        <w:ind w:left="283"/>
      </w:pPr>
      <w:r>
        <w:rPr>
          <w:rFonts w:ascii="Arial" w:hAnsi="Arial"/>
          <w:color w:val="404040"/>
          <w:sz w:val="21"/>
        </w:rPr>
        <w:t>Los precios del petróleo subieron más de un 4% tras una nueva escalada bélica: EEUU y Arabia Saudita lanzaron ataques contra grupos respaldados por Irán en Irak, en respuesta a ataques con drones contra instalaciones petroleras saudíes, mientras Irán disparó misiles balísticos contra tropas estadounidenses en la región. El Brent subió a US$ 87,81/barril (+4,4%) y el WTI a US$ 82,69 (+4,3%), impulsados también por una reducción de 3,3 millones de barriles en las reservas de crudo de EEUU (datos del API) y el rechazo de Irán a la propuesta de Omán para gestión conjunta del estrecho de Ormuz, que permanece casi bloqueado. Los grupos hutíes de Yemen barajan además cobrar tasas a buques mercantes en el mar Rojo, y la OPEP+ evalúa suspender los aumentos de producción durante tres meses desde octubre, factores que suman presión alcista sobre el crudo.</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Cuáles son los factores de la propuesta de régimen de inversión que allanarían la licitación de stock de afiliados para las AFP</w:t>
      </w:r>
    </w:p>
    <w:p>
      <w:pPr>
        <w:spacing w:before="40" w:after="60"/>
        <w:ind w:left="283"/>
      </w:pPr>
      <w:r>
        <w:rPr>
          <w:rFonts w:ascii="Arial" w:hAnsi="Arial"/>
          <w:color w:val="404040"/>
          <w:sz w:val="21"/>
        </w:rPr>
        <w:t>La Superintendencia de Pensiones cerró el 31 de julio la consulta sobre el nuevo régimen de inversión de fondos previsionales, que propone transitar de multifondos a un sistema de 10 fondos generacionales. Dos elementos del régimen facilitan la futura licitación de stock de afiliados —mecanismo de la reforma previsional de 2025 que licita cada dos años un 10% del stock a la AFP con menor comisión, con primer llamado en agosto de 2027 y traspaso en junio de 2028—: la exigencia de que las AFP incorporen cláusulas de transferencia de activos alternativos con sus socios gestores, premiada con contabilizar solo el 50% de los compromisos en los límites (vs. 60% actual); y la posibilidad de crear fondos matrices que canalizan inversiones de varios fondos generacionales, mejorando la eficiencia operativa especialmente para AFP más pequeñas.</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Daños por temporales: MOP financiará las primeras obras de reconstrucción y Hacienda analiza fórmula para el largo plazo</w:t>
      </w:r>
    </w:p>
    <w:p>
      <w:pPr>
        <w:spacing w:before="40" w:after="60"/>
        <w:ind w:left="283"/>
      </w:pPr>
      <w:r>
        <w:rPr>
          <w:rFonts w:ascii="Arial" w:hAnsi="Arial"/>
          <w:color w:val="404040"/>
          <w:sz w:val="21"/>
        </w:rPr>
        <w:t>El MOP movilizará recursos propios de su presupuesto para cubrir las obras urgentes tras los temporales en Atacama y Coquimbo, mientras trabaja con Hacienda en el esquema definitivo de financiamiento de mediano y largo plazo, aún sin resolver. El catastro preliminar asciende a US$ 700 millones en daños totales —US$ 500 millones en infraestructura pública (de los cuales US$ 120 millones en activos concesionados y US$ 380 millones a cargo directo del Estado) y US$ 200 millones en viviendas—, aunque expertos advierten que las estimaciones iniciales suelen incrementarse entre un 10% y un 20% al completarse los catastros. La evidencia técnica indica que un aumento de 10% en inversión pública puede elevar el PIB per cápita en 1,7% a largo plazo, con un multiplicador cercano a dos, de modo que un programa de US$ 400 millones generaría un efecto acumulado de casi US$ 800 millones en la actividad económica.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Kast apuesta por profundizar el modelo de concesiones: “El Estado solo no tiene las capacidades ni los recursos”</w:t>
      </w:r>
    </w:p>
    <w:p>
      <w:pPr>
        <w:spacing w:before="40" w:after="60"/>
        <w:ind w:left="283"/>
      </w:pPr>
      <w:r>
        <w:rPr>
          <w:rFonts w:ascii="Arial" w:hAnsi="Arial"/>
          <w:color w:val="404040"/>
          <w:sz w:val="21"/>
        </w:rPr>
        <w:t>En el aniversario del Consejo de Políticas de Infraestructura (CPI), el Presidente aseguró que el Gobierno está utilizando las propuestas elaboradas por el organismo para definir su agenda del sector, respaldó una institucionalidad estratégica de alto nivel y reafirmó la alianza público-privada como eje para impulsar una nueva etapa de inversiones. El expresidente Eduardo Frei, en tanto, llamó a concretar una “segunda revolución de la infraestructura” con una cartera que cifró en más de US$ 200 mil millones. Con un fuerte respaldo al modelo de concesiones y a la alianza público-privada,el Presidente José Antonio Kast afirmó este miércoles que el Estado, por sí solo, no tiene la capacidad financiera ni operativa para cerrar las brechas de infraestructura que enfrenta el país, por lo que llamó a acelerar la ejecución de inversiones y profundizar la colaboración con el sector privado. Desde Copiapó, donde se encontraba coordinando la emergencia por el sistema frontal que afectó a las regiones de Atacama y Coquimbo, el Mandatario participó de forma telemática en la ceremonia por los 15 años del Consejo de Políticas de Infraestructura (CPI), instancia en la que delineó la visión del Ejecutivo para el desarrollo de obras públicas durante los próximos años.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Gobierno aterriza su plan penitenciario: cambia el modelo de concesión para acelerar obras por US$ 2.650 millones</w:t>
      </w:r>
    </w:p>
    <w:p>
      <w:pPr>
        <w:spacing w:before="40" w:after="60"/>
        <w:ind w:left="283"/>
      </w:pPr>
      <w:r>
        <w:rPr>
          <w:rFonts w:ascii="Arial" w:hAnsi="Arial"/>
          <w:color w:val="404040"/>
          <w:sz w:val="21"/>
        </w:rPr>
        <w:t>El MOP presentó una nueva hoja de ruta para su cartera penitenciaria de UF 63 millones (unos US$ 2.650 millones), que contempla cinco relicitaciones de establecimientos existentes y cinco nuevos recintos, incorporando 21.639 plazas y más que duplicando la capacidad concesionada actual, con el objetivo de materializar todos los proyectos entre 2026 y 2028. Las principales novedades del modelo son: un premio económico para concesionarias que entreguen obras antes de plazo (debutará en la licitación de la cárcel de Calama), mayor cobertura estatal de la deuda financiera en caso de término anticipado, menor capital mínimo exigido al inicio y reconocimiento de mayores costos cuando los atrasos provengan de factores ajenos al concesionario, como hallazgos arqueológicos o demoras en la RCA. El uso de construcción industrializada y diseños modulares podría reducir los plazos de ejecución en cerca de un 30%.</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Ventas de Viña Santa Rita totalizan $ 84.881 millones el primer semestre</w:t>
      </w:r>
    </w:p>
    <w:p>
      <w:pPr>
        <w:spacing w:before="40" w:after="60"/>
        <w:ind w:left="283"/>
      </w:pPr>
      <w:r>
        <w:rPr>
          <w:rFonts w:ascii="Arial" w:hAnsi="Arial"/>
          <w:color w:val="404040"/>
          <w:sz w:val="21"/>
        </w:rPr>
        <w:t>Viña Santa Rita registró ventas de $ 84.881 millones en el primer semestre de 2026, un alza de 9,2% interanual que incluye ingresos por venta de activos. Pese a ese crecimiento, la compañía reportó pérdidas de $ 3.470 millones (vs. $ 3.393 millones en el mismo período de 2025), explicadas por gastos de reestructuración, mayores costos de vinos familiares y la depreciación del peso frente al dólar (tipo de cambio de $ 901 en junio 2026 vs. $ 945 en junio 2025). Las exportaciones desde Chile cayeron 2,1% en dólares y el mercado local retrocedió 0,2% en facturación, aunque el negocio de turismo creció 24,6%; a nivel operacional hubo una mejora de $ 116,4 millones respecto al primer semestre anterior. La deuda total se redujo desde $ 105.523 millones a $ 94.017 millones en comparación con junio de 2025.</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Abogado de Jorge Gálmez recurre a la justicia para intentar revivir proyecto inmobiliario Punta Puertecillo</w:t>
      </w:r>
    </w:p>
    <w:p>
      <w:pPr>
        <w:spacing w:before="40" w:after="60"/>
        <w:ind w:left="283"/>
      </w:pPr>
      <w:r>
        <w:rPr>
          <w:rFonts w:ascii="Arial" w:hAnsi="Arial"/>
          <w:color w:val="404040"/>
          <w:sz w:val="21"/>
        </w:rPr>
        <w:t>El abogado Julio Lavín presentó un recurso de reclamación ante el Segundo Tribunal Ambiental contra el Comité de Ministros, que en junio ratificó la calificación ambiental desfavorable del proyecto Punta Puertecillo en Litueche, Región de O'Higgins —una inversión de US$ 20 millones para regularizar obras ya construidas en más de 200 hectáreas subdivididas. El proyecto acumula una extensa historia judicial: multa de US$ 45 millones por uso habitacional de predios rurales (reducida en apelación), prohibición de venta de terrenos y multa de $ 3.650 millones impuesta por la Corte Suprema en 2022, además de la condición de obtener una RCA antes de vender parcelas. La defensa argumenta que la Suprema, en su sentencia, excluyó al proyecto de la tipología de conjuntos habitacionales que generan núcleos urbanos, por lo que la decisión del Comité de Ministros crea una contradicción insalvable que priva al titular de la única vía para cumplir lo ordenado judicialmente.</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Mercado asume un tono más restrictivo del BC y un tipo rector sin cambios el resto del año</w:t>
      </w:r>
    </w:p>
    <w:p>
      <w:pPr>
        <w:spacing w:before="40" w:after="60"/>
        <w:ind w:left="283"/>
      </w:pPr>
      <w:r>
        <w:rPr>
          <w:rFonts w:ascii="Arial" w:hAnsi="Arial"/>
          <w:color w:val="404040"/>
          <w:sz w:val="21"/>
        </w:rPr>
        <w:t>El Banco Central mantuvo su tasa en 4,5% en la RPM de julio, como se esperaba, pero el mercado interpretó el comunicado con un tono hawkish: el ente rector dejó de calificar el balance de riesgos inflacionarios como equilibrado y volvió a enfatizar la alta incertidumbre macroeconómica, en particular por el conflicto en Medio Oriente y el alza de costos laborales. Economistas de Credicorp Capital, Coopeuch, Itaú, Zurich y Scotiabank coincidieron en que la tasa permanecerá en 4,5% durante el resto de 2026 y probablemente buena parte de 2027, aunque el economista de Scotiabank no descartó que el Consejo haya evaluado incluso una alza de 25 puntos base en esta reunión. Los ojos del mercado se vuelcan ahora al IPoM de septiembre, donde podrían incorporarse proyecciones de mayor inflación y leve baja de crecimiento, abriendo la puerta a nuevas opciones de política monetaria.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Óscar Landerretche define sus prioridades para la FEN y aborda los cambios en el equipo de la facultad en su primer discurso como decano</w:t>
      </w:r>
    </w:p>
    <w:p>
      <w:pPr>
        <w:spacing w:before="40" w:after="60"/>
        <w:ind w:left="283"/>
      </w:pPr>
      <w:r>
        <w:rPr>
          <w:rFonts w:ascii="Arial" w:hAnsi="Arial"/>
          <w:color w:val="404040"/>
          <w:sz w:val="21"/>
        </w:rPr>
        <w:t>En la ceremonia oficial de su asunción como decano de la FEN de la U. de Chile —cargo que ocupa desde el 7 de julio—, Óscar Landerretche delineó tres ejes de gestión: el uso constructivo de la inteligencia artificial en la pedagogía para fomentar dinámicas interactivas y competencias interpersonales, el incremento de publicaciones e investigaciones en medios internacionales con aspiraciones de liderazgo en el mundo hispanohablante, y una política de austeridad presupuestaria para redirigir recursos hacia investigación, becas y docencia. Su gestión también estuvo marcada desde el inicio por cambios en el equipo directivo, entre los que destacó la salida del exsuperintendente de Valores y Seguros Álvaro Clarke el 22 de julio, generando tensiones al interior de la comunidad universitaria. Landerretche defendió estos cambios como parte natural de toda transición de gestión, comparando la experiencia con su paso por el directorio de Codelco.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Iván Marambio, presidente de Frutas de Chile: “Pensamos que hay espacio para obtener resultados favorables” en aranceles</w:t>
      </w:r>
    </w:p>
    <w:p>
      <w:pPr>
        <w:spacing w:before="40" w:after="60"/>
        <w:ind w:left="283"/>
      </w:pPr>
      <w:r>
        <w:rPr>
          <w:rFonts w:ascii="Arial" w:hAnsi="Arial"/>
          <w:color w:val="404040"/>
          <w:sz w:val="21"/>
        </w:rPr>
        <w:t>El líder del gremio frutícola espera que uvas, arándanos, cerezas, ciruelas y nectarines, entre otras, queden exentas del gravamen de 12,5%. Junto con lamentar la decisión de Estados Unidos de establecer un arancel de 12,5%, lo que afectará a parte de las exportaciones chilenas, el presidente de Frutas de Chile, Iván Marambio, es optimista de lo que podría venir en las próximas negociaciones. El dirigente ya estuvo en las audiencias públicas ante la Oficina del Representante Comercial de EEUU (USTR, por su sigla en inglés), donde presentó insumos a la administración Trump para que los productos chilenos queden exentos del gravamen.</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Cita con Hacienda, la CPC y exministros: la agenda de Arthur Laffer en su paso por Chile</w:t>
      </w:r>
    </w:p>
    <w:p>
      <w:pPr>
        <w:spacing w:before="40" w:after="60"/>
        <w:ind w:left="283"/>
      </w:pPr>
      <w:r>
        <w:rPr>
          <w:rFonts w:ascii="Arial" w:hAnsi="Arial"/>
          <w:color w:val="404040"/>
          <w:sz w:val="21"/>
        </w:rPr>
        <w:t>Arthur Laffer, reconocido por la Curva de Laffer y exasesor del presidente Reagan, visitó Chile y se reunió con el ministro de Hacienda Jorge Quiroz, la CPC y economistas locales como Lüders, Larroulet y Briones, en un encuentro organizado por el CIES de la Universidad del Desarrollo. Sobre los aranceles de 12,5% impuestos por EEUU a productos chilenos —salmón, algunas frutas y vino— bajo la Sección 301, sugirió que Trump 'ama Chile' y que conviene tomarlo 'en serio, pero no literalmente', anticipando que la Corte Suprema de EEUU podría revertir los aranceles al término del mandato y limitar su uso como herramienta política futura. También señaló la contradicción interna de querer atraer inversión extranjera y simultáneamente reducir el déficit comercial, ya que trasladar una fábrica desde México a EEUU genera importaciones que aumentan ese déficit.</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La apuesta de la FIFA por el capital riesgo abre un nuevo frente en la batalla por el control de la enorme riqueza que genera el fútbol</w:t>
      </w:r>
    </w:p>
    <w:p>
      <w:pPr>
        <w:spacing w:before="40" w:after="60"/>
        <w:ind w:left="283"/>
      </w:pPr>
      <w:r>
        <w:rPr>
          <w:rFonts w:ascii="Arial" w:hAnsi="Arial"/>
          <w:color w:val="404040"/>
          <w:sz w:val="21"/>
        </w:rPr>
        <w:t>La FIFA, bajo el liderazgo de Gianni Infantino, busca crear una filial ofreciendo participaciones de hasta el 20% a fondos de capital riesgo externos, abriendo una disputa sobre quién controla la enorme riqueza generada por el fútbol mundial. La UEFA condenó el plan acusando a la FIFA de poner a la venta el 'alma' del deporte, argumentando que las ligas europeas generan más ingresos que la propia FIFA. Tanto la Concacaf como la Confederación Asiática (AFC) también rechazaron la iniciativa, señalando que se enteraron del plan a través de los medios de comunicación y no por los canales oficiales de la organización.</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Mark Zuckerberg afirma que EEUU no debería prohibir la IA china</w:t>
      </w:r>
    </w:p>
    <w:p>
      <w:pPr>
        <w:spacing w:before="40" w:after="60"/>
        <w:ind w:left="283"/>
      </w:pPr>
      <w:r>
        <w:rPr>
          <w:rFonts w:ascii="Arial" w:hAnsi="Arial"/>
          <w:color w:val="404040"/>
          <w:sz w:val="21"/>
        </w:rPr>
        <w:t>Mark Zuckerberg se pronunció en contra de bloquear los modelos chinos de inteligencia artificial en EEUU, argumentando que no sería una solución eficaz y que existe el riesgo de 'captura regulatoria' si laboratorios de frontera como Anthropic y OpenAI influyen en exceso en las normas del sector para frenar la competencia de modelos abiertos. El debate se intensificó tras el lanzamiento de Kimi K3 de la startup china Moonshot AI, cuyas capacidades se acercan a las de los principales modelos estadounidenses, con acusaciones de que entrenó el modelo mediante 'destilación' de tecnología rival; el Tesoro de EEUU señaló que las sanciones son una opción para laboratorios que 'crucen la línea del robo de propiedad intelectual'. Meta lanzó al mismo tiempo su propio modelo cerrado (Muse Spark), aunque Zuckerberg sigue defendiendo los modelos de código abierto como la vía para democratizar el acceso y evitar que la IA quede concentrada en pocas manos.</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Inversión en startups en el mundo se dispara más de 100% el primer semestre por el auge de la IA</w:t>
      </w:r>
    </w:p>
    <w:p>
      <w:pPr>
        <w:spacing w:before="40" w:after="60"/>
        <w:ind w:left="283"/>
      </w:pPr>
      <w:r>
        <w:rPr>
          <w:rFonts w:ascii="Arial" w:hAnsi="Arial"/>
          <w:color w:val="404040"/>
          <w:sz w:val="21"/>
        </w:rPr>
        <w:t>La inversión global en capital de riesgo alcanzó US$ 560.400 millones en el primer semestre de 2026, un alza de 118% interanual y el mayor monto semestral de la historia, según PitchBook, aunque el número de rondas cayó 14% a 18.746 operaciones, reflejando concentración en menos startups con tickets mayores. El 77% del capital se destinó a startups de IA pese a representar solo el 36% de las rondas; las operaciones más grandes fueron OpenAI (US$ 122 mil millones) y Anthropic (US$ 95 mil millones en dos rondas). En contraste, Latinoamérica registró una caída de 30% en montos (US$ 2.200 millones) y 17% en número de rondas (335), con solo 24 salidas vía adquisición o bolsa (mínimo desde 2019), atribuido a la retirada de fondos como SoftBank y Tiger Global, escasa liquidez y valoraciones heredadas excesivas de los años 2021-2022 que dificultan salidas competitivas en mercados internacionales.</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El modelo que Chile debiera escalar</w:t>
      </w:r>
    </w:p>
    <w:p>
      <w:pPr>
        <w:spacing w:before="40" w:after="60"/>
        <w:ind w:left="283"/>
      </w:pPr>
      <w:r>
        <w:rPr>
          <w:rFonts w:ascii="Arial" w:hAnsi="Arial"/>
          <w:color w:val="404040"/>
          <w:sz w:val="21"/>
        </w:rPr>
        <w:t>El artículo contrasta la emergencia de incendios forestales en Europa —España con 152.678 hectáreas quemadas en 2026, seis veces más que en 2025, y Francia con 116.085 hectáreas y entre 30 y 40 focos activos diarios— con el riesgo real que enfrenta Chile en la próxima temporada estival, dado que el Gran Incendio de Valparaíso de febrero de 2024 dejó 131 muertos, 15.500 viviendas afectadas y un costo superior a US$ 1.000 millones, en un contexto de más de una década de megasequía en la zona central con déficit de precipitaciones de 25% a 30%. La evaluación institucional es crítica: antes de 2024, solo el 2% de las comunas contaba con un plan de emergencia aprobado por Senapred, y la Contraloría determinó que Conaf no había probado sus sistemas de alerta, mientras la reconstrucción posterior registró irregularidades por más de $ 1.800 millones. El artículo propone escalar la Red de Prevención Comunitaria —modelo público-privado que opera en 8 regiones, 94 comunas y casi 500 comunidades, con el 53% de ellas sin incendios en su zona de influencia— hacia las comunas urbanas de mayor riesgo como Valparaíso y Viña del Mar, lo que requiere cofinanciamiento público explícito e integración formal con Senapred.</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29 de julio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