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960"/>
        <w:jc w:val="left"/>
      </w:pPr>
    </w:p>
    <w:p>
      <w:pPr>
        <w:spacing w:after="120"/>
        <w:jc w:val="center"/>
      </w:pPr>
      <w:r>
        <w:rPr>
          <w:rFonts w:ascii="Arial" w:hAnsi="Arial"/>
          <w:b/>
          <w:color w:val="1F4E79"/>
          <w:sz w:val="60"/>
        </w:rPr>
        <w:t>DIARIO FINANCIERO</w:t>
      </w:r>
    </w:p>
    <w:p>
      <w:pPr>
        <w:spacing w:after="80"/>
        <w:jc w:val="center"/>
      </w:pPr>
      <w:r>
        <w:rPr>
          <w:rFonts w:ascii="Arial" w:hAnsi="Arial"/>
          <w:b w:val="0"/>
          <w:color w:val="404040"/>
          <w:sz w:val="32"/>
        </w:rPr>
        <w:t>Resumen Ejecutivo del Día</w:t>
      </w:r>
    </w:p>
    <w:p>
      <w:pPr>
        <w:spacing w:after="200"/>
        <w:jc w:val="center"/>
      </w:pPr>
      <w:r>
        <w:rPr>
          <w:rFonts w:ascii="Arial" w:hAnsi="Arial"/>
          <w:color w:val="2E75B6"/>
          <w:sz w:val="26"/>
        </w:rPr>
        <w:t>6 De Mayo De 2026</w:t>
      </w:r>
    </w:p>
    <w:p>
      <w:pPr>
        <w:jc w:val="center"/>
      </w:pPr>
      <w:r>
        <w:rPr>
          <w:rFonts w:ascii="Arial" w:hAnsi="Arial"/>
          <w:color w:val="999999"/>
          <w:sz w:val="20"/>
        </w:rPr>
        <w:t>6 secciones  ·  50 artículos</w:t>
      </w:r>
    </w:p>
    <w:p>
      <w:pPr>
        <w:spacing w:before="0" w:after="0"/>
      </w:pPr>
      <w:r>
        <w:br w:type="page"/>
      </w:r>
    </w:p>
    <w:p>
      <w:pPr>
        <w:spacing w:before="0" w:after="240"/>
      </w:pPr>
      <w:r>
        <w:rPr>
          <w:rFonts w:ascii="Arial" w:hAnsi="Arial"/>
          <w:b/>
          <w:color w:val="1F4E79"/>
          <w:sz w:val="28"/>
        </w:rPr>
        <w:t>ÍNDICE</w:t>
      </w:r>
    </w:p>
    <w:p>
      <w:pPr>
        <w:spacing w:before="0" w:after="0"/>
      </w:pPr>
      <w:r>
        <w:fldChar w:fldCharType="begin"/>
        <w:instrText xml:space="preserve"> TOC \o "1-2" \h \z \u </w:instrText>
        <w:fldChar w:fldCharType="separate"/>
      </w:r>
      <w:r>
        <w:rPr>
          <w:rFonts w:ascii="Arial" w:hAnsi="Arial"/>
          <w:i/>
          <w:color w:val="999999"/>
          <w:sz w:val="20"/>
        </w:rPr>
        <w:t>[ Presiona Ctrl+A y luego F9 para actualizar el índice ]</w:t>
      </w:r>
      <w:r>
        <w:fldChar w:fldCharType="end"/>
      </w:r>
    </w:p>
    <w:p>
      <w:pPr>
        <w:spacing w:before="0" w:after="0"/>
      </w:pPr>
      <w:r>
        <w:br w:type="page"/>
      </w:r>
    </w:p>
    <w:p>
      <w:pPr>
        <w:pStyle w:val="Heading1"/>
        <w:shd w:val="clear" w:color="auto" w:fill="1F4E79"/>
        <w:spacing w:before="320" w:after="160"/>
        <w:ind w:left="227"/>
      </w:pPr>
      <w:r>
        <w:rPr>
          <w:rFonts w:ascii="Arial" w:hAnsi="Arial"/>
          <w:b/>
          <w:color w:val="FFFFFF"/>
          <w:sz w:val="26"/>
        </w:rPr>
        <w:t>MERCADOS</w:t>
      </w:r>
    </w:p>
    <w:p>
      <w:pPr>
        <w:pStyle w:val="Heading2"/>
        <w:spacing w:before="200" w:after="80"/>
      </w:pPr>
      <w:r>
        <w:rPr>
          <w:rFonts w:ascii="Arial" w:hAnsi="Arial"/>
          <w:b/>
          <w:color w:val="2E75B6"/>
          <w:sz w:val="22"/>
        </w:rPr>
        <w:t xml:space="preserve">1.  </w:t>
      </w:r>
      <w:r>
        <w:rPr>
          <w:rFonts w:ascii="Arial" w:hAnsi="Arial"/>
          <w:b/>
          <w:color w:val="1F4E79"/>
          <w:sz w:val="22"/>
        </w:rPr>
        <w:t>AFP escalan disputa legal con la Super de Pensiones por conformación de directorios y llevan la causa al Tribunal Constitucional</w:t>
      </w:r>
    </w:p>
    <w:p>
      <w:pPr>
        <w:spacing w:before="40" w:after="60"/>
        <w:ind w:left="283"/>
      </w:pPr>
      <w:r>
        <w:rPr>
          <w:rFonts w:ascii="Arial" w:hAnsi="Arial"/>
          <w:color w:val="404040"/>
          <w:sz w:val="21"/>
        </w:rPr>
        <w:t>Seis AFP presentaron en abril un requerimiento de inaplicabilidad por inconstitucionalidad ante el Tribunal Constitucional, impugnando una disposición de la reforma previsional que delegaría en la Superintendencia de Pensiones facultades que, según la Constitución, corresponden al legislador. La norma cuestionada exige que la mayoría de los directores y equipos de inversión de las AFP acrediten al menos cinco años de experiencia en firmas que administren activos por sobre US$ 1.000 millones en industrias financieras reguladas. El TC acogió a trámite el requerimiento el 30 de abril y suspendió la tramitación del recurso de protección paralelo en la Corte de Apelaciones. Las AFP argumentan que esta delegación normativa coarta su libertad organizacional y afecta derechos fundamentales reconocidos por la Constitución.</w:t>
      </w:r>
    </w:p>
    <w:p>
      <w:pPr>
        <w:pBdr>
          <w:bottom w:val="single" w:sz="4" w:space="1" w:color="BDD7EE"/>
        </w:pBdr>
        <w:spacing w:before="80" w:after="80"/>
      </w:pPr>
    </w:p>
    <w:p>
      <w:pPr>
        <w:pStyle w:val="Heading2"/>
        <w:spacing w:before="200" w:after="80"/>
      </w:pPr>
      <w:r>
        <w:rPr>
          <w:rFonts w:ascii="Arial" w:hAnsi="Arial"/>
          <w:b/>
          <w:color w:val="2E75B6"/>
          <w:sz w:val="22"/>
        </w:rPr>
        <w:t xml:space="preserve">2.  </w:t>
      </w:r>
      <w:r>
        <w:rPr>
          <w:rFonts w:ascii="Arial" w:hAnsi="Arial"/>
          <w:b/>
          <w:color w:val="1F4E79"/>
          <w:sz w:val="22"/>
        </w:rPr>
        <w:t>Caso Sartor: Toesca amplía querella contra socios y exdirectivos de AGF por financiamiento a proyecto inmobiliario en Miami</w:t>
      </w:r>
    </w:p>
    <w:p>
      <w:pPr>
        <w:spacing w:before="40" w:after="60"/>
        <w:ind w:left="283"/>
      </w:pPr>
      <w:r>
        <w:rPr>
          <w:rFonts w:ascii="Arial" w:hAnsi="Arial"/>
          <w:color w:val="404040"/>
          <w:sz w:val="21"/>
        </w:rPr>
        <w:t>Toesca, liquidadora de los fondos de Sartor AGF, amplió su querella criminal contra el socio principal Pedro Pablo Larraín, seis directores y el ex CEO de la gestora, acusándolos de negociación incompatible y administración desleal. La acción judicial detalla que entre 2022 y 2024 distintos fondos de Sartor prestaron cerca de US$ 32,5 millones para financiar el proyecto residencial 'Faena Residences Miami' sin garantías reales proporcionales, beneficiando a sociedades controladas por el propio Larraín junto a los empresarios Victoriano Cerda y Marcelo Pesce. El fondo Táctico Internacional llegó a concentrar el 65% de sus activos en ese único proyecto, cuyo valor se deterioró un 47% al cierre de 2024. Una operación adicional con Atlas Bank involucró créditos a la matriz de Sartor garantizados con recursos de terceros depositados en los fondos.</w:t>
      </w:r>
    </w:p>
    <w:p>
      <w:pPr>
        <w:pBdr>
          <w:bottom w:val="single" w:sz="4" w:space="1" w:color="BDD7EE"/>
        </w:pBdr>
        <w:spacing w:before="80" w:after="80"/>
      </w:pPr>
    </w:p>
    <w:p>
      <w:pPr>
        <w:pStyle w:val="Heading2"/>
        <w:spacing w:before="200" w:after="80"/>
      </w:pPr>
      <w:r>
        <w:rPr>
          <w:rFonts w:ascii="Arial" w:hAnsi="Arial"/>
          <w:b/>
          <w:color w:val="2E75B6"/>
          <w:sz w:val="22"/>
        </w:rPr>
        <w:t xml:space="preserve">3.  </w:t>
      </w:r>
      <w:r>
        <w:rPr>
          <w:rFonts w:ascii="Arial" w:hAnsi="Arial"/>
          <w:b/>
          <w:color w:val="1F4E79"/>
          <w:sz w:val="22"/>
        </w:rPr>
        <w:t>IPSA sube 2,3% al cierre con impulso de Latam y Falabella, que se disparan tras buenos resultados en medio de posible acuerdo de paz en Medio Oriente</w:t>
      </w:r>
    </w:p>
    <w:p>
      <w:pPr>
        <w:spacing w:before="40" w:after="60"/>
        <w:ind w:left="283"/>
      </w:pPr>
      <w:r>
        <w:rPr>
          <w:rFonts w:ascii="Arial" w:hAnsi="Arial"/>
          <w:color w:val="404040"/>
          <w:sz w:val="21"/>
        </w:rPr>
        <w:t>El índice IPSA avanzó 2,3% para cerrar en 10.936 puntos, liderado por Latam Airlines (+10%) y Falabella (+7,8%), que reportaron resultados del primer trimestre muy por sobre las expectativas del mercado. Latam publicó el trimestre más sólido de su historia, con un Ebitdar de US$ 1.300 millones y una ganancia neta de US$ 576 millones, superando ampliamente el consenso de US$ 424 millones. En paralelo, noticias sobre un posible memorándum de entendimiento entre EEUU e Irán para poner fin al conflicto en Medio Oriente impulsaron alzas globales, mientras el petróleo Brent caía 7,5% a US$ 101,7 por barril. Wall Street también batió récords, con el Nasdaq subiendo 2% y el S&amp;P 500 un 1,5%, impulsados por los resultados de AMD.</w:t>
      </w:r>
    </w:p>
    <w:p>
      <w:pPr>
        <w:pBdr>
          <w:bottom w:val="single" w:sz="4" w:space="1" w:color="BDD7EE"/>
        </w:pBdr>
        <w:spacing w:before="80" w:after="80"/>
      </w:pPr>
    </w:p>
    <w:p>
      <w:pPr>
        <w:pStyle w:val="Heading2"/>
        <w:spacing w:before="200" w:after="80"/>
      </w:pPr>
      <w:r>
        <w:rPr>
          <w:rFonts w:ascii="Arial" w:hAnsi="Arial"/>
          <w:b/>
          <w:color w:val="2E75B6"/>
          <w:sz w:val="22"/>
        </w:rPr>
        <w:t xml:space="preserve">4.  </w:t>
      </w:r>
      <w:r>
        <w:rPr>
          <w:rFonts w:ascii="Arial" w:hAnsi="Arial"/>
          <w:b/>
          <w:color w:val="1F4E79"/>
          <w:sz w:val="22"/>
        </w:rPr>
        <w:t>Dólar se hunde $ 15 y cierra próximo a $ 890 por expectativa sobre posible acuerdo de paz entre EEUU e Irán</w:t>
      </w:r>
    </w:p>
    <w:p>
      <w:pPr>
        <w:spacing w:before="40" w:after="60"/>
        <w:ind w:left="283"/>
      </w:pPr>
      <w:r>
        <w:rPr>
          <w:rFonts w:ascii="Arial" w:hAnsi="Arial"/>
          <w:color w:val="404040"/>
          <w:sz w:val="21"/>
        </w:rPr>
        <w:t>El tipo de cambio dólar-peso cayó $14,7 hasta los $891,9 al cierre de la jornada, en una sesión dominada por las expectativas de un acuerdo de paz entre EEUU e Irán, según reportó Axios. El cobre Comex saltó 3,2% a US$ 6,18 por libra y el petróleo Brent se desplomó 7,8% a US$ 101,3, mientras el dólar global retrocedía frente a las principales divisas emergentes. El memorándum negociado declararía el fin de las hostilidades e iniciaría 30 días de negociaciones sobre el estrecho de Ormuz, el programa nuclear iraní y el levantamiento de sanciones. Analistas proyectan que si el acuerdo se consolida el dólar podría converger hacia $860-$870, nivel donde el mercado comenzaría a mirar factores macroeconómicos internos.</w:t>
      </w:r>
    </w:p>
    <w:p>
      <w:pPr>
        <w:pBdr>
          <w:bottom w:val="single" w:sz="4" w:space="1" w:color="BDD7EE"/>
        </w:pBdr>
        <w:spacing w:before="80" w:after="80"/>
      </w:pPr>
    </w:p>
    <w:p>
      <w:pPr>
        <w:pStyle w:val="Heading2"/>
        <w:spacing w:before="200" w:after="80"/>
      </w:pPr>
      <w:r>
        <w:rPr>
          <w:rFonts w:ascii="Arial" w:hAnsi="Arial"/>
          <w:b/>
          <w:color w:val="2E75B6"/>
          <w:sz w:val="22"/>
        </w:rPr>
        <w:t xml:space="preserve">5.  </w:t>
      </w:r>
      <w:r>
        <w:rPr>
          <w:rFonts w:ascii="Arial" w:hAnsi="Arial"/>
          <w:b/>
          <w:color w:val="1F4E79"/>
          <w:sz w:val="22"/>
        </w:rPr>
        <w:t>FinteChile da inicio al Fintech Forum 2026 con delegaciones de más de 30 países</w:t>
      </w:r>
    </w:p>
    <w:p>
      <w:pPr>
        <w:spacing w:before="40" w:after="60"/>
        <w:ind w:left="283"/>
      </w:pPr>
      <w:r>
        <w:rPr>
          <w:rFonts w:ascii="Arial" w:hAnsi="Arial"/>
          <w:color w:val="404040"/>
          <w:sz w:val="21"/>
        </w:rPr>
        <w:t>FinteChile inauguró el Chile Fintech Forum 2026 con más de 6.000 asistentes, 90 expositores internacionales y delegaciones de más de 30 países, abordando regulación, inclusión financiera y tecnología. Carlos Prada, director de operaciones de Nubank —que supera los 130 millones de clientes en Brasil, México y Colombia— destacó que la revolución fintech apenas comienza y que en los mercados donde opera la empresa la concentración bancaria se redujo unos 10 puntos porcentuales. El evento contó con la participación del subsecretario de Hacienda y el director del SII, aunque la CMF estuvo ausente pese a ser el regulador clave de la industria. Prada subrayó que el 40% de la población latinoamericana aún no accede plenamente a servicios financieros, lo que representa una oportunidad central para los nuevos actores digitales.</w:t>
      </w:r>
    </w:p>
    <w:p>
      <w:pPr>
        <w:pBdr>
          <w:bottom w:val="single" w:sz="4" w:space="1" w:color="BDD7EE"/>
        </w:pBdr>
        <w:spacing w:before="80" w:after="80"/>
      </w:pPr>
    </w:p>
    <w:p>
      <w:pPr>
        <w:pStyle w:val="Heading2"/>
        <w:spacing w:before="200" w:after="80"/>
      </w:pPr>
      <w:r>
        <w:rPr>
          <w:rFonts w:ascii="Arial" w:hAnsi="Arial"/>
          <w:b/>
          <w:color w:val="2E75B6"/>
          <w:sz w:val="22"/>
        </w:rPr>
        <w:t xml:space="preserve">6.  </w:t>
      </w:r>
      <w:r>
        <w:rPr>
          <w:rFonts w:ascii="Arial" w:hAnsi="Arial"/>
          <w:b/>
          <w:color w:val="1F4E79"/>
          <w:sz w:val="22"/>
        </w:rPr>
        <w:t>Hacienda pone sus fichas en las fintech: “Son parte de la respuesta al problema de crecimiento que tiene Chile”</w:t>
      </w:r>
    </w:p>
    <w:p>
      <w:pPr>
        <w:spacing w:before="40" w:after="60"/>
        <w:ind w:left="283"/>
      </w:pPr>
      <w:r>
        <w:rPr>
          <w:rFonts w:ascii="Arial" w:hAnsi="Arial"/>
          <w:color w:val="404040"/>
          <w:sz w:val="21"/>
        </w:rPr>
        <w:t>Durante el "Chile Fintech Forum 2026", el subsecretario de Hacienda, Juan Pablo Rodríguez, destacó el rol del ecosistema como motor de crecimiento en medio del debate en el Congreso por la ley miscelánea. El subsecretario de Hacienda, Juan Pablo Rodríguez. Foto: Aton. “Crecimiento económico y futuro” fue el eje de la exposición del subsecretario de Hacienda, Juan Pablo Rodríguez, en el"Chile Fintech Forum 2026"organizado por FinteChile,exposición puso al sector privado y particularmente en la industria fintech en el centro de la estrategia para recuperar el dinamismo de la economía chilena.</w:t>
      </w:r>
    </w:p>
    <w:p>
      <w:pPr>
        <w:pBdr>
          <w:bottom w:val="single" w:sz="4" w:space="1" w:color="BDD7EE"/>
        </w:pBdr>
        <w:spacing w:before="80" w:after="80"/>
      </w:pPr>
    </w:p>
    <w:p>
      <w:pPr>
        <w:pStyle w:val="Heading2"/>
        <w:spacing w:before="200" w:after="80"/>
      </w:pPr>
      <w:r>
        <w:rPr>
          <w:rFonts w:ascii="Arial" w:hAnsi="Arial"/>
          <w:b/>
          <w:color w:val="2E75B6"/>
          <w:sz w:val="22"/>
        </w:rPr>
        <w:t xml:space="preserve">7.  </w:t>
      </w:r>
      <w:r>
        <w:rPr>
          <w:rFonts w:ascii="Arial" w:hAnsi="Arial"/>
          <w:b/>
          <w:color w:val="1F4E79"/>
          <w:sz w:val="22"/>
        </w:rPr>
        <w:t>Pensiones: fondo E es el único que retrocede en abril por mal desempeño de la renta fija</w:t>
      </w:r>
    </w:p>
    <w:p>
      <w:pPr>
        <w:spacing w:before="40" w:after="60"/>
        <w:ind w:left="283"/>
      </w:pPr>
      <w:r>
        <w:rPr>
          <w:rFonts w:ascii="Arial" w:hAnsi="Arial"/>
          <w:color w:val="404040"/>
          <w:sz w:val="21"/>
        </w:rPr>
        <w:t>El fondo E de las AFP fue el único que registró pérdidas en abril, con una caída real de 1,2%, producto de las pérdidas en instrumentos de renta fija locales e internacionales ante el alza de las tasas de interés; el índice de bonos internacionales LEGATRUU cayó 2,08% en pesos en el mes. En contraste, los fondos A y B lideraron las ganancias con retornos reales de 4,8% y 3,9% respectivamente, mientras C avanzó 2% y D un 0,5%, todos impulsados por el buen desempeño de la renta variable global. En los últimos 12 meses todos los fondos siguen en terreno positivo: los más riesgosos, A y B, acumulan alzas reales de 21,4% y 17,1% respectivamente. El resultado confirma la mayor volatilidad del fondo E respecto a su diseño original, fenómeno que un reciente estudio de Fintual ya había documentado.</w:t>
      </w:r>
    </w:p>
    <w:p>
      <w:pPr>
        <w:pBdr>
          <w:bottom w:val="single" w:sz="4" w:space="1" w:color="BDD7EE"/>
        </w:pBdr>
        <w:spacing w:before="80" w:after="80"/>
      </w:pPr>
    </w:p>
    <w:p>
      <w:pPr>
        <w:pStyle w:val="Heading2"/>
        <w:spacing w:before="200" w:after="80"/>
      </w:pPr>
      <w:r>
        <w:rPr>
          <w:rFonts w:ascii="Arial" w:hAnsi="Arial"/>
          <w:b/>
          <w:color w:val="2E75B6"/>
          <w:sz w:val="22"/>
        </w:rPr>
        <w:t xml:space="preserve">8.  </w:t>
      </w:r>
      <w:r>
        <w:rPr>
          <w:rFonts w:ascii="Arial" w:hAnsi="Arial"/>
          <w:b/>
          <w:color w:val="1F4E79"/>
          <w:sz w:val="22"/>
        </w:rPr>
        <w:t>Las cifras del crédito informal en Chile: moviliza US$ 4.000 millones al año e involucra a 600 mil personas</w:t>
      </w:r>
    </w:p>
    <w:p>
      <w:pPr>
        <w:spacing w:before="40" w:after="60"/>
        <w:ind w:left="283"/>
      </w:pPr>
      <w:r>
        <w:rPr>
          <w:rFonts w:ascii="Arial" w:hAnsi="Arial"/>
          <w:color w:val="404040"/>
          <w:sz w:val="21"/>
        </w:rPr>
        <w:t>Un informe de la Asociación de Retail Financiero cuantifica que el crédito informal en Chile mueve cerca de US$ 4.000 millones anuales, involucra a más de 600 mil personas y genera una pérdida fiscal de US$ 100 millones al año en impuestos no recaudados. El fenómeno abarca cuatro grandes bloques delictivos interconectados: lavado de dinero, fraudes financieros y de identidad, ciberdelincuencia organizada y préstamos informales del tipo 'gota a gota', este último con tasas de interés que pueden llegar a 10% diario. La última Encuesta Financiera de Hogares del Banco Central muestra que el 3,2% de los hogares utiliza fuentes de financiamiento no reguladas, en parte porque la última reforma a la Tasa Máxima Convencional habría excluido del crédito formal a unas 300 mil personas. La ARF propone otorgar a la CMF y al SERNAC facultades para bloquear aplicaciones fraudulentas y facilitar el acceso al microcrédito formal para recuperar a esos deudores del crimen organizado.</w:t>
      </w:r>
    </w:p>
    <w:p>
      <w:pPr>
        <w:pBdr>
          <w:bottom w:val="single" w:sz="4" w:space="1" w:color="BDD7EE"/>
        </w:pBdr>
        <w:spacing w:before="80" w:after="80"/>
      </w:pPr>
    </w:p>
    <w:p>
      <w:pPr>
        <w:pStyle w:val="Heading2"/>
        <w:spacing w:before="200" w:after="80"/>
      </w:pPr>
      <w:r>
        <w:rPr>
          <w:rFonts w:ascii="Arial" w:hAnsi="Arial"/>
          <w:b/>
          <w:color w:val="2E75B6"/>
          <w:sz w:val="22"/>
        </w:rPr>
        <w:t xml:space="preserve">9.  </w:t>
      </w:r>
      <w:r>
        <w:rPr>
          <w:rFonts w:ascii="Arial" w:hAnsi="Arial"/>
          <w:b/>
          <w:color w:val="1F4E79"/>
          <w:sz w:val="22"/>
        </w:rPr>
        <w:t>Implementación de modelos de riesgos internos de la banca tomaría al menos un año, según experto de PwC</w:t>
      </w:r>
    </w:p>
    <w:p>
      <w:pPr>
        <w:spacing w:before="40" w:after="60"/>
        <w:ind w:left="283"/>
      </w:pPr>
      <w:r>
        <w:rPr>
          <w:rFonts w:ascii="Arial" w:hAnsi="Arial"/>
          <w:color w:val="404040"/>
          <w:sz w:val="21"/>
        </w:rPr>
        <w:t>La CMF anunció a mediados de abril que impulsará la adopción de modelos internos de medición del riesgo de crédito bancario según los estándares de Basilea III, medida bien recibida por la industria. Luis Figueroa, socio de riesgo y regulación de PwC y ex director de regulación prudencial de la CMF, estima que la implementación tomará al menos un año por banco, ya que además del desarrollo del modelo se requiere testeo, seguimiento e integración a los sistemas de gestión. El ahorro de capital proyectado por el regulador de US$ 10.000 millones podría ser algo inferior en la práctica, dado que no todos los bancos participarán y los modelos solo se aplicarían a ciertas carteras. Para los clientes, la liberación de capital permitiría a los bancos otorgar más crédito a menor costo interno, mejorando la oferta crediticia.</w:t>
      </w:r>
    </w:p>
    <w:p>
      <w:pPr>
        <w:pBdr>
          <w:bottom w:val="single" w:sz="4" w:space="1" w:color="BDD7EE"/>
        </w:pBdr>
        <w:spacing w:before="80" w:after="80"/>
      </w:pPr>
    </w:p>
    <w:p>
      <w:pPr>
        <w:pStyle w:val="Heading2"/>
        <w:spacing w:before="200" w:after="80"/>
      </w:pPr>
      <w:r>
        <w:rPr>
          <w:rFonts w:ascii="Arial" w:hAnsi="Arial"/>
          <w:b/>
          <w:color w:val="2E75B6"/>
          <w:sz w:val="22"/>
        </w:rPr>
        <w:t xml:space="preserve">10.  </w:t>
      </w:r>
      <w:r>
        <w:rPr>
          <w:rFonts w:ascii="Arial" w:hAnsi="Arial"/>
          <w:b/>
          <w:color w:val="1F4E79"/>
          <w:sz w:val="22"/>
        </w:rPr>
        <w:t>AFP protagonizan juntas de accionistas 2026: lograron elegir a 28 directores para 21 empresas</w:t>
      </w:r>
    </w:p>
    <w:p>
      <w:pPr>
        <w:spacing w:before="40" w:after="60"/>
        <w:ind w:left="283"/>
      </w:pPr>
      <w:r>
        <w:rPr>
          <w:rFonts w:ascii="Arial" w:hAnsi="Arial"/>
          <w:color w:val="404040"/>
          <w:sz w:val="21"/>
        </w:rPr>
        <w:t>Las AFP lograron elegir 28 directores independientes en 21 empresas durante el ciclo de juntas ordinarias de accionistas 2026, entre ellos 13 nuevos y 14 renovaciones, según la Asociación de AFP. En firmas de alta relevancia como Falabella incorporaron a la ex ministra Carolina Schmidt, en Latam a los ejecutivos Marcos Büchi y Felipe Cerón, y en Parque Arauco sumaron dos nuevos asientos en el directorio. En el sector financiero, la presencia de las administradoras se amplió en Banco Santander, Banco Itaú Chile y Banco de Chile, entre otros. El proceso es considerado exitoso dado que las AFP son inversionistas minoritarios y deben obtener el acuerdo de otros accionistas en la misma condición para concretar la elección.</w:t>
      </w:r>
    </w:p>
    <w:p>
      <w:pPr>
        <w:spacing w:before="0" w:after="80"/>
        <w:jc w:val="left"/>
      </w:pPr>
    </w:p>
    <w:p>
      <w:pPr>
        <w:pStyle w:val="Heading1"/>
        <w:shd w:val="clear" w:color="auto" w:fill="1F4E79"/>
        <w:spacing w:before="320" w:after="160"/>
        <w:ind w:left="227"/>
      </w:pPr>
      <w:r>
        <w:rPr>
          <w:rFonts w:ascii="Arial" w:hAnsi="Arial"/>
          <w:b/>
          <w:color w:val="FFFFFF"/>
          <w:sz w:val="26"/>
        </w:rPr>
        <w:t>EMPRESAS</w:t>
      </w:r>
    </w:p>
    <w:p>
      <w:pPr>
        <w:pStyle w:val="Heading2"/>
        <w:spacing w:before="200" w:after="80"/>
      </w:pPr>
      <w:r>
        <w:rPr>
          <w:rFonts w:ascii="Arial" w:hAnsi="Arial"/>
          <w:b/>
          <w:color w:val="2E75B6"/>
          <w:sz w:val="22"/>
        </w:rPr>
        <w:t xml:space="preserve">1.  </w:t>
      </w:r>
      <w:r>
        <w:rPr>
          <w:rFonts w:ascii="Arial" w:hAnsi="Arial"/>
          <w:b/>
          <w:color w:val="1F4E79"/>
          <w:sz w:val="22"/>
        </w:rPr>
        <w:t>Canales de televisión se suman a arremetida contra Google: acusan abuso de posición dominante</w:t>
      </w:r>
    </w:p>
    <w:p>
      <w:pPr>
        <w:spacing w:before="40" w:after="60"/>
        <w:ind w:left="283"/>
      </w:pPr>
      <w:r>
        <w:rPr>
          <w:rFonts w:ascii="Arial" w:hAnsi="Arial"/>
          <w:color w:val="404040"/>
          <w:sz w:val="21"/>
        </w:rPr>
        <w:t>Canal 13, TVN, Mega, Chilevisión y TV+ presentaron demandas ante el Tribunal de Defensa de la Libre Competencia (TDLC) contra Alphabet, acusando a Google de abuso de posición dominante en los mercados de búsqueda y publicidad digital. Los canales alegan un uso de su contenido periodístico —incluyendo resúmenes generados con IA y videos de YouTube— sin compensación adecuada, y denuncian que Google actúa simultáneamente como comprador, corredor y vendedor en el mercado publicitario, lo que en cualquier otra industria exigiría separación estructural. Las acciones tienen precedente en Chile, dado que Copesa presentó una demanda similar en 2024, a la que luego se sumaron Radio Cooperativa y El Mostrador. Los canales solicitan al TDLC medidas correctivas similares a las ya mandatadas en 2024 por un tribunal federal de Estados Unidos.</w:t>
      </w:r>
    </w:p>
    <w:p>
      <w:pPr>
        <w:pBdr>
          <w:bottom w:val="single" w:sz="4" w:space="1" w:color="BDD7EE"/>
        </w:pBdr>
        <w:spacing w:before="80" w:after="80"/>
      </w:pPr>
    </w:p>
    <w:p>
      <w:pPr>
        <w:pStyle w:val="Heading2"/>
        <w:spacing w:before="200" w:after="80"/>
      </w:pPr>
      <w:r>
        <w:rPr>
          <w:rFonts w:ascii="Arial" w:hAnsi="Arial"/>
          <w:b/>
          <w:color w:val="2E75B6"/>
          <w:sz w:val="22"/>
        </w:rPr>
        <w:t xml:space="preserve">2.  </w:t>
      </w:r>
      <w:r>
        <w:rPr>
          <w:rFonts w:ascii="Arial" w:hAnsi="Arial"/>
          <w:b/>
          <w:color w:val="1F4E79"/>
          <w:sz w:val="22"/>
        </w:rPr>
        <w:t>Arauco profundiza pérdidas y disminuye ingresos en el primer trimestre</w:t>
      </w:r>
    </w:p>
    <w:p>
      <w:pPr>
        <w:spacing w:before="40" w:after="60"/>
        <w:ind w:left="283"/>
      </w:pPr>
      <w:r>
        <w:rPr>
          <w:rFonts w:ascii="Arial" w:hAnsi="Arial"/>
          <w:color w:val="404040"/>
          <w:sz w:val="21"/>
        </w:rPr>
        <w:t>Arauco, la forestal del grupo Angelini, reportó pérdidas de US$ 49,4 millones en el primer trimestre de 2026, un 86,5% más profundas que los US$ 26,5 millones negativos del mismo período del año anterior. Los ingresos totales cayeron 3,2% interanual a US$ 1.482,7 millones, con la división de celulosa contrayéndose 3,4% y la de productos de madera un 2,9%. El Ebitda ajustado fue de US$ 247 millones, un 29,1% inferior al primer trimestre de 2025. La empresa atribuye el deterioro en parte al alza de costos energéticos y de fletes vinculados al conflicto geopolítico en Medio Oriente.</w:t>
      </w:r>
    </w:p>
    <w:p>
      <w:pPr>
        <w:pBdr>
          <w:bottom w:val="single" w:sz="4" w:space="1" w:color="BDD7EE"/>
        </w:pBdr>
        <w:spacing w:before="80" w:after="80"/>
      </w:pPr>
    </w:p>
    <w:p>
      <w:pPr>
        <w:pStyle w:val="Heading2"/>
        <w:spacing w:before="200" w:after="80"/>
      </w:pPr>
      <w:r>
        <w:rPr>
          <w:rFonts w:ascii="Arial" w:hAnsi="Arial"/>
          <w:b/>
          <w:color w:val="2E75B6"/>
          <w:sz w:val="22"/>
        </w:rPr>
        <w:t xml:space="preserve">3.  </w:t>
      </w:r>
      <w:r>
        <w:rPr>
          <w:rFonts w:ascii="Arial" w:hAnsi="Arial"/>
          <w:b/>
          <w:color w:val="1F4E79"/>
          <w:sz w:val="22"/>
        </w:rPr>
        <w:t>CCU reduce sus utilidades y advierte complejo escenario en Argentina</w:t>
      </w:r>
    </w:p>
    <w:p>
      <w:pPr>
        <w:spacing w:before="40" w:after="60"/>
        <w:ind w:left="283"/>
      </w:pPr>
      <w:r>
        <w:rPr>
          <w:rFonts w:ascii="Arial" w:hAnsi="Arial"/>
          <w:color w:val="404040"/>
          <w:sz w:val="21"/>
        </w:rPr>
        <w:t>CCU reportó una caída del 6,8% en sus utilidades atribuibles a los propietarios durante el primer trimestre de 2026, llegando a $53.856 millones, mientras sus ingresos apenas crecieron 0,2% interanual a $819.515 millones y el Ebitda se mantuvo prácticamente plano en $131.644 millones. El sólido desempeño en Chile (+13,7% en Ebitda) fue compensado por contracciones del 18,6% en negocios internacionales y del 50,1% en vinos. Argentina concentra las principales dificultades, con volúmenes de cerveza cayendo en dígito medio y una economía que la compañía califica como hiperinflacionaria desde 2018, expuesta a alta volatilidad cambiaria y tasas de interés elevadas. La firma advierte que los conflictos geopolíticos han encarecido sus costos de producción y obliga a navegar con cautela.</w:t>
      </w:r>
    </w:p>
    <w:p>
      <w:pPr>
        <w:pBdr>
          <w:bottom w:val="single" w:sz="4" w:space="1" w:color="BDD7EE"/>
        </w:pBdr>
        <w:spacing w:before="80" w:after="80"/>
      </w:pPr>
    </w:p>
    <w:p>
      <w:pPr>
        <w:pStyle w:val="Heading2"/>
        <w:spacing w:before="200" w:after="80"/>
      </w:pPr>
      <w:r>
        <w:rPr>
          <w:rFonts w:ascii="Arial" w:hAnsi="Arial"/>
          <w:b/>
          <w:color w:val="2E75B6"/>
          <w:sz w:val="22"/>
        </w:rPr>
        <w:t xml:space="preserve">4.  </w:t>
      </w:r>
      <w:r>
        <w:rPr>
          <w:rFonts w:ascii="Arial" w:hAnsi="Arial"/>
          <w:b/>
          <w:color w:val="1F4E79"/>
          <w:sz w:val="22"/>
        </w:rPr>
        <w:t>Cenco Malls aumenta en 54,3% sus utilidades aunque reporta baja en ventas de locatarios</w:t>
      </w:r>
    </w:p>
    <w:p>
      <w:pPr>
        <w:spacing w:before="40" w:after="60"/>
        <w:ind w:left="283"/>
      </w:pPr>
      <w:r>
        <w:rPr>
          <w:rFonts w:ascii="Arial" w:hAnsi="Arial"/>
          <w:color w:val="404040"/>
          <w:sz w:val="21"/>
        </w:rPr>
        <w:t>Cenco Malls registró un alza del 54,3% en sus utilidades durante el primer trimestre de 2026, alcanzando $93.279 millones, impulsada principalmente por una mayor valorización de activos y un mejor desempeño operacional. Los ingresos crecieron 4,8% a $94.592 millones, sustentados en arriendo fijo y mayor ocupación de oficinas en la Gran Torre Costanera, aunque los arriendos variables cayeron por menor turismo extranjero. Las visitas a sus 41 centros comerciales en Chile, Perú y Colombia crecieron 5,1% hasta 34,9 millones de personas, mientras las ventas de locatarios bajaron 2,6% a $1.165.814 millones, afectadas por la menor actividad turística. El Ebitda avanzó 3,7% a $84.367 millones.</w:t>
      </w:r>
    </w:p>
    <w:p>
      <w:pPr>
        <w:pBdr>
          <w:bottom w:val="single" w:sz="4" w:space="1" w:color="BDD7EE"/>
        </w:pBdr>
        <w:spacing w:before="80" w:after="80"/>
      </w:pPr>
    </w:p>
    <w:p>
      <w:pPr>
        <w:pStyle w:val="Heading2"/>
        <w:spacing w:before="200" w:after="80"/>
      </w:pPr>
      <w:r>
        <w:rPr>
          <w:rFonts w:ascii="Arial" w:hAnsi="Arial"/>
          <w:b/>
          <w:color w:val="2E75B6"/>
          <w:sz w:val="22"/>
        </w:rPr>
        <w:t xml:space="preserve">5.  </w:t>
      </w:r>
      <w:r>
        <w:rPr>
          <w:rFonts w:ascii="Arial" w:hAnsi="Arial"/>
          <w:b/>
          <w:color w:val="1F4E79"/>
          <w:sz w:val="22"/>
        </w:rPr>
        <w:t>Industria minera activa plan de 600 becas en Antofagasta para cubrir los 25 mil empleos que necesitará a 2030</w:t>
      </w:r>
    </w:p>
    <w:p>
      <w:pPr>
        <w:spacing w:before="40" w:after="60"/>
        <w:ind w:left="283"/>
      </w:pPr>
      <w:r>
        <w:rPr>
          <w:rFonts w:ascii="Arial" w:hAnsi="Arial"/>
          <w:color w:val="404040"/>
          <w:sz w:val="21"/>
        </w:rPr>
        <w:t>El programa Conecta Norte, impulsado por Fundación País Digital y Desafío Latam con apoyo de BHP Foundation y Fundación Minera Escondida, anunció 600 becas para jóvenes de entre 17 y 20 años en Antofagasta, enfocadas en automatización, análisis de datos y operación tecnológica para la minería. La iniciativa responde a una brecha creciente de capital humano especializado: el sector proyecta necesitar 25.000 nuevos trabajadores hacia 2030 a medida que las operaciones se automatizan y digitalizan. El programa busca articular liceos, instituciones de educación superior y empresas mineras como Spence BHP, Escondida, SQM y Codelco con organismos como el Sence, OTIC Sofofa y la Municipalidad de Antofagasta. La minería aporta actualmente entre el 10% y el 15% del PIB nacional y cerca del 50% de las exportaciones del país.</w:t>
      </w:r>
    </w:p>
    <w:p>
      <w:pPr>
        <w:pBdr>
          <w:bottom w:val="single" w:sz="4" w:space="1" w:color="BDD7EE"/>
        </w:pBdr>
        <w:spacing w:before="80" w:after="80"/>
      </w:pPr>
    </w:p>
    <w:p>
      <w:pPr>
        <w:pStyle w:val="Heading2"/>
        <w:spacing w:before="200" w:after="80"/>
      </w:pPr>
      <w:r>
        <w:rPr>
          <w:rFonts w:ascii="Arial" w:hAnsi="Arial"/>
          <w:b/>
          <w:color w:val="2E75B6"/>
          <w:sz w:val="22"/>
        </w:rPr>
        <w:t xml:space="preserve">6.  </w:t>
      </w:r>
      <w:r>
        <w:rPr>
          <w:rFonts w:ascii="Arial" w:hAnsi="Arial"/>
          <w:b/>
          <w:color w:val="1F4E79"/>
          <w:sz w:val="22"/>
        </w:rPr>
        <w:t>Clínica Costanera de Valdivia invierte US$ 15 millones en infraestructura para fortalecer sus prestaciones de tratamiento y cuidado oncológico</w:t>
      </w:r>
    </w:p>
    <w:p>
      <w:pPr>
        <w:spacing w:before="40" w:after="60"/>
        <w:ind w:left="283"/>
      </w:pPr>
      <w:r>
        <w:rPr>
          <w:rFonts w:ascii="Arial" w:hAnsi="Arial"/>
          <w:color w:val="404040"/>
          <w:sz w:val="21"/>
        </w:rPr>
        <w:t>Clínica Costanera de Valdivia anunció una inversión de US$ 15 millones para construir el proyecto 'Ribera', un edificio de cuatro pisos y 4.200 m² destinado a atención oncológica de alta complejidad para pacientes entre La Araucanía y Magallanes. La obra, que tiene un avance del 37%, proyecta inicio de operaciones en enero de 2027 e incluirá tres pabellones de cirugía mayor ambulatoria, 24 puestos de recuperación, 20 consultas médicas adicionales y dos aceleradores lineales para radioterapia. La iniciativa responde a que las listas de espera de radioterapia en Chile superan las 27 mil personas y casi la mitad de los pacientes con cáncer no accede oportunamente al tratamiento. El financiamiento es íntegramente privado y regional, sin dependencia de capitales externos.</w:t>
      </w:r>
    </w:p>
    <w:p>
      <w:pPr>
        <w:pBdr>
          <w:bottom w:val="single" w:sz="4" w:space="1" w:color="BDD7EE"/>
        </w:pBdr>
        <w:spacing w:before="80" w:after="80"/>
      </w:pPr>
    </w:p>
    <w:p>
      <w:pPr>
        <w:pStyle w:val="Heading2"/>
        <w:spacing w:before="200" w:after="80"/>
      </w:pPr>
      <w:r>
        <w:rPr>
          <w:rFonts w:ascii="Arial" w:hAnsi="Arial"/>
          <w:b/>
          <w:color w:val="2E75B6"/>
          <w:sz w:val="22"/>
        </w:rPr>
        <w:t xml:space="preserve">7.  </w:t>
      </w:r>
      <w:r>
        <w:rPr>
          <w:rFonts w:ascii="Arial" w:hAnsi="Arial"/>
          <w:b/>
          <w:color w:val="1F4E79"/>
          <w:sz w:val="22"/>
        </w:rPr>
        <w:t>YPFB invertirá US$ 9,8 millones en la Zona Portuaria de Arica para fortalecer las importaciones de combustibles de Bolivia</w:t>
      </w:r>
    </w:p>
    <w:p>
      <w:pPr>
        <w:spacing w:before="40" w:after="60"/>
        <w:ind w:left="283"/>
      </w:pPr>
      <w:r>
        <w:rPr>
          <w:rFonts w:ascii="Arial" w:hAnsi="Arial"/>
          <w:color w:val="404040"/>
          <w:sz w:val="21"/>
        </w:rPr>
        <w:t>La estatal petrolera boliviana YPFB invertirá US$ 9,8 millones en la terminal Sica Sica de Arica, principal punto de ingreso de combustibles hacia Bolivia, como parte de su plan de inversiones en infraestructura energética de US$ 50 millones para 2026. Los recursos se destinarán principalmente al proyecto Reversa Ossa 2, que conecta mediante un oleoducto el puerto de Arica con la localidad boliviana de Charaña. Las inversiones se aceleran en un contexto de problemas de abastecimiento en Bolivia: el gobierno denunció una 'mafia internacional' de adulteración de combustibles con pérdidas de US$ 150 millones, y el ex presidente de YPFB advirtió al Congreso que refinerías clave estaban al borde de paralizarse. El anuncio se da en un contexto de mayor acercamiento político entre Chile y Bolivia, pese a la falta de relaciones diplomáticas plenas.</w:t>
      </w:r>
    </w:p>
    <w:p>
      <w:pPr>
        <w:pBdr>
          <w:bottom w:val="single" w:sz="4" w:space="1" w:color="BDD7EE"/>
        </w:pBdr>
        <w:spacing w:before="80" w:after="80"/>
      </w:pPr>
    </w:p>
    <w:p>
      <w:pPr>
        <w:pStyle w:val="Heading2"/>
        <w:spacing w:before="200" w:after="80"/>
      </w:pPr>
      <w:r>
        <w:rPr>
          <w:rFonts w:ascii="Arial" w:hAnsi="Arial"/>
          <w:b/>
          <w:color w:val="2E75B6"/>
          <w:sz w:val="22"/>
        </w:rPr>
        <w:t xml:space="preserve">8.  </w:t>
      </w:r>
      <w:r>
        <w:rPr>
          <w:rFonts w:ascii="Arial" w:hAnsi="Arial"/>
          <w:b/>
          <w:color w:val="1F4E79"/>
          <w:sz w:val="22"/>
        </w:rPr>
        <w:t>“Chile puede y debe ser una potencia acuícola”: el mensaje del biministro Mas ante la industria salmonera</w:t>
      </w:r>
    </w:p>
    <w:p>
      <w:pPr>
        <w:spacing w:before="40" w:after="60"/>
        <w:ind w:left="283"/>
      </w:pPr>
      <w:r>
        <w:rPr>
          <w:rFonts w:ascii="Arial" w:hAnsi="Arial"/>
          <w:color w:val="404040"/>
          <w:sz w:val="21"/>
        </w:rPr>
        <w:t>En el SalmonChile Summit 2026, el biministro Daniel Mas, justificó además el retiro del proyecto de ley de pesca impulsado en la administración anterior, al que calificó como “ideológico y refundacional”. Ante más de 1.000 asistentes reunidos en el Teatro del Lago de Frutillar, el biministro de Economía y Minería,Daniel Mas, aprovechó su paso por una nueva edición del SalmonChile Summit 2026 para entregar una señal directa a la industria salmonera. En su intervención, el secretario de Estado reafirmó el foco del gobierno en destrabar inversiones y dar un nuevo impulso al sector acuícola, insistiendo en la necesidad de dejar atrás el estancamiento económico, la incertidumbre y la falta de certezas jurídicas que, a su juicio, han frenado el desarrollo de la actividad en los últimos años.</w:t>
      </w:r>
    </w:p>
    <w:p>
      <w:pPr>
        <w:pBdr>
          <w:bottom w:val="single" w:sz="4" w:space="1" w:color="BDD7EE"/>
        </w:pBdr>
        <w:spacing w:before="80" w:after="80"/>
      </w:pPr>
    </w:p>
    <w:p>
      <w:pPr>
        <w:pStyle w:val="Heading2"/>
        <w:spacing w:before="200" w:after="80"/>
      </w:pPr>
      <w:r>
        <w:rPr>
          <w:rFonts w:ascii="Arial" w:hAnsi="Arial"/>
          <w:b/>
          <w:color w:val="2E75B6"/>
          <w:sz w:val="22"/>
        </w:rPr>
        <w:t xml:space="preserve">9.  </w:t>
      </w:r>
      <w:r>
        <w:rPr>
          <w:rFonts w:ascii="Arial" w:hAnsi="Arial"/>
          <w:b/>
          <w:color w:val="1F4E79"/>
          <w:sz w:val="22"/>
        </w:rPr>
        <w:t>Colbún presenta plan de mitigación ambiental para el lago Chapo que garantiza continuidad operativa de la central Canutillar</w:t>
      </w:r>
    </w:p>
    <w:p>
      <w:pPr>
        <w:spacing w:before="40" w:after="60"/>
        <w:ind w:left="283"/>
      </w:pPr>
      <w:r>
        <w:rPr>
          <w:rFonts w:ascii="Arial" w:hAnsi="Arial"/>
          <w:color w:val="404040"/>
          <w:sz w:val="21"/>
        </w:rPr>
        <w:t>Colbún presentó ante el Consejo Regional de Los Lagos su Plan de Reparación por Daño Ambiental para el lago Chapo, en cumplimiento de la sentencia de la Corte Suprema que confirmó su responsabilidad por el deterioro del ecosistema lacustre derivado de las operaciones de la Central Hidroeléctrica Canutillar. El plan considera medidas de bioingeniería con vegetación nativa para controlar la erosión de riberas, el mantenimiento de una cota mínima de operación de 231 metros sobre el nivel del mar, y monitoreos ambientales permanentes, aunque los montos de inversión aún no están cuantificados. La empresa debe presentar el plan definitivo en un plazo de 120 días hábiles al Tercer Tribunal Ambiental para su aprobación. La sentencia también obliga a la compañía a someter las operaciones de la central a evaluación retroactiva bajo el SEIA, lo que constituye un precedente inédito a nivel nacional.</w:t>
      </w:r>
    </w:p>
    <w:p>
      <w:pPr>
        <w:pBdr>
          <w:bottom w:val="single" w:sz="4" w:space="1" w:color="BDD7EE"/>
        </w:pBdr>
        <w:spacing w:before="80" w:after="80"/>
      </w:pPr>
    </w:p>
    <w:p>
      <w:pPr>
        <w:pStyle w:val="Heading2"/>
        <w:spacing w:before="200" w:after="80"/>
      </w:pPr>
      <w:r>
        <w:rPr>
          <w:rFonts w:ascii="Arial" w:hAnsi="Arial"/>
          <w:b/>
          <w:color w:val="2E75B6"/>
          <w:sz w:val="22"/>
        </w:rPr>
        <w:t xml:space="preserve">10.  </w:t>
      </w:r>
      <w:r>
        <w:rPr>
          <w:rFonts w:ascii="Arial" w:hAnsi="Arial"/>
          <w:b/>
          <w:color w:val="1F4E79"/>
          <w:sz w:val="22"/>
        </w:rPr>
        <w:t>Autoridad ambiental aprueba Línea 8 del Metro que involucra US$ 1.900 millones de inversión</w:t>
      </w:r>
    </w:p>
    <w:p>
      <w:pPr>
        <w:spacing w:before="40" w:after="60"/>
        <w:ind w:left="283"/>
      </w:pPr>
      <w:r>
        <w:rPr>
          <w:rFonts w:ascii="Arial" w:hAnsi="Arial"/>
          <w:color w:val="404040"/>
          <w:sz w:val="21"/>
        </w:rPr>
        <w:t>La Coeva de la Región Metropolitana aprobó por unanimidad el proyecto de la Línea 8 del Metro de Santiago, con una inversión de US$ 1.900 millones y un trazado de 18,5 kilómetros en túnel con 14 estaciones. La nueva línea conectará las comunas de Puente Alto, La Florida, Peñalolén, Macul, Ñuñoa, Providencia y Las Condes, beneficiando a una población estimada de 1,9 millones de habitantes y reduciendo los tiempos de viaje en cerca de 23 minutos (un 41%). El EIA del proyecto se evaluó en 649 días, aproximadamente un 55% del tiempo promedio de 1.124 días registrado en 2025. El SEA había emitido una recomendación favorable a fines de abril.</w:t>
      </w:r>
    </w:p>
    <w:p>
      <w:pPr>
        <w:spacing w:before="0" w:after="80"/>
        <w:jc w:val="left"/>
      </w:pPr>
    </w:p>
    <w:p>
      <w:pPr>
        <w:pStyle w:val="Heading1"/>
        <w:shd w:val="clear" w:color="auto" w:fill="1F4E79"/>
        <w:spacing w:before="320" w:after="160"/>
        <w:ind w:left="227"/>
      </w:pPr>
      <w:r>
        <w:rPr>
          <w:rFonts w:ascii="Arial" w:hAnsi="Arial"/>
          <w:b/>
          <w:color w:val="FFFFFF"/>
          <w:sz w:val="26"/>
        </w:rPr>
        <w:t>ECONOMÍA</w:t>
      </w:r>
    </w:p>
    <w:p>
      <w:pPr>
        <w:pStyle w:val="Heading2"/>
        <w:spacing w:before="200" w:after="80"/>
      </w:pPr>
      <w:r>
        <w:rPr>
          <w:rFonts w:ascii="Arial" w:hAnsi="Arial"/>
          <w:b/>
          <w:color w:val="2E75B6"/>
          <w:sz w:val="22"/>
        </w:rPr>
        <w:t xml:space="preserve">1.  </w:t>
      </w:r>
      <w:r>
        <w:rPr>
          <w:rFonts w:ascii="Arial" w:hAnsi="Arial"/>
          <w:b/>
          <w:color w:val="1F4E79"/>
          <w:sz w:val="22"/>
        </w:rPr>
        <w:t>Vuelco en acuerdo del PDG: diputados anuncian rechazo al proyecto de reactivación del gobierno</w:t>
      </w:r>
    </w:p>
    <w:p>
      <w:pPr>
        <w:spacing w:before="40" w:after="60"/>
        <w:ind w:left="283"/>
      </w:pPr>
      <w:r>
        <w:rPr>
          <w:rFonts w:ascii="Arial" w:hAnsi="Arial"/>
          <w:color w:val="404040"/>
          <w:sz w:val="21"/>
        </w:rPr>
        <w:t>La bancada del Partido de la Gente anunció el miércoles en la noche que rechazará la idea de legislar del proyecto de reactivación económica, argumentando que la propuesta del gobierno no cumple con lo acordado previamente en cuanto a la devolución del IVA en medicamentos y pañales. El PDG había pedido universalidad en la rebaja del IVA para pañales y una canasta amplia de medicamentos con la misma medida, pero el Ejecutivo presentó un bono trimestral restringido al quinto decil. El jefe de bancada, Juan Marcelo Valenzuela, dejó abierta una eventual reapertura del diálogo condicionada a una reunión del jueves entre Franco Parisi y el ministro Quiroz. La ruptura se suma al anuncio previo de rechazo del bloque opositor que va desde la DC hasta el PC.</w:t>
      </w:r>
    </w:p>
    <w:p>
      <w:pPr>
        <w:pBdr>
          <w:bottom w:val="single" w:sz="4" w:space="1" w:color="BDD7EE"/>
        </w:pBdr>
        <w:spacing w:before="80" w:after="80"/>
      </w:pPr>
    </w:p>
    <w:p>
      <w:pPr>
        <w:pStyle w:val="Heading2"/>
        <w:spacing w:before="200" w:after="80"/>
      </w:pPr>
      <w:r>
        <w:rPr>
          <w:rFonts w:ascii="Arial" w:hAnsi="Arial"/>
          <w:b/>
          <w:color w:val="2E75B6"/>
          <w:sz w:val="22"/>
        </w:rPr>
        <w:t xml:space="preserve">2.  </w:t>
      </w:r>
      <w:r>
        <w:rPr>
          <w:rFonts w:ascii="Arial" w:hAnsi="Arial"/>
          <w:b/>
          <w:color w:val="1F4E79"/>
          <w:sz w:val="22"/>
        </w:rPr>
        <w:t>Algo de alivio al bolsillo: tras histórica alza de marzo, el diésel bajará $ 47 esta semana</w:t>
      </w:r>
    </w:p>
    <w:p>
      <w:pPr>
        <w:spacing w:before="40" w:after="60"/>
        <w:ind w:left="283"/>
      </w:pPr>
      <w:r>
        <w:rPr>
          <w:rFonts w:ascii="Arial" w:hAnsi="Arial"/>
          <w:color w:val="404040"/>
          <w:sz w:val="21"/>
        </w:rPr>
        <w:t>ENAP informó que el diésel bajará $47,3 por litro a partir del jueves, en contraste con el alza histórica de cerca de $580 por litro registrada en marzo. Las bencinas prácticamente no variarán —la de 93 octanos sube apenas $0,1— porque el Ministerio de Hacienda modificó los parámetros del Mepco al ampliar el promedio histórico considerado de 4 a 13 semanas, evitando un alza estimada de $75 en las gasolinas. Economistas señalan que la intervención refleja una decisión política del gobierno para proteger el bolsillo de los hogares en un contexto donde el IPC de abril —que se publicará el viernes— se proyecta entre 1,4% y 1,7%, lo que elevaría la inflación anual sobre el umbral del 4%. El GLP vehicular será el único producto que registrará alza, de $49,3 por litro.</w:t>
      </w:r>
    </w:p>
    <w:p>
      <w:pPr>
        <w:pBdr>
          <w:bottom w:val="single" w:sz="4" w:space="1" w:color="BDD7EE"/>
        </w:pBdr>
        <w:spacing w:before="80" w:after="80"/>
      </w:pPr>
    </w:p>
    <w:p>
      <w:pPr>
        <w:pStyle w:val="Heading2"/>
        <w:spacing w:before="200" w:after="80"/>
      </w:pPr>
      <w:r>
        <w:rPr>
          <w:rFonts w:ascii="Arial" w:hAnsi="Arial"/>
          <w:b/>
          <w:color w:val="2E75B6"/>
          <w:sz w:val="22"/>
        </w:rPr>
        <w:t xml:space="preserve">3.  </w:t>
      </w:r>
      <w:r>
        <w:rPr>
          <w:rFonts w:ascii="Arial" w:hAnsi="Arial"/>
          <w:b/>
          <w:color w:val="1F4E79"/>
          <w:sz w:val="22"/>
        </w:rPr>
        <w:t>Coincidencia "maciza" en medidas pro crecimiento: Quiroz entrega sus primeras reacciones ante las observaciones del CFA al proyecto de reactivación</w:t>
      </w:r>
    </w:p>
    <w:p>
      <w:pPr>
        <w:spacing w:before="40" w:after="60"/>
        <w:ind w:left="283"/>
      </w:pPr>
      <w:r>
        <w:rPr>
          <w:rFonts w:ascii="Arial" w:hAnsi="Arial"/>
          <w:color w:val="404040"/>
          <w:sz w:val="21"/>
        </w:rPr>
        <w:t>El ministro de Hacienda, Jorge Quiroz, respondió al informe del Consejo Fiscal Autónomo (CFA) destacando los puntos de coincidencia en las medidas pro crecimiento y cuestionando la metodología del organismo, que evalúa cada medida por separado en lugar de considerar el efecto agregado del proyecto. Quiroz anunció que el jueves la Dipres responderá una por una las nueve prevenciones del CFA ante la comisión de Hacienda, y que el gobierno mantiene la urgencia legislativa. El ministro hizo un llamado a los parlamentarios a votar con 'sentido de país' ante cuatro años de estancamiento, 900 mil desempleados y un déficit fiscal del 2,8% del PIB en 12 meses móviles. Subrayó que el proyecto debe analizarse como un todo y junto a otras medidas administrativas complementarias en ejecución.</w:t>
      </w:r>
    </w:p>
    <w:p>
      <w:pPr>
        <w:pBdr>
          <w:bottom w:val="single" w:sz="4" w:space="1" w:color="BDD7EE"/>
        </w:pBdr>
        <w:spacing w:before="80" w:after="80"/>
      </w:pPr>
    </w:p>
    <w:p>
      <w:pPr>
        <w:pStyle w:val="Heading2"/>
        <w:spacing w:before="200" w:after="80"/>
      </w:pPr>
      <w:r>
        <w:rPr>
          <w:rFonts w:ascii="Arial" w:hAnsi="Arial"/>
          <w:b/>
          <w:color w:val="2E75B6"/>
          <w:sz w:val="22"/>
        </w:rPr>
        <w:t xml:space="preserve">4.  </w:t>
      </w:r>
      <w:r>
        <w:rPr>
          <w:rFonts w:ascii="Arial" w:hAnsi="Arial"/>
          <w:b/>
          <w:color w:val="1F4E79"/>
          <w:sz w:val="22"/>
        </w:rPr>
        <w:t>Reactivación económica: oposición gestiona articulación amplia desde la DC al PC y anuncia rechazo al proyecto</w:t>
      </w:r>
    </w:p>
    <w:p>
      <w:pPr>
        <w:spacing w:before="40" w:after="60"/>
        <w:ind w:left="283"/>
      </w:pPr>
      <w:r>
        <w:rPr>
          <w:rFonts w:ascii="Arial" w:hAnsi="Arial"/>
          <w:color w:val="404040"/>
          <w:sz w:val="21"/>
        </w:rPr>
        <w:t>La presidenta del PS, senadora Paulina Vodanovic, anunció que todos los partidos desde la DC hasta el PC rechazarán en general la idea de legislar el proyecto de reactivación, aunque la postura de la DC quedó ambigua tras la intervención esquiva de su timonel. La coordinación opositora se produjo tras las exposiciones críticas del FMI, el Banco Central y el CFA, que cuestionaron la sostenibilidad fiscal de la iniciativa. El PS propone separar el debate tributario de las medidas de reconstrucción y exige al gobierno retirar la urgencia. En la bancada DC hay al menos cinco diputados que estarían por aprobar o abstenerse, por lo que no hay una postura unificada cerrada.</w:t>
      </w:r>
    </w:p>
    <w:p>
      <w:pPr>
        <w:pBdr>
          <w:bottom w:val="single" w:sz="4" w:space="1" w:color="BDD7EE"/>
        </w:pBdr>
        <w:spacing w:before="80" w:after="80"/>
      </w:pPr>
    </w:p>
    <w:p>
      <w:pPr>
        <w:pStyle w:val="Heading2"/>
        <w:spacing w:before="200" w:after="80"/>
      </w:pPr>
      <w:r>
        <w:rPr>
          <w:rFonts w:ascii="Arial" w:hAnsi="Arial"/>
          <w:b/>
          <w:color w:val="2E75B6"/>
          <w:sz w:val="22"/>
        </w:rPr>
        <w:t xml:space="preserve">5.  </w:t>
      </w:r>
      <w:r>
        <w:rPr>
          <w:rFonts w:ascii="Arial" w:hAnsi="Arial"/>
          <w:b/>
          <w:color w:val="1F4E79"/>
          <w:sz w:val="22"/>
        </w:rPr>
        <w:t>Carolina Parada renuncia a la secretaría ejecutiva del Plan de Fortalecimiento Industrial del Biobío y será reemplazada por el seremi de Economía, Christian Cifuentes</w:t>
      </w:r>
    </w:p>
    <w:p>
      <w:pPr>
        <w:spacing w:before="40" w:after="60"/>
        <w:ind w:left="283"/>
      </w:pPr>
      <w:r>
        <w:rPr>
          <w:rFonts w:ascii="Arial" w:hAnsi="Arial"/>
          <w:color w:val="404040"/>
          <w:sz w:val="21"/>
        </w:rPr>
        <w:t>El biministro Daniel Mas aceptó la renuncia de Carolina Parada a la secretaría ejecutiva del Plan de Fortalecimiento Industrial del Biobío, iniciativa creada para enfrentar el impacto económico del cierre de Huachipato en 2024. A partir de este mes, la conducción queda en manos del seremi de Economía Christian Cifuentes, en coordinación con el delegado presidencial regional. La nueva etapa estará apoyada en la Oficina de Autorizaciones Sectoriales e Inversión (OASI), creada bajo la Ley Marco de Autorizaciones Sectoriales, para acelerar la tramitación de permisos de inversión en la región. El biministro advirtió que la desocupación nacional supera las 920 mil personas y que el Biobío es clave para el potencial económico del país.</w:t>
      </w:r>
    </w:p>
    <w:p>
      <w:pPr>
        <w:pBdr>
          <w:bottom w:val="single" w:sz="4" w:space="1" w:color="BDD7EE"/>
        </w:pBdr>
        <w:spacing w:before="80" w:after="80"/>
      </w:pPr>
    </w:p>
    <w:p>
      <w:pPr>
        <w:pStyle w:val="Heading2"/>
        <w:spacing w:before="200" w:after="80"/>
      </w:pPr>
      <w:r>
        <w:rPr>
          <w:rFonts w:ascii="Arial" w:hAnsi="Arial"/>
          <w:b/>
          <w:color w:val="2E75B6"/>
          <w:sz w:val="22"/>
        </w:rPr>
        <w:t xml:space="preserve">6.  </w:t>
      </w:r>
      <w:r>
        <w:rPr>
          <w:rFonts w:ascii="Arial" w:hAnsi="Arial"/>
          <w:b/>
          <w:color w:val="1F4E79"/>
          <w:sz w:val="22"/>
        </w:rPr>
        <w:t>Actividad portuaria del Biobío retrocede en marzo: carga movilizada se contrae 3,5%</w:t>
      </w:r>
    </w:p>
    <w:p>
      <w:pPr>
        <w:spacing w:before="40" w:after="60"/>
        <w:ind w:left="283"/>
      </w:pPr>
      <w:r>
        <w:rPr>
          <w:rFonts w:ascii="Arial" w:hAnsi="Arial"/>
          <w:color w:val="404040"/>
          <w:sz w:val="21"/>
        </w:rPr>
        <w:t>Los terminales portuarios del Biobío movilizaron 2.162.060 toneladas en marzo, una caída interanual de 3,5% que rompe la tendencia positiva de los dos primeros meses del año, explicada principalmente por una baja del 10,2% en la carga embarcada al exterior. El cabotaje retrocedió 12,6% y el tránsito de mercancías cayó 19,3%, aunque las importaciones crecieron 20,4% y el movimiento de contenedores aumentó 9,3% con 126.357 TEUs. Pese a la caída de marzo, el primer trimestre cierra con un crecimiento acumulado de 4,3% gracias al buen desempeño de enero y febrero, con más de 6,8 millones de toneladas movilizadas. El informe del INE vincula la menor actividad portuaria con el alza de los combustibles y una reducción del 3,2% en el tráfico de vehículos de carga por peajes regionales.</w:t>
      </w:r>
    </w:p>
    <w:p>
      <w:pPr>
        <w:pBdr>
          <w:bottom w:val="single" w:sz="4" w:space="1" w:color="BDD7EE"/>
        </w:pBdr>
        <w:spacing w:before="80" w:after="80"/>
      </w:pPr>
    </w:p>
    <w:p>
      <w:pPr>
        <w:pStyle w:val="Heading2"/>
        <w:spacing w:before="200" w:after="80"/>
      </w:pPr>
      <w:r>
        <w:rPr>
          <w:rFonts w:ascii="Arial" w:hAnsi="Arial"/>
          <w:b/>
          <w:color w:val="2E75B6"/>
          <w:sz w:val="22"/>
        </w:rPr>
        <w:t xml:space="preserve">7.  </w:t>
      </w:r>
      <w:r>
        <w:rPr>
          <w:rFonts w:ascii="Arial" w:hAnsi="Arial"/>
          <w:b/>
          <w:color w:val="1F4E79"/>
          <w:sz w:val="22"/>
        </w:rPr>
        <w:t>Kast valora observaciones del CFA, pero descarta frenar proyecto de reactivación: “Vamos a mantener la urgencia”</w:t>
      </w:r>
    </w:p>
    <w:p>
      <w:pPr>
        <w:spacing w:before="40" w:after="60"/>
        <w:ind w:left="283"/>
      </w:pPr>
      <w:r>
        <w:rPr>
          <w:rFonts w:ascii="Arial" w:hAnsi="Arial"/>
          <w:color w:val="404040"/>
          <w:sz w:val="21"/>
        </w:rPr>
        <w:t>El mandatario sostuvo que “hay un debate parlamentario en las comisiones, tengan las indicaciones, porque sobre las indicaciones se vota y democráticamente se decide”. Luego de participar en la cumbre del Salmón 2026 en Frutillar,el Presidente de la República, José Antonio Kast, se refirió a lasalertas levantadas por el Consejo Fiscal Autónomo (CFA)respecto al proyecto de ley de reactivacióny reconstrucción que impulsa La Moneda,ydescartó detener el trámite del proyecto o retirar la suma urgencia a la normativa, que será votada en general este jueves en la comisión de Hacienda de la Cámara de Diputados. Sobre el informe, Kast sostuvo que“ahora el ministro de Hacienda va a plantear sus opiniones, como corresponde” y sostuvo que “el Consejo Fiscal Autónomo ha hecho siempre informes que nosotros valoramos. Este también lo valoramos para mejorar, pero lo que no vamos a hacer es detener el avance para que Chile vuelva a crecer y este proyecto es importante para el desarrollo y crecimiento en Chile”.</w:t>
      </w:r>
    </w:p>
    <w:p>
      <w:pPr>
        <w:pBdr>
          <w:bottom w:val="single" w:sz="4" w:space="1" w:color="BDD7EE"/>
        </w:pBdr>
        <w:spacing w:before="80" w:after="80"/>
      </w:pPr>
    </w:p>
    <w:p>
      <w:pPr>
        <w:pStyle w:val="Heading2"/>
        <w:spacing w:before="200" w:after="80"/>
      </w:pPr>
      <w:r>
        <w:rPr>
          <w:rFonts w:ascii="Arial" w:hAnsi="Arial"/>
          <w:b/>
          <w:color w:val="2E75B6"/>
          <w:sz w:val="22"/>
        </w:rPr>
        <w:t xml:space="preserve">8.  </w:t>
      </w:r>
      <w:r>
        <w:rPr>
          <w:rFonts w:ascii="Arial" w:hAnsi="Arial"/>
          <w:b/>
          <w:color w:val="1F4E79"/>
          <w:sz w:val="22"/>
        </w:rPr>
        <w:t>Proyecto de reactivación económica: invariabilidad tributaria sortea su primera valla en la Cámara</w:t>
      </w:r>
    </w:p>
    <w:p>
      <w:pPr>
        <w:spacing w:before="40" w:after="60"/>
        <w:ind w:left="283"/>
      </w:pPr>
      <w:r>
        <w:rPr>
          <w:rFonts w:ascii="Arial" w:hAnsi="Arial"/>
          <w:color w:val="404040"/>
          <w:sz w:val="21"/>
        </w:rPr>
        <w:t>La Secretaría de la Cámara emitió un informe recomendando la admisibilidad del artículo sobre invariabilidad tributaria por 25 años incluido en el proyecto de reactivación, descartando que pueda ser declarado inadmisible en esta etapa. El documento concluye que las normas de invariabilidad son parte de la iniciativa exclusiva del Presidente de la República en materia tributaria y tienen precedente legal en el DL 600 de 1974, que estuvo vigente hasta 2016. Sin embargo, la oposición no descarta recurrir al Tribunal Constitucional durante la tramitación si el artículo no es modificado. Los partidos opositores buscan acotar el mecanismo a inversiones sobre US$ 50 millones, sectores específicos y un plazo máximo de 12 a 15 años.</w:t>
      </w:r>
    </w:p>
    <w:p>
      <w:pPr>
        <w:pBdr>
          <w:bottom w:val="single" w:sz="4" w:space="1" w:color="BDD7EE"/>
        </w:pBdr>
        <w:spacing w:before="80" w:after="80"/>
      </w:pPr>
    </w:p>
    <w:p>
      <w:pPr>
        <w:pStyle w:val="Heading2"/>
        <w:spacing w:before="200" w:after="80"/>
      </w:pPr>
      <w:r>
        <w:rPr>
          <w:rFonts w:ascii="Arial" w:hAnsi="Arial"/>
          <w:b/>
          <w:color w:val="2E75B6"/>
          <w:sz w:val="22"/>
        </w:rPr>
        <w:t xml:space="preserve">9.  </w:t>
      </w:r>
      <w:r>
        <w:rPr>
          <w:rFonts w:ascii="Arial" w:hAnsi="Arial"/>
          <w:b/>
          <w:color w:val="1F4E79"/>
          <w:sz w:val="22"/>
        </w:rPr>
        <w:t>Valdés alerta que “el déficit fiscal fue peor de lo que se esperaba” en el mundo pese al mayor crecimiento en 2025</w:t>
      </w:r>
    </w:p>
    <w:p>
      <w:pPr>
        <w:spacing w:before="40" w:after="60"/>
        <w:ind w:left="283"/>
      </w:pPr>
      <w:r>
        <w:rPr>
          <w:rFonts w:ascii="Arial" w:hAnsi="Arial"/>
          <w:color w:val="404040"/>
          <w:sz w:val="21"/>
        </w:rPr>
        <w:t>La brecha fiscal apunta a un empeoramiento debido a un mayor gasto, impuestos más bajos y tasas de interés elevadas. Rodrigo Valdés, director del Departamento de Asuntos Fiscales del FMI en el Seminario Fiscal Regional de la CEPAL A pesar de que el crecimiento mundial alcanzó el 3,4% en 2025 de acuerdo con datos del Fondo Monetario Internacional (FMI), la deuda fiscal sigue levantando alertas en un panorama agitado por la guerra arancelaria y el conflicto en Medio Oriente.</w:t>
      </w:r>
    </w:p>
    <w:p>
      <w:pPr>
        <w:pBdr>
          <w:bottom w:val="single" w:sz="4" w:space="1" w:color="BDD7EE"/>
        </w:pBdr>
        <w:spacing w:before="80" w:after="80"/>
      </w:pPr>
    </w:p>
    <w:p>
      <w:pPr>
        <w:pStyle w:val="Heading2"/>
        <w:spacing w:before="200" w:after="80"/>
      </w:pPr>
      <w:r>
        <w:rPr>
          <w:rFonts w:ascii="Arial" w:hAnsi="Arial"/>
          <w:b/>
          <w:color w:val="2E75B6"/>
          <w:sz w:val="22"/>
        </w:rPr>
        <w:t xml:space="preserve">10.  </w:t>
      </w:r>
      <w:r>
        <w:rPr>
          <w:rFonts w:ascii="Arial" w:hAnsi="Arial"/>
          <w:b/>
          <w:color w:val="1F4E79"/>
          <w:sz w:val="22"/>
        </w:rPr>
        <w:t>Gobierno se abre a mejorar propuesta de ajuste al salario mínimo</w:t>
      </w:r>
    </w:p>
    <w:p>
      <w:pPr>
        <w:spacing w:before="40" w:after="60"/>
        <w:ind w:left="283"/>
      </w:pPr>
      <w:r>
        <w:rPr>
          <w:rFonts w:ascii="Arial" w:hAnsi="Arial"/>
          <w:color w:val="404040"/>
          <w:sz w:val="21"/>
        </w:rPr>
        <w:t>El ministro Quiroz se mostró abierto a dialogar sobre la propuesta de reajuste del salario mínimo ante la comisión de Trabajo de la Cámara, reconociendo que un acuerdo con la CUT —cercano a los $20.000 de incremento— estaría sobre la mesa si se retoma la voluntad negociadora. El proyecto actual propone elevar el ingreso mínimo mensual a $546.546, equivalente a la variación del IPC acumulada entre enero y marzo de 2026 (1,4%), y un segundo reajuste en enero de 2027 según el IPC del resto del año. El ministro del Trabajo, Tomás Rau, contextualizó que la tasa de desempleo lleva 39 meses sobre el 8%, con un promedio de 8,6% en ese período. La oposición cuestionó que el gobierno no consultó al Consejo Superior Laboral antes de presentar el proyecto, lo que podría ser obligatorio según la legislación vigente.</w:t>
      </w:r>
    </w:p>
    <w:p>
      <w:pPr>
        <w:pBdr>
          <w:bottom w:val="single" w:sz="4" w:space="1" w:color="BDD7EE"/>
        </w:pBdr>
        <w:spacing w:before="80" w:after="80"/>
      </w:pPr>
    </w:p>
    <w:p>
      <w:pPr>
        <w:pStyle w:val="Heading2"/>
        <w:spacing w:before="200" w:after="80"/>
      </w:pPr>
      <w:r>
        <w:rPr>
          <w:rFonts w:ascii="Arial" w:hAnsi="Arial"/>
          <w:b/>
          <w:color w:val="2E75B6"/>
          <w:sz w:val="22"/>
        </w:rPr>
        <w:t xml:space="preserve">11.  </w:t>
      </w:r>
      <w:r>
        <w:rPr>
          <w:rFonts w:ascii="Arial" w:hAnsi="Arial"/>
          <w:b/>
          <w:color w:val="1F4E79"/>
          <w:sz w:val="22"/>
        </w:rPr>
        <w:t>Entidades de capacitación rechazan críticas en medio de fin a franquicia Sence y gremios empresariales valoran proyecto misceláneo</w:t>
      </w:r>
    </w:p>
    <w:p>
      <w:pPr>
        <w:spacing w:before="40" w:after="60"/>
        <w:ind w:left="283"/>
      </w:pPr>
      <w:r>
        <w:rPr>
          <w:rFonts w:ascii="Arial" w:hAnsi="Arial"/>
          <w:color w:val="404040"/>
          <w:sz w:val="21"/>
        </w:rPr>
        <w:t>Representantes de organismos técnicos de capacitación advirtieron ante la comisión de Hacienda que la eliminación de la franquicia Sence implicaría la pérdida de 30.000 empleos directos, 80.000 indirectos y el cierre de más de 3.100 pymes, y cuestionaron los informes utilizados por el gobierno para justificar la medida. Defendieron que el 72,4% de los beneficiarios del sistema tienen educación media completa o menos, y citaron un estudio de Sercotec que muestra que cada peso invertido en capacitación genera $3,2 en productividad. Propusieron reformar y modernizar el mecanismo en lugar de eliminarlo, con foco en tecnologías emergentes e inteligencia artificial. Por su parte, la CPC y la CChC expresaron su apoyo al proyecto de reactivación en general, valorando especialmente la rebaja del impuesto de primera categoría y los incentivos a la construcción.</w:t>
      </w:r>
    </w:p>
    <w:p>
      <w:pPr>
        <w:spacing w:before="0" w:after="80"/>
        <w:jc w:val="left"/>
      </w:pPr>
    </w:p>
    <w:p>
      <w:pPr>
        <w:pStyle w:val="Heading1"/>
        <w:shd w:val="clear" w:color="auto" w:fill="1F4E79"/>
        <w:spacing w:before="320" w:after="160"/>
        <w:ind w:left="227"/>
      </w:pPr>
      <w:r>
        <w:rPr>
          <w:rFonts w:ascii="Arial" w:hAnsi="Arial"/>
          <w:b/>
          <w:color w:val="FFFFFF"/>
          <w:sz w:val="26"/>
        </w:rPr>
        <w:t>INTERNACIONAL</w:t>
      </w:r>
    </w:p>
    <w:p>
      <w:pPr>
        <w:pStyle w:val="Heading2"/>
        <w:spacing w:before="200" w:after="80"/>
      </w:pPr>
      <w:r>
        <w:rPr>
          <w:rFonts w:ascii="Arial" w:hAnsi="Arial"/>
          <w:b/>
          <w:color w:val="2E75B6"/>
          <w:sz w:val="22"/>
        </w:rPr>
        <w:t xml:space="preserve">1.  </w:t>
      </w:r>
      <w:r>
        <w:rPr>
          <w:rFonts w:ascii="Arial" w:hAnsi="Arial"/>
          <w:b/>
          <w:color w:val="1F4E79"/>
          <w:sz w:val="22"/>
        </w:rPr>
        <w:t>En medio del alza de tasas de navegación aéreas: aerolíneas y aeropuertos en Argentina ajustan sus modelos de negocio</w:t>
      </w:r>
    </w:p>
    <w:p>
      <w:pPr>
        <w:spacing w:before="40" w:after="60"/>
        <w:ind w:left="283"/>
      </w:pPr>
      <w:r>
        <w:rPr>
          <w:rFonts w:ascii="Arial" w:hAnsi="Arial"/>
          <w:color w:val="404040"/>
          <w:sz w:val="21"/>
        </w:rPr>
        <w:t>Argentina actualizó las tasas de navegación aérea, con un alza del 15% en cargos internacionales y de hasta 359% en tasas nacionales, generando el rechazo de IATA que calificó la medida como una amenaza a la conectividad y competitividad del país. Aerolíneas Argentinas respondió eliminando el equipaje de mano gratuito de su tarifa base en vuelos nacionales para competir con las low cost, en un mercado donde JetSmart triplicó su participación de 17% a 25% entre diciembre de 2024 y diciembre de 2025. El Aeropuerto de Ezeiza inauguró el gimnasio Sport Club más grande del mundo dentro de una terminal aérea, con 3.250 m², como parte de una estrategia de diversificación de ingresos no aeronáuticos en el marco de un plan de inversiones de más de US$ 100 millones. El escenario refleja la presión competitiva y regulatoria que enfrenta la industria aérea argentina.</w:t>
      </w:r>
    </w:p>
    <w:p>
      <w:pPr>
        <w:pBdr>
          <w:bottom w:val="single" w:sz="4" w:space="1" w:color="BDD7EE"/>
        </w:pBdr>
        <w:spacing w:before="80" w:after="80"/>
      </w:pPr>
    </w:p>
    <w:p>
      <w:pPr>
        <w:pStyle w:val="Heading2"/>
        <w:spacing w:before="200" w:after="80"/>
      </w:pPr>
      <w:r>
        <w:rPr>
          <w:rFonts w:ascii="Arial" w:hAnsi="Arial"/>
          <w:b/>
          <w:color w:val="2E75B6"/>
          <w:sz w:val="22"/>
        </w:rPr>
        <w:t xml:space="preserve">2.  </w:t>
      </w:r>
      <w:r>
        <w:rPr>
          <w:rFonts w:ascii="Arial" w:hAnsi="Arial"/>
          <w:b/>
          <w:color w:val="1F4E79"/>
          <w:sz w:val="22"/>
        </w:rPr>
        <w:t>El préstamo con respaldo de chips de CoreWeave genera una demanda de US$ 19 mil millones</w:t>
      </w:r>
    </w:p>
    <w:p>
      <w:pPr>
        <w:spacing w:before="40" w:after="60"/>
        <w:ind w:left="283"/>
      </w:pPr>
      <w:r>
        <w:rPr>
          <w:rFonts w:ascii="Arial" w:hAnsi="Arial"/>
          <w:color w:val="404040"/>
          <w:sz w:val="21"/>
        </w:rPr>
        <w:t>CoreWeave recibió órdenes de inversión por US$ 19.000 millones para un préstamo de US$ 3.100 millones respaldado por contratos de clientes para GPUs —el primero de su tipo en ser sindicado a gran escala en el mercado estadounidense de préstamos apalancados. El préstamo a 5,5 años está garantizado por contratos con OpenAI y Cohere vinculados a unidades de procesamiento gráfico para IA, y la empresa se comprometió a reembolsarlo íntegramente durante su vigencia, lo que generó alta confianza entre los inversores. El instrumento se cotizó a 4,5 puntos porcentuales sobre el índice de referencia, 50 puntos básicos más ajustado de lo inicialmente previsto, y fue gestionado por Morgan Stanley y Mitsubishi UFJ. La demanda récord refleja el apetito de los mercados por exposición a la infraestructura de IA con garantías adecuadas.</w:t>
      </w:r>
    </w:p>
    <w:p>
      <w:pPr>
        <w:pBdr>
          <w:bottom w:val="single" w:sz="4" w:space="1" w:color="BDD7EE"/>
        </w:pBdr>
        <w:spacing w:before="80" w:after="80"/>
      </w:pPr>
    </w:p>
    <w:p>
      <w:pPr>
        <w:pStyle w:val="Heading2"/>
        <w:spacing w:before="200" w:after="80"/>
      </w:pPr>
      <w:r>
        <w:rPr>
          <w:rFonts w:ascii="Arial" w:hAnsi="Arial"/>
          <w:b/>
          <w:color w:val="2E75B6"/>
          <w:sz w:val="22"/>
        </w:rPr>
        <w:t xml:space="preserve">3.  </w:t>
      </w:r>
      <w:r>
        <w:rPr>
          <w:rFonts w:ascii="Arial" w:hAnsi="Arial"/>
          <w:b/>
          <w:color w:val="1F4E79"/>
          <w:sz w:val="22"/>
        </w:rPr>
        <w:t>¿Cómo puede impactar la reunión de este jueves de Lula con Trump en la carrera presidencial de Brasil?</w:t>
      </w:r>
    </w:p>
    <w:p>
      <w:pPr>
        <w:spacing w:before="40" w:after="60"/>
        <w:ind w:left="283"/>
      </w:pPr>
      <w:r>
        <w:rPr>
          <w:rFonts w:ascii="Arial" w:hAnsi="Arial"/>
          <w:color w:val="404040"/>
          <w:sz w:val="21"/>
        </w:rPr>
        <w:t>La visita del presidente Lula a Washington para reunirse con Trump llega en un contexto de empate técnico en las encuestas presidenciales brasileñas, donde Flávio Bolsonaro alcanzó el 47% de intención de voto, empatando al mandatario de cara a las elecciones del 4 de octubre. Analistas señalan que el acercamiento a Trump puede reforzar la imagen de Lula como negociador pragmático capaz de construir puentes ideológicos, pero también entraña riesgos dada la imprevisibilidad del líder republicano y sus estrechos lazos con la familia Bolsonaro. La relación entre ambos gobiernos mejoró desde un encuentro en la ONU en septiembre pasado, cuando comenzaron a levantarse parcialmente los aranceles impuestos a exportaciones clave de Brasil. La narrativa del bolsonarismo que reclamaba una afinidad exclusiva con el trumpismo se ve debilitada con este acercamiento.</w:t>
      </w:r>
    </w:p>
    <w:p>
      <w:pPr>
        <w:pBdr>
          <w:bottom w:val="single" w:sz="4" w:space="1" w:color="BDD7EE"/>
        </w:pBdr>
        <w:spacing w:before="80" w:after="80"/>
      </w:pPr>
    </w:p>
    <w:p>
      <w:pPr>
        <w:pStyle w:val="Heading2"/>
        <w:spacing w:before="200" w:after="80"/>
      </w:pPr>
      <w:r>
        <w:rPr>
          <w:rFonts w:ascii="Arial" w:hAnsi="Arial"/>
          <w:b/>
          <w:color w:val="2E75B6"/>
          <w:sz w:val="22"/>
        </w:rPr>
        <w:t xml:space="preserve">4.  </w:t>
      </w:r>
      <w:r>
        <w:rPr>
          <w:rFonts w:ascii="Arial" w:hAnsi="Arial"/>
          <w:b/>
          <w:color w:val="1F4E79"/>
          <w:sz w:val="22"/>
        </w:rPr>
        <w:t>"Todo va sobre ruedas y ya veremos qué pasa": Trump afirma que la guerra podría terminar si Irán acepta una propuesta de paz que analiza Teherán</w:t>
      </w:r>
    </w:p>
    <w:p>
      <w:pPr>
        <w:spacing w:before="40" w:after="60"/>
        <w:ind w:left="283"/>
      </w:pPr>
      <w:r>
        <w:rPr>
          <w:rFonts w:ascii="Arial" w:hAnsi="Arial"/>
          <w:color w:val="404040"/>
          <w:sz w:val="21"/>
        </w:rPr>
        <w:t>Axios reveló que EEUU presentó a Irán un memorándum de entendimiento de una página y 14 puntos para poner fin a las hostilidades, negociado por Steve Witkoff y Jared Kushner con mediadores pakistaníes, y que la Casa Blanca espera una respuesta iraní en 48 horas. El acuerdo implicaría una moratoria al enriquecimiento nuclear iraní, el levantamiento gradual de sanciones estadounidenses y la apertura mutua del estrecho de Ormuz durante 30 días de negociaciones detalladas. El petróleo Brent cayó desde US$ 114 hasta cerca de US$ 101 tras la noticia, mientras los futuros bursátiles ampliaban sus avances. Irán señaló que solo aceptaría un acuerdo 'justo' y aún no ha respondido formalmente.</w:t>
      </w:r>
    </w:p>
    <w:p>
      <w:pPr>
        <w:pBdr>
          <w:bottom w:val="single" w:sz="4" w:space="1" w:color="BDD7EE"/>
        </w:pBdr>
        <w:spacing w:before="80" w:after="80"/>
      </w:pPr>
    </w:p>
    <w:p>
      <w:pPr>
        <w:pStyle w:val="Heading2"/>
        <w:spacing w:before="200" w:after="80"/>
      </w:pPr>
      <w:r>
        <w:rPr>
          <w:rFonts w:ascii="Arial" w:hAnsi="Arial"/>
          <w:b/>
          <w:color w:val="2E75B6"/>
          <w:sz w:val="22"/>
        </w:rPr>
        <w:t xml:space="preserve">5.  </w:t>
      </w:r>
      <w:r>
        <w:rPr>
          <w:rFonts w:ascii="Arial" w:hAnsi="Arial"/>
          <w:b/>
          <w:color w:val="1F4E79"/>
          <w:sz w:val="22"/>
        </w:rPr>
        <w:t>Incertidumbre política pone en pausa reestructuración de Petroperú y compañía deteriora aún más su situación financiera</w:t>
      </w:r>
    </w:p>
    <w:p>
      <w:pPr>
        <w:spacing w:before="40" w:after="60"/>
        <w:ind w:left="283"/>
      </w:pPr>
      <w:r>
        <w:rPr>
          <w:rFonts w:ascii="Arial" w:hAnsi="Arial"/>
          <w:color w:val="404040"/>
          <w:sz w:val="21"/>
        </w:rPr>
        <w:t>El Congreso peruano suspendió temporalmente el debate del proyecto que buscaba derogar el decreto de urgencia del ejecutivo que permite inversión privada en Petroperú, mientras la estatal acumuló su cuarto presidente en lo que va de 2026 al designar a Edmundo Lizarzaburu. En el primer trimestre de 2026, Petroperú reportó ingresos de US$ 770,1 millones, un 21,43% menos que el año anterior, con una deuda total de US$ 7.899 millones, de los cuales US$ 3.578 millones son de corto plazo. El ex presidente del directorio, Roger Arévalo, advirtió al Congreso que las refinerías de Iquitos, Talara y Conchán estaban en riesgo de paralizarse por falta de capital para comprar crudo, comprometiendo el suministro nacional de combustibles. La incertidumbre política impide avanzar en la reestructuración patrimonial iniciada en 2022.</w:t>
      </w:r>
    </w:p>
    <w:p>
      <w:pPr>
        <w:pBdr>
          <w:bottom w:val="single" w:sz="4" w:space="1" w:color="BDD7EE"/>
        </w:pBdr>
        <w:spacing w:before="80" w:after="80"/>
      </w:pPr>
    </w:p>
    <w:p>
      <w:pPr>
        <w:pStyle w:val="Heading2"/>
        <w:spacing w:before="200" w:after="80"/>
      </w:pPr>
      <w:r>
        <w:rPr>
          <w:rFonts w:ascii="Arial" w:hAnsi="Arial"/>
          <w:b/>
          <w:color w:val="2E75B6"/>
          <w:sz w:val="22"/>
        </w:rPr>
        <w:t xml:space="preserve">6.  </w:t>
      </w:r>
      <w:r>
        <w:rPr>
          <w:rFonts w:ascii="Arial" w:hAnsi="Arial"/>
          <w:b/>
          <w:color w:val="1F4E79"/>
          <w:sz w:val="22"/>
        </w:rPr>
        <w:t>JPMorgan lanza indicador para medir un mercado de 6.400 firmas privadas en EEUU</w:t>
      </w:r>
    </w:p>
    <w:p>
      <w:pPr>
        <w:spacing w:before="40" w:after="60"/>
        <w:ind w:left="283"/>
      </w:pPr>
      <w:r>
        <w:rPr>
          <w:rFonts w:ascii="Arial" w:hAnsi="Arial"/>
          <w:color w:val="404040"/>
          <w:sz w:val="21"/>
        </w:rPr>
        <w:t>JPMorgan Chase creó el JP Morgan Private Assets Index (JPAX)-Middle Market, un índice que rastrea a unas 6.400 empresas privadas medianas de EEUU con ingresos anuales de entre US$ 10 millones y US$ 1.000 millones, y un total combinado de US$ 1 billón en ingresos anuales. El indicador funcionará como instrumento de diagnóstico institucional más que como índice negociable, y responde al creciente interés de los inversores en el mercado privado, que ha crecido mientras el número de empresas listadas en bolsa se ha reducido casi a la mitad desde los años 90. El banco ya había incorporado análisis de empresas privadas individuales el año pasado, comenzando por OpenAI. La iniciativa busca dar mayor transparencia a un segmento del mercado que históricamente ha carecido de benchmarks comparables.</w:t>
      </w:r>
    </w:p>
    <w:p>
      <w:pPr>
        <w:pBdr>
          <w:bottom w:val="single" w:sz="4" w:space="1" w:color="BDD7EE"/>
        </w:pBdr>
        <w:spacing w:before="80" w:after="80"/>
      </w:pPr>
    </w:p>
    <w:p>
      <w:pPr>
        <w:pStyle w:val="Heading2"/>
        <w:spacing w:before="200" w:after="80"/>
      </w:pPr>
      <w:r>
        <w:rPr>
          <w:rFonts w:ascii="Arial" w:hAnsi="Arial"/>
          <w:b/>
          <w:color w:val="2E75B6"/>
          <w:sz w:val="22"/>
        </w:rPr>
        <w:t xml:space="preserve">7.  </w:t>
      </w:r>
      <w:r>
        <w:rPr>
          <w:rFonts w:ascii="Arial" w:hAnsi="Arial"/>
          <w:b/>
          <w:color w:val="1F4E79"/>
          <w:sz w:val="22"/>
        </w:rPr>
        <w:t>Ted Turner, el multimillonario fundador de la cadena CNN, muere a los 87 años</w:t>
      </w:r>
    </w:p>
    <w:p>
      <w:pPr>
        <w:spacing w:before="40" w:after="60"/>
        <w:ind w:left="283"/>
      </w:pPr>
      <w:r>
        <w:rPr>
          <w:rFonts w:ascii="Arial" w:hAnsi="Arial"/>
          <w:color w:val="404040"/>
          <w:sz w:val="21"/>
        </w:rPr>
        <w:t>Ted Turner, el empresario y filántropo que fundó CNN en 1980 y construyó un imperio mediático que incluía TBS, TNT y otros canales especializados, falleció a los 87 años. En 1996 fusionó su Turner Broadcasting System con Time Warner, aunque con el tiempo perdió el control de sus redes. Fuera de los medios, fue propietario de los Atlanta Braves y los Atlanta Hawks de la NBA, capitaneó el yate Courageous en la Copa América en los años 70, y donó US$ 1.000 millones a las Naciones Unidas. En 2018 había revelado que padecía demencia con cuerpos de Lewy, una enfermedad neurodegenerativa.</w:t>
      </w:r>
    </w:p>
    <w:p>
      <w:pPr>
        <w:pBdr>
          <w:bottom w:val="single" w:sz="4" w:space="1" w:color="BDD7EE"/>
        </w:pBdr>
        <w:spacing w:before="80" w:after="80"/>
      </w:pPr>
    </w:p>
    <w:p>
      <w:pPr>
        <w:pStyle w:val="Heading2"/>
        <w:spacing w:before="200" w:after="80"/>
      </w:pPr>
      <w:r>
        <w:rPr>
          <w:rFonts w:ascii="Arial" w:hAnsi="Arial"/>
          <w:b/>
          <w:color w:val="2E75B6"/>
          <w:sz w:val="22"/>
        </w:rPr>
        <w:t xml:space="preserve">8.  </w:t>
      </w:r>
      <w:r>
        <w:rPr>
          <w:rFonts w:ascii="Arial" w:hAnsi="Arial"/>
          <w:b/>
          <w:color w:val="1F4E79"/>
          <w:sz w:val="22"/>
        </w:rPr>
        <w:t>Brasileña GPA llega a acuerdo de reestructuración de deuda con acreedores</w:t>
      </w:r>
    </w:p>
    <w:p>
      <w:pPr>
        <w:spacing w:before="40" w:after="60"/>
        <w:ind w:left="283"/>
      </w:pPr>
      <w:r>
        <w:rPr>
          <w:rFonts w:ascii="Arial" w:hAnsi="Arial"/>
          <w:color w:val="404040"/>
          <w:sz w:val="21"/>
        </w:rPr>
        <w:t>La brasileña Companhia Brasileira de Distribuição (GPA), operadora de la cadena de supermercados Pão de Açúcar, alcanzó un acuerdo extrajudicial de reestructuración de deuda con acreedores que poseen el 57,49% de sus créditos, cuyo valor total asciende a 4.568 millones de reales (US$ 913 millones). El plan busca reducir las obligaciones totales en más del 50% a lo largo del tiempo, extender el vencimiento promedio a 6,4 años y bajar el costo financiero a CDI más 0,5% anual. Se incluyen hasta 1.100 millones de reales en debentures convertibles con cuatro ventanas de conversión entre 2027 y 2031, y se proyecta que la reestructuración ahorre más de 4.000 millones de reales en desembolsos en los próximos dos años. La empresa había solicitado la reestructuración extrajudicial en marzo tras enfrentar dificultades por su elevado nivel de endeudamiento.</w:t>
      </w:r>
    </w:p>
    <w:p>
      <w:pPr>
        <w:pBdr>
          <w:bottom w:val="single" w:sz="4" w:space="1" w:color="BDD7EE"/>
        </w:pBdr>
        <w:spacing w:before="80" w:after="80"/>
      </w:pPr>
    </w:p>
    <w:p>
      <w:pPr>
        <w:pStyle w:val="Heading2"/>
        <w:spacing w:before="200" w:after="80"/>
      </w:pPr>
      <w:r>
        <w:rPr>
          <w:rFonts w:ascii="Arial" w:hAnsi="Arial"/>
          <w:b/>
          <w:color w:val="2E75B6"/>
          <w:sz w:val="22"/>
        </w:rPr>
        <w:t xml:space="preserve">9.  </w:t>
      </w:r>
      <w:r>
        <w:rPr>
          <w:rFonts w:ascii="Arial" w:hAnsi="Arial"/>
          <w:b/>
          <w:color w:val="1F4E79"/>
          <w:sz w:val="22"/>
        </w:rPr>
        <w:t>La startup china de IA DeepSeek se acerca a una valorización de US$ 45.000 millones</w:t>
      </w:r>
    </w:p>
    <w:p>
      <w:pPr>
        <w:spacing w:before="40" w:after="60"/>
        <w:ind w:left="283"/>
      </w:pPr>
      <w:r>
        <w:rPr>
          <w:rFonts w:ascii="Arial" w:hAnsi="Arial"/>
          <w:color w:val="404040"/>
          <w:sz w:val="21"/>
        </w:rPr>
        <w:t>DeepSeek, la startup china de IA que saltó a la fama en enero de 2025 con su modelo R1 de código abierto, se acerca a una valorización de US$ 45.000 millones en su primera ronda de levantamiento de capital externo, casi el doble de los US$ 20.000 millones con que comenzó las negociaciones. El fondo estatal chino Big Fund, principal vehículo de inversión en semiconductores de China, busca liderar la ronda, y el gigante tecnológico Tencent también negocia una participación. La valorización escaló a medida que el apoyo del Big Fund reforzaría la posición de DeepSeek como líder en IA de frontera dentro del ecosistema tecnológico autónomo que China busca desarrollar frente a las restricciones de exportación de EEUU. El fundador Liang Wenfeng, que controla el 89,5% de la empresa, podría también invertir personalmente.</w:t>
      </w:r>
    </w:p>
    <w:p>
      <w:pPr>
        <w:pBdr>
          <w:bottom w:val="single" w:sz="4" w:space="1" w:color="BDD7EE"/>
        </w:pBdr>
        <w:spacing w:before="80" w:after="80"/>
      </w:pPr>
    </w:p>
    <w:p>
      <w:pPr>
        <w:pStyle w:val="Heading2"/>
        <w:spacing w:before="200" w:after="80"/>
      </w:pPr>
      <w:r>
        <w:rPr>
          <w:rFonts w:ascii="Arial" w:hAnsi="Arial"/>
          <w:b/>
          <w:color w:val="2E75B6"/>
          <w:sz w:val="22"/>
        </w:rPr>
        <w:t xml:space="preserve">10.  </w:t>
      </w:r>
      <w:r>
        <w:rPr>
          <w:rFonts w:ascii="Arial" w:hAnsi="Arial"/>
          <w:b/>
          <w:color w:val="1F4E79"/>
          <w:sz w:val="22"/>
        </w:rPr>
        <w:t>Novo Nordisk reporta alta demanda de su píldora para perder peso en EEUU y su acción salta hasta 9%</w:t>
      </w:r>
    </w:p>
    <w:p>
      <w:pPr>
        <w:spacing w:before="40" w:after="60"/>
        <w:ind w:left="283"/>
      </w:pPr>
      <w:r>
        <w:rPr>
          <w:rFonts w:ascii="Arial" w:hAnsi="Arial"/>
          <w:color w:val="404040"/>
          <w:sz w:val="21"/>
        </w:rPr>
        <w:t>Novo Nordisk informó que su píldora Wegovy para perder peso tuvo el mejor lanzamiento de cualquier tratamiento reciente en EEUU, con más de 2 millones de recetas emitidas hasta el 17 de abril y más de 200.000 solo en esa semana. Las acciones de la farmacéutica danesa subieron hasta 9% en la bolsa de Copenhague ante el dato, aunque la compañía mantiene su proyección de caída del 12% en ventas totales para 2026. Los ingresos del primer trimestre cayeron 10% a 70.100 millones de coronas danesas (US$ 11.000 millones), afectados por provisiones extraordinarias en EEUU, mientras las ventas de medicamentos para la diabetes cayeron 18%. Novo enfrenta nueva competencia con la píldora Foundayo de Eli Lilly lanzada el mes pasado, aunque hasta ahora no ha afectado significativamente las recetas de Wegovy.</w:t>
      </w:r>
    </w:p>
    <w:p>
      <w:pPr>
        <w:pBdr>
          <w:bottom w:val="single" w:sz="4" w:space="1" w:color="BDD7EE"/>
        </w:pBdr>
        <w:spacing w:before="80" w:after="80"/>
      </w:pPr>
    </w:p>
    <w:p>
      <w:pPr>
        <w:pStyle w:val="Heading2"/>
        <w:spacing w:before="200" w:after="80"/>
      </w:pPr>
      <w:r>
        <w:rPr>
          <w:rFonts w:ascii="Arial" w:hAnsi="Arial"/>
          <w:b/>
          <w:color w:val="2E75B6"/>
          <w:sz w:val="22"/>
        </w:rPr>
        <w:t xml:space="preserve">11.  </w:t>
      </w:r>
      <w:r>
        <w:rPr>
          <w:rFonts w:ascii="Arial" w:hAnsi="Arial"/>
          <w:b/>
          <w:color w:val="1F4E79"/>
          <w:sz w:val="22"/>
        </w:rPr>
        <w:t>Samsung alcanza valorización de US$ 1 billón y se une a TSMC en exclusivo club asiático</w:t>
      </w:r>
    </w:p>
    <w:p>
      <w:pPr>
        <w:spacing w:before="40" w:after="60"/>
        <w:ind w:left="283"/>
      </w:pPr>
      <w:r>
        <w:rPr>
          <w:rFonts w:ascii="Arial" w:hAnsi="Arial"/>
          <w:color w:val="404040"/>
          <w:sz w:val="21"/>
        </w:rPr>
        <w:t>Samsung Electronics superó la capitalización bursátil de US$ 1 billón tras un alza del 14% en sus acciones, convirtiéndose en la segunda empresa asiática en alcanzar ese hito después de TSMC, impulsada por el boom de demanda de chips para IA. La división de semiconductores reportó ganancias históricas en el trimestre de marzo, con un salto de 48 veces en utilidades por pedidos de centros de datos de IA, y los analistas esperan márgenes récord durante los próximos trimestres. El avance de Samsung llevó el índice Kospi de Corea del Sur sobre los 7.000 puntos por primera vez en su historia. La empresa enfrenta desafíos en sus divisiones de móviles y pantallas por presión de costos, y sus trabajadores amenazan con huelga de 18 días a fines de mayo.</w:t>
      </w:r>
    </w:p>
    <w:p>
      <w:pPr>
        <w:spacing w:before="0" w:after="80"/>
        <w:jc w:val="left"/>
      </w:pPr>
    </w:p>
    <w:p>
      <w:pPr>
        <w:pStyle w:val="Heading1"/>
        <w:shd w:val="clear" w:color="auto" w:fill="1F4E79"/>
        <w:spacing w:before="320" w:after="160"/>
        <w:ind w:left="227"/>
      </w:pPr>
      <w:r>
        <w:rPr>
          <w:rFonts w:ascii="Arial" w:hAnsi="Arial"/>
          <w:b/>
          <w:color w:val="FFFFFF"/>
          <w:sz w:val="26"/>
        </w:rPr>
        <w:t>INNOVACIÓN</w:t>
      </w:r>
    </w:p>
    <w:p>
      <w:pPr>
        <w:pStyle w:val="Heading2"/>
        <w:spacing w:before="200" w:after="80"/>
      </w:pPr>
      <w:r>
        <w:rPr>
          <w:rFonts w:ascii="Arial" w:hAnsi="Arial"/>
          <w:b/>
          <w:color w:val="2E75B6"/>
          <w:sz w:val="22"/>
        </w:rPr>
        <w:t xml:space="preserve">1.  </w:t>
      </w:r>
      <w:r>
        <w:rPr>
          <w:rFonts w:ascii="Arial" w:hAnsi="Arial"/>
          <w:b/>
          <w:color w:val="1F4E79"/>
          <w:sz w:val="22"/>
        </w:rPr>
        <w:t>La gira tech del canciller Pérez Mackenna y de la ministra Lincolao: reuniones en Silicon Valley con Nvidia, Google y Apple</w:t>
      </w:r>
    </w:p>
    <w:p>
      <w:pPr>
        <w:spacing w:before="40" w:after="60"/>
        <w:ind w:left="283"/>
      </w:pPr>
      <w:r>
        <w:rPr>
          <w:rFonts w:ascii="Arial" w:hAnsi="Arial"/>
          <w:color w:val="404040"/>
          <w:sz w:val="21"/>
        </w:rPr>
        <w:t>El canciller Francisco Pérez Mackenna y la ministra de Ciencia Ximena Lincolao realizaron una gira por Silicon Valley en el marco del programa Choose Chile para atraer inversión tecnológica al país, con reuniones en Nvidia, Google, Apple, Meta, Salesforce y OpenAI. En Nvidia abordaron con la vicepresidenta de Iniciativas Globales el desarrollo de capacidades de IA en Chile y la formación de capital humano; en Google analizaron aplicaciones de IA en salud, educación e infraestructura digital. La gira incluyó la firma de un Memorándum de Entendimiento con la Universidad de Stanford y el Chile California Council para posicionar a Chile como primer socio internacional en un programa de aceleración en tecnología para incendios forestales. El gobierno destacó las ventajas del país: energías renovables, minerales críticos e instituciones sólidas para la industria tecnológica.</w:t>
      </w:r>
    </w:p>
    <w:p>
      <w:pPr>
        <w:pBdr>
          <w:bottom w:val="single" w:sz="4" w:space="1" w:color="BDD7EE"/>
        </w:pBdr>
        <w:spacing w:before="80" w:after="80"/>
      </w:pPr>
    </w:p>
    <w:p>
      <w:pPr>
        <w:pStyle w:val="Heading2"/>
        <w:spacing w:before="200" w:after="80"/>
      </w:pPr>
      <w:r>
        <w:rPr>
          <w:rFonts w:ascii="Arial" w:hAnsi="Arial"/>
          <w:b/>
          <w:color w:val="2E75B6"/>
          <w:sz w:val="22"/>
        </w:rPr>
        <w:t xml:space="preserve">2.  </w:t>
      </w:r>
      <w:r>
        <w:rPr>
          <w:rFonts w:ascii="Arial" w:hAnsi="Arial"/>
          <w:b/>
          <w:color w:val="1F4E79"/>
          <w:sz w:val="22"/>
        </w:rPr>
        <w:t>Anthropic cierra acuerdo con SpaceX para ampliar su capacidad de cómputo y responder al alza de la demanda de sus sistemas de IA</w:t>
      </w:r>
    </w:p>
    <w:p>
      <w:pPr>
        <w:spacing w:before="40" w:after="60"/>
        <w:ind w:left="283"/>
      </w:pPr>
      <w:r>
        <w:rPr>
          <w:rFonts w:ascii="Arial" w:hAnsi="Arial"/>
          <w:color w:val="404040"/>
          <w:sz w:val="21"/>
        </w:rPr>
        <w:t>Anthropic firmó un acuerdo con SpaceX para acceder a recursos computacionales del centro de datos Colossus 1 en Memphis, con el objetivo de responder al fuerte crecimiento en la demanda de su asistente Claude y elevar los límites de uso de sus productos. La empresa señaló que la alianza incrementará 'sustancialmente' su capacidad de cómputo, aunque no se revelaron los términos económicos del acuerdo. La operación une a dos competidores en el desarrollo de IA: SpaceX, a través de xAI, construye centros de datos y compra chips de Nvidia, mientras Anthropic concentra su esfuerzo en el desarrollo de modelos de lenguaje. xAI se refirió a sí misma como 'SpaceXAI' al anunciar el acuerdo, lo que podría indicar un cambio de estrategia de marca.</w:t>
      </w:r>
    </w:p>
    <w:p>
      <w:pPr>
        <w:pBdr>
          <w:bottom w:val="single" w:sz="4" w:space="1" w:color="BDD7EE"/>
        </w:pBdr>
        <w:spacing w:before="80" w:after="80"/>
      </w:pPr>
    </w:p>
    <w:p>
      <w:pPr>
        <w:pStyle w:val="Heading2"/>
        <w:spacing w:before="200" w:after="80"/>
      </w:pPr>
      <w:r>
        <w:rPr>
          <w:rFonts w:ascii="Arial" w:hAnsi="Arial"/>
          <w:b/>
          <w:color w:val="2E75B6"/>
          <w:sz w:val="22"/>
        </w:rPr>
        <w:t xml:space="preserve">3.  </w:t>
      </w:r>
      <w:r>
        <w:rPr>
          <w:rFonts w:ascii="Arial" w:hAnsi="Arial"/>
          <w:b/>
          <w:color w:val="1F4E79"/>
          <w:sz w:val="22"/>
        </w:rPr>
        <w:t>Pannex certifica resultados de molécula que ampliaría opción de inmunoterapia para pacientes con cáncer de mama agresivo</w:t>
      </w:r>
    </w:p>
    <w:p>
      <w:pPr>
        <w:spacing w:before="40" w:after="60"/>
        <w:ind w:left="283"/>
      </w:pPr>
      <w:r>
        <w:rPr>
          <w:rFonts w:ascii="Arial" w:hAnsi="Arial"/>
          <w:color w:val="404040"/>
          <w:sz w:val="21"/>
        </w:rPr>
        <w:t>Pannex Therapeutics, startup chilena radicada en Nueva York, certificó los resultados preclínicos de su molécula PX-019, diseñada para hacer 'visible' el tumor de mama triple negativo al sistema inmune y extender la inmunoterapia al 80% de pacientes que actualmente no responde a ella. En estudios en animales, la combinación de PX-019 con inmunoterapia redujo el tumor un 70% respecto a animales no tratados y un 58% más que la inmunoterapia sola, activando además antes la respuesta inmune. La startup proyecta tener una versión final optimizada de la molécula a fines de 2026 para iniciar los trámites regulatorios en la FDA de EEUU, con miras a licenciar el compuesto a farmacéuticas. La compañía también trabaja en la molécula PX-04 para tratar el dolor neuropático crónico sin dependencia a opioides.</w:t>
      </w:r>
    </w:p>
    <w:p>
      <w:pPr>
        <w:pBdr>
          <w:bottom w:val="single" w:sz="4" w:space="1" w:color="BDD7EE"/>
        </w:pBdr>
        <w:spacing w:before="80" w:after="80"/>
      </w:pPr>
    </w:p>
    <w:p>
      <w:pPr>
        <w:pStyle w:val="Heading2"/>
        <w:spacing w:before="200" w:after="80"/>
      </w:pPr>
      <w:r>
        <w:rPr>
          <w:rFonts w:ascii="Arial" w:hAnsi="Arial"/>
          <w:b/>
          <w:color w:val="2E75B6"/>
          <w:sz w:val="22"/>
        </w:rPr>
        <w:t xml:space="preserve">4.  </w:t>
      </w:r>
      <w:r>
        <w:rPr>
          <w:rFonts w:ascii="Arial" w:hAnsi="Arial"/>
          <w:b/>
          <w:color w:val="1F4E79"/>
          <w:sz w:val="22"/>
        </w:rPr>
        <w:t>Proptech Cliperty levanta capital y suma a Luis Hernán Paul a su directorio</w:t>
      </w:r>
    </w:p>
    <w:p>
      <w:pPr>
        <w:spacing w:before="40" w:after="60"/>
        <w:ind w:left="283"/>
      </w:pPr>
      <w:r>
        <w:rPr>
          <w:rFonts w:ascii="Arial" w:hAnsi="Arial"/>
          <w:color w:val="404040"/>
          <w:sz w:val="21"/>
        </w:rPr>
        <w:t>Cliperty, startup chilena que digitaliza el ciclo comercial inmobiliario, cerró una ronda de US$ 300 mil a través de la plataforma Broota con 36 inversores, y sumó al director de empresas Luis Hernán Paul a su directorio. Los recursos se destinarán a duplicar la base de corredores de propiedades desde 450 a unos 900 a fin de año, y a desarrollar nuevas funcionalidades con IA incluyendo un asistente conversacional de análisis de datos que se lanzará a mediados de junio. La empresa opera dos líneas: software para inmobiliarias con 20 empresas y 180 desarrollos, y una plataforma para corredores con algoritmos de clasificación de leads por WhatsApp. Cliperty proyecta cerrar 2026 con unos US$ 600 mil en ingresos recurrentes anuales.</w:t>
      </w:r>
    </w:p>
    <w:p>
      <w:pPr>
        <w:pBdr>
          <w:bottom w:val="single" w:sz="4" w:space="1" w:color="BDD7EE"/>
        </w:pBdr>
        <w:spacing w:before="80" w:after="80"/>
      </w:pPr>
    </w:p>
    <w:p>
      <w:pPr>
        <w:pStyle w:val="Heading2"/>
        <w:spacing w:before="200" w:after="80"/>
      </w:pPr>
      <w:r>
        <w:rPr>
          <w:rFonts w:ascii="Arial" w:hAnsi="Arial"/>
          <w:b/>
          <w:color w:val="2E75B6"/>
          <w:sz w:val="22"/>
        </w:rPr>
        <w:t xml:space="preserve">5.  </w:t>
      </w:r>
      <w:r>
        <w:rPr>
          <w:rFonts w:ascii="Arial" w:hAnsi="Arial"/>
          <w:b/>
          <w:color w:val="1F4E79"/>
          <w:sz w:val="22"/>
        </w:rPr>
        <w:t>Chile será sede de laboratorio de IA de Anthropic para traducir la regulación financiera a lenguaje ciudadano</w:t>
      </w:r>
    </w:p>
    <w:p>
      <w:pPr>
        <w:spacing w:before="40" w:after="60"/>
        <w:ind w:left="283"/>
      </w:pPr>
      <w:r>
        <w:rPr>
          <w:rFonts w:ascii="Arial" w:hAnsi="Arial"/>
          <w:color w:val="404040"/>
          <w:sz w:val="21"/>
        </w:rPr>
        <w:t>Chile fue seleccionado entre nueve países para albergar el primer Claude Impact Lab de América Latina de Anthropic, que se realizará durante el Chile Fintech Forum 2026 y reunirá a 200 desarrolladores y perfiles de negocio para crear herramientas de IA que hagan más accesible la regulación financiera. El laboratorio, organizado por Bendita IA y FinteChile, operará con datos públicos de la CMF, el SII y el Sernac, y se estructurará en tres líneas: inclusión financiera, ciberseguridad ciudadana y protección de datos del consumidor. Los equipos ganadores recibirán premios en efectivo, extensión de créditos de API de Claude, acceso al AI Fintech Sandbox Chile y menciones en el blog oficial de Anthropic. El organizador local destacó que América Latina tiene 400 millones de personas usando sistemas financieros sin acceso a información comprensible, y que Chile es el primer país de la región con la infraestructura para abordar ese problema.</w:t>
      </w:r>
    </w:p>
    <w:p>
      <w:pPr>
        <w:spacing w:before="0" w:after="80"/>
        <w:jc w:val="left"/>
      </w:pPr>
    </w:p>
    <w:p>
      <w:pPr>
        <w:pStyle w:val="Heading1"/>
        <w:shd w:val="clear" w:color="auto" w:fill="1F4E79"/>
        <w:spacing w:before="320" w:after="160"/>
        <w:ind w:left="227"/>
      </w:pPr>
      <w:r>
        <w:rPr>
          <w:rFonts w:ascii="Arial" w:hAnsi="Arial"/>
          <w:b/>
          <w:color w:val="FFFFFF"/>
          <w:sz w:val="26"/>
        </w:rPr>
        <w:t>OPINIÓN</w:t>
      </w:r>
    </w:p>
    <w:p>
      <w:pPr>
        <w:pStyle w:val="Heading2"/>
        <w:spacing w:before="200" w:after="80"/>
      </w:pPr>
      <w:r>
        <w:rPr>
          <w:rFonts w:ascii="Arial" w:hAnsi="Arial"/>
          <w:b/>
          <w:color w:val="2E75B6"/>
          <w:sz w:val="22"/>
        </w:rPr>
        <w:t xml:space="preserve">1.  </w:t>
      </w:r>
      <w:r>
        <w:rPr>
          <w:rFonts w:ascii="Arial" w:hAnsi="Arial"/>
          <w:b/>
          <w:color w:val="1F4E79"/>
          <w:sz w:val="22"/>
        </w:rPr>
        <w:t>Las advertencias del Consejo Fiscal Autónomo</w:t>
      </w:r>
    </w:p>
    <w:p>
      <w:pPr>
        <w:spacing w:before="40" w:after="60"/>
        <w:ind w:left="283"/>
      </w:pPr>
      <w:r>
        <w:rPr>
          <w:rFonts w:ascii="Arial" w:hAnsi="Arial"/>
          <w:color w:val="404040"/>
          <w:sz w:val="21"/>
        </w:rPr>
        <w:t>El editorial analiza el informe del CFA sobre el proyecto de reactivación económica, valorando que su análisis técnico no rechaza el fondo de la iniciativa sino que levanta alertas sobre la sostenibilidad fiscal: el organismo proyecta un déficit persistente que alcanza un máximo de 0,71% del PIB en 2030 y se mantiene en 0,43% hacia 2050, incluso incorporando los efectos de segunda vuelta del crecimiento. La editorial destaca que el problema no es el objetivo del proyecto —retomar el crecimiento y la inversión— sino la forma en que se financia y se calibra en el tiempo. Recomienda perfeccionar la iniciativa incorporando las sugerencias del CFA: avanzar hacia la neutralidad fiscal en el corto plazo, reforzar fuentes de financiamiento permanentes y ajustar la gradualidad de algunas medidas. Un acuerdo político amplio que otorgue viabilidad a las correcciones es presentado como condición necesaria para el éxito.</w:t>
      </w:r>
    </w:p>
    <w:p>
      <w:pPr>
        <w:pBdr>
          <w:bottom w:val="single" w:sz="4" w:space="1" w:color="BDD7EE"/>
        </w:pBdr>
        <w:spacing w:before="80" w:after="80"/>
      </w:pPr>
    </w:p>
    <w:p>
      <w:pPr>
        <w:pStyle w:val="Heading2"/>
        <w:spacing w:before="200" w:after="80"/>
      </w:pPr>
      <w:r>
        <w:rPr>
          <w:rFonts w:ascii="Arial" w:hAnsi="Arial"/>
          <w:b/>
          <w:color w:val="2E75B6"/>
          <w:sz w:val="22"/>
        </w:rPr>
        <w:t xml:space="preserve">2.  </w:t>
      </w:r>
      <w:r>
        <w:rPr>
          <w:rFonts w:ascii="Arial" w:hAnsi="Arial"/>
          <w:b/>
          <w:color w:val="1F4E79"/>
          <w:sz w:val="22"/>
        </w:rPr>
        <w:t>La evidencia está en el barrio</w:t>
      </w:r>
    </w:p>
    <w:p>
      <w:pPr>
        <w:spacing w:before="40" w:after="60"/>
        <w:ind w:left="283"/>
      </w:pPr>
      <w:r>
        <w:rPr>
          <w:rFonts w:ascii="Arial" w:hAnsi="Arial"/>
          <w:color w:val="404040"/>
          <w:sz w:val="21"/>
        </w:rPr>
        <w:t>La columna destaca los casos de Paraguay y Uruguay como ejemplos de economías latinoamericanas que han crecido significativamente gracias a políticas económicas simples, estables y amigables con la inversión. Paraguay combina tasas del 10% para IVA, impuesto corporativo e impuesto a las personas, lo que ha permitido atraer capitales extranjeros y crecer por sobre la media regional con mayor recaudación fiscal. Uruguay se consolida como hub financiero regional gracias a la certeza jurídica y reglas del juego estables que atraen inversión y generan empleo de calidad. A la luz de estos ejemplos, el autor concluye que el plan de crecimiento del gobierno no está equivocado en su dirección.</w:t>
      </w:r>
    </w:p>
    <w:p>
      <w:pPr>
        <w:pBdr>
          <w:bottom w:val="single" w:sz="4" w:space="1" w:color="BDD7EE"/>
        </w:pBdr>
        <w:spacing w:before="80" w:after="80"/>
      </w:pPr>
    </w:p>
    <w:p>
      <w:pPr>
        <w:pStyle w:val="Heading2"/>
        <w:spacing w:before="200" w:after="80"/>
      </w:pPr>
      <w:r>
        <w:rPr>
          <w:rFonts w:ascii="Arial" w:hAnsi="Arial"/>
          <w:b/>
          <w:color w:val="2E75B6"/>
          <w:sz w:val="22"/>
        </w:rPr>
        <w:t xml:space="preserve">3.  </w:t>
      </w:r>
      <w:r>
        <w:rPr>
          <w:rFonts w:ascii="Arial" w:hAnsi="Arial"/>
          <w:b/>
          <w:color w:val="1F4E79"/>
          <w:sz w:val="22"/>
        </w:rPr>
        <w:t>Seguridad digital: el desafío no es solo técnico</w:t>
      </w:r>
    </w:p>
    <w:p>
      <w:pPr>
        <w:spacing w:before="40" w:after="60"/>
        <w:ind w:left="283"/>
      </w:pPr>
      <w:r>
        <w:rPr>
          <w:rFonts w:ascii="Arial" w:hAnsi="Arial"/>
          <w:color w:val="404040"/>
          <w:sz w:val="21"/>
        </w:rPr>
        <w:t>La columna evalúa la nueva normativa de la CMF que exigirá doble autenticación en pagos digitales desde 2026, considerándola una respuesta correcta al aumento del fraude, pero advirtiendo sobre sus efectos secundarios en fintech y emprendimientos tecnológicos que deberán realizar inversiones significativas para cumplir con los estándares. El argumento central es que el mayor desafío de la medida no es técnico sino cultural: el usuario chileno valora la rapidez y simplicidad, y una mayor fricción en las transacciones puede desincentivar el uso de medios digitales y favorecer el retorno al efectivo. La autora, académica de la Universidad Autónoma, propone acompañar la normativa con educación financiera y diseño centrado en el usuario para evitar efectos no deseados. Sin esta complementación, una buena norma podría generar consecuencias contrarias a sus objetivos.</w:t>
      </w:r>
    </w:p>
    <w:p>
      <w:pPr>
        <w:spacing w:before="0" w:after="80"/>
        <w:jc w:val="left"/>
      </w:pPr>
    </w:p>
    <w:sectPr w:rsidR="00FC693F" w:rsidRPr="0006063C" w:rsidSect="00034616">
      <w:headerReference w:type="default" r:id="rId9"/>
      <w:footerReference w:type="default" r:id="rId10"/>
      <w:pgSz w:w="12240" w:h="15840"/>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999999"/>
        <w:sz w:val="18"/>
      </w:rPr>
      <w:t xml:space="preserve">Página </w:t>
      <w:fldChar w:fldCharType="begin"/>
    </w:r>
    <w:r>
      <w:instrText>PAGE</w:instrText>
    </w:r>
    <w:r>
      <w:fldChar w:fldCharType="end"/>
    </w:r>
    <w:r>
      <w:rPr>
        <w:rFonts w:ascii="Arial" w:hAnsi="Arial"/>
        <w:color w:val="999999"/>
        <w:sz w:val="18"/>
      </w:rPr>
      <w:t xml:space="preserve"> de </w:t>
      <w:fldChar w:fldCharType="begin"/>
    </w:r>
    <w:r>
      <w:instrText>NUMPAGES</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color w:val="1F4E79"/>
        <w:sz w:val="18"/>
      </w:rPr>
      <w:t>Resumen Diario Financiero  ·  6 de mayo de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