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10 De Mayo De 2026</w:t>
      </w:r>
    </w:p>
    <w:p>
      <w:pPr>
        <w:jc w:val="center"/>
      </w:pPr>
      <w:r>
        <w:rPr>
          <w:rFonts w:ascii="Arial" w:hAnsi="Arial"/>
          <w:color w:val="999999"/>
          <w:sz w:val="20"/>
        </w:rPr>
        <w:t>2 secciones  ·  2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Pérez Mackenna llega a la India con el impulso al acuerdo comercial en la agenda</w:t>
      </w:r>
    </w:p>
    <w:p>
      <w:pPr>
        <w:spacing w:before="40" w:after="60"/>
        <w:ind w:left="283"/>
      </w:pPr>
      <w:r>
        <w:rPr>
          <w:rFonts w:ascii="Arial" w:hAnsi="Arial"/>
          <w:color w:val="404040"/>
          <w:sz w:val="21"/>
        </w:rPr>
        <w:t>El canciller chileno Francisco Pérez Mackenna inició una visita oficial de casi una semana a la India, con foco en avanzar en las negociaciones de un Acuerdo de Asociación Económica Integral (CEPA) entre ambos países. El intercambio comercial bilateral creció cerca de un 50% en 2025 hasta superar los US$ 5.500 millones, aunque Chile solo destina el 3,7% de sus exportaciones al gigante asiático. La agenda incluye reuniones con el ministro indio de Comercio, Piyush Goyal —quien ha señalado que espera cerrar el acuerdo 'pronto'—, el canciller S. Jaishankar y autoridades del sector tecnológico en Karnataka. Para India, el tratado es estratégico al asegurar el suministro de minerales críticos como el litio.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Irán amenaza con dificultar el paso por Ormuz a países que apliquen sanciones de EEUU</w:t>
      </w:r>
    </w:p>
    <w:p>
      <w:pPr>
        <w:spacing w:before="40" w:after="60"/>
        <w:ind w:left="283"/>
      </w:pPr>
      <w:r>
        <w:rPr>
          <w:rFonts w:ascii="Arial" w:hAnsi="Arial"/>
          <w:color w:val="404040"/>
          <w:sz w:val="21"/>
        </w:rPr>
        <w:t>El portavoz del Ejército iraní, general Mohammad Akraminia, advirtió que los países que apliquen las sanciones estadounidenses contra Irán enfrentarán obstáculos para transitar por el estrecho de Ormuz, corredor por el que pasa el 20% del petróleo mundial. Irán declaró haber establecido un nuevo sistema jurídico y de seguridad sobre el estrecho, reclamando soberanía sobre el paso de cualquier embarcación. Este escenario se enmarca en la guerra con Israel y Estados Unidos iniciada el 28 de febrero, que ya provocó que el precio del crudo superara los US$ 100, y en el bloqueo naval que Washington impuso sobre puertos iraníes desde el 13 de abril. A pesar de un alto el fuego acordado el 8 de abril, ambas partes intercambiaron fuego la semana pasada y la negociación de paz sigue sin avanzar.</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10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