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7 De Mayo De 2026</w:t>
      </w:r>
    </w:p>
    <w:p>
      <w:pPr>
        <w:jc w:val="center"/>
      </w:pPr>
      <w:r>
        <w:rPr>
          <w:rFonts w:ascii="Arial" w:hAnsi="Arial"/>
          <w:color w:val="999999"/>
          <w:sz w:val="20"/>
        </w:rPr>
        <w:t>6 secciones  ·  28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abre con nueva alza y el IPSA recupera los 11.000 puntos ante posible resolución de la crisis en el golfo Pérsico</w:t>
      </w:r>
    </w:p>
    <w:p>
      <w:pPr>
        <w:spacing w:before="40" w:after="60"/>
        <w:ind w:left="283"/>
      </w:pPr>
      <w:r>
        <w:rPr>
          <w:rFonts w:ascii="Arial" w:hAnsi="Arial"/>
          <w:color w:val="404040"/>
          <w:sz w:val="21"/>
        </w:rPr>
        <w:t>El S&amp;P IPSA subía 0,7% a 11.008 puntos en los primeros negocios del jueves, liderado por Latam Airlines (3%) y SQM-B (2,6%), en medio del optimismo global por las expectativas de un pronto acuerdo de paz entre EEUU e Irán que llevó el Brent a bajar 3,8% a US$97,4/barril. Washington envió a Teherán un memorando de entendimiento de una página proponiendo el fin de la guerra y la reapertura del estrecho de Ormuz a cambio de conversaciones sobre el programa nuclear iraní y el levantamiento de sanciones. Wall Street batió nuevos récords con el Dow Jones y el Nasdaq subiendo 0,2%, mientras el Nikkei japonés saltó 5,6% al reabrir tras un receso, su mejor sesión desde abril de 2025.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Fynsa lanza fondo para invertir en nuevo edificio multifamily en exsede de la Universidad del Desarrollo</w:t>
      </w:r>
    </w:p>
    <w:p>
      <w:pPr>
        <w:spacing w:before="40" w:after="60"/>
        <w:ind w:left="283"/>
      </w:pPr>
      <w:r>
        <w:rPr>
          <w:rFonts w:ascii="Arial" w:hAnsi="Arial"/>
          <w:color w:val="404040"/>
          <w:sz w:val="21"/>
        </w:rPr>
        <w:t>Fynsa inscribió en la CMF a fines de abril el fondo 'Fynsa Multifamily +Sitisen', que invertirá en la primera etapa de un proyecto residencial desarrollado por la inmobiliaria Isidora 23 en terrenos de la exsede de la Universidad del Desarrollo en Avenida Las Condes 12.510, en Lo Barnechea. El fondo busca levantar capital por sobre UF 1 millón para financiar tres edificios residenciales con 406 unidades y 10.000 m² comerciales, apuntando a un segmento medio-alto donde la oferta multifamily es aún escasa. Greystar se encargará de la comercialización y administración de los activos, y tanto la inmobiliaria como la gestora coinvierten para alinear intereses con los inversionistas institucionales y de alto patrimonio que se busca atraer.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en baja y pierde los $ 890 a medida que inversionistas sienten más cerca un posible acuerdo de paz en Medio Oriente</w:t>
      </w:r>
    </w:p>
    <w:p>
      <w:pPr>
        <w:spacing w:before="40" w:after="60"/>
        <w:ind w:left="283"/>
      </w:pPr>
      <w:r>
        <w:rPr>
          <w:rFonts w:ascii="Arial" w:hAnsi="Arial"/>
          <w:color w:val="404040"/>
          <w:sz w:val="21"/>
        </w:rPr>
        <w:t>El tipo de cambio abrió cayendo $7,1 a $884,9, después de hundirse $15 a mitad de semana, en tanto el Brent retrocedía 3,6% a US$97,5/barril ante las expectativas de paz en la región. El dollar index bajaba 0,2% a 97,9 puntos, en mínimos desde febrero, mientras el cobre Comex subía 0,6% a US$6,22/libra, en máximos desde enero. EEUU presentó a Irán un memorando de una página con 14 puntos proponiendo el fin de la guerra y la reapertura gradual de Ormuz a cambio del inicio de negociaciones sobre el programa nuclear iraní y el levantamiento de sanciones, con una respuesta iraní que se espera en las próximas horas.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petróleo Brent cae por debajo de US$ 100 el barril ante las esperanzas de paz en Medio Oriente</w:t>
      </w:r>
    </w:p>
    <w:p>
      <w:pPr>
        <w:spacing w:before="40" w:after="60"/>
        <w:ind w:left="283"/>
      </w:pPr>
      <w:r>
        <w:rPr>
          <w:rFonts w:ascii="Arial" w:hAnsi="Arial"/>
          <w:color w:val="404040"/>
          <w:sz w:val="21"/>
        </w:rPr>
        <w:t>Los futuros del Brent perdían 2,5% a US$98,77/barril y el WTI cedía 2,6% a US$92,61 ante las renovadas esperanzas de un acuerdo de paz entre EEUU e Irán, acumulando ambos referentes más de 7% de caída desde el miércoles. La sesión fue volátil, oscilando el Brent entre +1% y -3,8%, con el mercado reaccionando a informes del canal saudí Al Arabiya sobre acuerdos preliminares para la reapertura gradual de Ormuz a cambio de la flexibilización del bloqueo estadounidense, aunque Reuters no pudo verificarlos. Analistas advirtieron que un acuerdo formal podría desencadenar una caída libre en los precios al evaporarse rápidamente las primas geopolíticas, pero que cualquier nuevo ataque a infraestructura petrolera podría revertir las bajas con igual velocidad.</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Fast track del SEA: recomienda aprobar parque eólico de US$ 500 millones de firma ligada al grupo Angelini en Ñuble</w:t>
      </w:r>
    </w:p>
    <w:p>
      <w:pPr>
        <w:spacing w:before="40" w:after="60"/>
        <w:ind w:left="283"/>
      </w:pPr>
      <w:r>
        <w:rPr>
          <w:rFonts w:ascii="Arial" w:hAnsi="Arial"/>
          <w:color w:val="404040"/>
          <w:sz w:val="21"/>
        </w:rPr>
        <w:t>El Servicio de Evaluación Ambiental (SEA) publicó el Informe Consolidado de Evaluación con recomendación de aprobación para el Parque Eólico Las Fresias, un proyecto de US$500 millones desarrollado por una unidad de negocios energéticos de Arauco, la forestal del grupo Angelini. El parque contará con 43 aerogeneradores de 7,2 MW para una potencia total de 310 MW en 189,3 hectáreas en la comuna de Yungay, Región de Ñuble, con inicio de construcción proyectado para mayo de 2027 y operación para diciembre de 2029. Por ser un proyecto interregional que abarca Ñuble y Biobío, queda pendiente la firma del director ejecutivo del SEA para su aprobación definitiva.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SMA valida cumplimiento normativo del proyecto del nuevo Casino Dreams de Talca que contempla US$ 21 millones de inversión</w:t>
      </w:r>
    </w:p>
    <w:p>
      <w:pPr>
        <w:spacing w:before="40" w:after="60"/>
        <w:ind w:left="283"/>
      </w:pPr>
      <w:r>
        <w:rPr>
          <w:rFonts w:ascii="Arial" w:hAnsi="Arial"/>
          <w:color w:val="404040"/>
          <w:sz w:val="21"/>
        </w:rPr>
        <w:t>La Superintendencia del Medio Ambiente (SMA) validó el cumplimiento normativo del Parque Ferial del Maule, complejo que albergará el Casino Dreams Talca, descartando en todas sus partes los recursos presentados por la ONG Bioecoterra, que alegaba impactos sobre el humedal urbano Cajón del Río Claro, ubicado a 300 metros del proyecto. La iniciativa de US$21 millones lleva un 62% de avance y proyecta su apertura comercial para noviembre de 2026, respaldada además por la validación del SEA de 2025 y una fiscalización conjunta con la DGA que descartó afectaciones al acuífero subterráneo. El complejo generará aproximadamente 150 empleos permanentes en la Región del Maule, y fue diseñado por el Premio Nacional de Arquitectura Juan Sabbagh con criterios de sostenibilidad.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Jean Paul Luksic respalda a Kast ante accionistas de Antofagasta plc: "Hemos visto avances positivos en el entorno político de Chile tras la reciente elección presidencial"</w:t>
      </w:r>
    </w:p>
    <w:p>
      <w:pPr>
        <w:spacing w:before="40" w:after="60"/>
        <w:ind w:left="283"/>
      </w:pPr>
      <w:r>
        <w:rPr>
          <w:rFonts w:ascii="Arial" w:hAnsi="Arial"/>
          <w:color w:val="404040"/>
          <w:sz w:val="21"/>
        </w:rPr>
        <w:t>Jean Paul Luksic, chairman de Antofagasta plc, respaldó ante los accionistas de la minera los avances del entorno político chileno bajo la administración Kast, ratificando al mismo tiempo las metas productivas de la compañía al 2030 y la convicción en los fundamentos de largo plazo del mercado del cobre. El directorio propuso además un dividendo final que llevará el payout anual al 50% de las utilidades netas, con un alza del dividendo por acción de 106%, superando el mínimo comprometido en la política de dividendos de la empresa.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¿Qué hizo Enel para evitar la caducidad de su concesión? Elevó inversiones, inspeccionó sus redes y mejoró el servicio</w:t>
      </w:r>
    </w:p>
    <w:p>
      <w:pPr>
        <w:spacing w:before="40" w:after="60"/>
        <w:ind w:left="283"/>
      </w:pPr>
      <w:r>
        <w:rPr>
          <w:rFonts w:ascii="Arial" w:hAnsi="Arial"/>
          <w:color w:val="404040"/>
          <w:sz w:val="21"/>
        </w:rPr>
        <w:t>El Ministerio de Energía descartó la caducidad de la concesión de Enel Distribución apoyándose en un informe técnico de 96 páginas de la SEC, que constató cumplimientos mayoritarios en calidad de suministro, comercial y de producto durante el período 2019-2025, con la empresa logrando situarse incluso bajo el promedio industrial en la duración de interrupciones (SAIDI) durante 2025. Si bien el informe reconoció la gravedad de los cortes de agosto de 2024 —cuando clientes estuvieron hasta 16 días sin luz—, concluyó que no se configura un incumplimiento sistemático y permanente, sino que se evidencia capacidad de recuperación operacional. Clave en este resultado fue el aumento de inversiones ejecutadas de $9.269 millones en 2024 a $22.500 millones en 2025, incluyendo inspección aérea de 2.800 km de redes, 748 equipos de telecontrol y poda de más de 168.000 árboles.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El Ejecutivo alista indicaciones a Ley Lafkenche para junio y salmoneras valoran agenda de reactivación</w:t>
      </w:r>
    </w:p>
    <w:p>
      <w:pPr>
        <w:spacing w:before="40" w:after="60"/>
        <w:ind w:left="283"/>
      </w:pPr>
      <w:r>
        <w:rPr>
          <w:rFonts w:ascii="Arial" w:hAnsi="Arial"/>
          <w:color w:val="404040"/>
          <w:sz w:val="21"/>
        </w:rPr>
        <w:t>El SalmonChile Summit 2026 en Frutillar reunió a más de 1.200 asistentes con plena presencia gubernamental —Presidente Kast, el biministro de Economía y Minería Daniel Mas y la ministra de Medio Ambiente—, donde el gobierno comprometió una revitalización de la alianza público-privada y apuntó a que Chile supere a Noruega en producción de salmón. El subsecretario de Pesca confirmó que en junio se ingresarán indicaciones para modificar la Ley Lafkenche en tres ejes: acotar el efecto suspensivo de las tramitaciones, ajustar la proporcionalidad de las áreas solicitadas y endurecer los requisitos para acreditar uso consuetudinario. Los ejecutivos de las principales salmoneras valoraron las señales del gobierno, aunque Blumar y Multi X enfatizaron que el desafío ya no es anunciar medidas sino implementarlas con rapidez para recuperar competitividad frente a la industria noruega.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 19 días de su salida de Codelco, Máximo Pacheco enfrenta dura sesión en la Cámara de Diputados</w:t>
      </w:r>
    </w:p>
    <w:p>
      <w:pPr>
        <w:spacing w:before="40" w:after="60"/>
        <w:ind w:left="283"/>
      </w:pPr>
      <w:r>
        <w:rPr>
          <w:rFonts w:ascii="Arial" w:hAnsi="Arial"/>
          <w:color w:val="404040"/>
          <w:sz w:val="21"/>
        </w:rPr>
        <w:t>En su tercera citación ante la comisión de Minería de la Cámara, Máximo Pacheco enfrentó una sesión de 90 minutos de alta tensión donde no pudo hacer su presentación inicial, optando la comisión por 6 votos a 5 por ir directamente a las preguntas. Los parlamentarios apuntaron a diferencias de condiciones laborales entre trabajadores propios y contratistas, la actualización del Acuerdo Marco y la situación operacional de la estatal. Pacheco rechazó categóricamente la imagen de una Codelco en decadencia, citando las alianzas recientes con las mayores mineras del mundo y atribuyendo los problemas financieros a la falta de recapitalización estatal y a la caída de las leyes del mineral.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Quiroz desdramatiza un eventual rechazo a la ley de reactivación: "Vamos a seguir gobernando igual porque también existe la gestión y los decretos"</w:t>
      </w:r>
    </w:p>
    <w:p>
      <w:pPr>
        <w:spacing w:before="40" w:after="60"/>
        <w:ind w:left="283"/>
      </w:pPr>
      <w:r>
        <w:rPr>
          <w:rFonts w:ascii="Arial" w:hAnsi="Arial"/>
          <w:color w:val="404040"/>
          <w:sz w:val="21"/>
        </w:rPr>
        <w:t>El ministro de Hacienda Jorge Quiroz restó dramatismo ante el posible rechazo del proyecto de reactivación en el Congreso, señalando en un seminario de Clapes UC que el gobierno continuará gobernando mediante gestión y decretos, aunque también expresó optimismo fundado en conversaciones en curso con múltiples actores para alcanzar una aprobación amplia en la Cámara. Quiroz defendió el crédito tributario al empleo (US$1.400 millones anuales) como la medida que más le gusta del plan, pues reduciría la tasa corporativa efectiva al 20%, y reiteró la eliminación de la franquicia Sence, reconociendo que el gasto de US$300 millones no tiene efecto sobre la empleabilidad. La situación parlamentaria se complicó con el quiebre del PDG —14 diputados—, cuya bancada rechazó la propuesta de Hacienda sobre devolución de IVA en pañales y medicamentos por considerarla insuficiente respecto a lo acordado.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Golpe de la guerra en costos y desempeño: la última foto del Banco Central al ánimo de las empresas en Chile</w:t>
      </w:r>
    </w:p>
    <w:p>
      <w:pPr>
        <w:spacing w:before="40" w:after="60"/>
        <w:ind w:left="283"/>
      </w:pPr>
      <w:r>
        <w:rPr>
          <w:rFonts w:ascii="Arial" w:hAnsi="Arial"/>
          <w:color w:val="404040"/>
          <w:sz w:val="21"/>
        </w:rPr>
        <w:t>El Informe de Percepciones de Negocios (IPN) de mayo del Banco Central reveló que la guerra en Medio Oriente generó un shock de costos transversal en las empresas chilenas, principalmente por el alza de combustibles que ha comenzado a comprimir márgenes y deteriora la percepción del desempeño empresarial respecto a informes anteriores, aunque las compañías mantienen expectativas de leve mejora frente a 2025. El traspaso a precios finales ha sido acotado hasta el momento —en línea con episodios previos como el alza de tarifas eléctricas de 2024— aunque no se descarta que se intensifique si se prolongan las presiones de costos. Las empresas elevaron sus expectativas de inflación de manera transversal, pero la mayoría prevé retorno a niveles normales dentro de dos años, coherente con la visión de que el shock es transitorio y se disipará con el fin del conflicto.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propuesta de Hacienda que indignó al PDG al punto de anunciar rechazo al proyecto de reactivación económica</w:t>
      </w:r>
    </w:p>
    <w:p>
      <w:pPr>
        <w:spacing w:before="40" w:after="60"/>
        <w:ind w:left="283"/>
      </w:pPr>
      <w:r>
        <w:rPr>
          <w:rFonts w:ascii="Arial" w:hAnsi="Arial"/>
          <w:color w:val="404040"/>
          <w:sz w:val="21"/>
        </w:rPr>
        <w:t>El PDG rompió el acuerdo con el Ejecutivo para apoyar la ley de reactivación tras recibir la propuesta legislativa de Hacienda, que planteaba un beneficio de compensación mensual de hasta el 20% del valor neto de la canasta de pañales y medicamentos, con pago trimestral y cobertura limitada inicialmente a los primeros cinco deciles según niveles de endeudamiento público. La bancada, que cuenta con 14 diputados, exigía una devolución universal, mensual con 45 días de desfase y sin segmentación por deciles, en contraste directo con el enfoque focalizado y progresivo del gobierno. Sin embargo, la situación mantenía una posible salida a través de una reunión programada entre el fundador del PDG, Franco Parisi, y el ministro Quiroz en Teatinos 120.</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Fuerte desaceleración de las exportaciones de cobre en abril en medio de caída de envíos agrícolas e industriales</w:t>
      </w:r>
    </w:p>
    <w:p>
      <w:pPr>
        <w:spacing w:before="40" w:after="60"/>
        <w:ind w:left="283"/>
      </w:pPr>
      <w:r>
        <w:rPr>
          <w:rFonts w:ascii="Arial" w:hAnsi="Arial"/>
          <w:color w:val="404040"/>
          <w:sz w:val="21"/>
        </w:rPr>
        <w:t>Las exportaciones chilenas totalizaron US$9.718 millones en abril, con un crecimiento anual de 7%, pero el cobre mostró una marcada desaceleración al avanzar apenas 0,3% a US$4.647 millones, afectado por la caída en concentrados. Destacaron positivamente el carbonato de litio con un alza de 175,6% a US$498 millones, el oro con 165,7% a US$494 millones y la plata con 236,1% a US$114 millones, mientras que los sectores agrícola (-1,5%) e industrial (-2,9%) registraron retrocesos, con caídas en salmón (-6,8%) y celulosa. Las importaciones aceleraron hasta un alza de 11,8% a US$7.807 millones FOB, con alzas en todos los segmentos, dejando un saldo comercial de US$1.912 millones.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Propuestas de ajustes al proyecto misceláneo enfrentan visiones de reconocidos economistas y exautoridades en el Congreso</w:t>
      </w:r>
    </w:p>
    <w:p>
      <w:pPr>
        <w:spacing w:before="40" w:after="60"/>
        <w:ind w:left="283"/>
      </w:pPr>
      <w:r>
        <w:rPr>
          <w:rFonts w:ascii="Arial" w:hAnsi="Arial"/>
          <w:color w:val="404040"/>
          <w:sz w:val="21"/>
        </w:rPr>
        <w:t>La comisión de Hacienda de la Cámara recibió visiones divergentes sobre el proyecto de reactivación: el exministro Mario Marcel advirtió que el informe financiero subestima los costos en US$2.000 millones y que el mayor déficit podría anular el impacto sobre el crecimiento, mientras que el economista Klaus Schmidt-Hebbel lo apoyó como el camino correcto, calificando las proyecciones de crecimiento de razonables aunque modestas. Luis Eduardo Escobar lo calificó de 'sumamente peligroso', con riesgo de recesión comparable a errores históricos de política económica, mientras que Bettina Horst argumentó que el statu quo tampoco es opción y que el proyecto no agrava el estrés fiscal heredado. El exsubsecretario Alejandro Weber y el exdirector de Presupuestos Matías Acevedo plantearon que los riesgos son reales pero subsanables con gradualidad, condicionalidad y medidas compensatorias durante la tramitación.</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Hacienda responderá este jueves a observaciones del CFA por ley de reactivación y alista primer set de indicaciones para el lunes</w:t>
      </w:r>
    </w:p>
    <w:p>
      <w:pPr>
        <w:spacing w:before="40" w:after="60"/>
        <w:ind w:left="283"/>
      </w:pPr>
      <w:r>
        <w:rPr>
          <w:rFonts w:ascii="Arial" w:hAnsi="Arial"/>
          <w:color w:val="404040"/>
          <w:sz w:val="21"/>
        </w:rPr>
        <w:t>El ministro Quiroz se concentró el miércoles preparando la respuesta a las nueve observaciones del Consejo Fiscal Autónomo (CFA), que serán presentadas formalmente este jueves ante la comisión de Hacienda por el director de Presupuestos José Pablo Gómez, en la misma sesión convocada para votar la idea de legislar del proyecto. El CFA señaló que el costo de la rebaja del Impuesto de Primera Categoría no está compensado por el mayor crecimiento, alertó sobre el alto costo fiscal del crédito tributario al empleo y otros riesgos directos e indirectos que requerirán fuentes adicionales de financiamiento. Para el lunes se prepara un primer set de indicaciones con aclaraciones técnicas específicas, reservándose cambios de mayor envergadura para etapas posteriores en la Sala y el Senado, donde se abordarán las preocupaciones del CFA, el FMI y economistas.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Rau reitera defensa del crédito tributario, pero reconoce incertidumbre sobre impacto en la generación de empleo</w:t>
      </w:r>
    </w:p>
    <w:p>
      <w:pPr>
        <w:spacing w:before="40" w:after="60"/>
        <w:ind w:left="283"/>
      </w:pPr>
      <w:r>
        <w:rPr>
          <w:rFonts w:ascii="Arial" w:hAnsi="Arial"/>
          <w:color w:val="404040"/>
          <w:sz w:val="21"/>
        </w:rPr>
        <w:t>El ministro del Trabajo Tomás Rau defendió ante la comisión de Hacienda el crédito tributario al empleo (US$1.400 millones anuales), que permite descontar hasta el 15% de las remuneraciones de trabajadores que ganen hasta 12 UTM (~$847.000), beneficiando a 2,3 millones de trabajadores en 270.000 empresas contribuyentes. Rau precisó que el objetivo central de la medida es mitigar el alza de costos laborales derivada de la reforma previsional y la reducción de jornada —para evitar destrucción de empleo formal—, más que generar nuevas contrataciones, y reconoció explícitamente que 'no sabemos a ciencia cierta cuánto empleo vamos a generar'. Respecto a la eliminación de la franquicia Sence, el ministro la defendió citando evaluaciones que concluyen que el instrumento no ha tenido efectos significativos en empleabilidad ni salarios y que su costo de US$300 millones no está justificado en resultados.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Las ventas de McDonald’s suben mientras la cadena recoge frutos de su apuesta por menús baratos</w:t>
      </w:r>
    </w:p>
    <w:p>
      <w:pPr>
        <w:spacing w:before="40" w:after="60"/>
        <w:ind w:left="283"/>
      </w:pPr>
      <w:r>
        <w:rPr>
          <w:rFonts w:ascii="Arial" w:hAnsi="Arial"/>
          <w:color w:val="404040"/>
          <w:sz w:val="21"/>
        </w:rPr>
        <w:t>La cadena de comida rápida superó las expectativas, pero los precios récord de la carne molida en Estados Unidos amenazan sus márgenes. Las ventas de McDonald’s aumentaron en la mayoría de los mercados,superando las expectativas en un trimestre que terminó con un alza de los precios de la energía tras el conflicto en Medio Oriente. Las ventas comparables en sus más de 45 mil locales a nivel global aumentaron 3,8% en los primeros tres meses del año, ligeramente por encima de las estimaciones de Wall Street, pero por debajo del aumento de 5,7% del trimestre anterior. Mercados como Reino Unido, Alemania, Australia y Japón, así como EEUU, registraron aumentos, informó la compañía el jueves.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José Luis Daza expuso el plan para seguir bajando el riesgo país de Argentina y plantea que se espera una “avalancha de dólares”</w:t>
      </w:r>
    </w:p>
    <w:p>
      <w:pPr>
        <w:spacing w:before="40" w:after="60"/>
        <w:ind w:left="283"/>
      </w:pPr>
      <w:r>
        <w:rPr>
          <w:rFonts w:ascii="Arial" w:hAnsi="Arial"/>
          <w:color w:val="404040"/>
          <w:sz w:val="21"/>
        </w:rPr>
        <w:t>El viceministro de Economía trasandino cerró el programa para 2026 con el financiamiento de todas las obligaciones y se está definiendo el de 2027, crucial año electoral. El viceministro de Economía de argentina,José Luis Daza,participó el miércoles de un evento de la calificadora Moody’s en el Four Seasons donde se enfocó en qué es lo que le falta a la Argentina para volver a los mercados y qué hace el país ante los puntos que los especialistas el marcan como pendientes. Allí el economista chileno planteó los puntos que les reclamaba la calificadora para seguir mejorando las calificaciones y planteó que elGobierno avanza en tres ejes:profundizar reformas estructurales, eliminar desequilibrios externos y consolidar la sostenibilidad de la deuda.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Reapertura de Ormuz y moratoria del enriquecimiento nuclear: la propuesta de paz de EEUU que evalúa Irán</w:t>
      </w:r>
    </w:p>
    <w:p>
      <w:pPr>
        <w:spacing w:before="40" w:after="60"/>
        <w:ind w:left="283"/>
      </w:pPr>
      <w:r>
        <w:rPr>
          <w:rFonts w:ascii="Arial" w:hAnsi="Arial"/>
          <w:color w:val="404040"/>
          <w:sz w:val="21"/>
        </w:rPr>
        <w:t>EEUU presentó a Irán un memorándum de entendimiento de 14 puntos para poner fin al conflicto de 68 días, que contempla la reapertura del estrecho de Ormuz, el levantamiento de sanciones y una moratoria del enriquecimiento de uranio de entre 12 y 15 años, junto al compromiso de no desarrollar armas nucleares y posiblemente no operar instalaciones nucleares subterráneas. Irán acusó recibo y tiene 48 horas para responder: si acepta, comienza un período de 30 días de levantamiento gradual del bloqueo; si rechaza, Trump amenazó con bombardeos de mayor intensidad, aunque desde la Guardia Revolucionaria y el Parlamento iraní surgieron voces de escepticismo. Los mercados celebraron la noticia con el Brent cayendo 7,83% a US$101,27/barril, el IPSA chileno subiendo 2,3% liderado por Latam (10%) y Falabella (7,8%), y el Nasdaq y el S&amp;P 500 alcanzando nuevos máximos históricos.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Los revolución de los robots humanoides que impulsará la próxima etapa del dominio exportador de China</w:t>
      </w:r>
    </w:p>
    <w:p>
      <w:pPr>
        <w:spacing w:before="40" w:after="60"/>
        <w:ind w:left="283"/>
      </w:pPr>
      <w:r>
        <w:rPr>
          <w:rFonts w:ascii="Arial" w:hAnsi="Arial"/>
          <w:color w:val="404040"/>
          <w:sz w:val="21"/>
        </w:rPr>
        <w:t>Según un informe de Morgan Stanley, la ventaja inicial de China en robots humanoides le permitirá aumentar su participación en la manufactura global del 15% actual al 16,5% para 2030, replicando la trayectoria de dominio que construyó en vehículos eléctricos y baterías mediante inversión temprana en toda la cadena de suministro. China ya lleva los humanoides a la práctica en parques tecnológicos, fábricas y universidades, con hitos como un robot que completó una media maratón en 50 minutos y 26 segundos, siete minutos más rápido que el récord mundial. Los riesgos para la industria incluyen el proteccionismo internacional, las preocupaciones por dependencia tecnológica, y la sobreinversión que podría arrastrar rentabilidades a la baja mediante una competencia destructiva de precios.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Julián San Martín socio de AdapsysAI: “Para ser una empresa agéntica se requiere un cambio en la cultura, en los conocimientos y capacidades”</w:t>
      </w:r>
    </w:p>
    <w:p>
      <w:pPr>
        <w:spacing w:before="40" w:after="60"/>
        <w:ind w:left="283"/>
      </w:pPr>
      <w:r>
        <w:rPr>
          <w:rFonts w:ascii="Arial" w:hAnsi="Arial"/>
          <w:color w:val="404040"/>
          <w:sz w:val="21"/>
        </w:rPr>
        <w:t>Para San Martín, las organizaciones en Chile están en una etapa temprana en la adopción de agentes de IA y enfrentan desafíos en calidad de los datos, gobernanza y iderazgo. Tras dos décadas en Entel, en enero Julián San Martín anunció su salida de la compañía de telecomunicaciones. La decisión responde al “término de un ciclo” y a un proceso que venía madurando desde que asumió en 2023 la vicepresidencia de Entel Digital, donde se interiorizó en 5G, internet de las cosas (IoT), inteligencia artificial (IA) y desarrollo de negocios digitales. Desde ese rol observó cómo la IA pasó, en poco más de un año, de ser un tema periférico para las empresas chilenas a instalar un “sentido de urgencia” en su adopción.</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Ley Lafkenche y la necesidad de corregir el rumbo</w:t>
      </w:r>
    </w:p>
    <w:p>
      <w:pPr>
        <w:spacing w:before="40" w:after="60"/>
        <w:ind w:left="283"/>
      </w:pPr>
      <w:r>
        <w:rPr>
          <w:rFonts w:ascii="Arial" w:hAnsi="Arial"/>
          <w:color w:val="404040"/>
          <w:sz w:val="21"/>
        </w:rPr>
        <w:t>El editorial valora que el SalmonChile Summit 2026 haya reinstalado el debate sobre certeza jurídica con plena presencia gubernamental, tomando la Ley Lafkenche como símbolo de las distorsiones regulatorias que afectan la competitividad, no por su origen legítimo sino por su implementación desproporcionada. El desbalance es elocuente: 105 solicitudes de Espacios Costeros Marinos de Pueblos Originarios (ECMPO) equivalentes a más de 3 millones de hectáreas en trámite frente a solo 41 aprobadas por 217.000 hectáreas, generando incertidumbre en regiones como Los Lagos y Aysén. La propuesta de la mesa 'Plan Salmón 2050' de trasladar la acreditación del uso consuetudinario desde la Conadi a los Tribunales de Justicia se presenta como un camino que equilibra derechos indígenas, certeza jurídica y desarrollo productivo.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Más allá de la reintegración</w:t>
      </w:r>
    </w:p>
    <w:p>
      <w:pPr>
        <w:spacing w:before="40" w:after="60"/>
        <w:ind w:left="283"/>
      </w:pPr>
      <w:r>
        <w:rPr>
          <w:rFonts w:ascii="Arial" w:hAnsi="Arial"/>
          <w:color w:val="404040"/>
          <w:sz w:val="21"/>
        </w:rPr>
        <w:t>El editorial argumenta que el debate sobre la reintegración tributaria que abre el proyecto de reconstrucción nacional pasa por alto una cuestión previa más fundamental: el actual sistema semiintegrado no es fruto de un diseño deliberado de política tributaria sino de sucesivas concesiones legislativas, primero en 2014 como contrapeso a la renta atribuida y luego en 2020 para facilitar acuerdos tras el estallido social. La discusión debería plantearse en términos de avanzar hacia un sistema integrado ordenado o un esquema desintegrado diseñado coherentemente, en lugar de seguir construyendo sobre una base coyuntural. El punto central es que lo difícil de justificar es la permanencia de un modelo tributario cuyo origen no fue técnico sino político.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Ley I+D, una asignatura pendiente</w:t>
      </w:r>
    </w:p>
    <w:p>
      <w:pPr>
        <w:spacing w:before="40" w:after="60"/>
        <w:ind w:left="283"/>
      </w:pPr>
      <w:r>
        <w:rPr>
          <w:rFonts w:ascii="Arial" w:hAnsi="Arial"/>
          <w:color w:val="404040"/>
          <w:sz w:val="21"/>
        </w:rPr>
        <w:t>El editorial critica que el proyecto de Ley de Reconstrucción, con más de 40 medidas tributarias orientadas a la competitividad y el crecimiento, omita modificaciones a la Ley N°20.241 de Incentivo Tributario a la I+D, instrumento que los tres últimos gobiernos han intentado modernizar sin lograrlo por ligarlo a reformas más amplias. La Ley N°21.755 de 2025 solo prorrogó su vigencia hasta 2035 sin corregir sus limitaciones estructurales, con el resultado de baja utilización y un gasto en I+D estancado bajo el 0,4% del PIB, frente al promedio OCDE de 2,7%. Si el crecimiento es el objetivo declarado del proyecto, resulta contradictorio no abordar uno de los instrumentos más probados para promover la innovación privada en Chile.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Desalación y certeza jurídica</w:t>
      </w:r>
    </w:p>
    <w:p>
      <w:pPr>
        <w:spacing w:before="40" w:after="60"/>
        <w:ind w:left="283"/>
      </w:pPr>
      <w:r>
        <w:rPr>
          <w:rFonts w:ascii="Arial" w:hAnsi="Arial"/>
          <w:color w:val="404040"/>
          <w:sz w:val="21"/>
        </w:rPr>
        <w:t>El editorial celebra la aprobación del proyecto Aguas Marítimas de Cramsa (US$5.000 millones de inversión) en Antofagasta como un hito para la seguridad hídrica regional, pero advierte que el plazo de cuatro años de tramitación desde su ingreso en 2022 debería ser la excepción y no la norma. Chile requiere una modernización regulatoria que agilice inversiones estratégicas manteniendo el rigor técnico y la protección ambiental, pues la certeza y rapidez de los procesos es una condición indispensable para la competitividad del país. El editorialista sostiene que es posible compatibilizar abastecimiento de agua, competitividad económica e impulso al crecimiento sin sacrificar los estándares de sostenibilidad.</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Invertir para recaudar</w:t>
      </w:r>
    </w:p>
    <w:p>
      <w:pPr>
        <w:spacing w:before="40" w:after="60"/>
        <w:ind w:left="283"/>
      </w:pPr>
      <w:r>
        <w:rPr>
          <w:rFonts w:ascii="Arial" w:hAnsi="Arial"/>
          <w:color w:val="404040"/>
          <w:sz w:val="21"/>
        </w:rPr>
        <w:t>El editorial critica los reiterados problemas técnicos de la plataforma del Servicio de Impuestos Internos (SII) durante abril, período de declaración de impuestos a la renta, una situación que los gremios de contadores han venido denunciando desde 2020 sin que se haya llegado a una solución definitiva. El editorialista plantea que si el Estado exige el cumplimiento tributario, tiene la obligación de proveer una infraestructura tecnológica a la altura, y que ha llegado el momento de invertir significativamente en mejorar la principal plataforma digital de la administración tributaria. La argumentación central es que así como el crecimiento económico requiere inversión, la recaudación fiscal también la necesita para funcionar eficientemente.</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Minería, seguridad y el riesgo de la somnolencia</w:t>
      </w:r>
    </w:p>
    <w:p>
      <w:pPr>
        <w:spacing w:before="40" w:after="60"/>
        <w:ind w:left="283"/>
      </w:pPr>
      <w:r>
        <w:rPr>
          <w:rFonts w:ascii="Arial" w:hAnsi="Arial"/>
          <w:color w:val="404040"/>
          <w:sz w:val="21"/>
        </w:rPr>
        <w:t>El editorial advierte que pese a la baja tasa de accidentabilidad de la minería chilena (0,9 por cada 100 trabajadores), existe un riesgo crítico y subatendido: la somnolencia en sistemas de turnos extensos y operación continua, en un sector donde los equipos pueden superar las 500 toneladas. Existen soluciones tecnológicas concretas como cámaras infrarrojas con análisis de patrones de parpadeo que han logrado reducir en más del 60% los accidentes por somnolencia en flotas de alto tonelaje, y la integración de IA con telemetría permite proyectar escenarios de riesgo en tiempo real. El editorial concluye que en minería, anticiparse a la fatiga no es una ventaja competitiva sino una obligación ética y operacional.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7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