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16 De Junio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cotiza a la baja cerca de $ 885 tras nueva caída del petróleo y previo a decisión de política del Banco Central</w:t>
      </w:r>
    </w:p>
    <w:p>
      <w:pPr>
        <w:spacing w:before="40" w:after="60"/>
        <w:ind w:left="283"/>
      </w:pPr>
      <w:r>
        <w:rPr>
          <w:rFonts w:ascii="Arial" w:hAnsi="Arial"/>
          <w:color w:val="404040"/>
          <w:sz w:val="21"/>
        </w:rPr>
        <w:t>El dólar retomó su tendencia bajista este martes, cayendo $7,1 hasta los $886,3, en su quinta sesión consecutiva a la baja, mientras el mercado espera la decisión de política monetaria del Banco Central de Chile a las 18:00 horas y la de la Reserva Federal de EE.UU. el miércoles. El retroceso coincide con el desplome de 3,8% del petróleo Brent, hasta US$80 por barril, su nivel más bajo desde marzo, ante la cercanía de la firma oficial del acuerdo de paz entre EE.UU. e Irán prevista para el viernes en Suiza. Analistas como Ricardo Evangelista (ActivTrades) señalan que una eventual reapertura del estrecho de Ormuz aliviaría las presiones inflacionarias y daría margen a los bancos centrales para una política más flexible, debilitando al dólar global. En la jornada asiática, el Banco de Japón subió su tasa a 1%, su nivel más alto en más de tres décadas, en respuesta al alza de la inflación doméstica.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abre al alza y el IPSA supera los 10.900 puntos a medida que los precios de la energía continúan a la baja</w:t>
      </w:r>
    </w:p>
    <w:p>
      <w:pPr>
        <w:spacing w:before="40" w:after="60"/>
        <w:ind w:left="283"/>
      </w:pPr>
      <w:r>
        <w:rPr>
          <w:rFonts w:ascii="Arial" w:hAnsi="Arial"/>
          <w:color w:val="404040"/>
          <w:sz w:val="21"/>
        </w:rPr>
        <w:t>La Bolsa de Santiago abrió este martes con un alza de 0,4% en el IPSA, hasta los 10.920,89 puntos, impulsada por acciones como Cencosud, Latam, Banco de Chile y Falabella, en un contexto de nueva caída de los precios de la energía previo al acuerdo de paz entre EE.UU. e Irán. El índice había superado los 11.000 puntos al inicio de la semana, pero la toma de utilidades hizo que cerrara a la baja, mientras el mercado aguarda la decisión de tasa del Banco Central a las 18:00 horas, sin cambios esperados. El petróleo Brent caía 3,4% a US$80,3 por barril, su cuarta baja consecutiva y mínimo desde marzo, en medio de optimismo por la firma del acuerdo agendada para el viernes en Ginebra. En el plano internacional, Wall Street y Europa mostraban alzas moderadas, mientras el Hang Seng de Hong Kong cayó 1,4% y el Banco de Japón subió su tasa al mayor nivel en tres décadas.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FNE aprueba adquisición de Klap por parte de Banco Itaú, pero sujeta a medidas de mitigación</w:t>
      </w:r>
    </w:p>
    <w:p>
      <w:pPr>
        <w:spacing w:before="40" w:after="60"/>
        <w:ind w:left="283"/>
      </w:pPr>
      <w:r>
        <w:rPr>
          <w:rFonts w:ascii="Arial" w:hAnsi="Arial"/>
          <w:color w:val="404040"/>
          <w:sz w:val="21"/>
        </w:rPr>
        <w:t>La Fiscalía Nacional Económica (FNE) aprobó, sujeta a medidas de mitigación, la adquisición de Multicaja e Iswitch (marca Klap) por parte de Banco Itaú Chile, tras detectar riesgos de coordinación en el segmento de procesamiento de pagos a terceros debido a la participación minoritaria de Itaú en Transbank. Para mitigar estos riesgos, las partes se comprometieron a entregar la administración de la participación de Itaú en Transbank a un tercero independiente y a evitar el traspaso de información comercialmente sensible entre competidores. También se modificó una cláusula de no contratación de personal, limitándola solo a ejecutivos clave de Klap, tras objeciones de proporcionalidad. El gerente general de Klap, Raúl Sapunar, calificó la aprobación como un hito clave del proceso, mientras avanzan las etapas regulatorias para el cierre definitivo de la operación.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petróleo Brent cae por debajo de los US$ 80 el barril tras el acuerdo entre EEUU e Irán que impulsará la oferta</w:t>
      </w:r>
    </w:p>
    <w:p>
      <w:pPr>
        <w:spacing w:before="40" w:after="60"/>
        <w:ind w:left="283"/>
      </w:pPr>
      <w:r>
        <w:rPr>
          <w:rFonts w:ascii="Arial" w:hAnsi="Arial"/>
          <w:color w:val="404040"/>
          <w:sz w:val="21"/>
        </w:rPr>
        <w:t>El petróleo Brent cayó 4% el martes, por debajo de los US$80 por barril por primera vez en tres meses, tras el acuerdo entre EE.UU. e Irán para reabrir el estrecho de Ormuz, lo que elevó las expectativas de mayor oferta global. Goldman Sachs y Morgan Stanley redujeron sus proyecciones de precio, y Goldman anticipa que las exportaciones del Golfo Pérsico alcancen niveles previos a la guerra a fines de julio, antes de lo estimado. El Brent para entrega en agosto cerró en US$79,61 (-4,3%) y el WTI en US$76,91 (-4,8%), borrando gran parte de las alzas del conflicto y aliviando presiones inflacionarias justo cuando la Fed evalúa su tasa esta semana. Persisten dudas sobre la implementación del acuerdo, incluyendo la seguridad marítima y si el estrecho —clave para una quinta parte del suministro mundial— operará libre de peajes, lo que mantiene cautela entre operadores navieros.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Doce mil participantes y 100 mil horas de capacitación: las cifras de la corporación que acredita los conocimientos a los actores del mercado</w:t>
      </w:r>
    </w:p>
    <w:p>
      <w:pPr>
        <w:spacing w:before="40" w:after="60"/>
        <w:ind w:left="283"/>
      </w:pPr>
      <w:r>
        <w:rPr>
          <w:rFonts w:ascii="Arial" w:hAnsi="Arial"/>
          <w:color w:val="404040"/>
          <w:sz w:val="21"/>
        </w:rPr>
        <w:t>La Corporación del Mercado de Valores (CMV), creada por 45 entidades de la industria financiera chilena e iniciada en enero de 2025, presentó su primer informe anual, reportando 2.102 exámenes de acreditación, 10 circulares regulatorias y un esquema de formación que alcanzó a más de 12.000 participantes y casi 100 mil horas de capacitación. La institución, surgida de la Norma de Carácter General N°503 de la CMF, busca elevar los estándares de conocimiento, ética e idoneidad de los actores del mercado financiero. Durante el año también firmó un acuerdo de colaboración con el Autorregulador del Mercado de Valores de Colombia (AMV) en el marco de la integración bursátil regional de nuam, y renovó su convenio con EFPA España. Su presidente, Andrés Lagos, y la gerenta general, Tamara Sotomayor, destacaron el paso de un modelo de acreditación estático basado en exámenes hacia uno de formación continua alineado con estándares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SpaceX extiende su rally y apunta a superar a Amazon en valor de mercado tras su histórica apertura en bolsa</w:t>
      </w:r>
    </w:p>
    <w:p>
      <w:pPr>
        <w:spacing w:before="40" w:after="60"/>
        <w:ind w:left="283"/>
      </w:pPr>
      <w:r>
        <w:rPr>
          <w:rFonts w:ascii="Arial" w:hAnsi="Arial"/>
          <w:color w:val="404040"/>
          <w:sz w:val="21"/>
        </w:rPr>
        <w:t>Las acciones de SpaceX subían más de 10% en transacciones previas a la apertura del martes, hasta US$211,8, acercando a la compañía a superar a Amazon en valor de mercado y convertirse en la quinta empresa más grande del mundo, tras un alza de 19% el lunes. El repunte se produjo luego de que SpaceX anunciara la compra por US$60.000 millones de Anysphere, creadora de la aplicación de programación con IA Cursor. El valor de mercado de la firma de Elon Musk ha aumentado en más de US$750.000 millones desde su salida a bolsa a US$135 por acción, alcanzando una capitalización de US$2,53 billones al cierre del lunes y cerca de US$2,8 billones si se mantienen las ganancias. El volumen transado, sobre US$1.160 millones hasta media mañana, superó varias veces el volumen combinado de Nvidia, Microsoft, Tesla y Apple.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Credicorp apuesta por menor inflación, caída de tasas y nuevo impulso para la bolsa local con acuerdo en Medio Oriente</w:t>
      </w:r>
    </w:p>
    <w:p>
      <w:pPr>
        <w:spacing w:before="40" w:after="60"/>
        <w:ind w:left="283"/>
      </w:pPr>
      <w:r>
        <w:rPr>
          <w:rFonts w:ascii="Arial" w:hAnsi="Arial"/>
          <w:color w:val="404040"/>
          <w:sz w:val="21"/>
        </w:rPr>
        <w:t>Klaus Kaempfe, gerente de Inversiones de Credicorp Capital, sostiene que el acuerdo entre EE.UU. e Irán no resuelve el conflicto de fondo, pero abre espacio para que el petróleo se estabilice entre US$70 y US$80 por barril, ya que la reapertura plena del estrecho de Ormuz tomará meses. Proyecta una baja sustancial en las expectativas de inflación en Chile y en el precio de las bencinas en los próximos dos meses, aunque estima que el gobierno debería traspasar la caída a los consumidores a la misma velocidad usada para trasladar las alzas previas vía el Mepco. Ve espacio para que el IPSA vuelva a máximos históricos cercanos a 11.500 puntos, con el retail como principal beneficiado por el mayor ingreso disponible de los hogares, mientras los bancos podrían ver ingresos algo menores por la menor inflación en el corto plazo. En renta fija, anticipa que los bonos del Tesoro estadounidense a largo plazo bajen hacia 4,2%-4,3%, permitiendo que las tasas en Chile caigan entre 20 y 30 puntos básicos hacia fin de año.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La mano de León Fernández de Castro que comienza a sentirse en la Asociación de AFP</w:t>
      </w:r>
    </w:p>
    <w:p>
      <w:pPr>
        <w:spacing w:before="40" w:after="60"/>
        <w:ind w:left="283"/>
      </w:pPr>
      <w:r>
        <w:rPr>
          <w:rFonts w:ascii="Arial" w:hAnsi="Arial"/>
          <w:color w:val="404040"/>
          <w:sz w:val="21"/>
        </w:rPr>
        <w:t>León Fernández de Castro, presidente de la Asociación de AFP (AAFP), asumió un rol ejecutivo tras la renuncia de Constanza Bollmann a la gerencia general a fines de mayo, concentrando en sí mismo la presidencia del directorio y la administración del gremio en momentos clave de implementación de la reforma previsional. Entre sus focos están fortalecer el área comunicacional —con la contratación del periodista Nicolás Paut como gerente de comunicaciones—, la dimensión regulatoria y legal liderada por la abogada Camila Simunovic, y otorgar mayor relevancia a la gerencia de estudios, a cargo de Roberto Fuentes, para que se convierta en el nuevo think tank previsional tras el cierre de Ciedess. Como uno de los primeros hitos de esta gestión, el gremio prepara para fines de mes una actividad pública con el gobierno para difundir el Sistema Único de Cobranza de Cotizaciones (SUCC).</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Operación Tokio: BancoEstado se hace parte en querella contra exejecutiva externa involucrada</w:t>
      </w:r>
    </w:p>
    <w:p>
      <w:pPr>
        <w:spacing w:before="40" w:after="60"/>
        <w:ind w:left="283"/>
      </w:pPr>
      <w:r>
        <w:rPr>
          <w:rFonts w:ascii="Arial" w:hAnsi="Arial"/>
          <w:color w:val="404040"/>
          <w:sz w:val="21"/>
        </w:rPr>
        <w:t>BancoEstado se hizo parte de la querella contra una exasistente administrativa externa investigada en el marco de la Operación Tokio, con el fin de colaborar activamente en el proceso judicial. La entidad precisó que la persona no era trabajadora directa del banco sino contratada por un proveedor externo para labores de apoyo en comercio exterior, sin acceso a sistemas de pago ni atribuciones para modificar información bancaria. Según BancoEstado, las revisiones internas no detectaron movimientos sospechosos en la cuenta de la involucrada, coherentes con su nivel de remuneración, y no hay evidencia de vínculo entre las actividades ilícitas investigadas y sus funciones en la institución. El banco señaló además que aplicó protocolos rigurosos de verificación de antecedentes para los servicios externalizados.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El grupo Dimarsa de Puerto Montt, el retailer más antiguo de Chile, proyecta crecer 14,2% este año y alista plan de inversiones para el segundo semestre</w:t>
      </w:r>
    </w:p>
    <w:p>
      <w:pPr>
        <w:spacing w:before="40" w:after="60"/>
        <w:ind w:left="283"/>
      </w:pPr>
      <w:r>
        <w:rPr>
          <w:rFonts w:ascii="Arial" w:hAnsi="Arial"/>
          <w:color w:val="404040"/>
          <w:sz w:val="21"/>
        </w:rPr>
        <w:t>Dimarsa, el retailer más antiguo de Chile con 169 años de historia y controlado por la familia Marchant, proyecta un crecimiento de 14,2% en 2026 pese a un inicio de año más débil de lo esperado, impulsado principalmente por el canal de e-commerce (37%) y las ventas B2B (34%), mientras las tiendas físicas crecerán menos de lo proyectado originalmente. El holding —que opera 23 locales entre Valdivia y Coyhaique, además de un astillero y un hotel— prevé reactivar su plan de inversiones en el segundo semestre, destacando la triplicación de la capacidad de su astillero en Puerto Montt a 6.000 m2 para atender a la industria salmonera, y la expansión de su tienda en Quellón con 2.300 m2 adicionales. El retail y hogar concentran el 70% de los ingresos del grupo, seguido por ferretería (20%) y la división náutica Dimarine (10%), esta última la de mayor crecimiento en 2025 gracias al auge salmonero. El gerente general, Andrés Latorre, advirtió que el negocio depende fuertemente del pulso de la salmonicultura en el sur austral y pidió mayor rapidez regulatoria para la tramitación de proyectos.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Chilena Syncore inicia acciones legales contra OHLA en España por deuda de US$ 21 millones de su filial de ingeniería</w:t>
      </w:r>
    </w:p>
    <w:p>
      <w:pPr>
        <w:spacing w:before="40" w:after="60"/>
        <w:ind w:left="283"/>
      </w:pPr>
      <w:r>
        <w:rPr>
          <w:rFonts w:ascii="Arial" w:hAnsi="Arial"/>
          <w:color w:val="404040"/>
          <w:sz w:val="21"/>
        </w:rPr>
        <w:t>La empresa chilena Syncore, especializada en montaje industrial, inició acciones legales en España contra la constructora OHLA para cobrar una deuda de US$21 millones de su filial en liquidación OHL Industrial Chile (OHLI), tras la negativa de ambas a pagar pese a un laudo arbitral firme. El conflicto se originó en 2019 por retrasos atribuidos a OHLI en un proyecto de US$160 millones para Mantos Copper, que derivó en sobrecostos y llevó a Syncore a un arbitraje ante el CAM en 2022, resuelto en julio de 2025 con una condena de US$16,5 millones de principal más US$5 millones de intereses. Ante la insolvencia y liquidación voluntaria de OHLI —donde la deuda con Syncore representa el 90% de su pasivo entre más de 60 acreedores—, la firma chilena busca ahora activar la responsabilidad solidaria de la matriz OHLA en tribunales españoles para recuperar la totalidad de lo adeudado.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Firma de acuerdo entre EEUU e Irán impulsa las bolsas y hunde el precio del petróleo</w:t>
      </w:r>
    </w:p>
    <w:p>
      <w:pPr>
        <w:spacing w:before="40" w:after="60"/>
        <w:ind w:left="283"/>
      </w:pPr>
      <w:r>
        <w:rPr>
          <w:rFonts w:ascii="Arial" w:hAnsi="Arial"/>
          <w:color w:val="404040"/>
          <w:sz w:val="21"/>
        </w:rPr>
        <w:t>La firma del Acuerdo de Islamabad, con las firmas electrónicas de Trump, JD Vance y el negociador iraní Mohammad-Bagher Ghalibaf, impulsó las bolsas globales y hundió el precio del petróleo el lunes, aunque persisten dudas sobre la reapertura plena del estrecho de Ormuz y el cumplimiento del alto el fuego por parte de Israel. El Brent cayó 4,7% a US$83,17 por barril, su menor nivel desde marzo, mientras en Chile el dólar bajó $5,1 hasta $893,4, su quinta caída consecutiva; en Wall Street el Nasdaq subió 3,1%, el S&amp;P 500 1,7% y el Dow Jones marcó un récord con un alza de 0,9%, y en Asia el Nikkei saltó 5% a máximos históricos. La ceremonia formal de firma está agendada para el viernes en Ginebra, tras la cual comenzará un plazo de 60 días de negociación directa entre Washington y Teherán sobre el programa nuclear iraní, de cuyo avance depende el levantamiento de sanciones y el acceso de Irán a un fondo de reconstrucción de hasta US$300.000 millones. Analistas como Andrés Vicencio (LarrainVial) advirtieron que se trata de un alto el fuego con fecha de vencimiento más que una solución estructural, mientras Netanyahu evitó comprometerse plenamente con el cese de hostilidades en Líbano.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“Los lunes de Quiroz”: cómo el ministro de Hacienda busca mejorar su comunicación ante la ciudadanía</w:t>
      </w:r>
    </w:p>
    <w:p>
      <w:pPr>
        <w:spacing w:before="40" w:after="60"/>
        <w:ind w:left="283"/>
      </w:pPr>
      <w:r>
        <w:rPr>
          <w:rFonts w:ascii="Arial" w:hAnsi="Arial"/>
          <w:color w:val="404040"/>
          <w:sz w:val="21"/>
        </w:rPr>
        <w:t>El ministro de Hacienda, Jorge Quiroz, institucionalizó una vocería semanal los lunes en el acceso al ministerio tras el comité político de La Moneda, buscando mejorar su comunicación con la ciudadanía en momentos en que figura entre los peores evaluados del gabinete. Esta práctica lo ha expuesto tanto a reclamos directos de ciudadanos —como un taxista que le increpó por el retraso en el pago del bono de compensación por el alza de combustibles— como a protestas que en una ocasión lo obligaron a ingresar al ministerio por un acceso lateral. Pese a la exposición, Quiroz defiende su estilo de responder todo y se prepara previamente con su equipo para enfrentar preguntas sobre temas ajenos a su cartera que sus pares evitan. El nuevo impulso comunicacional coincide con el anuncio del posible fin de la guerra entre EE.UU. e Irán, que sus asesores ven como una oportunidad para mejorar su imagen pública.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33 faltas o delitos que contempla el proyecto sobre actos vandálicos del gobierno</w:t>
      </w:r>
    </w:p>
    <w:p>
      <w:pPr>
        <w:spacing w:before="40" w:after="60"/>
        <w:ind w:left="283"/>
      </w:pPr>
      <w:r>
        <w:rPr>
          <w:rFonts w:ascii="Arial" w:hAnsi="Arial"/>
          <w:color w:val="404040"/>
          <w:sz w:val="21"/>
        </w:rPr>
        <w:t>El gobierno ingresó a la Cámara de Diputados el proyecto de ley que crea el Registro Nacional de Actos Vandálicos e Incivilidades, administrado por el Registro Civil, el cual tipifica 33 faltas y delitos —desde atentados contra autoridades hasta incendios, daños en bienes públicos y consumo de drogas en la vía pública— que generan la inclusión en dicho padrón. Catorce de esas conductas son consideradas especialmente graves e implican, además de las sanciones generales, la pérdida del acceso a la gratuidad en la educación superior y a la Pensión Garantizada Universal (PGU). Otras sanciones contempladas incluyen la prohibición de acceder a subsidios de vivienda y arriendo, becas estatales, tarifas rebajadas de transporte público, la licencia de conducir y el pasaporte, además de la retención de la devolución de impuestos. La iniciativa pasó a la Comisión de Ciudadanía y generó reacción de la oposición, con el diputado comunista Luis Cuello presentando reserva de constitucionalidad.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de Política Monetaria recomienda al Banco Central mantener tasa en 4,5% este martes</w:t>
      </w:r>
    </w:p>
    <w:p>
      <w:pPr>
        <w:spacing w:before="40" w:after="60"/>
        <w:ind w:left="283"/>
      </w:pPr>
      <w:r>
        <w:rPr>
          <w:rFonts w:ascii="Arial" w:hAnsi="Arial"/>
          <w:color w:val="404040"/>
          <w:sz w:val="21"/>
        </w:rPr>
        <w:t>El Grupo de Política Monetaria (GPM) recomendó al Banco Central mantener la Tasa de Política Monetaria sin cambios en 4,5% en su reunión de este martes, en un contexto de actividad económica local débil pero con menores riesgos externos tras el anuncio del acuerdo de cese al fuego entre EE.UU. e Irán. El panel —integrado por Eugenia Andreasen, Carlos Budnevich, Humberto Martínez, Juan Pablo Medina y Andrea Tokman— señaló que, de materializarse el acuerdo, la economía chilena debería tomar más fuerza hacia fin de año, favorecida por la expectativa de menores tasas de los bonos del Tesoro de EE.UU. y la caída del petróleo, que retrocedió desde cerca de US$117 a fines de abril hasta menos de US$84 por barril. El cobre se ubica en torno a US$6,2 la libra tras tocar máximos de US$6,4 en mayo, mientras el IPC de mayo registró una variación de 0,2%, por debajo de lo esperado, con la inflación anual en 3,9% y proyecciones de junio que apuntan a una caída mensual de hasta 0,4%.</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David Bravo sobre nueva cotización para sala cuna e impacto en seguro de cesantía: “Es una buena solución, pero hay que mirar el Fondo Solidario”</w:t>
      </w:r>
    </w:p>
    <w:p>
      <w:pPr>
        <w:spacing w:before="40" w:after="60"/>
        <w:ind w:left="283"/>
      </w:pPr>
      <w:r>
        <w:rPr>
          <w:rFonts w:ascii="Arial" w:hAnsi="Arial"/>
          <w:color w:val="404040"/>
          <w:sz w:val="21"/>
        </w:rPr>
        <w:t>El economista David Bravo, director del Centro de Encuestas y Estudios Longitudinales UC, calificó como una buena solución el proyecto de Sala Cuna Universal firmado en La Moneda, que introduce una nueva cotización de 0,35% compensada con una reducción equivalente en el aporte patronal al seguro de cesantía, aunque advirtió que hay que vigilar la sostenibilidad del Fondo Solidario de Cesantía, ya estresado tras el alza de beneficios de la reforma de 2023. Destacó que la iniciativa cuenta con respaldo transversal por arrastrar avances de los gobiernos de Piñera y Boric, y que aborda una discriminación que afecta especialmente la empleabilidad femenina. Consultado sobre el costo en empleo de medidas como el alza del salario mínimo, las 40 horas y la reforma de pensiones, sostuvo que cada una es deseable por separado pero que el problema fue el mal timing, al implementarse en un período de debilidad del mercado laboral. Bravo consideró factible la meta del gobierno de bajar el desempleo a 6,5% si la economía logra crecer al 4%, y llamó a que esa meta sea compartida entre gobierno y oposición.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Fin al conflicto entre EEUU e Irán le daría más impulso a la economía chilena, pero sin cambiar su techo inferior al 2%</w:t>
      </w:r>
    </w:p>
    <w:p>
      <w:pPr>
        <w:spacing w:before="40" w:after="60"/>
        <w:ind w:left="283"/>
      </w:pPr>
      <w:r>
        <w:rPr>
          <w:rFonts w:ascii="Arial" w:hAnsi="Arial"/>
          <w:color w:val="404040"/>
          <w:sz w:val="21"/>
        </w:rPr>
        <w:t>Economistas coinciden en que el fin del conflicto entre EE.UU. e Irán traerá alivio a la economía chilena vía menores precios de combustibles y mejores expectativas de consumidores y empresas, pero discrepan sobre si esto basta para elevar las proyecciones de crecimiento del PIB, actualmente en torno a 1,6%. Rodrigo Cruz (Santander) y Juan Ortiz (OCEC UDP) lo ven más como una reducción de riesgos que como un impulso macroeconómico adicional, manteniendo proyecciones de PIB de 1,5% para este año, mientras Andrés Pérez (Itaú) advierte que el petróleo no volverá a los niveles previos al conflicto. Felipe Jaque (BICE) señaló que, a pesar del alto precio del cobre, la economía no ha logrado tracción porque las trabas locales pesan más que la incertidumbre externa, mientras Ignacio Muñoz (Clapes UC) calificó como exigente alcanzar un crecimiento anual de 2% tras la contracción de 0,5% del primer trimestre. Pablo Müller (U. Autónoma) concluyó que las perspectivas de crecimiento siguen determinadas principalmente por la inversión, la productividad y la demanda externa, más que por este evento puntual.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busca aplicar impuesto específico a los vapeadores e igualar su régimen con el del tabaco</w:t>
      </w:r>
    </w:p>
    <w:p>
      <w:pPr>
        <w:spacing w:before="40" w:after="60"/>
        <w:ind w:left="283"/>
      </w:pPr>
      <w:r>
        <w:rPr>
          <w:rFonts w:ascii="Arial" w:hAnsi="Arial"/>
          <w:color w:val="404040"/>
          <w:sz w:val="21"/>
        </w:rPr>
        <w:t>El Ministerio de Hacienda, en conjunto con Salud, trabaja en un proyecto de ley para aplicar un impuesto específico a los vapeadores e igualar su tratamiento tributario con el del tabaco, que hoy solo paga IVA de 19% frente a gravámenes específicos de hasta 59,7% para el tabaco elaborado y 52,6% para los puros. El ministro Jorge Quiroz adelantó la medida como parte de una agenda regulatoria que el gobierno presentará tras la tramitación de la ley miscelánea, que también incluirá proyectos de adaptabilidad laboral, 40 horas y reformas al mercado de capitales. La iniciativa busca evitar que la recaudación del tabaco se traslade hacia el sustituto vapeador, en línea con la advertencia del Consejo Fiscal Autónomo (CFA) sobre el riesgo de incumplir las metas de recaudación de la ley miscelánea por sustitución de consumo. En paralelo, el director del SII, Jorge Trujillo, presentó su primera cuenta pública, reportando más de 467 mil acciones de fiscalización en 2025 —el doble que en 2024— y un aumento de 64,3% en la fiscalización a grupos empresariales.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Quiroz anticipa una fuerte baja de los combustibles esta semana y el mercado prevé una caída mayor en el IPC en junio</w:t>
      </w:r>
    </w:p>
    <w:p>
      <w:pPr>
        <w:spacing w:before="40" w:after="60"/>
        <w:ind w:left="283"/>
      </w:pPr>
      <w:r>
        <w:rPr>
          <w:rFonts w:ascii="Arial" w:hAnsi="Arial"/>
          <w:color w:val="404040"/>
          <w:sz w:val="21"/>
        </w:rPr>
        <w:t>El ministro de Hacienda, Jorge Quiroz, anticipó que desde el jueves el diésel bajará unos $110 por litro y la bencina un monto similar, como reflejo de la caída del petróleo Brent a su mínimo en tres meses tras el acuerdo entre EE.UU. e Irán, lo que acumularía una baja de $200 en el diésel desde el peak de $600 alcanzado durante el conflicto. Producto de este ajuste, economistas como Juan Ortiz (OCEC UDP) y Antonio Moncado (Bci) revisaron a la baja sus proyecciones del IPC de junio, de una caída de 0,2% a entre -0,3% y -0,4%, mientras Andrés Pérez (Itaú) destacó el efecto positivo sobre la confianza de hogares y empresas. Quiroz defendió además su comunicación tras la polémica generada por criticar la gestión fiscal del gobierno anterior, calificándola de manejo como un quiosco, frase que el exministro Mario Marcel calificó de exabrupto en una entrevista radial.</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iniciativa de fijación de precios para minerales críticos de Trump enfrenta escepticismo del G7 y divide a la industria</w:t>
      </w:r>
    </w:p>
    <w:p>
      <w:pPr>
        <w:spacing w:before="40" w:after="60"/>
        <w:ind w:left="283"/>
      </w:pPr>
      <w:r>
        <w:rPr>
          <w:rFonts w:ascii="Arial" w:hAnsi="Arial"/>
          <w:color w:val="404040"/>
          <w:sz w:val="21"/>
        </w:rPr>
        <w:t>La propuesta de la administración Trump, impulsada inicialmente por el vicepresidente JD Vance, de crear un mecanismo de fijación de precios para minerales críticos enfrenta escepticismo de los aliados del G7 y divide a la industria minera estadounidense, según un análisis de Reuters sobre más de 230 presentaciones de empresas del sector. El plan, elaborado con un sistema de inteligencia artificial de DARPA (OPEN), busca reducir la dependencia occidental de China —que domina la producción y mantiene deprimidos los precios de minerales clave para semiconductores y equipamiento militar— mediante apoyos de precios, subsidios o aranceles ajustables. Europa se muestra reticente a adoptar un sistema de precios desarrollado por Washington por temor a una influencia excesiva de EE.UU., y prefiere un índice basado en transacciones reales del mercado europeo, mientras EE.UU. busca avanzar con acuerdos bilaterales rápidos con Japón y la UE antes de fin de junio, que podrían cubrir entre cinco y diez minerales como tierras raras, antimonio, grafito y tungsteno. La industria también está dividida: mientras MP Materials ya recibió un mecanismo de respaldo financiero del gobierno, la National Mining Association recomienda evitar la intervención de precios y enfocarse en créditos tributarios.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sectores legal y contable están entre los negocios más vulnerables a la IA, advierten altos ejecutivos de firmas de capital privado</w:t>
      </w:r>
    </w:p>
    <w:p>
      <w:pPr>
        <w:spacing w:before="40" w:after="60"/>
        <w:ind w:left="283"/>
      </w:pPr>
      <w:r>
        <w:rPr>
          <w:rFonts w:ascii="Arial" w:hAnsi="Arial"/>
          <w:color w:val="404040"/>
          <w:sz w:val="21"/>
        </w:rPr>
        <w:t>Altos ejecutivos de firmas de capital privado advirtieron en la conferencia SuperReturn de Berlín que los sectores legal y contable están entre los negocios más vulnerables a la disrupción de la inteligencia artificial, sumando preocupación entre los grupos que han invertido fuertemente en servicios profesionales. Ejecutivos de Man Group, Apollo Global Management y Neuberger Berman señalaron que negocios que cobran por hora, como auditoría, facturación o asesoría legal, enfrentan riesgos significativos de ver erosionados sus ingresos, en un contexto donde las acciones de Accenture han caído casi a la mitad en el último año. Como resultado, los fondos de capital privado están evitando nuevas inversiones en ciertas firmas de servicios profesionales por la incertidumbre sobre sus ingresos futuros, aunque algunos como Apax Partners distinguen entre negocios regulados —menos expuestos— y los que no realizan auditorías reguladas. El sector ya ha visto consolidaciones relevantes, como la compra de una participación mayoritaria en Citrin Cooperman liderada por Blackstone por más de US$2.000 millones, mientras los inversionistas vuelcan su atención hacia sectores industriales con activos físicos significativos, menos expuestos a la obsolescencia tecnológica.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Komal Dadlani vende Lab4U a una de las mayores fundaciones de educación de EEUU</w:t>
      </w:r>
    </w:p>
    <w:p>
      <w:pPr>
        <w:spacing w:before="40" w:after="60"/>
        <w:ind w:left="283"/>
      </w:pPr>
      <w:r>
        <w:rPr>
          <w:rFonts w:ascii="Arial" w:hAnsi="Arial"/>
          <w:color w:val="404040"/>
          <w:sz w:val="21"/>
        </w:rPr>
        <w:t>La fundación estadounidense Britebound, que impacta a 15 millones de estudiantes al año, adquirió por un monto no revelado la edtech chilena Lab4U, fundada en 2013 por la bioquímica Komal Dadlani y el colombiano Álvaro Peralta, que desarrolla tecnología para convertir teléfonos inteligentes en laboratorios STEM. Dadlani mantendrá su cargo de CEO junto a su equipo de 21 personas, que se integrará al ecosistema digital de Britebound y seguirá contratando en Chile, en un proceso que se inició en abril de 2025 y se cerró a principios de mayo tras casi un año de conversaciones. Fuentes indicaron a DF que la startup ya supera US$1 millón de facturación anual, y que este tipo de operaciones suele cerrarse entre cinco y siete veces la venta anual de la empresa adquirida. Lab4U ha llegado a más de 200 mil estudiantes en Chile, México y EE.UU., y con esta venta busca escalar su tecnología desde los 100 mil usuarios actuales hacia el millón y, eventualmente, los 15 millones de estudiantes que alcanza Britebound.</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Más Allá Del cobre: una agenda estratégica para Chile y Perú</w:t>
      </w:r>
    </w:p>
    <w:p>
      <w:pPr>
        <w:spacing w:before="40" w:after="60"/>
        <w:ind w:left="283"/>
      </w:pPr>
      <w:r>
        <w:rPr>
          <w:rFonts w:ascii="Arial" w:hAnsi="Arial"/>
          <w:color w:val="404040"/>
          <w:sz w:val="21"/>
        </w:rPr>
        <w:t>La reactivación del Consejo Empresarial Chile-Perú, tras tres años de inactividad y en el marco de los 20 años del TLC bilateral, es vista como una señal positiva para profundizar la coordinación económica entre ambos países, que concentran cerca del 40% de la producción mundial de cobre y reservas clave para la transición energética como el litio, cuya demanda podría crecer entre 470% y 800% hacia 2050 según el BID. El intercambio comercial entre Chile y Perú alcanzó US$3.771 millones en 2025, con un stock de inversión chilena superior a US$24.000 millones y cerca de 400 empresas chilenas desarrollando más de 1.000 proyectos en Perú. La agenda impulsada por Sofofa y ComexPerú apunta a facilitar el comercio, la conectividad y la promoción de inversiones, en momentos en que la elección presidencial peruana no debería alterar sustancialmente esta hoja de ruta dada la fortaleza institucional del país. El principal riesgo para la relación bilateral no es electoral sino estructural: persisten déficits de infraestructura, centralización excesiva y demoras regulatorias en ambos países, además de un rezago en exploración minera en Chile advertido por Cochilco.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No esperemos a que falte el agua</w:t>
      </w:r>
    </w:p>
    <w:p>
      <w:pPr>
        <w:spacing w:before="40" w:after="60"/>
        <w:ind w:left="283"/>
      </w:pPr>
      <w:r>
        <w:rPr>
          <w:rFonts w:ascii="Arial" w:hAnsi="Arial"/>
          <w:color w:val="404040"/>
          <w:sz w:val="21"/>
        </w:rPr>
        <w:t>Un liceo de Ovalle realizó una simulación de corte de agua masivo durante el Día del Medio Ambiente, como ejercicio educativo para concientizar sobre la crisis hídrica que afecta a la Región de Coquimbo, culminando con la firma de compromisos ambientales por parte de los estudiantes. La columna destaca que esta simulación refleja una realidad cotidiana para cientos de familias en Chile y el mundo que carecen de acceso regular al agua y deben recorrer largas distancias o esperar camiones aljibe para obtenerla. El autor llama a entender que el agua no es un recurso infinito y que las decisiones actuales determinarán la capacidad de enfrentar futuras crisis hídricas. Concluye que la educación temprana y experiencias de este tipo son clave para formar una ciudadanía consciente capaz de proteger un recurso que podría escasear en el futuro.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16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