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26 De Junio De 2026</w:t>
      </w:r>
    </w:p>
    <w:p>
      <w:pPr>
        <w:jc w:val="center"/>
      </w:pPr>
      <w:r>
        <w:rPr>
          <w:rFonts w:ascii="Arial" w:hAnsi="Arial"/>
          <w:color w:val="999999"/>
          <w:sz w:val="20"/>
        </w:rPr>
        <w:t>6 secciones  ·  26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Bolsas mundiales sufren pérdidas por los mayores costos de grandes empresas tecnológicas</w:t>
      </w:r>
    </w:p>
    <w:p>
      <w:pPr>
        <w:spacing w:before="40" w:after="60"/>
        <w:ind w:left="283"/>
      </w:pPr>
      <w:r>
        <w:rPr>
          <w:rFonts w:ascii="Arial" w:hAnsi="Arial"/>
          <w:color w:val="404040"/>
          <w:sz w:val="21"/>
        </w:rPr>
        <w:t>Las principales bolsas mundiales registraron caídas generalizadas este viernes, lideradas por el desplome de las acciones tecnológicas tras que Apple (-6%) y Microsoft (-3,5%) anunciaran alzas de precios en sus productos (iPads, MacBooks, Xbox) por los mayores costos de memoria y almacenamiento. En Wall Street el Nasdaq cayó 1,4%, el S&amp;P 500 0,6% y el Dow Jones 0,3%, mientras en Asia el Kospi se desplomó 5,8% y el Nikkei 4,2%. El IPSA retrocedía 0,2% hasta 10.682,53 puntos, presionado por SQM-B (-2,1%) ante la caída del litio, en tanto el petróleo Brent cedía 3,7% a US$ 72,5 al normalizarse el tráfico en el estrecho de Ormuz. Analistas advirtieron que el alza de costos en infraestructura de IA empieza a presionar los márgenes de las grandes tecnológicas, generando un desempeño mixto entre las 'Siete Magníficas', mientras trasciende que OpenAI evaluaría postergar su salida a bolsa.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estable y pone en suspenso la continuación de su racha alcista mientras se calman las compras globales</w:t>
      </w:r>
    </w:p>
    <w:p>
      <w:pPr>
        <w:spacing w:before="40" w:after="60"/>
        <w:ind w:left="283"/>
      </w:pPr>
      <w:r>
        <w:rPr>
          <w:rFonts w:ascii="Arial" w:hAnsi="Arial"/>
          <w:color w:val="404040"/>
          <w:sz w:val="21"/>
        </w:rPr>
        <w:t>El tipo de cambio en Chile abrió estable en $ 912,9 este viernes, tras siete jornadas consecutivas de alza —su mayor racha desde octubre de 2024— en momentos en que el rally global del dólar muestra señales de moderación. El índice dólar retrocedía 0,2% a 101,3 puntos y el cobre subía 0,7% a US$ 6,18 la libra, revirtiendo parcialmente la tendencia de la semana marcada por expectativas de alza de tasas de la Fed tras el tono de mano dura del nuevo presidente Kevin Warsh. Los rendimientos del Tesoro a dos años caían 3,1 puntos base y el petróleo Brent bajaba 3% a US$ 73 por barril, recuperándose del susto por el ataque a un buque en el estrecho de Ormuz. Estrategas de ING señalaron que el apetito por riesgo en Asia sigue frágil, aunque ven que el dólar ya incorporó buena parte de los factores alcistas, fortaleciendo los argumentos a favor de una corrección.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“selectivo” regreso de las AFP, aseguradoras y family offices al negocio inmobiliario</w:t>
      </w:r>
    </w:p>
    <w:p>
      <w:pPr>
        <w:spacing w:before="40" w:after="60"/>
        <w:ind w:left="283"/>
      </w:pPr>
      <w:r>
        <w:rPr>
          <w:rFonts w:ascii="Arial" w:hAnsi="Arial"/>
          <w:color w:val="404040"/>
          <w:sz w:val="21"/>
        </w:rPr>
        <w:t>Según Joaquín Brahm, gerente general de GPS Property, la liquidez volvió al mercado inmobiliario chileno pero de forma selectiva, concentrada en tres actores: AFP, compañías de seguros y family offices. Las AFP dominan el mercado de bonos del sector —destacó la emisión de Cencosud Shopping por UF 2,5 millones ($ 102 mil millones) a 30 años—, mientras las aseguradoras de vida, tras un récord de venta de rentas vitalicias por UF 135,2 millones (US$ 6.017 millones) en 2025, elevaron sus inversiones inmobiliarias a US$ 22.330 millones (+18% anual, 27,9% de su portafolio). Los fondos de deuda privada, alimentados por family offices, administraban cerca de US$ 6.500 millones a fines de 2025, 30% más que hace cinco años, llenando el vacío que dejó la banca. Estos inversionistas privilegian renta habitacional y oficinas en el sector oriente de Santiago, evitando activos más riesgosos como bodegas clase 2 u oficinas en zonas con menor ocupación.</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Cómo regulan las firmas legales el uso de la IA entre sus abogados</w:t>
      </w:r>
    </w:p>
    <w:p>
      <w:pPr>
        <w:spacing w:before="40" w:after="60"/>
        <w:ind w:left="283"/>
      </w:pPr>
      <w:r>
        <w:rPr>
          <w:rFonts w:ascii="Arial" w:hAnsi="Arial"/>
          <w:color w:val="404040"/>
          <w:sz w:val="21"/>
        </w:rPr>
        <w:t>Socios de estudios jurídicos como Barros &amp; Errázuriz, Cariola Díez Pérez-Cotapos, HD Compliance y Bitlaw describen cómo han transitado de un uso exploratorio a uno regulado de la inteligencia artificial, mediante políticas internas, comités especializados y capacitaciones permanentes. Las reglas comunes incluyen el uso exclusivo de herramientas autorizadas, la prohibición de subir información confidencial a plataformas no seguras y la revisión humana obligatoria de todo contenido generado con IA. Los entrevistados coinciden en que el principal riesgo no es que la IA 'alucine', sino que la sensación de certeza reduzca con el tiempo el nivel de revisión profesional, y advierten que la regulación debe funcionar como una brújula flexible más que como reglas rígidas, dado que la tecnología avanza más rápido que cualquier norma. También señalan un cambio en la conversación con los clientes, que hoy preguntan más por los controles y la gobernanza del uso de IA que por su mera existencia.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AFP Habitat advierte por el impacto de la licitación de stock de la reforma</w:t>
      </w:r>
    </w:p>
    <w:p>
      <w:pPr>
        <w:spacing w:before="40" w:after="60"/>
        <w:ind w:left="283"/>
      </w:pPr>
      <w:r>
        <w:rPr>
          <w:rFonts w:ascii="Arial" w:hAnsi="Arial"/>
          <w:color w:val="404040"/>
          <w:sz w:val="21"/>
        </w:rPr>
        <w:t>En un seminario de Banco Santander y Diario Financiero sobre infraestructura, el gerente de activos alternativos de AFP Habitat, Rodrigo Ordoñez, criticó que la licitación de stock de la reforma de pensiones obligue a todas las AFP existentes a ceder el 10% de sus activos a la administradora que gane la licitación, lo que castiga la diferenciación entre administradoras. También advirtió sobre la complejidad de que los fondos de pensiones inviertan más en infraestructura si surgen conflictos de pago con el Estado. Por su parte, Juan Pablo Raffetto (MetLife) señaló la permisología como el mayor obstáculo para la inversión en este tipo de proyectos, mientras María Francisca Yáñez (Banco Santander) llamó a priorizar la infraestructura digital y de IA como acelerador del desarrollo del país en los próximos años.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MOP buscará cuadruplicar el ritmo de inversión en el sistema de concesiones</w:t>
      </w:r>
    </w:p>
    <w:p>
      <w:pPr>
        <w:spacing w:before="40" w:after="60"/>
        <w:ind w:left="283"/>
      </w:pPr>
      <w:r>
        <w:rPr>
          <w:rFonts w:ascii="Arial" w:hAnsi="Arial"/>
          <w:color w:val="404040"/>
          <w:sz w:val="21"/>
        </w:rPr>
        <w:t>En el mismo seminario, el subsecretario de Obras Públicas, Nicolás Balmaceda, anunció la meta de cuadruplicar la inversión anual en concesiones, de US$ 1.000 millones a US$ 4.000 millones, y de extender el sistema —hoy concentrado 80% en infraestructura vial— hacia colegios, establecimientos policiales, parques y conectividad digital, buscando una proporción de 60%-40%. El plan incluye 70 proyectos prioritarios, fortalecer la Dirección de Planeamiento y crear un Sistema Nacional de Planificación de Infraestructura, además de mejorar la distribución de riesgos y la certeza jurídica de los contratos. El gerente general de Santander Chile, Andrés Trautmann, abrió el evento destacando que el país está en una competencia por la liquidez global y calificó el mercado de capitales chileno como sólido aunque perfectible frente a la región.</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Casi 150 mil personas teletrabajan en el país</w:t>
      </w:r>
    </w:p>
    <w:p>
      <w:pPr>
        <w:spacing w:before="40" w:after="60"/>
        <w:ind w:left="283"/>
      </w:pPr>
      <w:r>
        <w:rPr>
          <w:rFonts w:ascii="Arial" w:hAnsi="Arial"/>
          <w:color w:val="404040"/>
          <w:sz w:val="21"/>
        </w:rPr>
        <w:t>La Dirección del Trabajo informó que 149.816 personas se desempeñan bajo modalidades de teletrabajo o trabajo a distancia en Chile, contratadas por 6.108 empresas que mantienen 162.312 pactos laborales vigentes. Las empresas micro concentran la mayor proporción de pactos (28,4%), seguidas por las pequeñas (25,6%) y medianas (15,9%), mientras las grandes representan solo 11,1%. Por sector, predominan las actividades profesionales, científicas y técnicas, el comercio y el rubro de información y comunicaciones.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se ubica en el cuarto lugar entre los países de la OCDE con la mayor tasa de desempleo</w:t>
      </w:r>
    </w:p>
    <w:p>
      <w:pPr>
        <w:spacing w:before="40" w:after="60"/>
        <w:ind w:left="283"/>
      </w:pPr>
      <w:r>
        <w:rPr>
          <w:rFonts w:ascii="Arial" w:hAnsi="Arial"/>
          <w:color w:val="404040"/>
          <w:sz w:val="21"/>
        </w:rPr>
        <w:t>Según cifras de abril de la OCDE, Chile se ubicó cuarto entre los 33 países del bloque con mayor desempleo, con una tasa de 8,9% (dato de marzo del INE), superado solo por Grecia (9,5%), España (10,3%) y Finlandia (10,7%), mientras el promedio OCDE se mantuvo en 5,0%. La desocupación nacional subió a 9,1% en el trimestre febrero-abril, y el desempleo juvenil (15-24 años) llegó a 23,1%, la tercera tasa más alta del bloque, frente a un promedio OCDE de 11,4%. El desempleo femenino en Chile alcanzó 10,5%, superando los dos dígitos por más de 30 meses con tasas generales sobre 8%, en un bloque que acumuló 35,1 millones de desempleados en abril.</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Sala cuna: avanza debate de normas de financiamiento y obligaciones de empleadores</w:t>
      </w:r>
    </w:p>
    <w:p>
      <w:pPr>
        <w:spacing w:before="40" w:after="60"/>
        <w:ind w:left="283"/>
      </w:pPr>
      <w:r>
        <w:rPr>
          <w:rFonts w:ascii="Arial" w:hAnsi="Arial"/>
          <w:color w:val="404040"/>
          <w:sz w:val="21"/>
        </w:rPr>
        <w:t>La Comisión de Educación del Senado aprobó varios incisos del nuevo artículo 203 del Código del Trabajo sobre financiamiento y acceso al sistema de sala cuna, dejando pendiente la definición de quiénes tendrán derecho al beneficio. Entre lo aprobado figura la obligación de los empleadores de cotizar al Fondo de Sala Cuna, informar sobre las salas cunas registradas y permitir salas propias, anexas o compartidas, además de un régimen especial para organismos del Estado. El ministro del Trabajo, Tomás Rau, valoró el avance aunque reconoció que esperaba más, recordando que la actual norma —vigente solo para empresas con más de 20 trabajadoras— encarece la contratación femenina en un contexto de desempleo femenino de 10,5%.</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Mesa de empleo convoca a gobiernos regionales y Mas defiende avance en contratos por hora</w:t>
      </w:r>
    </w:p>
    <w:p>
      <w:pPr>
        <w:spacing w:before="40" w:after="60"/>
        <w:ind w:left="283"/>
      </w:pPr>
      <w:r>
        <w:rPr>
          <w:rFonts w:ascii="Arial" w:hAnsi="Arial"/>
          <w:color w:val="404040"/>
          <w:sz w:val="21"/>
        </w:rPr>
        <w:t>En la segunda sesión de la mesa interministerial de empleo, liderada por el biministro Daniel Mas con el objetivo de crear 50 mil empleos en cuatro meses, el gobierno coordinó con cinco gobiernos regionales y sumó a la Conaf al esfuerzo. Mas defendió el proyecto de contratos por hora pese a las críticas de la CUT, calificando la legislación laboral actual de extremadamente rígida, y evitó dar detalles sobre un eventual esquema de indemnización a todo evento. El ministro calificó la situación como una emergencia social y laboral y fijó la meta estructural de crear 300 mil empleos formales al término del mandato, además de anunciar que la mesa de reactivación laboral seguirá reuniéndose semanalmente.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Hacienda anticipa nueva caída de las bencinas de $ 100 y analistas prevén efecto en el IPC de julio</w:t>
      </w:r>
    </w:p>
    <w:p>
      <w:pPr>
        <w:spacing w:before="40" w:after="60"/>
        <w:ind w:left="283"/>
      </w:pPr>
      <w:r>
        <w:rPr>
          <w:rFonts w:ascii="Arial" w:hAnsi="Arial"/>
          <w:color w:val="404040"/>
          <w:sz w:val="21"/>
        </w:rPr>
        <w:t>El ministro de Hacienda, Jorge Quiroz, anticipó una nueva baja de más de $ 100 en bencina y diésel dentro de dos semanas —la cuarta consecutiva desde el alza de $ 448 del 26 de marzo—, si se mantienen las condiciones actuales del petróleo. Economistas de OCEC UDP, Hermann Consultores y Banco Itaú coincidieron en proyecciones de baja cercanas a $ 100, aunque advirtieron riesgos de reversión por la volatilidad del precio internacional del crudo y el tipo de cambio; Hermann calculó un impacto de -0,4 puntos en el IPC de junio, compensado por un alza de 0,16 puntos en electricidad. El vicepresidente del Banco Central, Alberto Naudon, proyectó que los precios del petróleo quedarán algo más altos que antes de la guerra de forma más permanente, dado el rol de Irán en la distribución global de crudo, aunque confió en que el eventual acuerdo de paz ayudará a la inflación y a los hogares.</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John Bolton, exasesor de seguridad de Trump, se declara culpable de retener ilegalmente información clasificada</w:t>
      </w:r>
    </w:p>
    <w:p>
      <w:pPr>
        <w:spacing w:before="40" w:after="60"/>
        <w:ind w:left="283"/>
      </w:pPr>
      <w:r>
        <w:rPr>
          <w:rFonts w:ascii="Arial" w:hAnsi="Arial"/>
          <w:color w:val="404040"/>
          <w:sz w:val="21"/>
        </w:rPr>
        <w:t>John Bolton, exasesor de Seguridad Nacional de Trump, se declaró culpable ante un tribunal federal de Maryland de un cargo por retener ilegalmente información clasificada, como parte de un acuerdo con los fiscales del Departamento de Justicia. El acuerdo contempla una multa de US$ 2,25 millones, una pena no superior a cinco años (frente a un máximo legal de 10) y hasta 100 horas de 'servicio comunitario' orientado a ayudar al gobierno a abordar la divulgación indebida de información clasificada; la sentencia se fijará el 28 de octubre. Bolton había sido acusado en octubre de 2025 por 18 cargos relacionados con notas tipo diario que mantuvo sobre su gestión 2018-2019, que los fiscales sostienen compartió con familiares, aunque ninguna información clasificada terminó en el libro que publicó en 2020 criticando a Trump.</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Terremotos en Venezuela: fallecidos ascienden a 589 mientras empieza a llegar la ayuda humanitaria al país</w:t>
      </w:r>
    </w:p>
    <w:p>
      <w:pPr>
        <w:spacing w:before="40" w:after="60"/>
        <w:ind w:left="283"/>
      </w:pPr>
      <w:r>
        <w:rPr>
          <w:rFonts w:ascii="Arial" w:hAnsi="Arial"/>
          <w:color w:val="404040"/>
          <w:sz w:val="21"/>
        </w:rPr>
        <w:t>Los dos terremotos consecutivos (magnitudes 7,2 y 7,5) que sacudieron Venezuela el miércoles dejaron 589 muertos y 2.980 heridos según la presidenta interina Delcy Rodríguez, con al menos 250 edificios dañados y más de 46.000 desaparecidos reportados en plataformas ciudadanas; el USGS advirtió que el balance final podría oscilar entre 10.000 y 100.000 fallecidos. El gobierno declaró Estado de Emergencia Constitucional, activó un comité de crisis de máximo nivel y anunció un fondo inicial de US$ 200 millones —parte de los US$ 4.500 millones que mantiene en Derechos Especiales de Giro del FMI— para reconstrucción de infraestructura, hospitales y viviendas, además de bonos para quienes perdieron hogar y empleo. La ayuda internacional comenzó a llegar de países como El Salvador, mientras el aeropuerto de Maiquetía permanece parcialmente cerrado y los servicios de luz e internet siguen interrumpidos en Caracas.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Volkswagen eliminará hasta 100.000 empleos en uno de los mayores programas de despidos de la historia</w:t>
      </w:r>
    </w:p>
    <w:p>
      <w:pPr>
        <w:spacing w:before="40" w:after="60"/>
        <w:ind w:left="283"/>
      </w:pPr>
      <w:r>
        <w:rPr>
          <w:rFonts w:ascii="Arial" w:hAnsi="Arial"/>
          <w:color w:val="404040"/>
          <w:sz w:val="21"/>
        </w:rPr>
        <w:t>Volkswagen planea eliminar hasta 100.000 empleos adicionales y cerrar la producción en cuatro plantas alemanas más (Emden, Zwickau, Hannover y la fábrica de Audi en Neckarsulm), en uno de los mayores programas de despidos de la historia corporativa, superando los recortes históricos de GM (74.000) e IBM (60.000). La medida se suma a los 50.000 empleos ya anunciados hacia 2030 y busca contrarrestar el avance de los fabricantes chinos, que ya representan casi uno de cada 10 vehículos vendidos en Europa; llega tras la venta de la división de motores marinos Everllence a Bain por 7.400 millones de euros. El plan, que se presentará al consejo de supervisión el 9 de julio, generó dura oposición sindical, con representantes de IG Metall advirtiendo que se opondrán con todas sus fuerzas si los recortes avanzan.</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tráfico marítimo continúa en el estrecho Ormuz pese al ataque contra un portacontenedores</w:t>
      </w:r>
    </w:p>
    <w:p>
      <w:pPr>
        <w:spacing w:before="40" w:after="60"/>
        <w:ind w:left="283"/>
      </w:pPr>
      <w:r>
        <w:rPr>
          <w:rFonts w:ascii="Arial" w:hAnsi="Arial"/>
          <w:color w:val="404040"/>
          <w:sz w:val="21"/>
        </w:rPr>
        <w:t>Pese al ataque del jueves contra el portacontenedores Ever Lovely en el estrecho de Ormuz —el primero desde el acuerdo de paz provisional entre EEUU e Irán—, el tráfico marítimo continuó fluyendo en ambos sentidos este viernes, aunque algunas navieras revisaron sus rutas de salida. El petróleo retomó su caída, con el Brent bajando 3,7% a US$ 72,49 y el WTI cediendo a US$ 69,5, mientras Irán reiteró que la gestión del estrecho seguirá el acuerdo firmado con EEUU, aunque sin garantizar tránsito seguro sin su autorización. Según UK Maritime Trade Operations, EEUU facilitó el cruce de 80 buques entre el 23 y 24 de junio, frente a un promedio prebélico de 138 diarios, y la OMI canceló un plan coordinado de evacuación de buques tras el incidente.</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Claves para comprender la magnitud de los devastadores terremotos gemelos en Venezuela</w:t>
      </w:r>
    </w:p>
    <w:p>
      <w:pPr>
        <w:spacing w:before="40" w:after="60"/>
        <w:ind w:left="283"/>
      </w:pPr>
      <w:r>
        <w:rPr>
          <w:rFonts w:ascii="Arial" w:hAnsi="Arial"/>
          <w:color w:val="404040"/>
          <w:sz w:val="21"/>
        </w:rPr>
        <w:t>El USGS documentó dos terremotos consecutivos con epicentro en Morón, Venezuela: el primero de magnitud 7,2 a las 18:05 horas del 24 de junio, seguido 39 segundos después por uno de magnitud 7,5, que por la escala logarítmica liberó cerca de tres veces más energía que el primero. Ambos sismos fueron percibidos en Colombia y otras zonas del Caribe, y en las horas posteriores se registraron cerca de 150 réplicas adicionales.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Terremoto en Venezuela: siguen labores de rescate mientras crece el número de víctimas fatales</w:t>
      </w:r>
    </w:p>
    <w:p>
      <w:pPr>
        <w:spacing w:before="40" w:after="60"/>
        <w:ind w:left="283"/>
      </w:pPr>
      <w:r>
        <w:rPr>
          <w:rFonts w:ascii="Arial" w:hAnsi="Arial"/>
          <w:color w:val="404040"/>
          <w:sz w:val="21"/>
        </w:rPr>
        <w:t>Tras los terremotos de magnitud 7,2 y 7,5 que dejaron 250 edificaciones colapsadas, 589 muertos y 2.980 heridos hasta el cierre de la edición, las autoridades venezolanas temen que el balance siga creciendo durante las labores de rescate, con La Guaira, Gran Caracas, Aragua y Carabobo como las zonas más afectadas. El gobierno declaró estado de emergencia y zona de catástrofe, activó el Estado Mayor de Contingencia y anunció el uso de US$ 200 millones de sus Derechos Especiales de Giro en el FMI, organismo que dijo estar evaluando junto a las autoridades el impacto económico y las necesidades de recuperación. El sector privado, liderado por Fedecámaras, se sumó a los esfuerzos de rescate y reconstrucción, y comenzó a llegar ayuda internacional, encabezada por El Salvador con 300 rescatistas y 50 toneladas de insumos, mientras se espera apoyo de EEUU, China, Rusia, Brasil, México, Turquía y Nicaragua.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JPMorgan apuesta por un destacado banquero de inversión y un experimentado operador como herederos de Dimon</w:t>
      </w:r>
    </w:p>
    <w:p>
      <w:pPr>
        <w:spacing w:before="40" w:after="60"/>
        <w:ind w:left="283"/>
      </w:pPr>
      <w:r>
        <w:rPr>
          <w:rFonts w:ascii="Arial" w:hAnsi="Arial"/>
          <w:color w:val="404040"/>
          <w:sz w:val="21"/>
        </w:rPr>
        <w:t>JPMorgan promovió a Troy Rohrbaugh y Doug Petno como los principales candidatos a sucesión de Jamie Dimon, tras la sorpresiva salida de Marianne Lake; Rohrbaugh asumirá la banca de consumo que dirigía Lake, mientras Petno queda como único líder del banco corporativo y de inversión. Analistas como Mike Mayo (Wells Fargo) y Gerard Cassidy (RBC) destacaron que dirigir exitosamente el negocio de consumo daría a Rohrbaugh, con trayectoria en trading de bonos y divisas desde 2005, una preparación sólida para liderar toda la compañía. Petno, con más de tres décadas en banca comercial y de inversión en JPMorgan, quedaría sin experiencia en banca de consumo si llegara a CEO, lo que perfila una competencia directa entre ambos ejecutivos por el máximo cargo del banco.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Startup Colossal almacenará muestras de especies estadounidenses en peligro de extinción, un proyecto conocido como el "Arca de Noé de nuestros días"</w:t>
      </w:r>
    </w:p>
    <w:p>
      <w:pPr>
        <w:spacing w:before="40" w:after="60"/>
        <w:ind w:left="283"/>
      </w:pPr>
      <w:r>
        <w:rPr>
          <w:rFonts w:ascii="Arial" w:hAnsi="Arial"/>
          <w:color w:val="404040"/>
          <w:sz w:val="21"/>
        </w:rPr>
        <w:t>La startup de desextinción Colossal Biosciences, valorada en más de US$ 10.000 millones, lanzará junto al Servicio de Pesca y Vida Silvestre de EEUU el proyecto BioVault Colosal, un biobanco que congelará y secuenciará genómicamente muestras de más de 2.300 especies de plantas y animales protegidos por la Ley de Especies en Peligro de Extinción, como el lobo más amenazado del mundo y aves hawaianas mieleras. El proyecto, que costará decenas de millones de dólares financiados por Colossal, se suma a otra iniciativa similar de US$ 60 millones con los Emiratos Árabes Unidos, y sus datos genómicos estarán disponibles gratuitamente para científicos. El CEO Ben Lamm advirtió que podría perderse hasta la mitad de la biodiversidad en 25 años, mientras el académico Stuart Pimm (Duke) cuestionó que estas iniciativas no aborden las causas humanas subyacentes de la extinción.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expansión de los data centers en Chile impulsa la demanda por talento especializado y nuevos perfiles laborales</w:t>
      </w:r>
    </w:p>
    <w:p>
      <w:pPr>
        <w:spacing w:before="40" w:after="60"/>
        <w:ind w:left="283"/>
      </w:pPr>
      <w:r>
        <w:rPr>
          <w:rFonts w:ascii="Arial" w:hAnsi="Arial"/>
          <w:color w:val="404040"/>
          <w:sz w:val="21"/>
        </w:rPr>
        <w:t>Chile cuenta hoy con 37 centros de datos operativos y 258 MW de capacidad instalada, y según Chile Data Centers ocho nuevos proyectos estratégicos sumarán cerca de 367 MW adicionales —más que duplicando la infraestructura— con inversiones de hasta US$ 12.000 millones. Esta expansión impulsará la demanda de técnicos y operadores especializados, tras la creación en febrero de tres nuevos perfiles laborales (conectividad física, infraestructura crítica y operación de sala) validados por ACTI, Chile Data Centers y Claro Empresas en el marco del Plan Nacional de Data Centers 2024-2030. Instituciones como Inacap y Duoc UC (junto a Google) ya desarrollan laboratorios y centros de formación específicos, mientras en 2025 crecieron fuertemente las titulaciones en carreras TIC afines, como Ingeniería en Computación (+78,3%) y Técnico en Electricidad (+30,1%). El gobierno, junto a InvestChile y otros ministerios, también avanza en mesas técnicas para definir costos energéticos del futuro Campus de IA en el norte del país.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Los desafíos de la exención de contribuciones</w:t>
      </w:r>
    </w:p>
    <w:p>
      <w:pPr>
        <w:spacing w:before="40" w:after="60"/>
        <w:ind w:left="283"/>
      </w:pPr>
      <w:r>
        <w:rPr>
          <w:rFonts w:ascii="Arial" w:hAnsi="Arial"/>
          <w:color w:val="404040"/>
          <w:sz w:val="21"/>
        </w:rPr>
        <w:t>El proyecto de reconstrucción nacional que exime del 100% de las contribuciones a adultos mayores de 65 años sobre su primera vivienda enfrenta cuestionamientos, ya que en Chile el 77% de las viviendas ya está exento y la medida beneficiaría a unas 200.000 personas de mayores ingresos, generando una caída de US$ 200 millones anuales en recaudación, de los cuales US$ 130 millones provienen del Fondo Común Municipal, del cual 265 de 345 municipios dependen en más de 44,4% de sus ingresos propios. Frente a esto, la Asociación de Municipalidades propone un esquema escalonado por ingresos con compensación fiscal total, mientras otros plantean postergar el pago hasta la venta o herencia de la propiedad. El texto sostiene que el impuesto territorial no debería desmantelarse permanentemente sin afectar el financiamiento de comunas vulnerables, y que cualquier compensación estatal debe ir acompañada de mayores exigencias de transparencia y eficiencia en el uso de recursos municipales.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Chile en la agenda textil global</w:t>
      </w:r>
    </w:p>
    <w:p>
      <w:pPr>
        <w:spacing w:before="40" w:after="60"/>
        <w:ind w:left="283"/>
      </w:pPr>
      <w:r>
        <w:rPr>
          <w:rFonts w:ascii="Arial" w:hAnsi="Arial"/>
          <w:color w:val="404040"/>
          <w:sz w:val="21"/>
        </w:rPr>
        <w:t>Santiago fue sede del Global Textile Ministerial and Industry Summit, que abordó el impacto ambiental de la producción y desecho creciente de ropa, marcando la primera vez que esta conversación se desarrolla desde el Sur Global con Chile como anfitrión. El texto destaca los avances del país en economía circular y en la Ley de Responsabilidad Extendida del Productor (REP) como evidencia de que Chile puede pasar de receptor de ideas a contribuidor activo en la agenda textil internacional. El autor llama a transformar las conversaciones de la cumbre en implementación concreta, de cara a la COP31 y la octava asamblea de la ONU sobre medio ambiente, destacando que señales claras de política pública pueden activar inversión, innovación y empleo en el sector.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Reactivación económica en la ciencia e innovación</w:t>
      </w:r>
    </w:p>
    <w:p>
      <w:pPr>
        <w:spacing w:before="40" w:after="60"/>
        <w:ind w:left="283"/>
      </w:pPr>
      <w:r>
        <w:rPr>
          <w:rFonts w:ascii="Arial" w:hAnsi="Arial"/>
          <w:color w:val="404040"/>
          <w:sz w:val="21"/>
        </w:rPr>
        <w:t>El autor, exdirector del ISP, cuestiona si las autoridades políticas y los funcionarios de larga data realmente buscan reactivar la economía y ampliar el acceso a terapias y tratamientos, planteando que se requieren incentivos y reglas favorables para las industrias farmacéutica, alimenticia, cosmética y de dispositivos médicos. Argumenta que Chile cuenta con investigadores universitarios capaces de generar innovación en salud si existieran incentivos claros para la industria, pero critica la lentitud burocrática, ejemplificada en una respuesta del Ministerio de Salud al Congreso sobre una propuesta de 2022 entregada recién cinco años después.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Brechas regionales</w:t>
      </w:r>
    </w:p>
    <w:p>
      <w:pPr>
        <w:spacing w:before="40" w:after="60"/>
        <w:ind w:left="283"/>
      </w:pPr>
      <w:r>
        <w:rPr>
          <w:rFonts w:ascii="Arial" w:hAnsi="Arial"/>
          <w:color w:val="404040"/>
          <w:sz w:val="21"/>
        </w:rPr>
        <w:t>A partir del informe de Cuentas Nacionales Regionales del Banco Central, el autor advierte que la recuperación económica de Chile es desigual: mientras las regiones mineras se benefician del buen precio del cobre, aquellas dependientes del comercio y la construcción siguen estancadas por una demanda interna que no repunta. Señala que 10 regiones retrocedieron en el primer trimestre, evidenciando un ajuste a medias con inversión paralizada y hogares que postergan el gasto, y advierte que, sin empleo firme ni confianza empresarial, la mejora esperada por la menor inflación y tasas de interés seguirá siendo lenta y desigual entre territorios.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Congestión tributaria: una oportunidad interesante</w:t>
      </w:r>
    </w:p>
    <w:p>
      <w:pPr>
        <w:spacing w:before="40" w:after="60"/>
        <w:ind w:left="283"/>
      </w:pPr>
      <w:r>
        <w:rPr>
          <w:rFonts w:ascii="Arial" w:hAnsi="Arial"/>
          <w:color w:val="404040"/>
          <w:sz w:val="21"/>
        </w:rPr>
        <w:t>El autor señala que las controversias tributarias en Chile pueden tardar hasta 10 años en resolverse considerando todas las instancias, y destaca que el proyecto de reconstrucción nacional faculta transitoriamente a la Tesorería para condonar hasta el 100% de los intereses y 80% de las multas por deudas tributarias de personas naturales y pymes. Argumenta que, aunque la exclusión de grandes empresas parece razonable, ampliar el beneficio a estos contribuyentes —cuyas deudas suelen originarse en litigios largos e inciertos con el SII— permitiría al Estado recaudar antes y reducir la congestión de los tribunales tributarios, beneficiando tanto la recaudación fiscal como la justicia tributaria en general.</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Teleférico Bicentenario: el desafío está en tierra</w:t>
      </w:r>
    </w:p>
    <w:p>
      <w:pPr>
        <w:spacing w:before="40" w:after="60"/>
        <w:ind w:left="283"/>
      </w:pPr>
      <w:r>
        <w:rPr>
          <w:rFonts w:ascii="Arial" w:hAnsi="Arial"/>
          <w:color w:val="404040"/>
          <w:sz w:val="21"/>
        </w:rPr>
        <w:t>El autor sostiene que el Teleférico Bicentenario, que conectará Ciudad Empresarial con Providencia en 13 minutos, representa un avance relevante para la movilidad metropolitana, pero advierte que su verdadero desafío no está en el aire sino en tierra. Si opera al 80% de capacidad, llegarán más de 5 mil pasajeros por hora al nodo Tobalaba-Costanera (cerca de 80 personas por minuto), en un sector con veredas estrechas y escasos espacios públicos de transición. Concluye que el éxito del proyecto dependerá de que el espacio urbano circundante logre absorber estos nuevos flujos peatonales, más allá de su integración con el Metro.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26 de junio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