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23 De Junio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Bolsas mundiales caen a medida que siguen creciendo las dudas sobre la rentabilidad de los proyectos de IA</w:t>
      </w:r>
    </w:p>
    <w:p>
      <w:pPr>
        <w:spacing w:before="40" w:after="60"/>
        <w:ind w:left="283"/>
      </w:pPr>
      <w:r>
        <w:rPr>
          <w:rFonts w:ascii="Arial" w:hAnsi="Arial"/>
          <w:color w:val="404040"/>
          <w:sz w:val="21"/>
        </w:rPr>
        <w:t>El IPSA chileno aflojaba 0,7%, mientras que en Wall Street, el Nasdaq retrocedía 2,2%, el S&amp;P 500 bajaba 1,5% y el Dow Jones cedía 0,6%, En Europa, el Euro Stoxx 50 perdía 1,3%, y al cierre de Asia, el Nikkei se replegó 3,6%. Las bolsas globales caían este martes, pues las preocupaciones en torno a la Inteligencia Artificial (IA) están ganando aún más fuerza, especialmente tomando en cuenta los desafíos económicos de Estados Unidos y la postura que ha adoptado la Reserva Federal (Fed). El S&amp;P IPSA chileno caía 0,7% hasta los 10.821,70 puntos en la apertura, con una amplia mayoría de acciones cotizando en rojo, entre ellasCopec (-1,4%), SQM-B (-1%) y Banco de Chile (-0,7%).</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con fuerte alza sobre $ 910 a medida que el cobre pierde más de 3% por aversión al riesgo generalizada</w:t>
      </w:r>
    </w:p>
    <w:p>
      <w:pPr>
        <w:spacing w:before="40" w:after="60"/>
        <w:ind w:left="283"/>
      </w:pPr>
      <w:r>
        <w:rPr>
          <w:rFonts w:ascii="Arial" w:hAnsi="Arial"/>
          <w:color w:val="404040"/>
          <w:sz w:val="21"/>
        </w:rPr>
        <w:t>La huida hacia activos seguros está favoreciendo al dólar y los bonos por igual. El dollar index escalaba 0,3% a nuevos máximos desde mayo de 2025, aun cuando los rendimientos del Tesoro caían 3 puntos o más en los tramos cortos y medianos. Ya se está contagiando a todo tipo de activos financieros el temor a un nuevo ciclo restrictivo de la Reserva Federal, con efectos sobre el apetito por Inteligencia Artificial (IA) que se traspasan al cobre y golpean con más fuerza al peso chileno. El tipo de cambio saltaba $ 7,6 hasta los $ 914,8 al inicio de las operaciones, según los datos de Bloomberg, trascerrar este lunes con una leve alza.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acción de SpaceX se encamina a su cuarta jornada consecutiva de pérdidas y su valor de mercado va rumbo a caer bajo los US$2 billones</w:t>
      </w:r>
    </w:p>
    <w:p>
      <w:pPr>
        <w:spacing w:before="40" w:after="60"/>
        <w:ind w:left="283"/>
      </w:pPr>
      <w:r>
        <w:rPr>
          <w:rFonts w:ascii="Arial" w:hAnsi="Arial"/>
          <w:color w:val="404040"/>
          <w:sz w:val="21"/>
        </w:rPr>
        <w:t>La acción cayó cerca de 3% hasta US$150 en las operaciones previas a la apertura, en medio de una masiva venta de tecnológicas y luego que anunció la venta de bonos con calificación de inversión por primera vez. La capitalización de mercado de la compañía de Elon Musk se sitúa ahora ligeramente por encima de los US$ 2 billones. (Foto: Bloomberg) SpaceX se encaminaba en la mañana del martes a una cuarta jornada consecutiva de pérdidas, mientras los inversionistas se alejan de la compañía de cohetes y satélites liderada por Elon Musk, en medio de una venta masiva global de acciones tecnológicas.La acción cayó cerca de 3% hasta US$150 en las operaciones previas a la apertura, encaminándose a situarse por debajo de los US$2 billones de capitalización bursátil.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Hugo Cifuentes por uso del Seguro de Cesantía para Sala Cuna: “Mi temor es que se esté abriendo una puerta que después no cierre”</w:t>
      </w:r>
    </w:p>
    <w:p>
      <w:pPr>
        <w:spacing w:before="40" w:after="60"/>
        <w:ind w:left="283"/>
      </w:pPr>
      <w:r>
        <w:rPr>
          <w:rFonts w:ascii="Arial" w:hAnsi="Arial"/>
          <w:color w:val="404040"/>
          <w:sz w:val="21"/>
        </w:rPr>
        <w:t>El director del departamento de derecho del trabajo y seguridad social alerta por el precedente que puede significar la medida planteada por el gobierno. El académico de la Facultad de Derecho de la Universidad Católica, Hugo Cifuentes. Uno de los factores que han complejizado el debate en torno a la Sala Cuna Universal es su financiamiento, ya que el gobierno propuso costear la medida con un porcentaje de la cotización que los trabajadores destinan al Seguro de Cesantía (SC).</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Las fórmulas que impulsa el mercado para facilitar el acceso a la vivienda y destrabar el pie hipotecario</w:t>
      </w:r>
    </w:p>
    <w:p>
      <w:pPr>
        <w:spacing w:before="40" w:after="60"/>
        <w:ind w:left="283"/>
      </w:pPr>
      <w:r>
        <w:rPr>
          <w:rFonts w:ascii="Arial" w:hAnsi="Arial"/>
          <w:color w:val="404040"/>
          <w:sz w:val="21"/>
        </w:rPr>
        <w:t>El sector apunta a fomentar el acceso mediante el Fogaes, su posible ampliación hasta UF 8.000, reducción de la permisología y mayores facilidades para el pago del pie en cuotas. La caída de las tasas hipotecarias a niveles no vistas desde 2021 y promediando 3,96%,no ha sido suficiente para reactivar la demanda de créditos hipotecarios. Aunque el costo de los préstamos se ha moderado en 2026, en la industria coinciden en queel principal problema hoy está en la demanda. El alza en los precios de las propiedades, mayores exigencias crediticias y una menor capacidad de ahorro de los hogares han elevado las barreras de entrada, especialmente para reunir el pie exigido por la banca, generalmente del 20% del valor de la vivienda.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Codelco gana atractivo en el mercado, pero sus pares de la gran minería privada se financian más barato</w:t>
      </w:r>
    </w:p>
    <w:p>
      <w:pPr>
        <w:spacing w:before="40" w:after="60"/>
        <w:ind w:left="283"/>
      </w:pPr>
      <w:r>
        <w:rPr>
          <w:rFonts w:ascii="Arial" w:hAnsi="Arial"/>
          <w:color w:val="404040"/>
          <w:sz w:val="21"/>
        </w:rPr>
        <w:t>Expertos hicieron hincapié en que el respaldo del Estado no alcanza a compensar el alto endeudamiento de la cuprera, así como el flujo de caja libre negativo, Capex elevado y producción aún débil. Los vientos soplan a favor de un año récord para los precios del cobre, ylos bonos de Codelcohan tomado nota de esta situación. Sin embargo,la estatal sigue transando con mayores costos de deuda frente a empresas comparables de la gran minería privada, explicaron expertos de la industria y del sector financiero. La tasa de interés de los bonos de Codelco en dólares ronda 5,7% a 10 años, menos que el 5,9% de hace un mes atrás. Además,el diferencial (spread) respecto de los bonos del Tesoro de Estados Unidos cayó bajo los 120 puntos base (pb), niveles mínimos. Todo esto, mientras el preciospotdel cobre promedia este año un récord de US$ 5,93 por libra en la Bolsa de Metales de Londres.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Collahuasi dispara sus ganancias 193% en el primer trimestre, impulsada por mayor producción de cobre</w:t>
      </w:r>
    </w:p>
    <w:p>
      <w:pPr>
        <w:spacing w:before="40" w:after="60"/>
        <w:ind w:left="283"/>
      </w:pPr>
      <w:r>
        <w:rPr>
          <w:rFonts w:ascii="Arial" w:hAnsi="Arial"/>
          <w:color w:val="404040"/>
          <w:sz w:val="21"/>
        </w:rPr>
        <w:t>La minera reportó utilidades por US$ 299 millones y un alza de 10% en su producción de cobre. El aporte fiscal llegó a US$ 179 millones. Un muy buen inicio de año tuvo la minera Doña Inés de Collahuasi, donde Anglo American y Glencore poseen el 44% de la propiedad cada una. La operación tarapaqueña registró ganancias por US$ 299 millones en el primer trimestre, 193% más que en igual lapso del año anterior, mientras que la producción alcanzó las 88.265 toneladas de cobre fino, con un 10% de alza interanual. La mayor extracción de este año se debió a un aumento del procesamiento en la planta concentradora, dijo la empresa, que además reportó ingresos por venta de concentrado, incluyendo subproductos, por US$ 1.037 millones y un Ebitda de US$ 688,2 millones.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Sébastien Daziano, vicepresidente de Veolia: “Chile es un país muy importante y atractivo para las compañías extranjeras”</w:t>
      </w:r>
    </w:p>
    <w:p>
      <w:pPr>
        <w:spacing w:before="40" w:after="60"/>
        <w:ind w:left="283"/>
      </w:pPr>
      <w:r>
        <w:rPr>
          <w:rFonts w:ascii="Arial" w:hAnsi="Arial"/>
          <w:color w:val="404040"/>
          <w:sz w:val="21"/>
        </w:rPr>
        <w:t>El directivo senior de Estrategia, Innovación y Desarrollo advirtió que agilizar los permisos será clave para impulsar proyectos de desalación y enfrentar los desafíos hídricos. El vicepresidente senior de estrategia, innovación y desarrollo de Veolia -controlador de Aguas Andinas-, Sébastien Daziano, aterrizó el lunes en el país para participar en la Cumbre Empresarial Francia-Chile, que se llevará a cabo este martes 23 de junio. Según cuenta el directivo, hoy Veolia mantiene alrededor de 10 proyectos en Chile en distintos grados de madurez, principalmente ligados a la gran minería. También participa en otras iniciativas, como la futura operación de la planta desalinizadora de Aguas Pacífico en el sector de Puchuncaví.</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Diez regiones registraron caídas en su actividad económica durante el primer trimestre del año</w:t>
      </w:r>
    </w:p>
    <w:p>
      <w:pPr>
        <w:spacing w:before="40" w:after="60"/>
        <w:ind w:left="283"/>
      </w:pPr>
      <w:r>
        <w:rPr>
          <w:rFonts w:ascii="Arial" w:hAnsi="Arial"/>
          <w:color w:val="404040"/>
          <w:sz w:val="21"/>
        </w:rPr>
        <w:t>De acuerdo a lo informado por el Banco Central, la zona centro sur y, en menor medida, la zona norte explicaron el resultado negativo del PIB. La caída en la actividad de diez de las 16 regiones del país explicaron la baja de 0,5% del Producto Interno Bruto (PIB) durante el primer trimestre. El ente rector señaló que respecto alconsumo de los hogares, la mayor contribución se observó en la región Metropolitana, seguida por las zonas norte y centro. La contracción de las exportaciones, en tanto, obedeció principalmente a los resultados de la zona centro sur, seguida por la región Metropolitana.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Oposición abre ventana a eventual acuerdo con La Moneda, pero sin una propuesta unitaria del sector</w:t>
      </w:r>
    </w:p>
    <w:p>
      <w:pPr>
        <w:spacing w:before="40" w:after="60"/>
        <w:ind w:left="283"/>
      </w:pPr>
      <w:r>
        <w:rPr>
          <w:rFonts w:ascii="Arial" w:hAnsi="Arial"/>
          <w:color w:val="404040"/>
          <w:sz w:val="21"/>
        </w:rPr>
        <w:t>El Partido Socialista, el Frente Amplio y la Asociación Chilena de Municipalidades presentaron alternativas al proyecto de ley que impulsa el gobierno. La oposición no logró cumplir el objetivo de entregar una propuesta única para negociar con el gobierno eventuales modificaciones al proyecto misceláneo de reconstrucción y reactivación. No obstante, hicieron llegar de manera separada propuestas al Ejecutivo y emitieron una declaración pública suscrita por los presidentes de partidos del sector, desde el Partido Comunista (PC) a la Democracia Cristiana (DC). La presidenta del Partido Socialista, senadora Paulina Vodanovic, planteó que exigen al gobierno que separe la reforma tributaria contemplada en el proyecto misceláneo de los tres primeros artículos que hacen referencia a la reconstrucción de las zonas afectadas por los incendios de los últimos veranos, 2024 en la Quinta Región; y 2025 en el sur del país.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Ley miscelánea: Quiroz se abre a ajustes en invariabilidad a cambio de llevar impuesto corporativo a 22%</w:t>
      </w:r>
    </w:p>
    <w:p>
      <w:pPr>
        <w:spacing w:before="40" w:after="60"/>
        <w:ind w:left="283"/>
      </w:pPr>
      <w:r>
        <w:rPr>
          <w:rFonts w:ascii="Arial" w:hAnsi="Arial"/>
          <w:color w:val="404040"/>
          <w:sz w:val="21"/>
        </w:rPr>
        <w:t>En Hacienda se exploran fórmulas para reducir la duración de la invariabilidad tributaria y acotar el alcance del crédito al empleo, a cambio de llevar la tasa de Primera Categoría por debajo del 23%. Las negociaciones para viabilizar la aprobación en el Senado de la ley miscelánea de reactivación y reconstrucción nacional siguen su curso. Los ministros de Hacienda, Jorge Quiroz; del Interior y vocería de gobierno, Claudio Alvarado; y de la Secretaría General de la Presidencia (Segpres), José García, han redoblado su apuesta por alcanzar un acuerdo amplio para visar la idea de legislar del texto en la Cámara Alta, abriendo la puerta a ajustar temas hasta hace poco tabú, como la invariabilidad tributaria y el crédito tributario al empleo. Los secretarios de Estado han sostenido intensas conversaciones con senadores independientes, del oficialismo y la oposición en los últimos días para intercambiar propuestas ad portas deuna votación de la idea de legislar que finalmente no se concretaría este miércoles, sino más bien la semana del 5 de julio, al regreso de la semana regional.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CFA desecha denuncia de Quiroz sobre inconsistencias en deuda al levantar nuevas alertas por situación fiscal</w:t>
      </w:r>
    </w:p>
    <w:p>
      <w:pPr>
        <w:spacing w:before="40" w:after="60"/>
        <w:ind w:left="283"/>
      </w:pPr>
      <w:r>
        <w:rPr>
          <w:rFonts w:ascii="Arial" w:hAnsi="Arial"/>
          <w:color w:val="404040"/>
          <w:sz w:val="21"/>
        </w:rPr>
        <w:t>“El análisis efectuado no identifica una inconsistencia aritmética en las proyecciones publicadas en el IFP del cuarto trimestre de 2025”, sentenció el organismo. Nuevas advertencias respecto de la precariedad de las finanzas públicas levantó este lunes el Consejo Fiscal Autónomo (CFA). En su informe semestral, el organismo presidido por la economista Paula Benavides recogió la situación presupuestaria informada por el Ejecutivo el 25 de mayo, a través del Informe de Finanzas Públicas (IFP). En el documento, el CFA recalcó que los resultados fiscales recientes dan cuenta de un “deterioro persistente” del balance estructural (BE), agregando que es necesario avanzar en medidas correctivas adicionales, en línea con lo anunciado por el Ejecutivo para cumplir con la meta de balance estructural este año.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Levantamiento de la encuesta Casen estará nuevamente en manos del Centro de Microdatos</w:t>
      </w:r>
    </w:p>
    <w:p>
      <w:pPr>
        <w:spacing w:before="40" w:after="60"/>
        <w:ind w:left="283"/>
      </w:pPr>
      <w:r>
        <w:rPr>
          <w:rFonts w:ascii="Arial" w:hAnsi="Arial"/>
          <w:color w:val="404040"/>
          <w:sz w:val="21"/>
        </w:rPr>
        <w:t>Este lunes se conoció que el Ministerio de Desarrollo Social adjudicó al Centro de Microdatos de la Facultad de Economía y Negocios de la Universidad de Chile la licitación para ejecutar la Encuesta Casen 2026, que medirá la realidad socioeconómica de los hogares en más de 75 mil viviendas a lo largo del país. La aplicación del cuestionario se realizará de forma presencial entre el 1 de noviembre de este año y el 31 de enero de 2027. Previamente, se llevará a cabo un sondeo piloto en las regiones de O’Higgins, Biobío y Metropolitana, cuya aplicación comenzará el 13 de julio y finalizará el 9 de agosto. “La encuesta Casen es el instrumento más grande que tiene el Estado para evaluar la política social, por tanto, será fundamental para determinar las futuras metas del actual gobierno y, por cierto, de los que vengan”, destacó la directora del CMD, Lorena Flores (en la fotografía).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Super de Pensiones descarta riesgos para el seguro de cesantía en proyecto de sala cuna</w:t>
      </w:r>
    </w:p>
    <w:p>
      <w:pPr>
        <w:spacing w:before="40" w:after="60"/>
        <w:ind w:left="283"/>
      </w:pPr>
      <w:r>
        <w:rPr>
          <w:rFonts w:ascii="Arial" w:hAnsi="Arial"/>
          <w:color w:val="404040"/>
          <w:sz w:val="21"/>
        </w:rPr>
        <w:t>El movimiento #SalaCunaHoy, que reúne a 31 entidades de la sociedad civil, propuso una serie de cambios al proyecto ante la comisión de Educación del Senado. La discusión sobre el financiamiento del proyecto de sala cuna universal sumó este lunes un nuevo antecedente técnico. La Superintendencia de Pensiones defendió ante la comisión de Educación del Senado la sostenibilidad del seguro de cesantía y aseguró que, pese a la reducción de cotizaciones que propone la iniciativa para financiar el nuevo beneficio, no se observa un riesgo, en especial para el fondo de cesantía solidario. La exposición estuvo a cargo de Ximena Quintanilla, jefa de la división de estudios del organismo, quien detalló las simulaciones realizadas por la entidad y los efectos esperados sobre los fondos de cesantía y las prestaciones de los trabajadores.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Crédito al empleo suma dudas: estudio advierte acotado efecto y alto costo de su uso en otros países</w:t>
      </w:r>
    </w:p>
    <w:p>
      <w:pPr>
        <w:spacing w:before="40" w:after="60"/>
        <w:ind w:left="283"/>
      </w:pPr>
      <w:r>
        <w:rPr>
          <w:rFonts w:ascii="Arial" w:hAnsi="Arial"/>
          <w:color w:val="404040"/>
          <w:sz w:val="21"/>
        </w:rPr>
        <w:t>Un análisis del Centro de Estudios Financieros (CEF) del ESE Business School de la Universidad de los Andes revisó las experiencias de Francia, Suecia, Finlandia y Colombia. Con un desempleo que se mantiene en torno al 9%, mayores costos laborales y señales de deterioro que golpean especialmente a mujeres y jóvenes,el Crédito Tributario al Empleo -que es parte del proyecto misceláneo de reconstrucción- se ha convertido en una de las principales apuestas del gobierno para intentar reactivar el mercado laboral. Sin embargo,un estudio del Centro de Estudios Financieros (CEF) del ESE Business School de la Universidad de los Andes puso una cuota de cautela al instrumentotras mirar la evidencia internacional con instrumentos similares, revisión que arrojó resultados mixtos y, en varios casos, efectos modestos en relación con los recursos comprometidos.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Crece el tránsito marítimo por el estrecho de Ormuz mientras navieras recuperan confianza</w:t>
      </w:r>
    </w:p>
    <w:p>
      <w:pPr>
        <w:spacing w:before="40" w:after="60"/>
        <w:ind w:left="283"/>
      </w:pPr>
      <w:r>
        <w:rPr>
          <w:rFonts w:ascii="Arial" w:hAnsi="Arial"/>
          <w:color w:val="404040"/>
          <w:sz w:val="21"/>
        </w:rPr>
        <w:t>Siete petroleros se encontraban en el estrecho la mañana del martes, entre ellos dos superpetroleros no iraníes completamente cargados que salían del golfo Pérsico. Más buques están señalando abiertamente su intención de atravesar el estrecho de Ormuz, lo que apunta a unacreciente confianza entre armadores y operadoresrespecto de enviar embarcaciones por este paso estratégico, a medida que disminuyen las tensiones. Siete petroleros se encontraban en el estrecho la mañana del martes, según señales convencionales y visibles de seguimiento. Entre ellos había dos superpetroleros no iraníes completamente cargados que salían del golfo Pérsico. Tres buques transportadores de productos refinados también navegaban hacia el exterior, mientras que dos Suezmax con bandera iraní se aproximaban desde el lado opuesto. Un octavo petrolero —unvery large crude carrier(VLCC)— también ingresó al golfo, pero lo hizo sin transmitir su posición durante el cruce y reapareció tras completarlo.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Alemania busca crear un fondo previsional con aporte obligatorio de 2% para invertir en mercados de capitales</w:t>
      </w:r>
    </w:p>
    <w:p>
      <w:pPr>
        <w:spacing w:before="40" w:after="60"/>
        <w:ind w:left="283"/>
      </w:pPr>
      <w:r>
        <w:rPr>
          <w:rFonts w:ascii="Arial" w:hAnsi="Arial"/>
          <w:color w:val="404040"/>
          <w:sz w:val="21"/>
        </w:rPr>
        <w:t>El canciller Friedrich Merz respalda la propuesta inspirada en el modelo sueco que busca contener el aumento del gasto en pensiones, que en 2024 representó el 41% de todo el gasto social del país. El canciller alemán, Friedrich Merz, respaldó la creación de un fondo público de pensiones al estilo sueco queinvertiría una parte de los salarios de los trabajadores en los mercados de capitales, como parte de una amplia propuesta para reformar el cada vez más costoso sistema de jubilaciones del país. Merz, expresidente de la filial alemana de la gestora estadounidense BlackRock,afirmó el martes: “Los escandinavos lo han hecho, así que nosotros también lo haremos”.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Exbanqueros centrales chilenos repasan los logros de alto crecimiento, baja inflación y las controversias de Alan Greenspan</w:t>
      </w:r>
    </w:p>
    <w:p>
      <w:pPr>
        <w:spacing w:before="40" w:after="60"/>
        <w:ind w:left="283"/>
      </w:pPr>
      <w:r>
        <w:rPr>
          <w:rFonts w:ascii="Arial" w:hAnsi="Arial"/>
          <w:color w:val="404040"/>
          <w:sz w:val="21"/>
        </w:rPr>
        <w:t>Destacado por su comunicación, pero con ciertas críticas a su manejo en episodios de desequilibrios financieros es como los exbanqueros centrales chilenos describieron al influyente expresidente de la Fed, quien falleció a los 100 años de edad. Junto con destacar la extensa trayectoria deAlan Greenspan a la cabeza de la Reserva Federal, tres expresidentes del Banco Central de Chile -junto a economistas locales que pasaron por el organismo- valoraron la estabilidad de precios y crecimiento que logró el influyente economista,quien falleció el lunes a los 100 años de edad. Todo, en un contexto donde -reconocen- hubo sombras. Lapresidencia de Vittorio Corbocoincidió con los últimos años de Greenspan en la Fed, lo que los llevó a estar juntos en más de una reunión tanto en Basilea, como en Washington para los encuentros anuales del Fondo Monetario Internacional.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Acciones de Alphabet caen tras partida de estrella de la IA a la competencia</w:t>
      </w:r>
    </w:p>
    <w:p>
      <w:pPr>
        <w:spacing w:before="40" w:after="60"/>
        <w:ind w:left="283"/>
      </w:pPr>
      <w:r>
        <w:rPr>
          <w:rFonts w:ascii="Arial" w:hAnsi="Arial"/>
          <w:color w:val="404040"/>
          <w:sz w:val="21"/>
        </w:rPr>
        <w:t>Las acciones de Alphabet, ligada a Google, se desplomaron este lunes tras la partida de otro destacado líder en inteligencia artificial (IA) a la empresa rival, Anthropic. Las acciones retrocedieron hasta un 7,2%, la mayor caída intradía desde febrero, después de que el vicepresidente de Google DeepMind, John Jumper, anunciara el fin de semana su marcha a Anthropic. La semana pasada, uno de los investigadores más destacados de Google, Noam Shazeer, anunció su partida a OpenAI.</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Archivos filtrados revelan el plan de Rusia para influir en la IA y en los resultados de búsqueda</w:t>
      </w:r>
    </w:p>
    <w:p>
      <w:pPr>
        <w:spacing w:before="40" w:after="60"/>
        <w:ind w:left="283"/>
      </w:pPr>
      <w:r>
        <w:rPr>
          <w:rFonts w:ascii="Arial" w:hAnsi="Arial"/>
          <w:color w:val="404040"/>
          <w:sz w:val="21"/>
        </w:rPr>
        <w:t>Algunos de los documentos muestran planes para crear sitios similares a Wikipedia, falsos centros de estudios y redes de contenido orientadas a influir en motores de búsqueda y modelos de inteligencia artificial con narrativas favorables al Kremlin. Los operadores de influencia rusos lo llamabanProyecto 2026.El plan no consistía únicamente en difundir historias fabricadas en plataformas de redes sociales. También contemplaba esfuerzos para crear un ecosistema alternativo de información. Documentos filtrados de una agencia privada rusa revisados por Bloomberg Newsrevelan planes para construir una extensa red de sitios de referencia al estilo de Wikipedia, medios de comunicación y falsos centros de estudioscon el objetivo de moldear la forma en que las personas y los chatbots de inteligencia artificial (IA) entienden los asuntos políticos.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Asesor de ética en IA del Vaticano plantea que las relaciones de poder hoy están mediadas por software</w:t>
      </w:r>
    </w:p>
    <w:p>
      <w:pPr>
        <w:spacing w:before="40" w:after="60"/>
        <w:ind w:left="283"/>
      </w:pPr>
      <w:r>
        <w:rPr>
          <w:rFonts w:ascii="Arial" w:hAnsi="Arial"/>
          <w:color w:val="404040"/>
          <w:sz w:val="21"/>
        </w:rPr>
        <w:t>Fray Paolo Benanti dictó la charla en el lanzamiento de Nodo IA UC. Advirtió sobre la concentración de poder en cuatro tecnológicas y llamó a innovar para el desarrollo local. Fray Paolo Benanti durante su presentación en la Casa Central de la UC. Crédito: César Dellepiane Una inédita visita a Chile protagonizó fray Paolo Benanti, sacerdote y asesor en ética de la inteligencia artificial (IA) del Vaticano, y que colaboró en la encíclica Magnifica humanitas, en la que el Papa León XIV profundizó en esta tecnología.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Menores, redes sociales y Clave Única</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Sobre las concesiones Hospital de Coquimbo y Red O’Higgins</w:t>
      </w:r>
    </w:p>
    <w:p>
      <w:pPr>
        <w:spacing w:before="40" w:after="60"/>
        <w:ind w:left="283"/>
      </w:pPr>
      <w:r>
        <w:rPr>
          <w:rFonts w:ascii="Arial" w:hAnsi="Arial"/>
          <w:color w:val="404040"/>
          <w:sz w:val="21"/>
        </w:rPr>
        <w:t>Hemos leído con atención el reportaje publicado por Diario Financiero referido a proyectos de infraestructura concesionada, entre ellos, el Hospital de Coquimbo y la Red Hospitalaria O’Higgins. Al respecto, quisiéramos aportar algunos antecedentes que contribuyan a una adecuada comprensión de la situación. Las solicitudes presentadas por las respectivas sociedades concesionarias en relación con plazos contractuales se encuentran expresamente contempladas en la Ley de Concesiones y en los contratos que regulan estos proyectos. Dicho marco normativo establece, además, instancias institucionales especializadas e independientes para el análisis de materias técnicas, cuya utilización –cuando corresponde– forma parte del funcionamiento regular del sistema concesional chileno y del ejercicio legítimo de los derechos que asisten a todas las partes. Todas estas materias son gestionadas directamente por las sociedades concesionarias, a través de los canales contractuales e institucionales que el ordenamiento chileno establece para estos efectos. Asimismo, las sociedades concesionarias mantienen una relación de trabajo permanente y colaborativa con el Ministerio de Obras Públicas y las respectivas Inspecciones Fiscales, orientada al adecuado desarrollo de los proyectos. Las obras continúan avanzando y cuentan con los recursos humanos y materiales necesarios para cumplir los compromisos asumidos.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verdadera economía del conocimiento comienza cuando logra salir del laboratorio</w:t>
      </w:r>
    </w:p>
    <w:p>
      <w:pPr>
        <w:spacing w:before="40" w:after="60"/>
        <w:ind w:left="283"/>
      </w:pPr>
      <w:r>
        <w:rPr>
          <w:rFonts w:ascii="Arial" w:hAnsi="Arial"/>
          <w:color w:val="404040"/>
          <w:sz w:val="21"/>
        </w:rPr>
        <w:t>Si Chile quiere liderar en inteligencia artificial, no basta con infraestructura o centros de datos. Se necesita, con urgencia un entorno regulatorio que facilite el tránsito de la investigación al mercado. De lo contrario, seguiremos exportando el talento y el valor que generamos a los países con regulación farmacéutica más moderna o de mejor interpretación favorable al crecimiento tecnológico y económico. Ante la estrechez fiscal, es insólito que el 60% de la ciencia nacional en productos naturales se pierda: si una investigación demuestra proteger la salud, el sistema la bloquea con exigencias de registro de hasta US$ 2 millones, prohibiéndola de facto. Esta parálisis nos resta un ahorro potencial de US$ 542 millones anuales en salud y fuga nuestro talento a países con reglas modernas. La solución es un simple acto administrativo, que el Ministerio de Salud firme la propuesta técnica que el Instituto de Salud Pública (ISP) presentó en 2022. Mantener este veto a la innovación nacional es un despropósito económico que no se condice con el discurso actual.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23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