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10 De Agosto De 2026</w:t>
      </w:r>
    </w:p>
    <w:p>
      <w:pPr>
        <w:jc w:val="center"/>
      </w:pPr>
      <w:r>
        <w:rPr>
          <w:rFonts w:ascii="Arial" w:hAnsi="Arial"/>
          <w:color w:val="999999"/>
          <w:sz w:val="20"/>
        </w:rPr>
        <w:t>5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Formalización de caso Sartor: defensa de Clark apunta a limitado rol dentro del grupo y acusa falta de alertas de controles internos</w:t>
      </w:r>
    </w:p>
    <w:p>
      <w:pPr>
        <w:spacing w:before="40" w:after="60"/>
        <w:ind w:left="283"/>
      </w:pPr>
      <w:r>
        <w:rPr>
          <w:rFonts w:ascii="Arial" w:hAnsi="Arial"/>
          <w:color w:val="404040"/>
          <w:sz w:val="21"/>
        </w:rPr>
        <w:t>“Fue invitado a una institución que aparentaba funcionar, que era auditada, que era regulada y que ocultó información que habría permitido (a Clark) tener otra conducta”, apuntó su abogado, Bernardo Rosenberg.. Continúa la audiencia de formalización del caso Sartor con su octavo día durante este lunes. En el marco de la discusión por la solicitud de prisión preventiva para cinco investigados en la causa, la defensa de Michael Clark expone sus argumentos contra los delitos imputados por parte del Ministerio Público en la diligencia. La cautelar también fue solicitada para los hermanos Carlos y Pedro Pablo Larraín, Rodrigo Bustamante y Sergio Yáñez.</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chilena retoma las ganancias y el IPSA bordea 11.300 puntos en primeros negocios de la semana</w:t>
      </w:r>
    </w:p>
    <w:p>
      <w:pPr>
        <w:spacing w:before="40" w:after="60"/>
        <w:ind w:left="283"/>
      </w:pPr>
      <w:r>
        <w:rPr>
          <w:rFonts w:ascii="Arial" w:hAnsi="Arial"/>
          <w:color w:val="404040"/>
          <w:sz w:val="21"/>
        </w:rPr>
        <w:t>Después de un julio más bien estático, las acciones chilenas han visto una ola de compras por cierto alivio geopolítico, positivas sorpresas operacionales en la temporada de resultados y la aprobación en el Congreso del Proyecto de Reconstrucción Nacional. La Bolsa de Santiago retomaba las alzas este lunes, pese a que en otras latitudes lo que predomina es algo más de cautela, mientras no se resuelven todavía las diferencias entre Estados Unidos e Irán respecto de los requisitos para firmar la paz. ElS&amp;P IPSA, que viene deuna semana de granancias sobresalientes,seguía mostrando impulso, con un alza de 0,3% hasta los 11.285,92 puntos. Las acciones deAndina-B (2,9%), Engie (1,5%) y Bci (1,%)lideraban estos primeros negocios.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al alza en línea con el precio del petróleo frente a una tensa calma en Medio Oriente</w:t>
      </w:r>
    </w:p>
    <w:p>
      <w:pPr>
        <w:spacing w:before="40" w:after="60"/>
        <w:ind w:left="283"/>
      </w:pPr>
      <w:r>
        <w:rPr>
          <w:rFonts w:ascii="Arial" w:hAnsi="Arial"/>
          <w:color w:val="404040"/>
          <w:sz w:val="21"/>
        </w:rPr>
        <w:t>Por el momento, el conflicto no presenta amenazas de una reescalada militar. "Solamente estamos observando a Irán con su enorme inflación y el hecho de que no tienen dinero", dijo Trump en entrevista con Axios este domingo. Los mercados arrancaron la semana más propensos a comparar dólares, en medio de la cautela porrelaciones entre Estados Unidos e Iránque no han dado señales concretas de mejorar. El dólar subía $ 2,6 hasta los $ 916,4 en las primeras transacciones de este lunes, después debajar casi $ 20 la semana pasada, que en general estuvo marcada por una distensión del conflicto geopolítico.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Prudential, socio de la CChC en AFP Habitat, prepara salida de mercados emergentes</w:t>
      </w:r>
    </w:p>
    <w:p>
      <w:pPr>
        <w:spacing w:before="40" w:after="60"/>
        <w:ind w:left="283"/>
      </w:pPr>
      <w:r>
        <w:rPr>
          <w:rFonts w:ascii="Arial" w:hAnsi="Arial"/>
          <w:color w:val="404040"/>
          <w:sz w:val="21"/>
        </w:rPr>
        <w:t>El presidente y CEO de Prudential Financial, Andrew Sullivan, anticipó la venta de negocios en seis o siete mercados emergentes, operación con la que espera liberar más de US$ 3.000 millones. En el marco de la presentación de resultados del segundo semestre,el presidente y CEO de Prudential Financial, Andrew Sullivan,anunció un amplio plan de salida de mercados emergentes. Durante una conferencia con analistas, el ejecutivo informó quePrudential reducirá aproximadamente a la mitad su presencia internacional en los negocios de seguros y pensiones, con el objetivo deconcentrar capital en mercados desarrollados como Estados Unidos, Japón y determinados países europeos.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Una población cada vez más longeva impulsa a las aseguradoras a ajustar sus productos para adultos mayores</w:t>
      </w:r>
    </w:p>
    <w:p>
      <w:pPr>
        <w:spacing w:before="40" w:after="60"/>
        <w:ind w:left="283"/>
      </w:pPr>
      <w:r>
        <w:rPr>
          <w:rFonts w:ascii="Arial" w:hAnsi="Arial"/>
          <w:color w:val="404040"/>
          <w:sz w:val="21"/>
        </w:rPr>
        <w:t>Ante el mayor envejecimiento, algunas compañías de seguros están bajando las edades de suscripción y aumentando el tiempo permanencia para pólizas de salud y vida. El envejecimiento demográfico por el que atraviesa el país está golpeando las puertas de algunas industrias. De acuerdo con datos del Censo de 2024, la población mayor de 65 años alcanzó un 14%, mientras que 32 años antes, en 1992, era 6,6%. Para 2028, el Instituto Nacional de Estadísticas (INE) proyectó que habría más personas mayores de 64 años que menores de 15 años.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Crecimiento mundial de precios de viviendas se modera: Chile entre los 15 territorios con mayor alza nominal en el primer trimestre</w:t>
      </w:r>
    </w:p>
    <w:p>
      <w:pPr>
        <w:spacing w:before="40" w:after="60"/>
        <w:ind w:left="283"/>
      </w:pPr>
      <w:r>
        <w:rPr>
          <w:rFonts w:ascii="Arial" w:hAnsi="Arial"/>
          <w:color w:val="404040"/>
          <w:sz w:val="21"/>
        </w:rPr>
        <w:t>“La próxima fase dependerá de si la reducción de los costos de financiación logra reactivar la demanda sin que vuelvan a surgir problemas de asequibilidad”, dice la consultora internacional Knight Frank. El crecimiento mundial de los precios de la vivienda se moderó en el primer trimestre de 2026, según datos de la consultora internacional Knight Frank, que periódicamente compara los valores promedio de las propiedades en 55 naciones y territorios.Chile se ubicó entre los 15 territorios con mayor alza nominal en 12 meses. En su análisis del primer cuarto del año, la firma global destacó queel crecimiento anual medio ponderado de los precios de las viviendas cayó al 1,4%, la cifra más baja desde el tercer trimestre de 2024.A juicio de la consultora, esto evidenció un debilitamiento respecto al ritmo, en general estable, registrado a lo largo de 2025, cuando el crecimiento anual se mantuvo cerca del 2%.</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Balances de CCU, Andina y Embonor ilustran baja en consumo de alcohol y crecimiento en ventas de agua</w:t>
      </w:r>
    </w:p>
    <w:p>
      <w:pPr>
        <w:spacing w:before="40" w:after="60"/>
        <w:ind w:left="283"/>
      </w:pPr>
      <w:r>
        <w:rPr>
          <w:rFonts w:ascii="Arial" w:hAnsi="Arial"/>
          <w:color w:val="404040"/>
          <w:sz w:val="21"/>
        </w:rPr>
        <w:t>Los resultados financieros del último trimestre de las tres embotelladoras permiten develar cómo se están comportando los usuarios y las adversidades que persisten para las firmas a nivel regional. El consumo de bebestibles en Chile está cambiando. O, al menos, eso dejan entrever las principales embotelladoras -CCU,Coca Cola AndinayCoca Cola Embonor-, en sus últimos estados financieros reportados ante la Comisión para el Mercado Financiero (CMF). Sus balances de esta primera parte del año son variopintos. Mientras que este segundo trimestre la compañía ligada al Grupo Luksic y Heineken (que tiene presencia en Chile, Argentina, Bolivia, Colombia, Paraguay y Uruguay) vio un alza del 4,8% en ingresos comparado al mismo periodo en 2025; aunque casi duplicó sus pérdidas en el periodo, llegando a $ 20.712 millones.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Diego Hernández expresidente ejecutivo de Codelco: “Con la estructura tributaria actual, la deuda de Codelco no es pagable”</w:t>
      </w:r>
    </w:p>
    <w:p>
      <w:pPr>
        <w:spacing w:before="40" w:after="60"/>
        <w:ind w:left="283"/>
      </w:pPr>
      <w:r>
        <w:rPr>
          <w:rFonts w:ascii="Arial" w:hAnsi="Arial"/>
          <w:color w:val="404040"/>
          <w:sz w:val="21"/>
        </w:rPr>
        <w:t>El experto propone que tribute como las privadas, anticipar el fin de la ley reservada y una apertura minoritaria en bolsa. El diagnóstico del presidente del directorio de Codelco, Bernardo Fontaine, sobre la deteriorada situación financiera de la estatal abrió un debate queDiego Hernández -expresidente ejecutivo de la cuprera, de BHP Base Metals y de Antofagasta Minerals, así como extimonel de la Sociedad Nacional de Minería y del Consejo Minero- conoce de cerca. Su conclusión es categórica: el problema no es de la última administración, sino del diseño con que la empresa ha operado desde 2010. “Desde entonces, no hay ningún año en que la deuda neta haya disminuido”, detalla, lo que se explica porque, en la práctica, “al tener una carga tributaria tan alta, los únicos fondos disponibles para invertir son los correspondientes a depreciación y amortización y estos han sido insuficientes para financiar los proyectos o reducir la deuda”.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Nuevos líderes de gremio de hidrógeno verde descartan freno al sector y urgen retomar proyecto para retomar la demanda local</w:t>
      </w:r>
    </w:p>
    <w:p>
      <w:pPr>
        <w:spacing w:before="40" w:after="60"/>
        <w:ind w:left="283"/>
      </w:pPr>
      <w:r>
        <w:rPr>
          <w:rFonts w:ascii="Arial" w:hAnsi="Arial"/>
          <w:color w:val="404040"/>
          <w:sz w:val="21"/>
        </w:rPr>
        <w:t>El presidente y la vicepresidenta de la Asociación Chilena de Hidrógeno defienden las posibilidades de la industria en medio de las dudas que rondan en el rubro. Nuria Hartmann y Aram Pedinian, vicepresidenta y presidente de H2 Chile, respectivamente. Foto: Verónica Ortíz En medio de las dudas que rodean a esta industria, en abrilla Asociación Chilena de Hidrógeno (H2 Chile) renovó su directiva, la cual quedó encabezada por Aram Pedinian (HIF Global) en la presidencia y Nuria Hartmann (Hinicio) en la vicepresidencia. El gremio, que sufrió ajustes en medio del repliegue que se comenzó a evidenciar a inicios de año, tiene hoy 80 socios y prontamente se integrará un asociado de Asia.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Nuevo timonel de la CNE: Kast ya tiene nómina y Energía asegura que habrá novedades en “las próximas semanas”</w:t>
      </w:r>
    </w:p>
    <w:p>
      <w:pPr>
        <w:spacing w:before="40" w:after="60"/>
        <w:ind w:left="283"/>
      </w:pPr>
      <w:r>
        <w:rPr>
          <w:rFonts w:ascii="Arial" w:hAnsi="Arial"/>
          <w:color w:val="404040"/>
          <w:sz w:val="21"/>
        </w:rPr>
        <w:t>Mientras hay versiones que apuntan a que el proceso se declarará desierto, fuentes indican que se realizará una reunión para tomar una definición. Un año cumplirá en octubre la Comisión Nacional de Energía (CNE) con Mauricio Funes como secretario ejecutivo subrogante tras la abrupta salida de Marco Mancilla, en medio del error tarifario que provocó sobrecobros en las cuentas de la luz. La carrera para definir el nuevo timonel comenzó en abril de este año y ahora el proceso concursal está actualmente en la etapa de nombramiento.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oficina de arquitectura francesa detrás de la nueva apuesta de Cencosud</w:t>
      </w:r>
    </w:p>
    <w:p>
      <w:pPr>
        <w:spacing w:before="40" w:after="60"/>
        <w:ind w:left="283"/>
      </w:pPr>
      <w:r>
        <w:rPr>
          <w:rFonts w:ascii="Arial" w:hAnsi="Arial"/>
          <w:color w:val="404040"/>
          <w:sz w:val="21"/>
        </w:rPr>
        <w:t>La oficina francesa Malherbe, referente internacional en arquitectura comercial y diseño de experiencias de retail, con sedes en París, Shanghái, Hong Kong y Nueva York, fue la responsable de la imagen y el concepto de la renovada flagship de Paris en Cenco Alto Las Condes, según destacó Cencosud tras la reinauguración de la tienda. De acuerdo con la compañía, “el estudio plasmó un concepto arquitectónico inspirado en los paisajes, materiales y tradiciones artesanales de Chile, reinterpretados con una mirada contemporánea para crear un espacio cálido, sofisticado y conectado con su entorno”. En esa línea, la remodelación abarcó más de 7.200 metros cuadrados en los cuatro niveles del recinto, con obras que se extendieron por 10 meses sin cerrar la tienda en ningún momento, lo que implicó, señaló la firma, un desafío logístico relevante para mantener la experiencia de los visitantes.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Nuevo actor apuesta por las viviendas sobre UF 10 mil y anticipa que el mercado acelerará recién en 2027</w:t>
      </w:r>
    </w:p>
    <w:p>
      <w:pPr>
        <w:spacing w:before="40" w:after="60"/>
        <w:ind w:left="283"/>
      </w:pPr>
      <w:r>
        <w:rPr>
          <w:rFonts w:ascii="Arial" w:hAnsi="Arial"/>
          <w:color w:val="404040"/>
          <w:sz w:val="21"/>
        </w:rPr>
        <w:t>Capital Prime by Capital Inteligente inició operaciones con una cartera de 50 proyectos de 20 inmobiliarias. Mientras el mercado inmobiliario sigue recuperándose de forma gradual, un nuevo actor decidió apostar por el segmento de mayor valor. Capital Prime by Capital Inteligente inició operaciones como firma especializada en asesoría patrimonial e inversión inmobiliaria premium,con una cartera inicial de 50 proyectos desarrollados por 20 inmobiliarias, valorizada en UF 25 millones, y una meta de colocaciones por US$20 millones en su primer año. La empresa, fundada por Mariana Samarotto, Sandra Jerez, Giovanni Marisio y Cristián Figueroa, concentrará inicialmente su oferta en propiedades con valores superiores a UF 10.000, ubicadas principalmente en Vitacura, Las Condes y Lo Barnechea, además de destinos de segunda vivienda como Concón, Marbella, Pucón y Puerto Varas.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Claves del Congreso: vetos al proyecto misceláneo y subsidio a la rebaja del crédito hipotecario avanzan rápidamente</w:t>
      </w:r>
    </w:p>
    <w:p>
      <w:pPr>
        <w:spacing w:before="40" w:after="60"/>
        <w:ind w:left="283"/>
      </w:pPr>
      <w:r>
        <w:rPr>
          <w:rFonts w:ascii="Arial" w:hAnsi="Arial"/>
          <w:color w:val="404040"/>
          <w:sz w:val="21"/>
        </w:rPr>
        <w:t>Este último, será analizado este lunes por la Comisión de Hacienda del Senado y está en la tabla de la Sala de la Cámara Alta para ser votado mañana martes. El Congreso continúa esta semana con una intensa actividad.Por lo pronto, el Ejecutivo espera terminar con la tramitación de los tres vetos ingresados al proyecto misceláneo, en materia de derecho al olvido financiero; cobros de interés sobre interés; y, ajustes al pago a 30 días a las pymes. Pero también estará atento, entre otras cosas, al ingreso del proyecto de reforma constitucional anunciado el miércoles pasado por el presidente José Antonio Kast para enfrentar temas de seguridad y firmado este mismo lunes por el mandatario. Adicionalmente, y no menos importante, el Senado comenzará a tramitar el proyecto que extiende el subsidio de rebaja a la tasa de crédito hipotecario. Tanto es así, que laComisión de Hacienda de la Cámara Alta,discute este lunes, desde las 10:30 horas, la iniciativa que formalmente“extiende vigencia y aumenta cobertura de la Ley N° 21.748 y modifica normas que indica”. Ello, con el fin de que la iniciativa sea votada en Sala de aquí al miércoles, para que la iniciativa sea despachada a ley. Lo que es muy posible, dado está en la tabla de la Sala para ser votado el martes 11.</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EEUU pone en consulta nuevos aranceles a manufacturas vinculadas al cobre</w:t>
      </w:r>
    </w:p>
    <w:p>
      <w:pPr>
        <w:spacing w:before="40" w:after="60"/>
        <w:ind w:left="283"/>
      </w:pPr>
      <w:r>
        <w:rPr>
          <w:rFonts w:ascii="Arial" w:hAnsi="Arial"/>
          <w:color w:val="404040"/>
          <w:sz w:val="21"/>
        </w:rPr>
        <w:t>La propuesta del Departamento de Comercio de EEUU no modifica por ahora el tratamiento del cobre refinado ni del cobre a granel. Los cables conductores eléctricos figuran entre las manufacturas vinculadas al cobre que EEUU evalúa incorporar a los aranceles de la Sección 232. El gobierno deDonald Trumpabrió un nuevo frente en su política arancelaria. La Oficina de Industria y Seguridad (BIS, por su sigla en inglés), dependiente del Departamento de Comercio de Estados Unidos, publicó elviernes6 de agostouna propuesta para incorporar 14 nuevas categorías de productos manufacturados al régimen de aranceles que Washington mantiene sobre derivados de cobre, acero y aluminio.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Montañismo, cercanía con Quiroz y rol clave en la ley miscelánea: los distintos mundos del nuevo subsecretario de Hacienda</w:t>
      </w:r>
    </w:p>
    <w:p>
      <w:pPr>
        <w:spacing w:before="40" w:after="60"/>
        <w:ind w:left="283"/>
      </w:pPr>
      <w:r>
        <w:rPr>
          <w:rFonts w:ascii="Arial" w:hAnsi="Arial"/>
          <w:color w:val="404040"/>
          <w:sz w:val="21"/>
        </w:rPr>
        <w:t>Sebastián Vallebona se desempeñaba como coordinador de Política Tributaria del ministerio y reemplazará a Juan Pablo Rodríguez, quien abandonó el cargo luego de dar positivo en un test de drogas. A tres semanas de que estallara la polémica que derivó enla renuncia de Juan Pablo Rodríguez a la Subsecretaría de Hacienda, debido a un resultado positivo en un test de drogas, la cartera tiene hoy un nuevo número dos. En la mañana de este lunes,el Presidente de la República, José Antonio Kast, nombró al abogado Sebastián Vallebona como nuevo subsecretario de la cartera.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La actividad de las empresas consultoras de ingeniería arroja señales de un repunte de proyectos de inversión</w:t>
      </w:r>
    </w:p>
    <w:p>
      <w:pPr>
        <w:spacing w:before="40" w:after="60"/>
        <w:ind w:left="283"/>
      </w:pPr>
      <w:r>
        <w:rPr>
          <w:rFonts w:ascii="Arial" w:hAnsi="Arial"/>
          <w:color w:val="404040"/>
          <w:sz w:val="21"/>
        </w:rPr>
        <w:t>El ICON subió respecto de hace un año, pero tuvo una caída frente al trimestre anterior. Hubo más movimiento en fases iniciales de proyectos. La inversión no termina de despegar en el país, pero se siguen sumando señales de que ello sí podría ocurrir. El mismo Índice de Actividad de la Ingeniería (ICON), realizado por la asociación que reúne a las empresas del sector (AIC), mostró un alza de 8,8% en el segundo trimestre del año en comparación con el mismo período de 2025. Pero esto tuvo una contracara: una caída de 1,4% respecto de los tres meses iniciales de 2026.</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Fernando Rabat, ministro de Justicia:“La reforma constitucional aclara cualquier duda acerca del alcance del concepto de resguardar la seguridad nacional”</w:t>
      </w:r>
    </w:p>
    <w:p>
      <w:pPr>
        <w:spacing w:before="40" w:after="60"/>
        <w:ind w:left="283"/>
      </w:pPr>
      <w:r>
        <w:rPr>
          <w:rFonts w:ascii="Arial" w:hAnsi="Arial"/>
          <w:color w:val="404040"/>
          <w:sz w:val="21"/>
        </w:rPr>
        <w:t>El secretario de Estado destacó que la Agencia de Decomiso es muy relevante para “hacerle frente a los bienes provenientes de la actividad ilícita y pegarle un golpe en el mentón a la delincuencia y el crimen organizado”. El miércoles pasado, el Presidente José Antonio Kast anunció un paquete de medidas para enfrentar los problemas de seguridad, tanto con proyectos que están actualmente en tramitación en el Congreso, como con iniciativas que el Ejecutivo está elaborando y que se ingresarán a trámite prontamente, en el marco de la denominada Agenda Contra el Crimen Organizado y Terrorismo (ACOT). Y el ministro de Justicia, Fernando Rabat,profundizó en el tema con Diario Financiero, detallando, entre otras cosas, el objetivo de la Agencia de Decomiso, Enajenación y Destrucción de Bienes Ilícitos. - ¿Podría aclarar a qué se refiere el Presidente cuando anuncia una reforma constitucional que le daría este rango a la seguridad? Porque constitucionalistas advirtieron que el artículo 1° de la Constitución ya hace eso.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Acuerdo Recíproco de Comercio: qué exige EEUU a cambio de un arancel de 10%</w:t>
      </w:r>
    </w:p>
    <w:p>
      <w:pPr>
        <w:spacing w:before="40" w:after="60"/>
        <w:ind w:left="283"/>
      </w:pPr>
      <w:r>
        <w:rPr>
          <w:rFonts w:ascii="Arial" w:hAnsi="Arial"/>
          <w:color w:val="404040"/>
          <w:sz w:val="21"/>
        </w:rPr>
        <w:t>Aunque algunos países optaron por estos instrumentos bilaterales pese a mantener un TLC vigente con EEUU, Chile rechazó esa alternativa. Sin embargo, Washington podría insistir en su propuesta. La imposición de aranceles de 12,5% por parte de la Oficina del Representante Comercial de Estados Unidos (USTR) reafirmó la política de America First de la administración de Donald Trump. Las medidas surgieron tras investigaciones iniciadas a principios de este año bajo la Sección 301, vinculadas a la importación de productos elaborados con trabajo forzoso, al término de las cuales la entidad determinó que 60 economías quedarían sujetas a nuevas tarifas.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Pese a turnos extensos y trabajo en faenas aisladas, los mineros sacan mejor nota en salud mental que trabajadores de otros rubros</w:t>
      </w:r>
    </w:p>
    <w:p>
      <w:pPr>
        <w:spacing w:before="40" w:after="60"/>
        <w:ind w:left="283"/>
      </w:pPr>
      <w:r>
        <w:rPr>
          <w:rFonts w:ascii="Arial" w:hAnsi="Arial"/>
          <w:color w:val="404040"/>
          <w:sz w:val="21"/>
        </w:rPr>
        <w:t>Pese a los resultados, el informe de Cochilco sugiere avanzar en la creación de un nuevo instrumento sectorial que evalúe los riesgos psicosociales y la salud mental. Ello, tomado en cuenta que es una actividad con características especiales. Los turnos prolongados, el trabajo en altura o en profundidades, el aislamiento geográfico y la continuidad operacional hacen pensar quela minería podría ser uno de los sectores más expuestos a problemas de salud mental. Pero un estudio de la Comisión Chilena del Cobre (Cochilco) arrojó un resultado que sorprende:la industria presenta mejores indicadores de salud mental que el promedio de las actividades económicas del país. El informe, elaborado por los investigadores Francisco Donoso y Claudia Arancibia, sistematizó información sobre el tema y analizó estadísticas de enfermedades profesionales de la Superintendencia de Seguridad Social (Suseso), los resultados del Cuestionario de Evaluación del Ambiente Laboral -Salud Mental (CEAL-SM), la normativa nacional y las experiencias de países mineros como Australia y Canadá.</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El 99% de los servicios estatales recibió el bono máximo por metas y la Dipres afina cambios</w:t>
      </w:r>
    </w:p>
    <w:p>
      <w:pPr>
        <w:spacing w:before="40" w:after="60"/>
        <w:ind w:left="283"/>
      </w:pPr>
      <w:r>
        <w:rPr>
          <w:rFonts w:ascii="Arial" w:hAnsi="Arial"/>
          <w:color w:val="404040"/>
          <w:sz w:val="21"/>
        </w:rPr>
        <w:t>Unas 213 de las 216 instituciones sometidas al Programa de Mejoramiento de la Gestión (PMG) lograron la bonificación más alta, 12 más que en 2024. Como cualquier institución, los organismos que pertenecen al aparato del Estado tienen mecanismos para evaluar si se alcanzan o no las metas de forma anual, lo que puede derivar en la entrega de bonos a los funcionarios con un alto nivel de éxito en esta medición. Anualmente, la Dirección de Presupuestos (Dipres) implementael Programa de Mejoramiento de la Gestión (PMG), a través del cual saca al pizarrón a los servicios de la administración pública y evalúa el desempeño.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Colombia sufre el terremoto más potente de la última década: al menos 18 muertos tras colapso de edificios en varias ciudades</w:t>
      </w:r>
    </w:p>
    <w:p>
      <w:pPr>
        <w:spacing w:before="40" w:after="60"/>
        <w:ind w:left="283"/>
      </w:pPr>
      <w:r>
        <w:rPr>
          <w:rFonts w:ascii="Arial" w:hAnsi="Arial"/>
          <w:color w:val="404040"/>
          <w:sz w:val="21"/>
        </w:rPr>
        <w:t>El fuerte movimiento de magnitud 7,4 en el noroeste y centro del país dejó personas atrapadas, heridos y daños, especialmente en las localidades más próximas al epicentro. Un terremoto de magnitud 7,4 sacudió el lunes una amplia región de Colombia, causando daños víctimas y daños en ciudades del noroeste y centro del paíscercanas a la zona del epicentro, informaron autoridades gubernamentales. El alcalde de Pereira indicó queal menos 18 personasresultaron fallecidas. El epicentro del sismo,el de mayor magnitud registrado en Colombia en la última década, se ubicó cerca del municipio de San José del Palmar, en el departamento de Chocó, a una profundidad de 96 kilómetros, precisó el Servicio Geológico Colombiano.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Trump da señales de moderación frente a Irán y favorece la presión económica</w:t>
      </w:r>
    </w:p>
    <w:p>
      <w:pPr>
        <w:spacing w:before="40" w:after="60"/>
        <w:ind w:left="283"/>
      </w:pPr>
      <w:r>
        <w:rPr>
          <w:rFonts w:ascii="Arial" w:hAnsi="Arial"/>
          <w:color w:val="404040"/>
          <w:sz w:val="21"/>
        </w:rPr>
        <w:t>Irán ha dicho que está cerca de alcanzar un acuerdo, al tiempo que ha planteado una lista de exigencias que Washington debe cumplir antes de que reanuden el tránsito por Ormuz. ElPresidente de Estados Unidos, Donald Trump,dio señales de que está dispuesto a dejar queaumente la presión económica sobre Irán en lugar de lanzar nuevos ataques militarespara forzar la reapertura del estrecho de Ormuz, incluso mientras la República Islámica reiteró que aún no están dadas las condiciones para permitir el libre tránsito por esta vía marítima clave. “Simplemente estamos observando a Irán, con su enorme inflación y el hecho de que no tienen dinero”, dijo Trump a Axios en una entrevista el domingo, señalando que un bloqueo naval estadounidense al país estaba profundizando sus problemas financieros. “Estamos manteniendo un perfil bajo”.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Alexander Monge-Naranjo, vicepresidente de la Fed de Atlanta: “No incidimos mucho en las formas específicas de comunicación que defina Kevin Warsh. Nos tenemos que ajustar”</w:t>
      </w:r>
    </w:p>
    <w:p>
      <w:pPr>
        <w:spacing w:before="40" w:after="60"/>
        <w:ind w:left="283"/>
      </w:pPr>
      <w:r>
        <w:rPr>
          <w:rFonts w:ascii="Arial" w:hAnsi="Arial"/>
          <w:color w:val="404040"/>
          <w:sz w:val="21"/>
        </w:rPr>
        <w:t>El economista, egresado del magíster en Economía de la UC, valora el ánimo reformista del presidente de la Fed y considera razonables las discrepancias internas sobre el rumbo de la política monetaria. La Reserva Federal atraviesa un período de alta incertidumbre económica, al mismo tiempo que su presidente, Kevin Warsh, impulsa cambios en áreas sensibles como las comunicaciones, el análisis de datos y el funcionamiento interno del banco central. Sobre ese escenario conversó con DF Alexander Monge-Naranjo, vicepresidente y economista senior de la Fed de Atlanta, quien visitó el país para la conmemoración de los 50 años del Magíster en Economía de la UC, del cual es egresado.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DF Lab Opinión/ PYME ante la IA</w:t>
      </w:r>
    </w:p>
    <w:p>
      <w:pPr>
        <w:spacing w:before="40" w:after="60"/>
        <w:ind w:left="283"/>
      </w:pPr>
      <w:r>
        <w:rPr>
          <w:rFonts w:ascii="Arial" w:hAnsi="Arial"/>
          <w:color w:val="404040"/>
          <w:sz w:val="21"/>
        </w:rPr>
        <w:t>"Por eso, la agenda de innovación no debiera medirse solo por tecnologías avanzadas. También debiera preguntarse cuántas empresas están construyendo las condiciones mínimas para usarlas bien". Durante años, la conversación sobre las pequeñas y medianas empresas (PYME) en Chile ha estado concentrada en el acceso a financiamiento. Y es comprensible: sin capital oportuno, muchas empresas no pueden crecer, invertir ni sostenerse. Pero en la economía que viene, esa no será la única brecha relevante. La próxima diferenciaentre empresas que logran escalar y empresas que solo sobreviven estará en su capacidad para ordenar, interpretar y usar datos.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Meta lanza Muse Glimmer, un modelo de IA más ligero que puede funcionar en un solo computador</w:t>
      </w:r>
    </w:p>
    <w:p>
      <w:pPr>
        <w:spacing w:before="40" w:after="60"/>
        <w:ind w:left="283"/>
      </w:pPr>
      <w:r>
        <w:rPr>
          <w:rFonts w:ascii="Arial" w:hAnsi="Arial"/>
          <w:color w:val="404040"/>
          <w:sz w:val="21"/>
        </w:rPr>
        <w:t>La compañía liberará los pesos del nuevo sistema bajo una licencia permisiva, en medio de la creciente competencia por modelos abiertos y eficientes. Meta Platforms Inc. presentó un nuevo modelo de inteligencia artificial (IA) lo bastante ligero parafuncionar en un solo computador, lo que permitirá a los usuarios descargar y personalizar la tecnología. El nuevoMuse Glimmer es una versión destilada del modelo Muse Spark 1.2de la compañía, diseñada con un enfoque en la eficiencia para reducir al mínimo los requisitos del sistema, informó Meta el lunes.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Hub APTA da a conocer las seis startups ganadoras del programa Builder: predominan las biotech y deep tech</w:t>
      </w:r>
    </w:p>
    <w:p>
      <w:pPr>
        <w:spacing w:before="40" w:after="60"/>
        <w:ind w:left="283"/>
      </w:pPr>
      <w:r>
        <w:rPr>
          <w:rFonts w:ascii="Arial" w:hAnsi="Arial"/>
          <w:color w:val="404040"/>
          <w:sz w:val="21"/>
        </w:rPr>
        <w:t>Las premiadas recibirán hasta $ 40 millones, accederán a un proceso de aceleración con mentorías y tendrán la posibilidad de pilotear sus soluciones con empresas. Eduardo Bitran, presidente de Hub APTA (izq.) y Varinka Farren, directora ejecutiva (der.) junto a los premiados. El Hub APTA dio término a la cuarta versión de APTA Builder, su programa de aceleración para startups de base científico-tecnológica y spin-off universitarios, que culminó con la premiación de los seis mejores emprendimientos, principalmente deep tech (tecnologías avanzadas) y biotecnológicas.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10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