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E65000"/>
          <w:sz w:val="44"/>
        </w:rPr>
        <w:t>📰 Resumen Diario Financiero</w:t>
      </w:r>
    </w:p>
    <w:p>
      <w:pPr>
        <w:jc w:val="center"/>
      </w:pPr>
      <w:r>
        <w:rPr>
          <w:color w:val="555555"/>
        </w:rPr>
        <w:t>Edición Del Tuesday 21 De April De 2026</w:t>
      </w:r>
    </w:p>
    <w:p/>
    <w:p>
      <w:pPr>
        <w:jc w:val="center"/>
      </w:pPr>
      <w:r>
        <w:rPr>
          <w:color w:val="444444"/>
        </w:rPr>
        <w:t>Noticias: 21  |  Con contenido: 20  |  Via archive.today: 0</w:t>
      </w:r>
    </w:p>
    <w:p>
      <w:r>
        <w:rPr>
          <w:color w:val="E65000"/>
        </w:rPr>
        <w:t>────────────────────────────────────────────────────────────────────────────────</w:t>
      </w:r>
    </w:p>
    <w:p>
      <w:r>
        <w:br w:type="page"/>
      </w:r>
    </w:p>
    <w:p>
      <w:pPr>
        <w:pStyle w:val="Heading1"/>
      </w:pPr>
      <w:r>
        <w:rPr>
          <w:color w:val="E65000"/>
        </w:rPr>
        <w:t>🔹 Mercados</w:t>
      </w:r>
    </w:p>
    <w:p>
      <w:r>
        <w:rPr>
          <w:b/>
          <w:color w:val="E65000"/>
        </w:rPr>
        <w:t xml:space="preserve">1. </w:t>
      </w:r>
      <w:r>
        <w:rPr>
          <w:b/>
          <w:sz w:val="22"/>
        </w:rPr>
        <w:t>Dólar sube a $ 890 antes del mediodía tras sólidas ventas minoristas de EEUU y más cerca de plazo límite para un acuerdo con Irán</w:t>
      </w:r>
      <w:r>
        <w:rPr>
          <w:color w:val="CC7700"/>
          <w:sz w:val="18"/>
        </w:rPr>
        <w:t xml:space="preserve">  [⭐ Destacada]</w:t>
      </w:r>
    </w:p>
    <w:p>
      <w:pPr>
        <w:spacing w:before="0"/>
      </w:pPr>
      <w:r>
        <w:rPr>
          <w:color w:val="0056B3"/>
          <w:sz w:val="18"/>
        </w:rPr>
        <w:t>https://www.df.cl/mercados/bolsa-monedas/bolsas-hoy-eyc7d</w:t>
      </w:r>
    </w:p>
    <w:p>
      <w:pPr>
        <w:spacing w:before="20"/>
        <w:ind w:left="360"/>
      </w:pPr>
      <w:r>
        <w:rPr>
          <w:color w:val="222222"/>
          <w:sz w:val="20"/>
        </w:rPr>
        <w:t>Los nuevos datos de actividad impulsaron el costo de la deuda en dólares, mientras el petróleo Brent subía a retomar niveles de US$ 100 por barril por una mayor incertidumbre en torno al conflicto, más allá del "gran acuerdo" con Irán que anticipó Trump.</w:t>
      </w:r>
    </w:p>
    <w:p>
      <w:pPr>
        <w:spacing w:before="20"/>
        <w:ind w:left="360"/>
      </w:pPr>
      <w:r>
        <w:rPr>
          <w:color w:val="222222"/>
          <w:sz w:val="20"/>
        </w:rPr>
        <w:t>Publicado: Martes 21 de abril de 2026 a las 11:48 hrs.</w:t>
      </w:r>
    </w:p>
    <w:p>
      <w:pPr>
        <w:spacing w:before="20"/>
        <w:ind w:left="360"/>
      </w:pPr>
      <w:r>
        <w:rPr>
          <w:color w:val="222222"/>
          <w:sz w:val="20"/>
        </w:rPr>
        <w:t>El precio del dólar seguía recuperándose este martes, tras datos de consumo que sorprendieron al alza en Estados Unidos, y ya notándose una mayor ansiedad antes del fatal plazo límite fijado porDonald Trumppara llegar a un acuerdo con Irán, cuya participación en nuevas negociaciones todavía no se ha confirmado.</w:t>
      </w:r>
    </w:p>
    <w:p>
      <w:pPr>
        <w:spacing w:before="20"/>
        <w:ind w:left="360"/>
      </w:pPr>
      <w:r>
        <w:rPr>
          <w:color w:val="222222"/>
          <w:sz w:val="20"/>
        </w:rPr>
        <w:t>La divisa estadounidense subía $ 6,3 a $ 889,7 antes del mediodía en Chile, precios que representan máximos de la sesión, y que vienen después decomenzar la semana al alzaen las pantallas de Bloomberg.</w:t>
      </w:r>
    </w:p>
    <w:p>
      <w:pPr>
        <w:spacing w:before="20"/>
        <w:ind w:left="360"/>
      </w:pPr>
      <w:r>
        <w:rPr>
          <w:color w:val="222222"/>
          <w:sz w:val="20"/>
        </w:rPr>
        <w:t>Las tasas cortas de EEUU se elevaban 6 puntos base y eldollar index-un indicador del dólar global- crecía 0,3%, mientras queel cobre Comex retrocedía 0,3% a US$ 6,09 por libra.</w:t>
      </w:r>
    </w:p>
    <w:p>
      <w:pPr>
        <w:spacing w:before="20"/>
        <w:ind w:left="360"/>
      </w:pPr>
      <w:r>
        <w:rPr>
          <w:color w:val="222222"/>
          <w:sz w:val="20"/>
        </w:rPr>
        <w:t>Esto, después de conocerse esta mañana que las ventas minoristas de marzo fueron más sólidas de lo esperado en la primera economía del mundo. El llamado "grupo de control" que se centra en componentes más fijos subió 0,7% mensual, cinco décimas sobre la estimación de consenso.</w:t>
      </w:r>
    </w:p>
    <w:p>
      <w:pPr>
        <w:spacing w:before="20"/>
        <w:ind w:left="360"/>
      </w:pPr>
      <w:r>
        <w:rPr>
          <w:color w:val="222222"/>
          <w:sz w:val="20"/>
        </w:rPr>
        <w:t>Mientras,el petróleo Brent avanzaba 2,7% a US$ 98 por barril, más allá del "gran acuerdo" con Irán queTrump anticipó en conversación con CNBC, y que evitaría extender la actual tregua de dos semanas.</w:t>
      </w:r>
    </w:p>
    <w:p>
      <w:pPr>
        <w:spacing w:before="20"/>
        <w:ind w:left="360"/>
      </w:pPr>
      <w:r>
        <w:rPr>
          <w:color w:val="222222"/>
          <w:sz w:val="20"/>
        </w:rPr>
        <w:t>"El problema con esta situación es que el alto el fuego termina mañana miércoles, y una delegación estadounidense, en la que se encuentra el vicepresidenteJD Vance, está teniendo dificultades para coordinar su partida ante los mensajes contradictorios que llegan desde Irán", escribió elanalista de mercados de Oanda, Elior Manier.</w:t>
      </w:r>
    </w:p>
    <w:p>
      <w:pPr>
        <w:spacing w:before="20"/>
        <w:ind w:left="360"/>
      </w:pPr>
      <w:r>
        <w:rPr>
          <w:color w:val="222222"/>
          <w:sz w:val="20"/>
        </w:rPr>
        <w:t>Teherán no ha confirmado su participación en esta nueva instancia de diálogo, y el portavoz del parlamento iraní,Mohammed Bagher Ghalibaf, advirtió que la república islámica "no acepta negociaciones bajo la sombra de amenazas".</w:t>
      </w:r>
    </w:p>
    <w:p>
      <w:pPr>
        <w:spacing w:before="20"/>
        <w:ind w:left="360"/>
      </w:pPr>
      <w:r>
        <w:rPr>
          <w:color w:val="222222"/>
          <w:sz w:val="20"/>
        </w:rPr>
        <w:t>"Como dijo el Presidente estadounidense, no quiere prorrogar el alto el fuego, y sin un acuerdo, volveremos directamente a los bombardeos. Por lo tanto, los mercados de divisas podrían estar sintiendo el cambio", observó Manier.</w:t>
      </w:r>
    </w:p>
    <w:p>
      <w:pPr>
        <w:spacing w:before="20"/>
        <w:ind w:left="360"/>
      </w:pPr>
      <w:r>
        <w:rPr>
          <w:color w:val="222222"/>
          <w:sz w:val="20"/>
        </w:rPr>
        <w:t>También lostraderssiguieron atentos la audiencia deKevin Warshen el Senado estadounidense. El candidato nominado por Trump para presidir la Reserva Federal dijo que el banco central necesita un nuevo marco para lidiar con la persistente inflación.</w:t>
      </w:r>
    </w:p>
    <w:p>
      <w:pPr>
        <w:spacing w:before="20"/>
        <w:ind w:left="360"/>
      </w:pPr>
      <w:r>
        <w:rPr>
          <w:color w:val="222222"/>
          <w:sz w:val="20"/>
        </w:rPr>
        <w:t>El senador republicanoThom Tillisha manifestado que seguirá impidiendo quela nominación de Warsh pase a votación plenaria en el Senado,a menos que el Departamento de Justicia retire su investigación sobre el proyecto de reconstrucción de la Fed que pone bajo escrutinio la gestión deJerome Powell, el actual presidente de la Fed.</w:t>
      </w:r>
    </w:p>
    <w:p>
      <w:pPr>
        <w:spacing w:before="40" w:after="120"/>
      </w:pPr>
      <w:r>
        <w:rPr>
          <w:color w:val="CCCCCC"/>
        </w:rPr>
        <w:t>· · ·</w:t>
      </w:r>
    </w:p>
    <w:p>
      <w:r>
        <w:rPr>
          <w:b/>
          <w:color w:val="E65000"/>
        </w:rPr>
        <w:t xml:space="preserve">2. </w:t>
      </w:r>
      <w:r>
        <w:rPr>
          <w:b/>
          <w:sz w:val="22"/>
        </w:rPr>
        <w:t>Aníbal Mosa no se rinde para aumentar su control en ByN: lanza una nueva OPA y busca el control total del club</w:t>
      </w:r>
      <w:r>
        <w:rPr>
          <w:color w:val="CC7700"/>
          <w:sz w:val="18"/>
        </w:rPr>
        <w:t xml:space="preserve">  [⭐ Destacada]</w:t>
      </w:r>
    </w:p>
    <w:p>
      <w:pPr>
        <w:spacing w:before="0"/>
      </w:pPr>
      <w:r>
        <w:rPr>
          <w:color w:val="0056B3"/>
          <w:sz w:val="18"/>
        </w:rPr>
        <w:t>https://www.df.cl/mercados/bolsa-monedas/anibal-mosa-no-se-rinde-para-aumentar-su-control-en-byn-lanza-una-nueva</w:t>
      </w:r>
    </w:p>
    <w:p>
      <w:pPr>
        <w:spacing w:before="20"/>
        <w:ind w:left="360"/>
      </w:pPr>
      <w:r>
        <w:rPr>
          <w:color w:val="222222"/>
          <w:sz w:val="20"/>
        </w:rPr>
        <w:t>A una semana de la junta de accionistas, el actual presidente de la sociedad busca el control total de la concesionaria que encabeza el Club Deportivo Colo-Colo.</w:t>
      </w:r>
    </w:p>
    <w:p>
      <w:pPr>
        <w:spacing w:before="20"/>
        <w:ind w:left="360"/>
      </w:pPr>
      <w:r>
        <w:rPr>
          <w:color w:val="222222"/>
          <w:sz w:val="20"/>
        </w:rPr>
        <w:t>Publicado: Martes 21 de abril de 2026 a las 10:45 hrs.</w:t>
      </w:r>
    </w:p>
    <w:p>
      <w:pPr>
        <w:spacing w:before="20"/>
        <w:ind w:left="360"/>
      </w:pPr>
      <w:r>
        <w:rPr>
          <w:color w:val="222222"/>
          <w:sz w:val="20"/>
        </w:rPr>
        <w:t>A tres meses de anunciar la primeraOferta Pública de Adquisición (OPA),que la declaró exitosa pese a no consolidar su poder,Aníbal Mosainició este martes un nuevo proceso para ser elaccionista mayoritario de Blanco y Negro (ByN).</w:t>
      </w:r>
    </w:p>
    <w:p>
      <w:pPr>
        <w:spacing w:before="20"/>
        <w:ind w:left="360"/>
      </w:pPr>
      <w:r>
        <w:rPr>
          <w:color w:val="222222"/>
          <w:sz w:val="20"/>
        </w:rPr>
        <w:t>Esta mañana, Inversiones Panitao Limitada - sociedad ligada al empresario- informó en un boletín a la Bolsa de Santiago queMosa ofreció comprar hasta 61.186.470 acciones de la serie B que emite Blanco y Negro, que representa un 61,1% del capital.</w:t>
      </w:r>
    </w:p>
    <w:p>
      <w:pPr>
        <w:spacing w:before="20"/>
        <w:ind w:left="360"/>
      </w:pPr>
      <w:r>
        <w:rPr>
          <w:color w:val="222222"/>
          <w:sz w:val="20"/>
        </w:rPr>
        <w:t>En esta nueva oferta,el actual presidente de ByN fijó un precio de $ 162 por cada acción, representando un aumento de $ 12 con la primera OPA realizada a inicios de año.</w:t>
      </w:r>
    </w:p>
    <w:p>
      <w:pPr>
        <w:spacing w:before="20"/>
        <w:ind w:left="360"/>
      </w:pPr>
      <w:r>
        <w:rPr>
          <w:color w:val="222222"/>
          <w:sz w:val="20"/>
        </w:rPr>
        <w:t>“En caso de resultar exitosa la Oferta, el Oferente pasará a ser controlador de la sociedad como titular, directa y/o indirectamente a través del FIP Parinacota, de más del 50,01% del total de acciones serie B emitidas por la sociedad”, mencionó en el boletín.</w:t>
      </w:r>
    </w:p>
    <w:p>
      <w:pPr>
        <w:spacing w:before="20"/>
        <w:ind w:left="360"/>
      </w:pPr>
      <w:r>
        <w:rPr>
          <w:color w:val="222222"/>
          <w:sz w:val="20"/>
        </w:rPr>
        <w:t>El 20 de enero el mismo fondo informaba el inicio de una OPA para comprarhasta 30 millones de acciones serie B de la sociedad, equivalentes al 30% del capital, en un precio de $ 150 por acción.</w:t>
      </w:r>
    </w:p>
    <w:p>
      <w:pPr>
        <w:spacing w:before="20"/>
        <w:ind w:left="360"/>
      </w:pPr>
      <w:r>
        <w:rPr>
          <w:color w:val="222222"/>
          <w:sz w:val="20"/>
        </w:rPr>
        <w:t>Luego de un mes publicada la oferta,el 23 de febrero Mosa concluía con éxito su OPA, pese a que no logró el control de la sociedad, subiendo un 2,75% su participación.</w:t>
      </w:r>
    </w:p>
    <w:p>
      <w:pPr>
        <w:spacing w:before="20"/>
        <w:ind w:left="360"/>
      </w:pPr>
      <w:r>
        <w:rPr>
          <w:color w:val="222222"/>
          <w:sz w:val="20"/>
        </w:rPr>
        <w:t>"El Oferente declara exitosa la oferta y acepta y adquiere para sí, la cantidad de 2.752.191 acciones serie B de Blanco y Negro”, informó la misma firma de Mosa que está ofertando por segunda vez.</w:t>
      </w:r>
    </w:p>
    <w:p>
      <w:pPr>
        <w:spacing w:before="20"/>
        <w:ind w:left="360"/>
      </w:pPr>
      <w:r>
        <w:rPr>
          <w:color w:val="222222"/>
          <w:sz w:val="20"/>
        </w:rPr>
        <w:t>La segunda OPA del año por parte de Mosase extenderá por un plazo de 30 días corridosque empezarán a partir del 22 de abril,concluyendo el 22 de mayo a las 17:30 horas.</w:t>
      </w:r>
    </w:p>
    <w:p>
      <w:pPr>
        <w:spacing w:before="20"/>
        <w:ind w:left="360"/>
      </w:pPr>
      <w:r>
        <w:rPr>
          <w:color w:val="222222"/>
          <w:sz w:val="20"/>
        </w:rPr>
        <w:t>El anuncio de la nueva oferta es ad portas de la junta de accionistas de la sociedad, a realizarse el 29 de abril en el estadio Monumental.</w:t>
      </w:r>
    </w:p>
    <w:p>
      <w:pPr>
        <w:spacing w:before="40" w:after="120"/>
      </w:pPr>
      <w:r>
        <w:rPr>
          <w:color w:val="CCCCCC"/>
        </w:rPr>
        <w:t>· · ·</w:t>
      </w:r>
    </w:p>
    <w:p>
      <w:r>
        <w:rPr>
          <w:b/>
          <w:color w:val="E65000"/>
        </w:rPr>
        <w:t xml:space="preserve">3. </w:t>
      </w:r>
      <w:r>
        <w:rPr>
          <w:b/>
          <w:sz w:val="22"/>
        </w:rPr>
        <w:t>Bolsa chilena abre al alza en línea con Wall Street luego se que Trump se muestra optimista sobre un acuerdo con Irán</w:t>
      </w:r>
      <w:r>
        <w:rPr>
          <w:color w:val="CC7700"/>
          <w:sz w:val="18"/>
        </w:rPr>
        <w:t xml:space="preserve">  [⭐ Destacada]</w:t>
      </w:r>
    </w:p>
    <w:p>
      <w:pPr>
        <w:spacing w:before="0"/>
      </w:pPr>
      <w:r>
        <w:rPr>
          <w:color w:val="0056B3"/>
          <w:sz w:val="18"/>
        </w:rPr>
        <w:t>https://www.df.cl/mercados/bolsa-monedas/bolsas-hoy-pbfgf</w:t>
      </w:r>
    </w:p>
    <w:p>
      <w:pPr>
        <w:spacing w:before="20"/>
        <w:ind w:left="360"/>
      </w:pPr>
      <w:r>
        <w:rPr>
          <w:color w:val="222222"/>
          <w:sz w:val="20"/>
        </w:rPr>
        <w:t>Se espera que más tarde este martes, o bien a primera hora de mañana miércoles, una delegación encabezada por el vicepresidente JD Vance entable nuevas conversaciones con la parte iraní, cuya participación todavía no se ha confirmado.</w:t>
      </w:r>
    </w:p>
    <w:p>
      <w:pPr>
        <w:spacing w:before="20"/>
        <w:ind w:left="360"/>
      </w:pPr>
      <w:r>
        <w:rPr>
          <w:color w:val="222222"/>
          <w:sz w:val="20"/>
        </w:rPr>
        <w:t>Publicado: Martes 21 de abril de 2026 a las 09:46 hrs.</w:t>
      </w:r>
    </w:p>
    <w:p>
      <w:pPr>
        <w:spacing w:before="20"/>
        <w:ind w:left="360"/>
      </w:pPr>
      <w:r>
        <w:rPr>
          <w:color w:val="222222"/>
          <w:sz w:val="20"/>
        </w:rPr>
        <w:t>Las plazas bursátiles de Santiago y Nueva York subían este martes, en un contexto de cauto optimismo por la intención manifiesta deDonald Trumpde llegar a un acuerdo con Irán para resolver un conflicto bélico que pasa por su octava semana.</w:t>
      </w:r>
    </w:p>
    <w:p>
      <w:pPr>
        <w:spacing w:before="20"/>
        <w:ind w:left="360"/>
      </w:pPr>
      <w:r>
        <w:rPr>
          <w:color w:val="222222"/>
          <w:sz w:val="20"/>
        </w:rPr>
        <w:t>En la apertura de la plaza chilena,el S&amp;P IPSA subía 0,2% a 11.363,40 puntos. En cuanto a Wall Street,el Dow Jones crecía 0,5%, el S&amp;P 500 ganaba 0,1% y el Dow Jones operaba plano. En Europa, eso sí, los índices caían ligeramente, mientras que en la jornada asiática terminaron con ganancias.</w:t>
      </w:r>
    </w:p>
    <w:p>
      <w:pPr>
        <w:spacing w:before="20"/>
        <w:ind w:left="360"/>
      </w:pPr>
      <w:r>
        <w:rPr>
          <w:color w:val="222222"/>
          <w:sz w:val="20"/>
        </w:rPr>
        <w:t>El petróleo Brent se estabilizaba en niveles de US$ 95 por barril. Hablando sobre las negociaciones con Irán,Trump dijo a CNBC que "vamos a terminar con un gran acuerdo", por lo que no sería necesario extender la tregua que tiene fecha de expiración mañana miércoles en la tarde.</w:t>
      </w:r>
    </w:p>
    <w:p>
      <w:pPr>
        <w:spacing w:before="20"/>
        <w:ind w:left="360"/>
      </w:pPr>
      <w:r>
        <w:rPr>
          <w:color w:val="222222"/>
          <w:sz w:val="20"/>
        </w:rPr>
        <w:t>Se espera que más tarde este martes, o bien a primera hora de mañana miércoles, una delegación encabezada por el vicepresidenteJD Vanceentable nuevas conversaciones con la parte iraní, cuya participación todavía no se ha confirmado.</w:t>
      </w:r>
    </w:p>
    <w:p>
      <w:pPr>
        <w:spacing w:before="20"/>
        <w:ind w:left="360"/>
      </w:pPr>
      <w:r>
        <w:rPr>
          <w:color w:val="222222"/>
          <w:sz w:val="20"/>
        </w:rPr>
        <w:t>También en las ganancias de Wall Street colaboraban las buenas previsionesUnited Health Group (8,2%), tras presentar sus resultados, y el anuncio deAmazon (1,7%)de que invertirá US$ 5 mil millones adicionales en Anthropic, a lo que se sumarían US$ 20 mil millones más adelante.</w:t>
      </w:r>
    </w:p>
    <w:p>
      <w:pPr>
        <w:spacing w:before="20"/>
        <w:ind w:left="360"/>
      </w:pPr>
      <w:r>
        <w:rPr>
          <w:color w:val="222222"/>
          <w:sz w:val="20"/>
        </w:rPr>
        <w:t>En el plano macroeconómico, las ventas minoristas de marzo en EEUU subieron por encima de los pronósticos, en parte impulsadas por la mayor facturación de las estaciones de bencina, lo que hizo subir las tasas cortas.</w:t>
      </w:r>
    </w:p>
    <w:p>
      <w:pPr>
        <w:spacing w:before="20"/>
        <w:ind w:left="360"/>
      </w:pPr>
      <w:r>
        <w:rPr>
          <w:color w:val="222222"/>
          <w:sz w:val="20"/>
        </w:rPr>
        <w:t>También el mercado está atento a la audiencia que tendráKevin Warsh, el nominado de la Casa Blanca para presidir la Reserva Federal, frente al Senado estadounidense en los próximos minutos. Trump dijo que estaría decepcionado si Warsh no procede a recortar las tasas de inmediato.</w:t>
      </w:r>
    </w:p>
    <w:p>
      <w:pPr>
        <w:spacing w:before="40" w:after="120"/>
      </w:pPr>
      <w:r>
        <w:rPr>
          <w:color w:val="CCCCCC"/>
        </w:rPr>
        <w:t>· · ·</w:t>
      </w:r>
    </w:p>
    <w:p>
      <w:r>
        <w:rPr>
          <w:b/>
          <w:color w:val="E65000"/>
        </w:rPr>
        <w:t xml:space="preserve">4. </w:t>
      </w:r>
      <w:r>
        <w:rPr>
          <w:b/>
          <w:sz w:val="22"/>
        </w:rPr>
        <w:t>Informe de BofA: gestores elevan liquidez y apuestan por commodities ante volatilidad del petróleo</w:t>
      </w:r>
    </w:p>
    <w:p>
      <w:pPr>
        <w:spacing w:before="0"/>
      </w:pPr>
      <w:r>
        <w:rPr>
          <w:color w:val="0056B3"/>
          <w:sz w:val="18"/>
        </w:rPr>
        <w:t>https://www.df.cl/mercados/banca-fintech/informe-de-bofa-gestores-elevan-liquidez-y-apuestan-por-commodities-ante</w:t>
      </w:r>
    </w:p>
    <w:p>
      <w:pPr>
        <w:spacing w:before="20"/>
        <w:ind w:left="360"/>
      </w:pPr>
      <w:r>
        <w:rPr>
          <w:color w:val="222222"/>
          <w:sz w:val="20"/>
        </w:rPr>
        <w:t>Los niveles de caja subieron a 7,4%, por encima del promedio histórico de 5,4%, “reflejando menor disposición a tomar riesgo”.</w:t>
      </w:r>
    </w:p>
    <w:p>
      <w:pPr>
        <w:spacing w:before="20"/>
        <w:ind w:left="360"/>
      </w:pPr>
      <w:r>
        <w:rPr>
          <w:color w:val="222222"/>
          <w:sz w:val="20"/>
        </w:rPr>
        <w:t>Publicado: Martes 21 de abril de 2026 a las 04:00 hrs.</w:t>
      </w:r>
    </w:p>
    <w:p>
      <w:pPr>
        <w:spacing w:before="20"/>
        <w:ind w:left="360"/>
      </w:pPr>
      <w:r>
        <w:rPr>
          <w:color w:val="222222"/>
          <w:sz w:val="20"/>
        </w:rPr>
        <w:t>Un giro hacia posiciones más defensivas y una mayor exposición a materias primas está marcando la estrategia de los inversionistas en medio de un entorno global incierto y crecientes riesgos asociados a tensiones geopolíticas, reveló la última encuesta de gestores globales de fondos de Bank of America (BofA), a la que accedió DF.</w:t>
      </w:r>
    </w:p>
    <w:p>
      <w:pPr>
        <w:spacing w:before="20"/>
        <w:ind w:left="360"/>
      </w:pPr>
      <w:r>
        <w:rPr>
          <w:color w:val="222222"/>
          <w:sz w:val="20"/>
        </w:rPr>
        <w:t>La firma sostuvo que el conflicto en Medio Oriente puso fin a un optimismo desmedido de los últimos meses en el mercado financiero y, con ello, las expectativas de crecimiento global han caído con fuerza durante abril.</w:t>
      </w:r>
    </w:p>
    <w:p>
      <w:pPr>
        <w:spacing w:before="20"/>
        <w:ind w:left="360"/>
      </w:pPr>
      <w:r>
        <w:rPr>
          <w:color w:val="222222"/>
          <w:sz w:val="20"/>
        </w:rPr>
        <w:t>Si en marzo solo el 7% de los inversionistas anticipaba una economía global más sólida en los próximos 12 meses, ahora el balance bajó a 36%, el nivel más bajo desde agosto de 2025.</w:t>
      </w:r>
    </w:p>
    <w:p>
      <w:pPr>
        <w:spacing w:before="20"/>
        <w:ind w:left="360"/>
      </w:pPr>
      <w:r>
        <w:rPr>
          <w:color w:val="222222"/>
          <w:sz w:val="20"/>
        </w:rPr>
        <w:t>Esto ha llevado a una migración en los portafolios, que poco a poco va dejando huella. De acuerdo con el sondeo, los niveles de caja de los inversionistas subieron a 7,4%, muy por encima del promedio histórico de 5,4%, “reflejando menor disposición a tomar riesgo”.</w:t>
      </w:r>
    </w:p>
    <w:p>
      <w:pPr>
        <w:spacing w:before="20"/>
        <w:ind w:left="360"/>
      </w:pPr>
      <w:r>
        <w:rPr>
          <w:color w:val="222222"/>
          <w:sz w:val="20"/>
        </w:rPr>
        <w:t>A la par, BofA sostiene que aumentó la demanda por coberturas ante eventuales caídas bursátiles, en línea con un escenario de mayor cautela.</w:t>
      </w:r>
    </w:p>
    <w:p>
      <w:pPr>
        <w:spacing w:before="20"/>
        <w:ind w:left="360"/>
      </w:pPr>
      <w:r>
        <w:rPr>
          <w:color w:val="222222"/>
          <w:sz w:val="20"/>
        </w:rPr>
        <w:t>En este contexto, los inversionistas están rotando sus carteras hacia commodities y compañías exportadoras, posicionándolas como la estrategia favorita para los próximos seis meses.</w:t>
      </w:r>
    </w:p>
    <w:p>
      <w:pPr>
        <w:spacing w:before="20"/>
        <w:ind w:left="360"/>
      </w:pPr>
      <w:r>
        <w:rPr>
          <w:color w:val="222222"/>
          <w:sz w:val="20"/>
        </w:rPr>
        <w:t>De hecho, en los mercados andinos -que incluyen a Chile, Perú y Colombia- el principal riesgo identificado dejó de ser el cobre y pasó a ser el petróleo, lo que refleja la creciente sensibilidad de estos activos a las fluctuaciones energéticas.</w:t>
      </w:r>
    </w:p>
    <w:p>
      <w:pPr>
        <w:spacing w:before="20"/>
        <w:ind w:left="360"/>
      </w:pPr>
      <w:r>
        <w:rPr>
          <w:color w:val="222222"/>
          <w:sz w:val="20"/>
        </w:rPr>
        <w:t>Respecto del precio del petróleo Brent hacia fin de año, el 28% espera que supere los US$ 90 por barril.</w:t>
      </w:r>
    </w:p>
    <w:p>
      <w:pPr>
        <w:spacing w:before="20"/>
        <w:ind w:left="360"/>
      </w:pPr>
      <w:r>
        <w:rPr>
          <w:color w:val="222222"/>
          <w:sz w:val="20"/>
        </w:rPr>
        <w:t>Con todo, consultados por el mayor riesgo de cola, el 44% de los inversionistas mencionó “los conflictos geopolíticos”, aumentando desde el 37% que se evidenció en marzo. En febrero, la mayor amenaza era una posible burbuja de inteligencia artificial (IA) y hoy esa categoría representa solo un 5%.</w:t>
      </w:r>
    </w:p>
    <w:p>
      <w:pPr>
        <w:spacing w:before="40" w:after="120"/>
      </w:pPr>
      <w:r>
        <w:rPr>
          <w:color w:val="CCCCCC"/>
        </w:rPr>
        <w:t>· · ·</w:t>
      </w:r>
    </w:p>
    <w:p>
      <w:r>
        <w:rPr>
          <w:b/>
          <w:color w:val="E65000"/>
        </w:rPr>
        <w:t xml:space="preserve">5. </w:t>
      </w:r>
      <w:r>
        <w:rPr>
          <w:b/>
          <w:sz w:val="22"/>
        </w:rPr>
        <w:t>Benjamín Laso, director corporativo de estrategia de Primus Capital: “Hubo un abandono reiterado en los procedimientos de auditoría a Primus Capital”</w:t>
      </w:r>
    </w:p>
    <w:p>
      <w:pPr>
        <w:spacing w:before="0"/>
      </w:pPr>
      <w:r>
        <w:rPr>
          <w:color w:val="0056B3"/>
          <w:sz w:val="18"/>
        </w:rPr>
        <w:t>https://www.df.cl/mercados/banca-fintech/benjamin-laso-director-corporativo-de-estrategia-de-primus-capital-hubo</w:t>
      </w:r>
    </w:p>
    <w:p>
      <w:pPr>
        <w:spacing w:before="20"/>
        <w:ind w:left="360"/>
      </w:pPr>
      <w:r>
        <w:rPr>
          <w:color w:val="222222"/>
          <w:sz w:val="20"/>
        </w:rPr>
        <w:t>Tras conocer la sanción de la CMF a Deloitte por su papel en la revisión de los estados financieros del factoring, el ejecutivo criticó el trabajo de la “Big Four”.</w:t>
      </w:r>
    </w:p>
    <w:p>
      <w:pPr>
        <w:spacing w:before="20"/>
        <w:ind w:left="360"/>
      </w:pPr>
      <w:r>
        <w:rPr>
          <w:color w:val="222222"/>
          <w:sz w:val="20"/>
        </w:rPr>
        <w:t>Publicado: Martes 21 de abril de 2026 a las 04:00 hrs.</w:t>
      </w:r>
    </w:p>
    <w:p>
      <w:pPr>
        <w:spacing w:before="20"/>
        <w:ind w:left="360"/>
      </w:pPr>
      <w:r>
        <w:rPr>
          <w:color w:val="222222"/>
          <w:sz w:val="20"/>
        </w:rPr>
        <w:t>Benjamín Laso llevaba casi siete años trabajando en el family office de Raimundo Valenzuela, denominado “Estrella del Sur”, cuando en marzo de 2023, se detectaron operaciones falsas en el factoring Primus Capital -controlado en ese entonces por el empresario- que involucraban a su gerente general, Francisco Coeymans y al director comercial, Ignacio Amenábar.</w:t>
      </w:r>
    </w:p>
    <w:p>
      <w:pPr>
        <w:spacing w:before="20"/>
        <w:ind w:left="360"/>
      </w:pPr>
      <w:r>
        <w:rPr>
          <w:color w:val="222222"/>
          <w:sz w:val="20"/>
        </w:rPr>
        <w:t>Laso recuerda que en la misma semana en que estalló el caso,se puso a disposición de Valenzuela y de su socio Eduardo Guerrero.</w:t>
      </w:r>
    </w:p>
    <w:p>
      <w:pPr>
        <w:spacing w:before="20"/>
        <w:ind w:left="360"/>
      </w:pPr>
      <w:r>
        <w:rPr>
          <w:color w:val="222222"/>
          <w:sz w:val="20"/>
        </w:rPr>
        <w:t>“Les escribí ofreciendo mi ayuda. Eduardo ya había aterrizado en Primus haciendo el primer control de daños, ya que los socios gestores (Coeymans y Amenábar) habían sido suspendidos. Consideré que era lo correcto ofrecer mi ayuda para apoyar frente a una situación tan compleja”, rememora Laso, quien asumió como director corporativo de estrategia del factoring.</w:t>
      </w:r>
    </w:p>
    <w:p>
      <w:pPr>
        <w:spacing w:before="20"/>
        <w:ind w:left="360"/>
      </w:pPr>
      <w:r>
        <w:rPr>
          <w:color w:val="222222"/>
          <w:sz w:val="20"/>
        </w:rPr>
        <w:t>De acuerdo con el ejecutivo, Guerrero lideraría la continuidad de la compañía, mientras que él se haría cargo de la investigación forense penal y la gestión operacional. “La idea inicial era estar tres semanas.A los pocos días nos fuimos dando cuenta que la magnitud y el origen real del fraude eran mucho mayores de lo estimado, y a mi mandato se sumó la reconstrucción de los estados financieros", dijo.</w:t>
      </w:r>
    </w:p>
    <w:p>
      <w:pPr>
        <w:spacing w:before="20"/>
        <w:ind w:left="360"/>
      </w:pPr>
      <w:r>
        <w:rPr>
          <w:color w:val="222222"/>
          <w:sz w:val="20"/>
        </w:rPr>
        <w:t>Producto de ese análisis,se abrió la arista “Deloitte”,empresa que auditó el balance de Primus en 2022 y que la semana pasada fue sancionada por la Comisión para el Mercado Financiero (CMF) por UF 2.000.</w:t>
      </w:r>
    </w:p>
    <w:p>
      <w:pPr>
        <w:spacing w:before="20"/>
        <w:ind w:left="360"/>
      </w:pPr>
      <w:r>
        <w:rPr>
          <w:color w:val="222222"/>
          <w:sz w:val="20"/>
        </w:rPr>
        <w:t>- ¿En qué momento decidió analizar el trabajo del auditor?</w:t>
      </w:r>
    </w:p>
    <w:p>
      <w:pPr>
        <w:spacing w:before="20"/>
        <w:ind w:left="360"/>
      </w:pPr>
      <w:r>
        <w:rPr>
          <w:color w:val="222222"/>
          <w:sz w:val="20"/>
        </w:rPr>
        <w:t>- Cuando empezamos a interactuar con Deloitte para la auditoría de los estados financieros reestructurados surgieron señales muy preocupantes.</w:t>
      </w:r>
    </w:p>
    <w:p>
      <w:pPr>
        <w:spacing w:before="20"/>
        <w:ind w:left="360"/>
      </w:pPr>
      <w:r>
        <w:rPr>
          <w:color w:val="222222"/>
          <w:sz w:val="20"/>
        </w:rPr>
        <w:t>- Nos hacían preguntas elementales sobre el funcionamiento del producto que llevaban años auditando. Nos consultaban, por ejemplo, dónde debía reflejarse en el balance un financiamiento por venta de facturas de $ 5.000 millones, siendo que tenían ese antecedente un mes antes de firmar su informe original, y que no había sido reflejado en el balance que ellos mismos auditaron.</w:t>
      </w:r>
    </w:p>
    <w:p>
      <w:pPr>
        <w:spacing w:before="20"/>
        <w:ind w:left="360"/>
      </w:pPr>
      <w:r>
        <w:rPr>
          <w:color w:val="222222"/>
          <w:sz w:val="20"/>
        </w:rPr>
        <w:t>A eso se sumaron demoras excesivas e irregularidades en sus procesos. Cuando planteamos a los directivos principales de la firma el evidente conflicto de interés de mantener al mismo socio auditor que ya había fallado, Deloitte decidió mantenerlo en el cargo, aun cuando se les expresó que dicho socio a cargo prestaba servicios a sociedades que aparecieron en los informes de investigación forense. Ahí decidimos solicitar los papeles de trabajo, y empezó a aparecer lo que después expusimos ante la CMF.</w:t>
      </w:r>
    </w:p>
    <w:p>
      <w:pPr>
        <w:spacing w:before="20"/>
        <w:ind w:left="360"/>
      </w:pPr>
      <w:r>
        <w:rPr>
          <w:color w:val="222222"/>
          <w:sz w:val="20"/>
        </w:rPr>
        <w:t>- ¿Cuál es su conclusión respecto del trabajo de Deloitte en Primus?</w:t>
      </w:r>
    </w:p>
    <w:p>
      <w:pPr>
        <w:spacing w:before="20"/>
        <w:ind w:left="360"/>
      </w:pPr>
      <w:r>
        <w:rPr>
          <w:color w:val="222222"/>
          <w:sz w:val="20"/>
        </w:rPr>
        <w:t>- Encontramos faltas gravísimas, sistemáticas e inexcusables. No un error puntual, no una omisión aislada, sino que hubo un abandono reiterado de procedimientos elementales de auditoría a Primus, un incumplimiento manifiesto de las normas profesionales, y ausencia absoluta de escepticismo frente a señales evidentes e inequívocas de irregularidades, en múltiples ejercicios consecutivos.</w:t>
      </w:r>
    </w:p>
    <w:p>
      <w:pPr>
        <w:spacing w:before="120"/>
        <w:ind w:left="360"/>
      </w:pPr>
      <w:r>
        <w:rPr>
          <w:b/>
          <w:color w:val="E65000"/>
          <w:sz w:val="26"/>
        </w:rPr>
        <w:t xml:space="preserve"> </w:t>
      </w:r>
    </w:p>
    <w:p>
      <w:pPr>
        <w:spacing w:before="20"/>
        <w:ind w:left="360"/>
      </w:pPr>
      <w:r>
        <w:rPr>
          <w:color w:val="222222"/>
          <w:sz w:val="20"/>
        </w:rPr>
        <w:t>- ¿Qué errores concretos pudo constatar en su trabajo forense?</w:t>
      </w:r>
    </w:p>
    <w:p>
      <w:pPr>
        <w:spacing w:before="20"/>
        <w:ind w:left="360"/>
      </w:pPr>
      <w:r>
        <w:rPr>
          <w:color w:val="222222"/>
          <w:sz w:val="20"/>
        </w:rPr>
        <w:t>- Deloitte falló en cada una de las etapas del proceso. En la planificación no se puede emitir una opinión de auditoría dejando procedimientos básicos planificados para ejecutarlos meses más tarde.</w:t>
      </w:r>
    </w:p>
    <w:p>
      <w:pPr>
        <w:spacing w:before="20"/>
        <w:ind w:left="360"/>
      </w:pPr>
      <w:r>
        <w:rPr>
          <w:color w:val="222222"/>
          <w:sz w:val="20"/>
        </w:rPr>
        <w:t>En la evaluación del control interno, realizaron un copy paste simulando el respaldo de análisis para las cuentas por cobrar. Una mues tra donde teóricamente debían revisar que existieran los documentos, contratos, que los clientes tuvieran balance, etc. Básicamente, asegurar que las operaciones contaran con su debido respaldo.</w:t>
      </w:r>
    </w:p>
    <w:p>
      <w:pPr>
        <w:spacing w:before="20"/>
        <w:ind w:left="360"/>
      </w:pPr>
      <w:r>
        <w:rPr>
          <w:color w:val="222222"/>
          <w:sz w:val="20"/>
        </w:rPr>
        <w:t>En muchos casos esto no era así y no fue detectado antes, en parte, porque aquellos a quienes el directorio les confió este rol como auditores externos, no hicieron lo comprometido en lo más mínimo. En las pruebas sustantivas, no ejecutaron las verificaciones básicas ni alternativas. Y en la revisión de control de calidad, aparentaron el respaldo del trabajo.</w:t>
      </w:r>
    </w:p>
    <w:p>
      <w:pPr>
        <w:spacing w:before="20"/>
        <w:ind w:left="360"/>
      </w:pPr>
      <w:r>
        <w:rPr>
          <w:color w:val="222222"/>
          <w:sz w:val="20"/>
        </w:rPr>
        <w:t>Fue justamente esa metodología de copy paste la que nos llevó a descubrir la magnitud de las deficiencias. Cuando revisamos los papeles de trabajo teóricamente preparados para Primus, nos encontramos en algunos casos con que las conclusiones no obedecían al objetivo de los documentos; había inconsistencias entre el desarrollo de lo revisado y sus conclusiones, se identificaban entidades distintas de Primus, se describían sistemas que la compañía no utilizaba y hacían referencias a períodos distintos al que se debía evaluar.</w:t>
      </w:r>
    </w:p>
    <w:p>
      <w:pPr>
        <w:spacing w:before="20"/>
        <w:ind w:left="360"/>
      </w:pPr>
      <w:r>
        <w:rPr>
          <w:color w:val="222222"/>
          <w:sz w:val="20"/>
        </w:rPr>
        <w:t>- Sin embargo, la CMF sancionó a Deloitte solo con UF 2.000...</w:t>
      </w:r>
    </w:p>
    <w:p>
      <w:pPr>
        <w:spacing w:before="20"/>
        <w:ind w:left="360"/>
      </w:pPr>
      <w:r>
        <w:rPr>
          <w:color w:val="222222"/>
          <w:sz w:val="20"/>
        </w:rPr>
        <w:t>- A diferencia de otros casos recientes y de alta connotación -que han sido con voto dividido y disidencia significativa de comisionados-, en este caso el consejo decidió sancionar a Deloitte de forma unánime y por todos los cargos presentados. Eso habla de la contundencia de la evidencia y de la convicción del regulador respecto a la gravedad de las infracciones.</w:t>
      </w:r>
    </w:p>
    <w:p>
      <w:pPr>
        <w:spacing w:before="40" w:after="120"/>
      </w:pPr>
      <w:r>
        <w:rPr>
          <w:color w:val="CCCCCC"/>
        </w:rPr>
        <w:t>· · ·</w:t>
      </w:r>
    </w:p>
    <w:p/>
    <w:p>
      <w:pPr>
        <w:pStyle w:val="Heading1"/>
      </w:pPr>
      <w:r>
        <w:rPr>
          <w:color w:val="E65000"/>
        </w:rPr>
        <w:t>🔹 Empresas</w:t>
      </w:r>
    </w:p>
    <w:p>
      <w:r>
        <w:rPr>
          <w:b/>
          <w:color w:val="E65000"/>
        </w:rPr>
        <w:t xml:space="preserve">1. </w:t>
      </w:r>
      <w:r>
        <w:rPr>
          <w:b/>
          <w:sz w:val="22"/>
        </w:rPr>
        <w:t>Garrigues anuncia fusión con Barros, Silva, Varela &amp; Vigil (BSVV) y se transforma en uno de los estudios jurídicos más grandes del país</w:t>
      </w:r>
      <w:r>
        <w:rPr>
          <w:color w:val="CC7700"/>
          <w:sz w:val="18"/>
        </w:rPr>
        <w:t xml:space="preserve">  [⭐ Destacada]</w:t>
      </w:r>
    </w:p>
    <w:p>
      <w:pPr>
        <w:spacing w:before="0"/>
      </w:pPr>
      <w:r>
        <w:rPr>
          <w:color w:val="0056B3"/>
          <w:sz w:val="18"/>
        </w:rPr>
        <w:t>https://www.df.cl/empresas/entre-codigos/garrigues-y-barros-silva-varela-vigil-acuerdan-la-integracion-de-sus</w:t>
      </w:r>
    </w:p>
    <w:p>
      <w:pPr>
        <w:spacing w:before="20"/>
        <w:ind w:left="360"/>
      </w:pPr>
      <w:r>
        <w:rPr>
          <w:color w:val="222222"/>
          <w:sz w:val="20"/>
        </w:rPr>
        <w:t>Los 11 socios de BSVV pasarán a integrarse en el partnership de Garrigues, la firma internacional de servicios legales y fiscales con oficinas en Chile, Colombia, México y Perú.</w:t>
      </w:r>
    </w:p>
    <w:p>
      <w:pPr>
        <w:spacing w:before="20"/>
        <w:ind w:left="360"/>
      </w:pPr>
      <w:r>
        <w:rPr>
          <w:color w:val="222222"/>
          <w:sz w:val="20"/>
        </w:rPr>
        <w:t>Publicado: Martes 21 de abril de 2026 a las 08:08 hrs.</w:t>
      </w:r>
    </w:p>
    <w:p>
      <w:pPr>
        <w:spacing w:before="20"/>
        <w:ind w:left="360"/>
      </w:pPr>
      <w:r>
        <w:rPr>
          <w:color w:val="222222"/>
          <w:sz w:val="20"/>
        </w:rPr>
        <w:t>Fernando Barros Vial, socio de BSVV, y Luis Felipe Merino, quien se mantendrá como socio responsable de la oficina de Garrigues en Chile.</w:t>
      </w:r>
    </w:p>
    <w:p>
      <w:pPr>
        <w:spacing w:before="20"/>
        <w:ind w:left="360"/>
      </w:pPr>
      <w:r>
        <w:rPr>
          <w:color w:val="222222"/>
          <w:sz w:val="20"/>
        </w:rPr>
        <w:t>La firma internacional de servicios legales y fiscalesGarrigues y Barros, Silva, Varela &amp; Vigil (BSVV), estudio jurídico multiservicio con más de una década de trayectoria en el mercado legal chileno,llegaron a un acuerdo para la integración de sus prácticas en Chile, que operarán bajo la marca Garrigues, y se convertirá en uno de los estudios jurídicos más grandes del país.</w:t>
      </w:r>
    </w:p>
    <w:p>
      <w:pPr>
        <w:spacing w:before="20"/>
        <w:ind w:left="360"/>
      </w:pPr>
      <w:r>
        <w:rPr>
          <w:color w:val="222222"/>
          <w:sz w:val="20"/>
        </w:rPr>
        <w:t>"En las próximas semanas, concluirá la documentación contractual y el acuerdo será sometido a las respectivas juntas de socios", indicó Garrigues en un comunicado.</w:t>
      </w:r>
    </w:p>
    <w:p>
      <w:pPr>
        <w:spacing w:before="20"/>
        <w:ind w:left="360"/>
      </w:pPr>
      <w:r>
        <w:rPr>
          <w:color w:val="222222"/>
          <w:sz w:val="20"/>
        </w:rPr>
        <w:t>"La integración de ambas firmas, altamente complementarias por su enfoque de asesoramiento como por su posicionamiento en el mercado,supondrá la consolidación de un estudio jurídico de referencia en Chile, con un equipo de más de 130 abogados (incluidos 24 socios) y capacidad para prestar asesoramiento integral en todas las áreas del derecho de los negocios", agregó.</w:t>
      </w:r>
    </w:p>
    <w:p>
      <w:pPr>
        <w:spacing w:before="20"/>
        <w:ind w:left="360"/>
      </w:pPr>
      <w:r>
        <w:rPr>
          <w:color w:val="222222"/>
          <w:sz w:val="20"/>
        </w:rPr>
        <w:t>Asimismo, la operación generará importantes sinergias derivadas de la combinación de la fortaleza internacional de Garrigues con el profundo conocimiento del mercado chileno, la visión estratégica y la experiencia técnica de BSVV.Los 11 socios de BSVV pasarán a integrarse en el partnership de Garrigues.</w:t>
      </w:r>
    </w:p>
    <w:p>
      <w:pPr>
        <w:spacing w:before="20"/>
        <w:ind w:left="360"/>
      </w:pPr>
      <w:r>
        <w:rPr>
          <w:color w:val="222222"/>
          <w:sz w:val="20"/>
        </w:rPr>
        <w:t>"Con esta integración,Garrigues refuerza su apuesta por Chile en un contexto de recuperación económica del país, marcado por un crecimiento moderado pero sustentado en sólidos fundamentos y buenas perspectivas. La operación permitirá, además, consolidar la posición del despacho en Latinoamérica, facilitando a sus clientes una plataforma única para el asesoramiento regional y transfronterizo", dijo.</w:t>
      </w:r>
    </w:p>
    <w:p>
      <w:pPr>
        <w:spacing w:before="120"/>
        <w:ind w:left="360"/>
      </w:pPr>
      <w:r>
        <w:rPr>
          <w:b/>
          <w:color w:val="E65000"/>
          <w:sz w:val="26"/>
        </w:rPr>
        <w:t xml:space="preserve"> </w:t>
      </w:r>
    </w:p>
    <w:p>
      <w:pPr>
        <w:spacing w:before="20"/>
        <w:ind w:left="360"/>
      </w:pPr>
      <w:r>
        <w:rPr>
          <w:color w:val="222222"/>
          <w:sz w:val="20"/>
        </w:rPr>
        <w:t>La apuesta de Garrigues por Latinoamérica es estratégica.Con oficinas en Chile, Colombia, México y Perú, el despacho acumula más de 50 años de relación con la región. Su modelo one-stop shop le permite coordinar proyectos y operaciones transfronterizas con el respaldo de una red internacional en 12 países de 4 continentes.</w:t>
      </w:r>
    </w:p>
    <w:p>
      <w:pPr>
        <w:spacing w:before="20"/>
        <w:ind w:left="360"/>
      </w:pPr>
      <w:r>
        <w:rPr>
          <w:color w:val="222222"/>
          <w:sz w:val="20"/>
        </w:rPr>
        <w:t>En 2025, Garrigues ingresó 527,69 millones de euros. Su negocio internacional, que representa más del 17% sobre el total, creció un 44,5% respecto al año anterior. El principal hito del ejercicio fue la integración de Sánchez Devanny en Garrigues México.</w:t>
      </w:r>
    </w:p>
    <w:p>
      <w:pPr>
        <w:spacing w:before="20"/>
        <w:ind w:left="360"/>
      </w:pPr>
      <w:r>
        <w:rPr>
          <w:color w:val="222222"/>
          <w:sz w:val="20"/>
        </w:rPr>
        <w:t>Fernando Vives, presidente ejecutivo de Garrigues, afirma que “estamos profundamente satisfechos con esta integración que, tras la operación en México el año pasado, confirma el interés de Garrigues por seguir siendo un referente en Latinoamérica. A los socios de Garrigues y de BSVV nos unen los mismos valores y objetivos de excelencia en el servicio al cliente. Estamos convencidos del éxito del proyecto común que iniciamos”.</w:t>
      </w:r>
    </w:p>
    <w:p>
      <w:pPr>
        <w:spacing w:before="20"/>
        <w:ind w:left="360"/>
      </w:pPr>
      <w:r>
        <w:rPr>
          <w:color w:val="222222"/>
          <w:sz w:val="20"/>
        </w:rPr>
        <w:t>Luis Felipe Merino, socio responsable de la oficina de Garrigues en Chile y que seguirá en ese cargo, aseguró que “es un privilegio poder integrar BSVV, una firma de profesionales jóvenes que ha destacado por un importante crecimiento en los últimos años. La complementariedad de prácticas y la similitud de culturas que hemos identificado en nuestras conversaciones nos sitúan en una excelente posición para liderar juntos el mercado chileno, desde el compromiso con nuestros profesionales y los clientes”.</w:t>
      </w:r>
    </w:p>
    <w:p>
      <w:pPr>
        <w:spacing w:before="20"/>
        <w:ind w:left="360"/>
      </w:pPr>
      <w:r>
        <w:rPr>
          <w:color w:val="222222"/>
          <w:sz w:val="20"/>
        </w:rPr>
        <w:t>Fernando Barros Vial, socio de Barros, Silva, Varela &amp; Vigil, señaló que“al integrarnos con Garrigues damos un paso estratégico fundamental que se alinea plenamente con los objetivos que nos hemos trazado en BSVV. La operación nos permite potenciar el liderazgo en Chile, dar un salto definitivo en institucionalización, fortalecer el desarrollo de nuestros talentos, e impulsar la innovación para enfrentar los desafíos que hoy presenta el mercado. Nos integramos a un grupo humano y profesional de primer nivel, lo que nos llena de orgullo y nos motiva a seguir en el camino de servicio a nuestros clientes y colaboradores”.</w:t>
      </w:r>
    </w:p>
    <w:p>
      <w:pPr>
        <w:spacing w:before="40" w:after="120"/>
      </w:pPr>
      <w:r>
        <w:rPr>
          <w:color w:val="CCCCCC"/>
        </w:rPr>
        <w:t>· · ·</w:t>
      </w:r>
    </w:p>
    <w:p>
      <w:r>
        <w:rPr>
          <w:b/>
          <w:color w:val="E65000"/>
        </w:rPr>
        <w:t xml:space="preserve">2. </w:t>
      </w:r>
      <w:r>
        <w:rPr>
          <w:b/>
          <w:sz w:val="22"/>
        </w:rPr>
        <w:t>Gobierno dará inicio a plan para destrabar inversiones salmoneras con el proyecto de reconstrucción nacional</w:t>
      </w:r>
      <w:r>
        <w:rPr>
          <w:color w:val="CC7700"/>
          <w:sz w:val="18"/>
        </w:rPr>
        <w:t xml:space="preserve">  [⭐ Destacada]</w:t>
      </w:r>
    </w:p>
    <w:p>
      <w:pPr>
        <w:spacing w:before="0"/>
      </w:pPr>
      <w:r>
        <w:rPr>
          <w:color w:val="0056B3"/>
          <w:sz w:val="18"/>
        </w:rPr>
        <w:t>https://www.df.cl/empresas/industria/gobierno-dara-inicio-a-plan-para-destrabar-inversiones-salmoneras-con-el</w:t>
      </w:r>
    </w:p>
    <w:p>
      <w:pPr>
        <w:spacing w:before="20"/>
        <w:ind w:left="360"/>
      </w:pPr>
      <w:r>
        <w:rPr>
          <w:color w:val="222222"/>
          <w:sz w:val="20"/>
        </w:rPr>
        <w:t>La esperada iniciativa incluirá medidas para permitir pequeñas relocalizaciones de concesiones, manteniendo los requerimientos ambientales y límites de producción.</w:t>
      </w:r>
    </w:p>
    <w:p>
      <w:pPr>
        <w:spacing w:before="20"/>
        <w:ind w:left="360"/>
      </w:pPr>
      <w:r>
        <w:rPr>
          <w:color w:val="222222"/>
          <w:sz w:val="20"/>
        </w:rPr>
        <w:t>Por:M. Baeza y R. CarrascoPublicado: Martes 21 de abril de 2026 a las 04:00 hrs.</w:t>
      </w:r>
    </w:p>
    <w:p>
      <w:pPr>
        <w:spacing w:before="20"/>
        <w:ind w:left="360"/>
      </w:pPr>
      <w:r>
        <w:rPr>
          <w:color w:val="222222"/>
          <w:sz w:val="20"/>
        </w:rPr>
        <w:t>Publicado: Martes 21 de abril de 2026 a las 04:00 hrs.</w:t>
      </w:r>
    </w:p>
    <w:p>
      <w:pPr>
        <w:spacing w:before="20"/>
        <w:ind w:left="360"/>
      </w:pPr>
      <w:r>
        <w:rPr>
          <w:color w:val="222222"/>
          <w:sz w:val="20"/>
        </w:rPr>
        <w:t>El inminente ingreso del plan de reconstrucción de la administración Kast ha generado expectativas en la principal industria del sur del país,la salmonicultura.</w:t>
      </w:r>
    </w:p>
    <w:p>
      <w:pPr>
        <w:spacing w:before="20"/>
        <w:ind w:left="360"/>
      </w:pPr>
      <w:r>
        <w:rPr>
          <w:color w:val="222222"/>
          <w:sz w:val="20"/>
        </w:rPr>
        <w:t>Fue el propio ministro de Hacienda, Jorge Quiroz, quien la semana pasada adelantó queel megaproyecto del Ejecutivo incluiría medidas para la industria acuícola, con el fin de acelerar las “micro relocalizaciones”; que se puedan hacer con más fluidez los estudios de bancos naturales y los informes ambientales (INFA); y sustituir ciertas medidas de caducidad de concesiones por el pago de una patente. “Va a beneficiar muy fuertemente a Los Lagos, Aysén y Magallanes”, dijo Quiroz.</w:t>
      </w:r>
    </w:p>
    <w:p>
      <w:pPr>
        <w:spacing w:before="20"/>
        <w:ind w:left="360"/>
      </w:pPr>
      <w:r>
        <w:rPr>
          <w:color w:val="222222"/>
          <w:sz w:val="20"/>
        </w:rPr>
        <w:t>Consultada por DF, la Subsecretaría de Pesca y Acuicultura (Subpesca), liderada por Osvaldo Urrutia, dio detalles de las modificaciones que impulsará el gobierno.</w:t>
      </w:r>
    </w:p>
    <w:p>
      <w:pPr>
        <w:spacing w:before="20"/>
        <w:ind w:left="360"/>
      </w:pPr>
      <w:r>
        <w:rPr>
          <w:color w:val="222222"/>
          <w:sz w:val="20"/>
        </w:rPr>
        <w:t>“Vemos con buenos ojosavanzar en el concepto de micro relocalizaciones y ajustes cartográficos dentro de concesiones ya otorgadas”, señaló Urrutia.</w:t>
      </w:r>
    </w:p>
    <w:p>
      <w:pPr>
        <w:spacing w:before="20"/>
        <w:ind w:left="360"/>
      </w:pPr>
      <w:r>
        <w:rPr>
          <w:color w:val="222222"/>
          <w:sz w:val="20"/>
        </w:rPr>
        <w:t>El subsecretario hizo el punto de que esta no es una figura nueva, sino que ya se creó para la acuicultura de mitílidos (moluscos como mejillones o choros) en la Ley N° 21.183 del año 2019. “Es una medida acotada, que no implica expansión territorial ni aumento de biomasa, pero que puede generar mejoras relevantes en términos productivos, sanitarios y ambientales”, dijo.</w:t>
      </w:r>
    </w:p>
    <w:p>
      <w:pPr>
        <w:spacing w:before="20"/>
        <w:ind w:left="360"/>
      </w:pPr>
      <w:r>
        <w:rPr>
          <w:color w:val="222222"/>
          <w:sz w:val="20"/>
        </w:rPr>
        <w:t>Desde un punto de vista técnico, explicó Urrutia, la medida se traduce en que se habilitarán modificaciones menores que pueden alcanzar ajustes del orden de “decenas de metros” -ya sea en posición o en orientación- de concesiones acuícolas, lo que puede permitir ubicar de mejor manera las jaulas de cultivo dentro del polígono concesionado, sin alterar la superficie autorizada y la carga productiva.</w:t>
      </w:r>
    </w:p>
    <w:p>
      <w:pPr>
        <w:spacing w:before="120"/>
        <w:ind w:left="360"/>
      </w:pPr>
      <w:r>
        <w:rPr>
          <w:b/>
          <w:color w:val="E65000"/>
          <w:sz w:val="26"/>
        </w:rPr>
        <w:t xml:space="preserve"> </w:t>
      </w:r>
    </w:p>
    <w:p>
      <w:pPr>
        <w:spacing w:before="20"/>
        <w:ind w:left="360"/>
      </w:pPr>
      <w:r>
        <w:rPr>
          <w:color w:val="222222"/>
          <w:sz w:val="20"/>
        </w:rPr>
        <w:t>Los acomodos “se sustentan en información oceanográfica y batimétrica actualizada, que permite optimizar variables como la profundidad, las corrientes, la dispersión de residuos y las condiciones de oxigenación”, precisó.</w:t>
      </w:r>
    </w:p>
    <w:p>
      <w:pPr>
        <w:spacing w:before="20"/>
        <w:ind w:left="360"/>
      </w:pPr>
      <w:r>
        <w:rPr>
          <w:color w:val="222222"/>
          <w:sz w:val="20"/>
        </w:rPr>
        <w:t>El subsecretario postuló que la implementación considera un procedimiento administrativo “simplificado, pero regulado”, que incluye actualización cartográfica georreferenciada, validaciones técnicas sectoriales y fiscalización por parte de Sernapesca, para así asegurar “la trazabilidad y el cumplimiento de los estándares ambientales y sanitarios vigentes”.</w:t>
      </w:r>
    </w:p>
    <w:p>
      <w:pPr>
        <w:spacing w:before="20"/>
        <w:ind w:left="360"/>
      </w:pPr>
      <w:r>
        <w:rPr>
          <w:color w:val="222222"/>
          <w:sz w:val="20"/>
        </w:rPr>
        <w:t>En marzo, Urrutia había adelantado a DF que hay entre 50 a 60 concesiones que podrían ser relocalizadas con soluciones más sencillas, pero que hay otras cuyos traslados chocan con el ordenamiento legal existente, por lo que requieren cambios de carácter reglamentario y/o legal.</w:t>
      </w:r>
    </w:p>
    <w:p>
      <w:pPr>
        <w:spacing w:before="20"/>
        <w:ind w:left="360"/>
      </w:pPr>
      <w:r>
        <w:rPr>
          <w:color w:val="222222"/>
          <w:sz w:val="20"/>
        </w:rPr>
        <w:t>La relocalización se trata de una de las principales solicitudes que la acuicultura viene haciendo a las autoridades durante los últimos años. Las concesiones marítimas han sido identificadas como un ícono de la “permisología”, elevándose al sitial del trámite estatal más lento para los privados.</w:t>
      </w:r>
    </w:p>
    <w:p>
      <w:pPr>
        <w:spacing w:before="20"/>
        <w:ind w:left="360"/>
      </w:pPr>
      <w:r>
        <w:rPr>
          <w:color w:val="222222"/>
          <w:sz w:val="20"/>
        </w:rPr>
        <w:t>De hecho, el gobierno de Gabriel Boric aprobó las primeras relocalizaciones luego de 13 años y la Subsecretaría para las Fuerzas Armadas -del Ministerio de Defensa- de esa administración empujó un plan para disminuir los expedientes acumulados. La demanda de la industria no tiene que ver solo con motivos productivos -aunque sí los hay-, sino también con trasladar concesiones que han quedado en zonas que, luego de otorgarse el permiso, han quedado como espacios protegidos, lo que ha tensionado la relación de la industria con comunidades y, en algunos casos, judicializado las operaciones. Por esto, relocalizar es visto como un respiro para la industria también en ese sentido.</w:t>
      </w:r>
    </w:p>
    <w:p>
      <w:pPr>
        <w:spacing w:before="20"/>
        <w:ind w:left="360"/>
      </w:pPr>
      <w:r>
        <w:rPr>
          <w:color w:val="222222"/>
          <w:sz w:val="20"/>
        </w:rPr>
        <w:t>De a poco, las micro relocalizaciones han sido fuertemente impulsadas por parte del sector salmonero, porque creen que es la llave para comenzar a destrabar con mayor agilidad.</w:t>
      </w:r>
    </w:p>
    <w:p>
      <w:pPr>
        <w:spacing w:before="20"/>
        <w:ind w:left="360"/>
      </w:pPr>
      <w:r>
        <w:rPr>
          <w:color w:val="222222"/>
          <w:sz w:val="20"/>
        </w:rPr>
        <w:t>Urrutia planteó a DF que “hoy la normativa presenta rigideces que, en la práctica, impiden realizar ajustes básicos aún cuando estos permitan reducir riesgos sanitarios y minimizar impactos sobre el entorno”, por lo que -defendió- esta herramienta está en consonancia con el foco de brindar certezas regulatorias y “condiciones propicias para la inversión”.</w:t>
      </w:r>
    </w:p>
    <w:p>
      <w:pPr>
        <w:spacing w:before="20"/>
        <w:ind w:left="360"/>
      </w:pPr>
      <w:r>
        <w:rPr>
          <w:color w:val="222222"/>
          <w:sz w:val="20"/>
        </w:rPr>
        <w:t>Con todo, el subsecretario subrayó que no reemplaza las discusiones más estructurales sobre relocalizaciones de mayor escala, pero dijo que síes un paso “concreto, viable, potencialmente más rápido y responsable” para destrabar situaciones operativas, resguardando estándares ambientales.</w:t>
      </w:r>
    </w:p>
    <w:p>
      <w:pPr>
        <w:spacing w:before="20"/>
        <w:ind w:left="360"/>
      </w:pPr>
      <w:r>
        <w:rPr>
          <w:color w:val="222222"/>
          <w:sz w:val="20"/>
        </w:rPr>
        <w:t>Si bien hicieron hincapié en que no conocen el detalle del proyecto aún, gremios del sector entregaron sus primeras apreciaciones.</w:t>
      </w:r>
    </w:p>
    <w:p>
      <w:pPr>
        <w:spacing w:before="20"/>
        <w:ind w:left="360"/>
      </w:pPr>
      <w:r>
        <w:rPr>
          <w:color w:val="222222"/>
          <w:sz w:val="20"/>
        </w:rPr>
        <w:t>“Todo lo que entregue certezas y reglas claras para destrabar el desarrollo y crecimiento de la actividad debe contar con el apoyo de todos, sin excepción”, delineó la presidenta del Consejo del Salmón, Loreto Seguel, haciendo el punto de que toda discusión debe considerar criterios ambientales, sociales y económicos, “entendiendo que el sur de Chile no es un territorio de paso, sino el lugar donde se juega una parte importante del crecimiento del país”.</w:t>
      </w:r>
    </w:p>
    <w:p>
      <w:pPr>
        <w:spacing w:before="20"/>
        <w:ind w:left="360"/>
      </w:pPr>
      <w:r>
        <w:rPr>
          <w:color w:val="222222"/>
          <w:sz w:val="20"/>
        </w:rPr>
        <w:t>En tanto, el timonel de SalmonChile, Patricio Melero, mostró su disposición a contribuir técnicamente como asociación y señaló que “una regulación adecuada en esta materia podría mejorar significativamente la competitividad del sector, a través de una mejor performance ambiental, sanitaria y productiva de nuestras operaciones”.</w:t>
      </w:r>
    </w:p>
    <w:p>
      <w:pPr>
        <w:spacing w:before="40" w:after="120"/>
      </w:pPr>
      <w:r>
        <w:rPr>
          <w:color w:val="CCCCCC"/>
        </w:rPr>
        <w:t>· · ·</w:t>
      </w:r>
    </w:p>
    <w:p/>
    <w:p>
      <w:pPr>
        <w:pStyle w:val="Heading1"/>
      </w:pPr>
      <w:r>
        <w:rPr>
          <w:color w:val="E65000"/>
        </w:rPr>
        <w:t>🔹 Economía</w:t>
      </w:r>
    </w:p>
    <w:p>
      <w:r>
        <w:rPr>
          <w:b/>
          <w:color w:val="E65000"/>
        </w:rPr>
        <w:t xml:space="preserve">1. </w:t>
      </w:r>
      <w:r>
        <w:rPr>
          <w:b/>
          <w:sz w:val="22"/>
        </w:rPr>
        <w:t>Ad portas del anuncio de Kast: los otros mecanismos similares al DL 600 que tiene Chile</w:t>
      </w:r>
      <w:r>
        <w:rPr>
          <w:color w:val="CC7700"/>
          <w:sz w:val="18"/>
        </w:rPr>
        <w:t xml:space="preserve">  [⭐ Destacada]</w:t>
      </w:r>
    </w:p>
    <w:p>
      <w:pPr>
        <w:spacing w:before="0"/>
      </w:pPr>
      <w:r>
        <w:rPr>
          <w:color w:val="0056B3"/>
          <w:sz w:val="18"/>
        </w:rPr>
        <w:t>https://www.df.cl/economia-y-politica/df-tax/ad-portas-del-anuncio-de-kast-los-otros-mecanismos-similares-al-dl-600-que</w:t>
      </w:r>
    </w:p>
    <w:p>
      <w:pPr>
        <w:spacing w:before="20"/>
        <w:ind w:left="360"/>
      </w:pPr>
      <w:r>
        <w:rPr>
          <w:color w:val="222222"/>
          <w:sz w:val="20"/>
        </w:rPr>
        <w:t>Un informe agrupa los distintos tipos de instrumentos de invariabilidad entre el Fisco e inversionistas chilenos. Este será uno de los principales anuncios del plan misceláneo del gobierno.</w:t>
      </w:r>
    </w:p>
    <w:p>
      <w:pPr>
        <w:spacing w:before="20"/>
        <w:ind w:left="360"/>
      </w:pPr>
      <w:r>
        <w:rPr>
          <w:color w:val="222222"/>
          <w:sz w:val="20"/>
        </w:rPr>
        <w:t>Publicado: Martes 21 de abril de 2026 a las 11:30 hrs.</w:t>
      </w:r>
    </w:p>
    <w:p>
      <w:pPr>
        <w:spacing w:before="20"/>
        <w:ind w:left="360"/>
      </w:pPr>
      <w:r>
        <w:rPr>
          <w:color w:val="222222"/>
          <w:sz w:val="20"/>
        </w:rPr>
        <w:t>El ingreso al Congreso del proyecto misceláneo de reactivación y reconstrucción nacional tiene expectante al mundo político y técnico, ya que su presentación se ha dilatado producto de negociaciones de último minuto entre el gobierno y distintas bancadas parlamentarias.</w:t>
      </w:r>
    </w:p>
    <w:p>
      <w:pPr>
        <w:spacing w:before="20"/>
        <w:ind w:left="360"/>
      </w:pPr>
      <w:r>
        <w:rPr>
          <w:color w:val="222222"/>
          <w:sz w:val="20"/>
        </w:rPr>
        <w:t>Y la ansiedad se deriva de las propuestas que incorpora el proyecto para aumentar el crecimiento y la inversión, con un fuerte componente tributario: reducción del impuesto corporativo desde 27% a 23%; reintegración del sistema de impuesto a la renta; eliminación del gravamen a las ganancias de capital en operaciones bursátiles; y la suspensión por un año del IVA a la vivienda, por citar solo algunas.</w:t>
      </w:r>
    </w:p>
    <w:p>
      <w:pPr>
        <w:spacing w:before="20"/>
        <w:ind w:left="360"/>
      </w:pPr>
      <w:r>
        <w:rPr>
          <w:color w:val="222222"/>
          <w:sz w:val="20"/>
        </w:rPr>
        <w:t>Y un punto que también levanta altas expectativas es el restablecimiento de un mecanismo de invariabilidad tributaria para grandes inversiones, similar al decreto ley 600 (DL 600) que estuvo vigente hasta hace una década.</w:t>
      </w:r>
    </w:p>
    <w:p>
      <w:pPr>
        <w:spacing w:before="20"/>
        <w:ind w:left="360"/>
      </w:pPr>
      <w:r>
        <w:rPr>
          <w:color w:val="222222"/>
          <w:sz w:val="20"/>
        </w:rPr>
        <w:t>La iniciativa legal incluirá un mecanismo que asegurará una suerte de "congelamiento" de la situación tributaria para inversionistas tanto locales como extranjeros que desarrollen proyectos de inversión con un monto de a lo menos US$ 50 millones. Así, dicha invariabilidad estará asegurada por 25 años, con lo que se enfocará en proyectos de inversión de largo plazo.</w:t>
      </w:r>
    </w:p>
    <w:p>
      <w:pPr>
        <w:spacing w:before="20"/>
        <w:ind w:left="360"/>
      </w:pPr>
      <w:r>
        <w:rPr>
          <w:color w:val="222222"/>
          <w:sz w:val="20"/>
        </w:rPr>
        <w:t>Un informe elaborado por la Fundación de Estudios Sistémicos Tributarios (Fesit) enumera los seis mecanismos existentes hoy que son similares al extinto DL 600, al incorporar la figura del contrato-ley entre el Estado chileno y el mandante de una inversión.</w:t>
      </w:r>
    </w:p>
    <w:p>
      <w:pPr>
        <w:spacing w:before="20"/>
        <w:ind w:left="360"/>
      </w:pPr>
      <w:r>
        <w:rPr>
          <w:color w:val="222222"/>
          <w:sz w:val="20"/>
        </w:rPr>
        <w:t>El texto parte explicando los principales beneficios del DL 600, vigente entre 1974 y el primero de enero del 2026, el que establecía la celebración de un contrato por escritura pública, pactándose las respectivas cláusulas, suscribiéndolo directamente un representante del Estado de Chile -el presidente del Comité de Inversiones Extranjeras, hoy denominado InvestChile -y el interesado, fijando el plazo para realizar las inversiones.</w:t>
      </w:r>
    </w:p>
    <w:p>
      <w:pPr>
        <w:spacing w:before="20"/>
        <w:ind w:left="360"/>
      </w:pPr>
      <w:r>
        <w:rPr>
          <w:color w:val="222222"/>
          <w:sz w:val="20"/>
        </w:rPr>
        <w:t>En lo sustantivo, el régimen contemplaba trato no discriminatorio respecto de inversionistas nacionales; derecho a remesar capitales y utilidades al exterior; acceso garantizado al mercado cambiario formal; y, como elemento central, la posibilidad de pactar invariabilidad tributaria. O sea, la congelación del régimen impositivo aplicable (incluida la tasa del impuesto adicional y, en minería, del impuesto específico o royalty minero), por un período determinado.</w:t>
      </w:r>
    </w:p>
    <w:p>
      <w:pPr>
        <w:spacing w:before="20"/>
        <w:ind w:left="360"/>
      </w:pPr>
      <w:r>
        <w:rPr>
          <w:color w:val="222222"/>
          <w:sz w:val="20"/>
        </w:rPr>
        <w:t>"El DL 600 fue ampliamente utilizado en proyectos de gran escala - especialmente mineros- y su lógica descansaba en sustituir la sola ley por un contrato con el Estado, pudiendo el inversionista renunciar al contrato y optar por adherir a las reglas generales de tributación nacional", explica el texto.</w:t>
      </w:r>
    </w:p>
    <w:p>
      <w:pPr>
        <w:spacing w:before="20"/>
        <w:ind w:left="360"/>
      </w:pPr>
      <w:r>
        <w:rPr>
          <w:color w:val="222222"/>
          <w:sz w:val="20"/>
        </w:rPr>
        <w:t>El texto enumera los seis tipos de contrato-ley vigentes entre inversionistas y el Estado de Chile para acceder a condiciones tributarias preferenciales, en distintos ámbitos.</w:t>
      </w:r>
    </w:p>
    <w:p>
      <w:pPr>
        <w:spacing w:before="20"/>
        <w:ind w:left="360"/>
      </w:pPr>
      <w:r>
        <w:rPr>
          <w:color w:val="222222"/>
          <w:sz w:val="20"/>
        </w:rPr>
        <w:t>El primero son losContratos Especiales de Operación Petrolera (CEOP), regulados en el DL 1089 de 1975, que establece que la exploración, la explotación y el beneficio de los yacimientos que contengan sustancias no susceptibles de concesión podrán ejecutarse directamente por el Estado o por sus empresas o por medio de concesiones administrativas o de contratos especiales de operación, con los requisitos y bajo las condiciones que el Presidente de la República fije para cada caso por decreto supremo.</w:t>
      </w:r>
    </w:p>
    <w:p>
      <w:pPr>
        <w:spacing w:before="20"/>
        <w:ind w:left="360"/>
      </w:pPr>
      <w:r>
        <w:rPr>
          <w:color w:val="222222"/>
          <w:sz w:val="20"/>
        </w:rPr>
        <w:t>Así también, conforme al D.F.L. N° 302, de 1960, del Ministerio de Hacienda, que aprueba disposiciones orgánicas y reglamentarias del Ministerio de Minería, le corresponde a esta última cartera, suscribir en representación del Estado de Chile, previo informe favorable del Consejo de la Comisión Nacional de Energía, los contratos especiales de operación petrolera y ejercer directamente o por intermedio de un organismo o empresa del Estado, las funciones o derechos que el decreto supremo y el correspondiente contrato especial de operación le señalen.</w:t>
      </w:r>
    </w:p>
    <w:p>
      <w:pPr>
        <w:spacing w:before="20"/>
        <w:ind w:left="360"/>
      </w:pPr>
      <w:r>
        <w:rPr>
          <w:color w:val="222222"/>
          <w:sz w:val="20"/>
        </w:rPr>
        <w:t>Luego, el jefe de Estado establece los requisitos, términos y condiciones del contrato especial de operación petrolera que el Estado suscribirá con un particular, para luego el Ministerio de Minería o la Empresa Nacional del Petróleo (ENAP) suscriban el contrato de operación petrolera por escritura pública, pactando sus cláusulas en atención a una licitación pública previamente realizada, incluyendo en el respectivo contrato las indicaciones del específico decreto supremo.</w:t>
      </w:r>
    </w:p>
    <w:p>
      <w:pPr>
        <w:spacing w:before="20"/>
        <w:ind w:left="360"/>
      </w:pPr>
      <w:r>
        <w:rPr>
          <w:color w:val="222222"/>
          <w:sz w:val="20"/>
        </w:rPr>
        <w:t>LosContratos Especiales de Operación del Litio (CEOL)son otro tipo de mecanismo hoy vigente, La competencia para celebrar este tipo de contratos emana del inciso décimo del artículo 19 N° 24 de la Constitución Política y el artículo 8° del Código de Minería, que establecen que la exploración, la explotación y el beneficio de los yacimientos que contengan sustancias no susceptibles de concesión minera, podrán ejecutarse directamente por el Estado o por sus empresas o por medio de concesiones administrativas o de contratos especiales de operación, con los requisitos y bajo las condiciones que el Presidente de la República fije.</w:t>
      </w:r>
    </w:p>
    <w:p>
      <w:pPr>
        <w:spacing w:before="20"/>
        <w:ind w:left="360"/>
      </w:pPr>
      <w:r>
        <w:rPr>
          <w:color w:val="222222"/>
          <w:sz w:val="20"/>
        </w:rPr>
        <w:t>El decreto fuerza ley (DFL) N° 2 de 1959 es otro mecanismo similar a contrato-ley, que se traduce en las franquicias tributarias para viviendas económicas, que apuntan a viviendas de menos de 140 m2, nuevas y usadas, consistente en la exención de impuestos por los ingresos por la explotación del bien raíz y la rebaja del 50% en el pago de las contribuciones.</w:t>
      </w:r>
    </w:p>
    <w:p>
      <w:pPr>
        <w:spacing w:before="20"/>
        <w:ind w:left="360"/>
      </w:pPr>
      <w:r>
        <w:rPr>
          <w:color w:val="222222"/>
          <w:sz w:val="20"/>
        </w:rPr>
        <w:t>Adicionalmente, las viviendas nuevas gozan de la rebaja del 50% al arancel del Conservador de Bienes Raíces; la rebaja del 50% del impuesto sobre timbres y estampillas; y la exención del impuesto a la herencia y donaciones, para el caso del primer adquirente. En la actualidad, el beneficio está restringido a las personas naturales y a un máximo de dos unidades.</w:t>
      </w:r>
    </w:p>
    <w:p>
      <w:pPr>
        <w:spacing w:before="20"/>
        <w:ind w:left="360"/>
      </w:pPr>
      <w:r>
        <w:rPr>
          <w:color w:val="222222"/>
          <w:sz w:val="20"/>
        </w:rPr>
        <w:t>La Ley Navarino, de 1985, es otro de los mecanismos analizados.Este crea un régimen preferente, tributario y aduanero, para la zona geográfica al sur del Estrecho de Magallanes y hasta el Polo Sur, con vigencia hasta el año 2035, enfocado a empresas que se instalen allí y desarrollen alguna de las cinco actividades indicadas en la norma.</w:t>
      </w:r>
    </w:p>
    <w:p>
      <w:pPr>
        <w:spacing w:before="20"/>
        <w:ind w:left="360"/>
      </w:pPr>
      <w:r>
        <w:rPr>
          <w:color w:val="222222"/>
          <w:sz w:val="20"/>
        </w:rPr>
        <w:t>Las franquicias para las empresas consisten en la exención del impuesto de Primera Categoría (IDPC), con derecho a crédito contra impuestos finales; la liberación de IVA y arancel para las importaciones; la dispensa del IVA para las compras desde el resto el país y una bonificación a las ventas y servicios efectuadas desde la zona especial al resto del país, que no sea la zona de extensión de la Zona Franca de Punta Arenas.</w:t>
      </w:r>
    </w:p>
    <w:p>
      <w:pPr>
        <w:spacing w:before="20"/>
        <w:ind w:left="360"/>
      </w:pPr>
      <w:r>
        <w:rPr>
          <w:color w:val="222222"/>
          <w:sz w:val="20"/>
        </w:rPr>
        <w:t>Similar a la anterior es la Ley de Tierra del Fuego de 1992, que crea un régimen preferente, tributario y aduanero, para las comunas de Porvenir y Primavera, con vigencia hasta el año 2036, enfocado a empresas que se instalen allí y desarrollen alguna de las ocho actividades indicadas en la norma.</w:t>
      </w:r>
    </w:p>
    <w:p>
      <w:pPr>
        <w:spacing w:before="20"/>
        <w:ind w:left="360"/>
      </w:pPr>
      <w:r>
        <w:rPr>
          <w:color w:val="222222"/>
          <w:sz w:val="20"/>
        </w:rPr>
        <w:t>Las franquicias para las empresas consisten en la exención del IDPC, con derecho a crédito contra impuestos finales; la liberación de IVA y arancel para las importaciones; la dispensa del IVA para las compras desde el resto el país y la exención de contribuciones.</w:t>
      </w:r>
    </w:p>
    <w:p>
      <w:pPr>
        <w:spacing w:before="20"/>
        <w:ind w:left="360"/>
      </w:pPr>
      <w:r>
        <w:rPr>
          <w:color w:val="222222"/>
          <w:sz w:val="20"/>
        </w:rPr>
        <w:t>Mientras que un último esquema es la Ley deInmutabilidad de la Zona Franca de Iquique, publicada a fines de 1989. El sistema para el recinto franco consiste en la exención del IDPC, con derecho al 50% crédito contra impuestos finales; la liberación de arancel para las importaciones; la internación sin IVA de mercancías nacionales o nacionalizadas; y la dispensa de IVA para la venta o traslado de mercancías a la zona de extensión.</w:t>
      </w:r>
    </w:p>
    <w:p>
      <w:pPr>
        <w:spacing w:before="20"/>
        <w:ind w:left="360"/>
      </w:pPr>
      <w:r>
        <w:rPr>
          <w:color w:val="222222"/>
          <w:sz w:val="20"/>
        </w:rPr>
        <w:t>Una de las conclusiones del reportes es que para Chile,la utilización de contratos-leyes o de mecanismos contractuales que otorgan invariabilidad o estabilidad tributaria ha tenido una "importancia estratégica" en la atracción de inversión extranjera directa, particularmente en sectores intensivos en capital y de largo plazo -como la minería, la energía y la infraestructura-, en los cuales la magnitud de la inversión inicial y los extensos plazos de recuperación exigen un elevado grado de certeza jurídica y fiscal.</w:t>
      </w:r>
    </w:p>
    <w:p>
      <w:pPr>
        <w:spacing w:before="20"/>
        <w:ind w:left="360"/>
      </w:pPr>
      <w:r>
        <w:rPr>
          <w:color w:val="222222"/>
          <w:sz w:val="20"/>
        </w:rPr>
        <w:t>"Estos instrumentos han contribuido a mitigar el riesgo regulatorio percibido por los inversionistas y a reforzar la credibilidad del compromiso estatal, complementando un marco institucional que, aun siendo comparativamente sólido dentro de la región, ha estado expuesto a ciclos de reforma tributaria y a modificaciones relevantes en la carga fiscalaplicable a grandes proyectos, como lo señalamos en un informe en que tratamos esta matera en forma especial", agrega Fesit.</w:t>
      </w:r>
    </w:p>
    <w:p>
      <w:pPr>
        <w:spacing w:before="20"/>
        <w:ind w:left="360"/>
      </w:pPr>
      <w:r>
        <w:rPr>
          <w:color w:val="222222"/>
          <w:sz w:val="20"/>
        </w:rPr>
        <w:t>En este contexto, la estabilidad tributaria contractual ha operado como un "factor de competitividad" frente a otras economías en desarrollo que ofrecen garantías similares.</w:t>
      </w:r>
    </w:p>
    <w:p>
      <w:pPr>
        <w:spacing w:before="40" w:after="120"/>
      </w:pPr>
      <w:r>
        <w:rPr>
          <w:color w:val="CCCCCC"/>
        </w:rPr>
        <w:t>· · ·</w:t>
      </w:r>
    </w:p>
    <w:p>
      <w:r>
        <w:rPr>
          <w:b/>
          <w:color w:val="E65000"/>
        </w:rPr>
        <w:t xml:space="preserve">2. </w:t>
      </w:r>
      <w:r>
        <w:rPr>
          <w:b/>
          <w:sz w:val="22"/>
        </w:rPr>
        <w:t>Velasco destaca necesidad de un debate sobre crecimiento que ponga foco en productividad e innovación</w:t>
      </w:r>
      <w:r>
        <w:rPr>
          <w:color w:val="CC7700"/>
          <w:sz w:val="18"/>
        </w:rPr>
        <w:t xml:space="preserve">  [⭐ Destacada]</w:t>
      </w:r>
    </w:p>
    <w:p>
      <w:pPr>
        <w:spacing w:before="0"/>
      </w:pPr>
      <w:r>
        <w:rPr>
          <w:color w:val="0056B3"/>
          <w:sz w:val="18"/>
        </w:rPr>
        <w:t>https://www.df.cl/economia-y-politica/macro/velasco-destaca-necesidad-de-un-debate-sobre-crecimiento-que-ponga-foco-en</w:t>
      </w:r>
    </w:p>
    <w:p>
      <w:pPr>
        <w:spacing w:before="20"/>
        <w:ind w:left="360"/>
      </w:pPr>
      <w:r>
        <w:rPr>
          <w:color w:val="222222"/>
          <w:sz w:val="20"/>
        </w:rPr>
        <w:t>El exministro de Hacienda y decano de la School of Public Policy de la London School of Economics comparó la situación con el caso de México y apuntó a la baja de impuestos.</w:t>
      </w:r>
    </w:p>
    <w:p>
      <w:pPr>
        <w:spacing w:before="20"/>
        <w:ind w:left="360"/>
      </w:pPr>
      <w:r>
        <w:rPr>
          <w:color w:val="222222"/>
          <w:sz w:val="20"/>
        </w:rPr>
        <w:t>Por:Fernanda ArancibiaPublicado: Martes 21 de abril de 2026 a las 04:00 hrs.</w:t>
      </w:r>
    </w:p>
    <w:p>
      <w:pPr>
        <w:spacing w:before="20"/>
        <w:ind w:left="360"/>
      </w:pPr>
      <w:r>
        <w:rPr>
          <w:color w:val="222222"/>
          <w:sz w:val="20"/>
        </w:rPr>
        <w:t>Publicado: Martes 21 de abril de 2026 a las 04:00 hrs.</w:t>
      </w:r>
    </w:p>
    <w:p>
      <w:pPr>
        <w:spacing w:before="20"/>
        <w:ind w:left="360"/>
      </w:pPr>
      <w:r>
        <w:rPr>
          <w:color w:val="222222"/>
          <w:sz w:val="20"/>
        </w:rPr>
        <w:t>Andrés Velasco, exministro de Hacienda, durante la presentación de The London Consensus en la FEN.</w:t>
      </w:r>
    </w:p>
    <w:p>
      <w:pPr>
        <w:spacing w:before="20"/>
        <w:ind w:left="360"/>
      </w:pPr>
      <w:r>
        <w:rPr>
          <w:color w:val="222222"/>
          <w:sz w:val="20"/>
        </w:rPr>
        <w:t>Una invitación a un renovado debate sobre el crecimiento económico y los factores que lo determinan hizo el exministro de Hacienda, Andrés Velasco, al presentar el libro The London Consensus: Economic Principles for the 21st Century, del cual es coautor.</w:t>
      </w:r>
    </w:p>
    <w:p>
      <w:pPr>
        <w:spacing w:before="20"/>
        <w:ind w:left="360"/>
      </w:pPr>
      <w:r>
        <w:rPr>
          <w:color w:val="222222"/>
          <w:sz w:val="20"/>
        </w:rPr>
        <w:t>En el marco de una actividad en la Facultad de Economía y Negocios de la Universidad de Chile, el economista hizo este lunes una revisión del Consenso de Washington acuñado por John Williamson en 1989.</w:t>
      </w:r>
    </w:p>
    <w:p>
      <w:pPr>
        <w:spacing w:before="20"/>
        <w:ind w:left="360"/>
      </w:pPr>
      <w:r>
        <w:rPr>
          <w:color w:val="222222"/>
          <w:sz w:val="20"/>
        </w:rPr>
        <w:t>A 35 años de ese decálogo, destacó que el nuevo texto actualiza las medidas impulsadas en los años ‘80 y evalúa la economía mundial desde una perspectiva distinta, entendiendo que hoy está afectada por variables que antes no estaban en la palestra, como el cambio climático y la equidad de género.</w:t>
      </w:r>
    </w:p>
    <w:p>
      <w:pPr>
        <w:spacing w:before="20"/>
        <w:ind w:left="360"/>
      </w:pPr>
      <w:r>
        <w:rPr>
          <w:color w:val="222222"/>
          <w:sz w:val="20"/>
        </w:rPr>
        <w:t>Velasco destacó cinco principios básicos, entre los cuales mencionó la importancia de la expansión del Producto Interno Bruto (PIB). A diferencia del concepto de crecimiento al que se refiere Williamson en el Consenso de Washington –que apunta exclusivamente al aumento de exportaciones–, dicha variable en este libro es comprendido con un enfoque más moderno y se relaciona con conceptos como la productividad y la innovación, dijo Velasco.</w:t>
      </w:r>
    </w:p>
    <w:p>
      <w:pPr>
        <w:spacing w:before="20"/>
        <w:ind w:left="360"/>
      </w:pPr>
      <w:r>
        <w:rPr>
          <w:color w:val="222222"/>
          <w:sz w:val="20"/>
        </w:rPr>
        <w:t>Estas nuevas aristas son lo que hace que el concepto de expansión del PIB se vuelva cada vez más complejo. Ahora ya no se trata de eficiencia estática, “es mucho más difícil echar a andar el crecimiento que sencillamente liberar los precios”, como se hacía antes, señaló.</w:t>
      </w:r>
    </w:p>
    <w:p>
      <w:pPr>
        <w:spacing w:before="20"/>
        <w:ind w:left="360"/>
      </w:pPr>
      <w:r>
        <w:rPr>
          <w:color w:val="222222"/>
          <w:sz w:val="20"/>
        </w:rPr>
        <w:t>Aunque el Consenso de Washington sí logró controlar la hiperinflación en algunos casos, el marco elaborado por Williamson recibió críticas por aumentar la desigualdad y no fomentar un crecimiento económico sostenible.</w:t>
      </w:r>
    </w:p>
    <w:p>
      <w:pPr>
        <w:spacing w:before="20"/>
        <w:ind w:left="360"/>
      </w:pPr>
      <w:r>
        <w:rPr>
          <w:color w:val="222222"/>
          <w:sz w:val="20"/>
        </w:rPr>
        <w:t>En América Latina, esto se puede evidenciar en México, país que siguió las directrices del consenso del economista británico, y desde entonces ha tenido un crecimiento bajo, con 0,8% anual en 2025.</w:t>
      </w:r>
    </w:p>
    <w:p>
      <w:pPr>
        <w:spacing w:before="20"/>
        <w:ind w:left="360"/>
      </w:pPr>
      <w:r>
        <w:rPr>
          <w:color w:val="222222"/>
          <w:sz w:val="20"/>
        </w:rPr>
        <w:t>“En Chile nuestro debate sobre el crecimiento se beneficiaría de un poco más de complejidad, que no nos pase lo de México, que bajemos los impuestos y después no pase nada”, indicó Velasco.</w:t>
      </w:r>
    </w:p>
    <w:p>
      <w:pPr>
        <w:spacing w:before="20"/>
        <w:ind w:left="360"/>
      </w:pPr>
      <w:r>
        <w:rPr>
          <w:color w:val="222222"/>
          <w:sz w:val="20"/>
        </w:rPr>
        <w:t>Otro de los principios revisados en The London Consensus se relaciona con que, actualmente, los Estados se han convertido en aseguradores de última instancia. Frente a la crisis de 2008, el economista destacó las medidas tomadas por el Banco Central, institución que intervino ciertas áreas para evitar que los mercados financieros se trabaran. Para que eso ocurra, el Estado debe poder endeudarse, “tiene que tener espacio fiscal y para eso tiene que repagar en momentos buenos (...) la política tiene que ser fuerte”, explicó.</w:t>
      </w:r>
    </w:p>
    <w:p>
      <w:pPr>
        <w:spacing w:before="20"/>
        <w:ind w:left="360"/>
      </w:pPr>
      <w:r>
        <w:rPr>
          <w:color w:val="222222"/>
          <w:sz w:val="20"/>
        </w:rPr>
        <w:t>Por otra parte, Velasco fue crítico con las medidas para impulsar el desarrollo y competitividad de la industria nacional, “hemos hecho política industrial, pero bien poco, no solamente porque sea cara sino porque en Chile ha sido difícil instalar un debate fructífero al respecto” y destacó que la prioridad para el país debería ser una reforma política.</w:t>
      </w:r>
    </w:p>
    <w:p>
      <w:pPr>
        <w:spacing w:before="40" w:after="120"/>
      </w:pPr>
      <w:r>
        <w:rPr>
          <w:color w:val="CCCCCC"/>
        </w:rPr>
        <w:t>· · ·</w:t>
      </w:r>
    </w:p>
    <w:p>
      <w:r>
        <w:rPr>
          <w:b/>
          <w:color w:val="E65000"/>
        </w:rPr>
        <w:t xml:space="preserve">3. </w:t>
      </w:r>
      <w:r>
        <w:rPr>
          <w:b/>
          <w:sz w:val="22"/>
        </w:rPr>
        <w:t>Exasesores laborales de Boric critican crédito tributario y Jara respalda medida, pero con foco en PYME</w:t>
      </w:r>
      <w:r>
        <w:rPr>
          <w:color w:val="CC7700"/>
          <w:sz w:val="18"/>
        </w:rPr>
        <w:t xml:space="preserve">  [⭐ Destacada]</w:t>
      </w:r>
    </w:p>
    <w:p>
      <w:pPr>
        <w:spacing w:before="0"/>
      </w:pPr>
      <w:r>
        <w:rPr>
          <w:color w:val="0056B3"/>
          <w:sz w:val="18"/>
        </w:rPr>
        <w:t>https://www.df.cl/economia-y-politica/macro/exasesores-laborales-de-boric-critican-credito-tributario-y-jara-respalda</w:t>
      </w:r>
    </w:p>
    <w:p>
      <w:pPr>
        <w:spacing w:before="20"/>
        <w:ind w:left="360"/>
      </w:pPr>
      <w:r>
        <w:rPr>
          <w:color w:val="222222"/>
          <w:sz w:val="20"/>
        </w:rPr>
        <w:t>La excandidata presidencial dijo que “podría ser un buen impulso”, siempre y cuando se enfoque en las empresas de menor tamaño.</w:t>
      </w:r>
    </w:p>
    <w:p>
      <w:pPr>
        <w:spacing w:before="20"/>
        <w:ind w:left="360"/>
      </w:pPr>
      <w:r>
        <w:rPr>
          <w:color w:val="222222"/>
          <w:sz w:val="20"/>
        </w:rPr>
        <w:t>Publicado: Martes 21 de abril de 2026 a las 04:00 hrs.</w:t>
      </w:r>
    </w:p>
    <w:p>
      <w:pPr>
        <w:spacing w:before="20"/>
        <w:ind w:left="360"/>
      </w:pPr>
      <w:r>
        <w:rPr>
          <w:color w:val="222222"/>
          <w:sz w:val="20"/>
        </w:rPr>
        <w:t>Siguen las reacciones a la decisión del gobierno de incluir en el proyecto misceláneo de reconstrucción un crédito tributario enfocado en reducir el costo efectivo de contratar trabajadores.</w:t>
      </w:r>
    </w:p>
    <w:p>
      <w:pPr>
        <w:spacing w:before="20"/>
        <w:ind w:left="360"/>
      </w:pPr>
      <w:r>
        <w:rPr>
          <w:color w:val="222222"/>
          <w:sz w:val="20"/>
        </w:rPr>
        <w:t>El esquema contempla cubrir hasta un 15% de la remuneración bruta y se aplicaría como descuento contra el Pago Provisional Mensual (PPM), sujeto al cumplimiento de las obligaciones, con el fin de beneficiar a empresas que mantengan contratadas formalmente a personas con sueldos inferiores a 1,5 ingresos mínimos mensuales (IMM).</w:t>
      </w:r>
    </w:p>
    <w:p>
      <w:pPr>
        <w:spacing w:before="20"/>
        <w:ind w:left="360"/>
      </w:pPr>
      <w:r>
        <w:rPr>
          <w:color w:val="222222"/>
          <w:sz w:val="20"/>
        </w:rPr>
        <w:t>Según expuso una minuta elaborada por Fidel Bennett, Nicolás Selamé, Nicolás Ratto y Sergio Herrera -todos exintegrantes del Ministerio del Trabajo en la administración Boric- la medida no tendría el impacto esperado por el Ejecutivo.</w:t>
      </w:r>
    </w:p>
    <w:p>
      <w:pPr>
        <w:spacing w:before="20"/>
        <w:ind w:left="360"/>
      </w:pPr>
      <w:r>
        <w:rPr>
          <w:color w:val="222222"/>
          <w:sz w:val="20"/>
        </w:rPr>
        <w:t>El grupo, basado en datos de la Encuesta Suplementaria de Ingresos de INE 2024 (ESI) y el Informe de Política Monetaria (IPoM) de septiembre de 2025 del Banco Central -en particular el recuadro que analizó el impacto del salario mínimo en el empleo- dimensionó el efecto.</w:t>
      </w:r>
    </w:p>
    <w:p>
      <w:pPr>
        <w:spacing w:before="20"/>
        <w:ind w:left="360"/>
      </w:pPr>
      <w:r>
        <w:rPr>
          <w:color w:val="222222"/>
          <w:sz w:val="20"/>
        </w:rPr>
        <w:t>Acorde con la ESI estimaron que al menos 2.232.968 trabajadores asalariados privados formales estarían en el rango salarial relevante para el subsidio (0,01 IMM y 1,49 IMM). De estos, 716.417, es decir cerca de un tercio, se desempeñan en grandes firmas. “Esto quiere decir que una fracción muy relevante de los recursos involucrados en esta medida no va a MiPYME, sino a grandes empresas que pagan bajos salarios”, expuso el texto.</w:t>
      </w:r>
    </w:p>
    <w:p>
      <w:pPr>
        <w:spacing w:before="20"/>
        <w:ind w:left="360"/>
      </w:pPr>
      <w:r>
        <w:rPr>
          <w:color w:val="222222"/>
          <w:sz w:val="20"/>
        </w:rPr>
        <w:t>Asumiendo distintos escenarios de sueldos, el costo anual del crédito tributario estaría en torno a US$ 1.728 millones, y tendría una “baja capacidad creadora de empleo, entre 38 mil y 50 mil empleos más, una proporción muy menor comparada con las 860 mil personas desocupadas y muy poco eficaz si la meta es una tasa de desocupación de 6,5% a 2030, lo que es declarativo de que no es en realidad una política de empleo, sino una política tributaria más de este proyecto de ley”.</w:t>
      </w:r>
    </w:p>
    <w:p>
      <w:pPr>
        <w:spacing w:before="20"/>
        <w:ind w:left="360"/>
      </w:pPr>
      <w:r>
        <w:rPr>
          <w:color w:val="222222"/>
          <w:sz w:val="20"/>
        </w:rPr>
        <w:t>Consultado por el tema, Fidel Bennett, exjefe de Políticas de Empleo, Ministerio del Trabajo y socio del Estudio La Firma, consideró crucial conocer el informe financiero de la iniciativa para dimensionar su impacto. No obstante, recalcó que, con la información conocida hasta el momento, es una política pública “muy costosa para el país en términos de recaudación, y genera poco empleo”.</w:t>
      </w:r>
    </w:p>
    <w:p>
      <w:pPr>
        <w:spacing w:before="20"/>
        <w:ind w:left="360"/>
      </w:pPr>
      <w:r>
        <w:rPr>
          <w:color w:val="222222"/>
          <w:sz w:val="20"/>
        </w:rPr>
        <w:t>Quien también se refirió al tema este lunes fue la excandidata presidencial y profesora de la Universidad de Santiago, Jeannette Jara.</w:t>
      </w:r>
    </w:p>
    <w:p>
      <w:pPr>
        <w:spacing w:before="20"/>
        <w:ind w:left="360"/>
      </w:pPr>
      <w:r>
        <w:rPr>
          <w:color w:val="222222"/>
          <w:sz w:val="20"/>
        </w:rPr>
        <w:t>En conversación con T13 Radio, dijo que “hay herramientas en estos anuncios que se han hecho, anuncios misteriosos porque todavía no conocemos el proyecto de ley, que pueden ser interesantes de revisar”.</w:t>
      </w:r>
    </w:p>
    <w:p>
      <w:pPr>
        <w:spacing w:before="20"/>
        <w:ind w:left="360"/>
      </w:pPr>
      <w:r>
        <w:rPr>
          <w:color w:val="222222"/>
          <w:sz w:val="20"/>
        </w:rPr>
        <w:t>En su opinión, “podría ser un buen impulso una de las cosas que propone el proyecto del Presidente Kast, que se entrega un crédito por remuneraciones, o sea, un descuento a las empresas que más contraten gente, ojalá eso tenga un foco especial en las PYME”, y agregó que eso podría hacer más intensiva la mano de obra en algunos sectores.</w:t>
      </w:r>
    </w:p>
    <w:p>
      <w:pPr>
        <w:spacing w:before="20"/>
        <w:ind w:left="360"/>
      </w:pPr>
      <w:r>
        <w:rPr>
          <w:color w:val="222222"/>
          <w:sz w:val="20"/>
        </w:rPr>
        <w:t>Consultada por el curso del proyecto, Jara afirmó que “votaría a favor de la idea de legislar, porque los debates no se pueden negar en Chile. Al contrario de algunas personas, por más que discrepe incluso de fondo, uno no puede negarse a debatir. Lo que sí me parece es que hay que negarse de fondo a temas como rebajarles los impuestos a los más ricos del país”.</w:t>
      </w:r>
    </w:p>
    <w:p>
      <w:pPr>
        <w:spacing w:before="20"/>
        <w:ind w:left="360"/>
      </w:pPr>
      <w:r>
        <w:rPr>
          <w:color w:val="222222"/>
          <w:sz w:val="20"/>
        </w:rPr>
        <w:t>Si bien a nivel técnico hay una valoración de la medida, existen algunas inquietudes. Para Patricio Ramírez, economista y director de ingeniería comercial de la Universidad de La Frontera, la decisión del gobierno tiene la ventaja “de que conlleva un menor gasto fiscal inmediato, ya que no implica transferencias directas, sino menor recaudación futura. Eso es un punto a favor desde la sostenibilidad fiscal”.</w:t>
      </w:r>
    </w:p>
    <w:p>
      <w:pPr>
        <w:spacing w:before="20"/>
        <w:ind w:left="360"/>
      </w:pPr>
      <w:r>
        <w:rPr>
          <w:color w:val="222222"/>
          <w:sz w:val="20"/>
        </w:rPr>
        <w:t>Sin embargo, cree que un elemento que podría generar distorsiones es el tope de renta que entran al beneficio. Para él, “esto podría incentivar la contratación, pero solo de rentas bajas-medias y/o hacer que las empresas reemplacen trabajadores caros por más baratos para aprovechar el crédito”.</w:t>
      </w:r>
    </w:p>
    <w:p>
      <w:pPr>
        <w:spacing w:before="20"/>
        <w:ind w:left="360"/>
      </w:pPr>
      <w:r>
        <w:rPr>
          <w:color w:val="222222"/>
          <w:sz w:val="20"/>
        </w:rPr>
        <w:t>Quien también entregó una positiva mirada respecto a la medida fue el director del Observatorio del Contexto Económico de la UDP, Juan Bravo. “En principio es una medida positiva, porque incluso aunque no sea tan potente el impacto sobre la creación de nuevos empleos, en este contexto de desplome anual del empleo asalariado formal en las MiPYME, con retener ya es algo positivo”, dijo.</w:t>
      </w:r>
    </w:p>
    <w:p>
      <w:pPr>
        <w:spacing w:before="40" w:after="120"/>
      </w:pPr>
      <w:r>
        <w:rPr>
          <w:color w:val="CCCCCC"/>
        </w:rPr>
        <w:t>· · ·</w:t>
      </w:r>
    </w:p>
    <w:p/>
    <w:p>
      <w:pPr>
        <w:pStyle w:val="Heading1"/>
      </w:pPr>
      <w:r>
        <w:rPr>
          <w:color w:val="E65000"/>
        </w:rPr>
        <w:t>🔹 Internacional</w:t>
      </w:r>
    </w:p>
    <w:p>
      <w:r>
        <w:rPr>
          <w:b/>
          <w:color w:val="E65000"/>
        </w:rPr>
        <w:t xml:space="preserve">1. </w:t>
      </w:r>
      <w:r>
        <w:rPr>
          <w:b/>
          <w:sz w:val="22"/>
        </w:rPr>
        <w:t>Kevin Warsh, nominado de Trump a la Fed, plantea un nuevo marco en el central para abordar la inflación</w:t>
      </w:r>
      <w:r>
        <w:rPr>
          <w:color w:val="CC7700"/>
          <w:sz w:val="18"/>
        </w:rPr>
        <w:t xml:space="preserve">  [⭐ Destacada]</w:t>
      </w:r>
    </w:p>
    <w:p>
      <w:pPr>
        <w:spacing w:before="0"/>
      </w:pPr>
      <w:r>
        <w:rPr>
          <w:color w:val="0056B3"/>
          <w:sz w:val="18"/>
        </w:rPr>
        <w:t>https://www.df.cl/internacional/economia/kevin-warsh-nominado-de-trump-a-la-fed-plantea-un-nuevo-marco-en-el</w:t>
      </w:r>
    </w:p>
    <w:p>
      <w:pPr>
        <w:spacing w:before="20"/>
        <w:ind w:left="360"/>
      </w:pPr>
      <w:r>
        <w:rPr>
          <w:color w:val="222222"/>
          <w:sz w:val="20"/>
        </w:rPr>
        <w:t>En una audiencia ante el Comité Bancario del Senado, el ejecutivo banquero dijo que vendrá un cambio de régimen en la conducción de la política del ente emisor y descartó referirse a si Trump perdió las elecciones de 2020.</w:t>
      </w:r>
    </w:p>
    <w:p>
      <w:pPr>
        <w:spacing w:before="20"/>
        <w:ind w:left="360"/>
      </w:pPr>
      <w:r>
        <w:rPr>
          <w:color w:val="222222"/>
          <w:sz w:val="20"/>
        </w:rPr>
        <w:t>Por:BloombergPublicado: Martes 21 de abril de 2026 a las 11:44 hrs.</w:t>
      </w:r>
    </w:p>
    <w:p>
      <w:pPr>
        <w:spacing w:before="20"/>
        <w:ind w:left="360"/>
      </w:pPr>
      <w:r>
        <w:rPr>
          <w:color w:val="222222"/>
          <w:sz w:val="20"/>
        </w:rPr>
        <w:t>Publicado: Martes 21 de abril de 2026 a las 11:44 hrs.</w:t>
      </w:r>
    </w:p>
    <w:p>
      <w:pPr>
        <w:spacing w:before="20"/>
        <w:ind w:left="360"/>
      </w:pPr>
      <w:r>
        <w:rPr>
          <w:color w:val="222222"/>
          <w:sz w:val="20"/>
        </w:rPr>
        <w:t>Kevin Warsh,el nominado del Presidente Donald Trump para dirigir el banco central de Estados Unidos, afirmó quela Reserva Federal (Fed)necesita un nuevo marco para hacer frente a la inflación persistente, sin ofrecer más detalles.</w:t>
      </w:r>
    </w:p>
    <w:p>
      <w:pPr>
        <w:spacing w:before="20"/>
        <w:ind w:left="360"/>
      </w:pPr>
      <w:r>
        <w:rPr>
          <w:color w:val="222222"/>
          <w:sz w:val="20"/>
        </w:rPr>
        <w:t>Al inicio de su testimonio,Warshresponsabilizó a la Fed por permitir que la inflación se disparara tras la pandemia de Covid-19 yseñaló que los altos precios siguen siendo un problema para los estadounidenses.</w:t>
      </w:r>
    </w:p>
    <w:p>
      <w:pPr>
        <w:spacing w:before="20"/>
        <w:ind w:left="360"/>
      </w:pPr>
      <w:r>
        <w:rPr>
          <w:color w:val="222222"/>
          <w:sz w:val="20"/>
        </w:rPr>
        <w:t>“Aunque es cierto que la inflación es menos problemática, en el sentido de que el ritmo de aumento de los precios es menor que hace algunos años, los estadounidenses que trabajan duro sin duda la siguen sintiendo”, señaló Warsh este martes en una audiencia ante el Comité Bancario del Senado. “Creo que eso implica un cambio de régimen en la conducción de la política. Creo que eso significa un marco de inflación distinto y nuevo”.</w:t>
      </w:r>
    </w:p>
    <w:p>
      <w:pPr>
        <w:spacing w:before="20"/>
        <w:ind w:left="360"/>
      </w:pPr>
      <w:r>
        <w:rPr>
          <w:color w:val="222222"/>
          <w:sz w:val="20"/>
        </w:rPr>
        <w:t>Warsh no precisó qué implicaría esto para las tasas de interés.</w:t>
      </w:r>
    </w:p>
    <w:p>
      <w:pPr>
        <w:spacing w:before="120"/>
        <w:ind w:left="360"/>
      </w:pPr>
      <w:r>
        <w:rPr>
          <w:b/>
          <w:color w:val="E65000"/>
          <w:sz w:val="26"/>
        </w:rPr>
        <w:t xml:space="preserve"> </w:t>
      </w:r>
    </w:p>
    <w:p>
      <w:pPr>
        <w:spacing w:before="20"/>
        <w:ind w:left="360"/>
      </w:pPr>
      <w:r>
        <w:rPr>
          <w:color w:val="222222"/>
          <w:sz w:val="20"/>
        </w:rPr>
        <w:t>Consultado por la senadora Elizabeth Warren sobre si Trump había perdido las elecciones presidenciales de 2020,Warsh evitó responder directamente y señaló que el Congreso certificó a Joe Biden como presidente tras esos comicios.</w:t>
      </w:r>
    </w:p>
    <w:p>
      <w:pPr>
        <w:spacing w:before="20"/>
        <w:ind w:left="360"/>
      </w:pPr>
      <w:r>
        <w:rPr>
          <w:color w:val="222222"/>
          <w:sz w:val="20"/>
        </w:rPr>
        <w:t>Warsh también enfatizó que vendería cualquier activo no revelado antes de asumir como presidente de la Fed.</w:t>
      </w:r>
    </w:p>
    <w:p>
      <w:pPr>
        <w:spacing w:before="20"/>
        <w:ind w:left="360"/>
      </w:pPr>
      <w:r>
        <w:rPr>
          <w:color w:val="222222"/>
          <w:sz w:val="20"/>
        </w:rPr>
        <w:t>Warsh y su esposa, Jane Lauder, declararon activos por al menos US$ 192 millones en los informes financieros presentados como parte de su nominación. Sin embargo, su patrimonio total probablemente sea mucho mayor, lo que lo convierte en uno de los funcionarios más ricos en la historia del banco central.</w:t>
      </w:r>
    </w:p>
    <w:p>
      <w:pPr>
        <w:spacing w:before="40" w:after="120"/>
      </w:pPr>
      <w:r>
        <w:rPr>
          <w:color w:val="CCCCCC"/>
        </w:rPr>
        <w:t>· · ·</w:t>
      </w:r>
    </w:p>
    <w:p>
      <w:r>
        <w:rPr>
          <w:b/>
          <w:color w:val="E65000"/>
        </w:rPr>
        <w:t xml:space="preserve">2. </w:t>
      </w:r>
      <w:r>
        <w:rPr>
          <w:b/>
          <w:sz w:val="22"/>
        </w:rPr>
        <w:t>Trump reitera que espera un "gran acuerdo" con Irán en medio de la incertidumbre sobre las conversaciones de paz</w:t>
      </w:r>
      <w:r>
        <w:rPr>
          <w:color w:val="CC7700"/>
          <w:sz w:val="18"/>
        </w:rPr>
        <w:t xml:space="preserve">  [⭐ Destacada]</w:t>
      </w:r>
    </w:p>
    <w:p>
      <w:pPr>
        <w:spacing w:before="0"/>
      </w:pPr>
      <w:r>
        <w:rPr>
          <w:color w:val="0056B3"/>
          <w:sz w:val="18"/>
        </w:rPr>
        <w:t>https://www.df.cl/internacional/politica/trump-espera-un-gran-acuerdo-en-medio-de-la-incertidumbre-sobre-las</w:t>
      </w:r>
    </w:p>
    <w:p>
      <w:pPr>
        <w:spacing w:before="20"/>
        <w:ind w:left="360"/>
      </w:pPr>
      <w:r>
        <w:rPr>
          <w:color w:val="222222"/>
          <w:sz w:val="20"/>
        </w:rPr>
        <w:t>Sin embargo, dijo que no espera extender el alto el fuego que expira este miércoles.</w:t>
      </w:r>
    </w:p>
    <w:p>
      <w:pPr>
        <w:spacing w:before="20"/>
        <w:ind w:left="360"/>
      </w:pPr>
      <w:r>
        <w:rPr>
          <w:color w:val="222222"/>
          <w:sz w:val="20"/>
        </w:rPr>
        <w:t>Publicado: Martes 21 de abril de 2026 a las 11:35 hrs.</w:t>
      </w:r>
    </w:p>
    <w:p>
      <w:pPr>
        <w:spacing w:before="20"/>
        <w:ind w:left="360"/>
      </w:pPr>
      <w:r>
        <w:rPr>
          <w:color w:val="222222"/>
          <w:sz w:val="20"/>
        </w:rPr>
        <w:t>El Presidente de Estados Unidos, Donald Trump, se mostró este martes nuevamente optimista respecto a las conversaciones de paz con Irán, que se espera que tengan lugar esta semana.</w:t>
      </w:r>
    </w:p>
    <w:p>
      <w:pPr>
        <w:spacing w:before="20"/>
        <w:ind w:left="360"/>
      </w:pPr>
      <w:r>
        <w:rPr>
          <w:color w:val="222222"/>
          <w:sz w:val="20"/>
        </w:rPr>
        <w:t>“Vamos a conseguir un gran trato... no tienen otra opción”, declaró en una entrevista en el programa “Squawk Box” de CNBC, cuando se le preguntó qué esperaba que resultara de una segunda ronda de negociaciones con Teherán.</w:t>
      </w:r>
    </w:p>
    <w:p>
      <w:pPr>
        <w:spacing w:before="20"/>
        <w:ind w:left="360"/>
      </w:pPr>
      <w:r>
        <w:rPr>
          <w:color w:val="222222"/>
          <w:sz w:val="20"/>
        </w:rPr>
        <w:t>“Hemos destruido su armada, hemos destruido su fuerza aérea, hemos destruido a sus líderes”, agregó el mandatario republicano.</w:t>
      </w:r>
    </w:p>
    <w:p>
      <w:pPr>
        <w:spacing w:before="20"/>
        <w:ind w:left="360"/>
      </w:pPr>
      <w:r>
        <w:rPr>
          <w:color w:val="222222"/>
          <w:sz w:val="20"/>
        </w:rPr>
        <w:t>Eso sí, afirmó que no espera extender el alto el fuego que expira el miércoles.“Bueno, no quiero hacer eso”, señaló.</w:t>
      </w:r>
    </w:p>
    <w:p>
      <w:pPr>
        <w:spacing w:before="120"/>
        <w:ind w:left="360"/>
      </w:pPr>
      <w:r>
        <w:rPr>
          <w:b/>
          <w:color w:val="E65000"/>
          <w:sz w:val="26"/>
        </w:rPr>
        <w:t xml:space="preserve"> </w:t>
      </w:r>
    </w:p>
    <w:p>
      <w:pPr>
        <w:spacing w:before="20"/>
        <w:ind w:left="360"/>
      </w:pPr>
      <w:r>
        <w:rPr>
          <w:color w:val="222222"/>
          <w:sz w:val="20"/>
        </w:rPr>
        <w:t>Sin embargo, el ministro de Información de Pakistán dijo que Islamabad no había recibido una "respuesta formal" de Irán sobre si asistiría a las conversaciones.</w:t>
      </w:r>
    </w:p>
    <w:p>
      <w:pPr>
        <w:spacing w:before="20"/>
        <w:ind w:left="360"/>
      </w:pPr>
      <w:r>
        <w:rPr>
          <w:color w:val="222222"/>
          <w:sz w:val="20"/>
        </w:rPr>
        <w:t>Se espera que el vicepresidente JD Vance y altos funcionarios estadounidenses partan pronto de Washington para mantener conversaciones en Pakistán. Sin embargo, Irán aún no ha confirmado su asistencia.</w:t>
      </w:r>
    </w:p>
    <w:p>
      <w:pPr>
        <w:spacing w:before="20"/>
        <w:ind w:left="360"/>
      </w:pPr>
      <w:r>
        <w:rPr>
          <w:color w:val="222222"/>
          <w:sz w:val="20"/>
        </w:rPr>
        <w:t>El alto al fuego entre EEUU e Irán, mediado por Pakistán y acordado a principios de este mes, expiraba a las 4:50 a. m. hora local del miércoles en Pakistán. Tarar instó a Irán a que comunicara su decisión de asistir a las conversaciones antes de la fecha límite, calificándola de crucial.</w:t>
      </w:r>
    </w:p>
    <w:p>
      <w:pPr>
        <w:spacing w:before="20"/>
        <w:ind w:left="360"/>
      </w:pPr>
      <w:r>
        <w:rPr>
          <w:color w:val="222222"/>
          <w:sz w:val="20"/>
        </w:rPr>
        <w:t>Fuerzas estadounidenses abordaron un buque petrolero en la región del Indo-Pacífico durante la noche, mientras Washington intensifica su persecución de los buques vinculados a Irán.</w:t>
      </w:r>
    </w:p>
    <w:p>
      <w:pPr>
        <w:spacing w:before="20"/>
        <w:ind w:left="360"/>
      </w:pPr>
      <w:r>
        <w:rPr>
          <w:color w:val="222222"/>
          <w:sz w:val="20"/>
        </w:rPr>
        <w:t>Los precios del petróleo bajaron ligeramente y las bolsas mundiales subieron.</w:t>
      </w:r>
    </w:p>
    <w:p>
      <w:pPr>
        <w:spacing w:before="40" w:after="120"/>
      </w:pPr>
      <w:r>
        <w:rPr>
          <w:color w:val="CCCCCC"/>
        </w:rPr>
        <w:t>· · ·</w:t>
      </w:r>
    </w:p>
    <w:p>
      <w:r>
        <w:rPr>
          <w:b/>
          <w:color w:val="E65000"/>
        </w:rPr>
        <w:t xml:space="preserve">3. </w:t>
      </w:r>
      <w:r>
        <w:rPr>
          <w:b/>
          <w:sz w:val="22"/>
        </w:rPr>
        <w:t>El próximo CEO de Apple, John Ternus, enfrenta un momento decisivo en la IA</w:t>
      </w:r>
      <w:r>
        <w:rPr>
          <w:color w:val="CC7700"/>
          <w:sz w:val="18"/>
        </w:rPr>
        <w:t xml:space="preserve">  [⭐ Destacada]</w:t>
      </w:r>
    </w:p>
    <w:p>
      <w:pPr>
        <w:spacing w:before="0"/>
      </w:pPr>
      <w:r>
        <w:rPr>
          <w:color w:val="0056B3"/>
          <w:sz w:val="18"/>
        </w:rPr>
        <w:t>https://www.df.cl/internacional/ft/el-proximo-ceo-de-apple-john-ternus-enfrenta-un-momento-decisivo-en-la-ia</w:t>
      </w:r>
    </w:p>
    <w:p>
      <w:pPr>
        <w:spacing w:before="20"/>
        <w:ind w:left="360"/>
      </w:pPr>
      <w:r>
        <w:rPr>
          <w:color w:val="222222"/>
          <w:sz w:val="20"/>
        </w:rPr>
        <w:t>El reemplazante de Tim Cook deberá liderar al fabricante del iPhone en medio de un cambio de industria.</w:t>
      </w:r>
    </w:p>
    <w:p>
      <w:pPr>
        <w:spacing w:before="20"/>
        <w:ind w:left="360"/>
      </w:pPr>
      <w:r>
        <w:rPr>
          <w:color w:val="222222"/>
          <w:sz w:val="20"/>
        </w:rPr>
        <w:t>Por:Financial TimesPublicado: Martes 21 de abril de 2026 a las 09:00 hrs.</w:t>
      </w:r>
    </w:p>
    <w:p>
      <w:pPr>
        <w:spacing w:before="20"/>
        <w:ind w:left="360"/>
      </w:pPr>
      <w:r>
        <w:rPr>
          <w:color w:val="222222"/>
          <w:sz w:val="20"/>
        </w:rPr>
        <w:t>Publicado: Martes 21 de abril de 2026 a las 09:00 hrs.</w:t>
      </w:r>
    </w:p>
    <w:p>
      <w:pPr>
        <w:spacing w:before="20"/>
        <w:ind w:left="360"/>
      </w:pPr>
      <w:r>
        <w:rPr>
          <w:color w:val="222222"/>
          <w:sz w:val="20"/>
        </w:rPr>
        <w:t>Ternus asumirá como CEO de Apple en septiembre. (Foto: Bloomberg)</w:t>
      </w:r>
    </w:p>
    <w:p>
      <w:pPr>
        <w:spacing w:before="20"/>
        <w:ind w:left="360"/>
      </w:pPr>
      <w:r>
        <w:rPr>
          <w:color w:val="222222"/>
          <w:sz w:val="20"/>
        </w:rPr>
        <w:t>John Ternusasumirá como CEO de Apple en septiembre, en un momento de tensión poco habitual para el gigante de Silicon Valley, mientras enfrenta dudassobre su posición en inteligencia artificial (IA) y una cadena de suministro global más frágil.</w:t>
      </w:r>
    </w:p>
    <w:p>
      <w:pPr>
        <w:spacing w:before="20"/>
        <w:ind w:left="360"/>
      </w:pPr>
      <w:r>
        <w:rPr>
          <w:color w:val="222222"/>
          <w:sz w:val="20"/>
        </w:rPr>
        <w:t>El ingeniero de hardware de 50 años, con 25 años en el fabricante del iPhone, ha asociado silenciosamente su nombre a algunas de las mayores apuestas de Apple en la última década.</w:t>
      </w:r>
    </w:p>
    <w:p>
      <w:pPr>
        <w:spacing w:before="20"/>
        <w:ind w:left="360"/>
      </w:pPr>
      <w:r>
        <w:rPr>
          <w:color w:val="222222"/>
          <w:sz w:val="20"/>
        </w:rPr>
        <w:t>Pero para inversionistas y empleados, la transición pondrá a prueba si el negocio de Apple -construido sobre su fortaleza en hardware y disciplina operativa-puede adaptarse a una industria que está siendo redefinida por la IA generativa.</w:t>
      </w:r>
    </w:p>
    <w:p>
      <w:pPr>
        <w:spacing w:before="20"/>
        <w:ind w:left="360"/>
      </w:pPr>
      <w:r>
        <w:rPr>
          <w:color w:val="222222"/>
          <w:sz w:val="20"/>
        </w:rPr>
        <w:t>La compañía ha sido más lenta que sus rivales en desplegar funciones de IA disruptivas, lo que ha generado dudas sobre si su próximo director ejecutivo deberá redefinir, más que extender, la estrategia que la convirtió en un gigante de US$ 4 billones.</w:t>
      </w:r>
    </w:p>
    <w:p>
      <w:pPr>
        <w:spacing w:before="20"/>
        <w:ind w:left="360"/>
      </w:pPr>
      <w:r>
        <w:rPr>
          <w:color w:val="222222"/>
          <w:sz w:val="20"/>
        </w:rPr>
        <w:t>“La pregunta es si tiene el apetito para tomar decisiones audaces, a veces incómodas, que exige definir una nueva plataforma”, escribióFrancisco Jeronimo, de IDC. “Construir una plataforma de IA que desarrolladores y empresas adopten genuinamente es un desafío distinto”.</w:t>
      </w:r>
    </w:p>
    <w:p>
      <w:pPr>
        <w:spacing w:before="20"/>
        <w:ind w:left="360"/>
      </w:pPr>
      <w:r>
        <w:rPr>
          <w:color w:val="222222"/>
          <w:sz w:val="20"/>
        </w:rPr>
        <w:t>Colegas lo describen como una figura discreta y sin pretensiones, que ha construido una reputación de competencia a medida que crecían sus responsabilidades.</w:t>
      </w:r>
    </w:p>
    <w:p>
      <w:pPr>
        <w:spacing w:before="20"/>
        <w:ind w:left="360"/>
      </w:pPr>
      <w:r>
        <w:rPr>
          <w:color w:val="222222"/>
          <w:sz w:val="20"/>
        </w:rPr>
        <w:t>“Es como un papá… simplemente un buen tipo”, dijo un exejecutivo de Apple. “Curiosamente es parte de la ‘vieja guardia’, pero al mismo tiempo sigue siendo bastante joven”.</w:t>
      </w:r>
    </w:p>
    <w:p>
      <w:pPr>
        <w:spacing w:before="20"/>
        <w:ind w:left="360"/>
      </w:pPr>
      <w:r>
        <w:rPr>
          <w:color w:val="222222"/>
          <w:sz w:val="20"/>
        </w:rPr>
        <w:t>Rol en AppleBajo la supervisión de Ternus como jefe de hardware, Apple ha experimentado con nuevos dispositivos para expandirse más allá del iPhone, además de lanzar modelos que se apartan de su ciclo anual típico.</w:t>
      </w:r>
    </w:p>
    <w:p>
      <w:pPr>
        <w:spacing w:before="20"/>
        <w:ind w:left="360"/>
      </w:pPr>
      <w:r>
        <w:rPr>
          <w:color w:val="222222"/>
          <w:sz w:val="20"/>
        </w:rPr>
        <w:t>Ha sido la cara visible de esos cambios, incluyendo eliPhone Air “delgado”,lanzado a fines del año pasado, y elMacBook Neo, la entrada de Apple al segmento de laptops asequibles, presentado el mes pasado.</w:t>
      </w:r>
    </w:p>
    <w:p>
      <w:pPr>
        <w:spacing w:before="20"/>
        <w:ind w:left="360"/>
      </w:pPr>
      <w:r>
        <w:rPr>
          <w:color w:val="222222"/>
          <w:sz w:val="20"/>
        </w:rPr>
        <w:t>No todos han sido éxitos contundentes. El iPhone Air, que marcó el mayor cambio de diseño del iPhone en años, resultó ser un fracaso comercial relativo. El visorVision Pro,también bajo su supervisión, reportó ventas decepcionantes.</w:t>
      </w:r>
    </w:p>
    <w:p>
      <w:pPr>
        <w:spacing w:before="20"/>
        <w:ind w:left="360"/>
      </w:pPr>
      <w:r>
        <w:rPr>
          <w:color w:val="222222"/>
          <w:sz w:val="20"/>
        </w:rPr>
        <w:t>Pero un excolega señaló que las habilidades técnicas de Ternus le permitirían diferenciarse de sus dos predecesores: “desde el foco de Steve Jobs en la narrativa de producto y el marketing, pasando por la excelencia operativa de Tim Cook… y ahora hacia un equipo directivo profundamente arraigado en la ingeniería”.</w:t>
      </w:r>
    </w:p>
    <w:p>
      <w:pPr>
        <w:spacing w:before="20"/>
        <w:ind w:left="360"/>
      </w:pPr>
      <w:r>
        <w:rPr>
          <w:color w:val="222222"/>
          <w:sz w:val="20"/>
        </w:rPr>
        <w:t>Cook ha señalado durante años que su sucesor debería surgir desde dentro de la compañía. Su mano derecha,Jeff Williams,dejó Apple en noviembre y luego se integró al directorio deThe Walt Disney Company,quedando fuera de la carrera.</w:t>
      </w:r>
    </w:p>
    <w:p>
      <w:pPr>
        <w:spacing w:before="20"/>
        <w:ind w:left="360"/>
      </w:pPr>
      <w:r>
        <w:rPr>
          <w:color w:val="222222"/>
          <w:sz w:val="20"/>
        </w:rPr>
        <w:t>Ternus superó así a otros altos ejecutivos más reconocidos,incluyendo al jefe de software Craig Federighi y al jefe de marketing Greg Joswiak.</w:t>
      </w:r>
    </w:p>
    <w:p>
      <w:pPr>
        <w:spacing w:before="20"/>
        <w:ind w:left="360"/>
      </w:pPr>
      <w:r>
        <w:rPr>
          <w:color w:val="222222"/>
          <w:sz w:val="20"/>
        </w:rPr>
        <w:t>“Esta empresa alcanzará alturas increíbles bajo su liderazgo”, escribió Cook a los empleados el lunes. “No puedo esperar a que lo conozcan como yo”.</w:t>
      </w:r>
    </w:p>
    <w:p>
      <w:pPr>
        <w:spacing w:before="20"/>
        <w:ind w:left="360"/>
      </w:pPr>
      <w:r>
        <w:rPr>
          <w:color w:val="222222"/>
          <w:sz w:val="20"/>
        </w:rPr>
        <w:t>“Durante un tiempo, Craig Federighi pudo haber sido el sucesor, pero en mi opinión falló en IA y Siri”, dijo otro excolega. “Además, está más cerca de la jubilación”, añadió, a sus 56 años.</w:t>
      </w:r>
    </w:p>
    <w:p>
      <w:pPr>
        <w:spacing w:before="20"/>
        <w:ind w:left="360"/>
      </w:pPr>
      <w:r>
        <w:rPr>
          <w:color w:val="222222"/>
          <w:sz w:val="20"/>
        </w:rPr>
        <w:t>“Soy optimista respecto a John como líder”, señaló otro empleado de Apple. “Elegir a alguien interno es otro ejemplo de que Apple reconoce que no le resulta integrar ejecutivos externos en su cultura única… creo que era el mejor candidato interno”.</w:t>
      </w:r>
    </w:p>
    <w:p>
      <w:pPr>
        <w:spacing w:before="20"/>
        <w:ind w:left="360"/>
      </w:pPr>
      <w:r>
        <w:rPr>
          <w:color w:val="222222"/>
          <w:sz w:val="20"/>
        </w:rPr>
        <w:t>Cook y el directorio, en tanto, allanaron el camino para Ternus incorporando una nueva generación de talento en la cúpula durante el último año. Entre ellos están el CFOKevan Parekh, el jefe de operacionesSabih Khan, la asesora legalJennifer Newsteady el responsable de IAAmar Subramanya.</w:t>
      </w:r>
    </w:p>
    <w:p>
      <w:pPr>
        <w:spacing w:before="20"/>
        <w:ind w:left="360"/>
      </w:pPr>
      <w:r>
        <w:rPr>
          <w:color w:val="222222"/>
          <w:sz w:val="20"/>
        </w:rPr>
        <w:t>Nacido en California, Ternus es extremadamente reservado sobre su vida personal. Se unió a Apple en 2001, pocos años después de graduarse de la Universidad de Pensilvania como ingeniero mecánico.</w:t>
      </w:r>
    </w:p>
    <w:p>
      <w:pPr>
        <w:spacing w:before="20"/>
        <w:ind w:left="360"/>
      </w:pPr>
      <w:r>
        <w:rPr>
          <w:color w:val="222222"/>
          <w:sz w:val="20"/>
        </w:rPr>
        <w:t>Sus primeros 15 años en Apple transcurrieron mayormente fuera del foco. Recién en 2017 debutó en la conferencia anual de desarrolladores de la compañía, una señal de reconocimiento para talentos en ascenso.</w:t>
      </w:r>
    </w:p>
    <w:p>
      <w:pPr>
        <w:spacing w:before="20"/>
        <w:ind w:left="360"/>
      </w:pPr>
      <w:r>
        <w:rPr>
          <w:color w:val="222222"/>
          <w:sz w:val="20"/>
        </w:rPr>
        <w:t>Según colegas, su rol protagónico en el giro de Apple desde los chips de Intel hacia el desarrollo de chips propios alrededor de 2020 consolidó su posición como figura clave dentro de la empresa.Apple apostó a que sus propios ingenieros de silicio podían competir con un gigante de la industria, al tiempo que migraba a una nueva arquitectura base.</w:t>
      </w:r>
    </w:p>
    <w:p>
      <w:pPr>
        <w:spacing w:before="20"/>
        <w:ind w:left="360"/>
      </w:pPr>
      <w:r>
        <w:rPr>
          <w:color w:val="222222"/>
          <w:sz w:val="20"/>
        </w:rPr>
        <w:t>La apuesta dio resultados, reduciendo costos de externalización y otorgándole control total sobre su hardware. Ternus describió posteriormente ese cambio como “uno de los más profundos, si no el más profundo en Apple, ciertamente en nuestros productos en los últimos 20 años”.</w:t>
      </w:r>
    </w:p>
    <w:p>
      <w:pPr>
        <w:spacing w:before="20"/>
        <w:ind w:left="360"/>
      </w:pPr>
      <w:r>
        <w:rPr>
          <w:color w:val="222222"/>
          <w:sz w:val="20"/>
        </w:rPr>
        <w:t>En otra señal de continuidad,Johny Srouji-quien como principal ingeniero de silicio trabajó estrechamente con Ternus en esa estrategia- fue promovido el lunes a jefe de hardware.</w:t>
      </w:r>
    </w:p>
    <w:p>
      <w:pPr>
        <w:spacing w:before="20"/>
        <w:ind w:left="360"/>
      </w:pPr>
      <w:r>
        <w:rPr>
          <w:color w:val="222222"/>
          <w:sz w:val="20"/>
        </w:rPr>
        <w:t>A fines del año pasado, Ternus también asumió la supervisión de los equipos de diseño de software, justo cuando la compañía se preparapara presentar una renovación de su asistente de voz Siri, considerada clave para demostrar liderazgo en IA.</w:t>
      </w:r>
    </w:p>
    <w:p>
      <w:pPr>
        <w:spacing w:before="20"/>
        <w:ind w:left="360"/>
      </w:pPr>
      <w:r>
        <w:rPr>
          <w:color w:val="222222"/>
          <w:sz w:val="20"/>
        </w:rPr>
        <w:t>“Si lo estamos haciendo bien, las personas ni siquiera lo notarán o pensarán en ello”, dijo Ternus en marzo sobre la estrategia de IA de Apple. “Simplemente tendrán una nueva función que empezarán a usar cada vez más porque realmente les gusta”.</w:t>
      </w:r>
    </w:p>
    <w:p>
      <w:pPr>
        <w:spacing w:before="20"/>
        <w:ind w:left="360"/>
      </w:pPr>
      <w:r>
        <w:rPr>
          <w:color w:val="222222"/>
          <w:sz w:val="20"/>
        </w:rPr>
        <w:t>Aun así, los analistas están preocupados por la incapacidad de Applede mantenerse al ritmo de sus competidores en el desarrollo de nuevo software de IA que pueda transformar sus productosy ayudar a defender su posición dominante en dispositivos personales.</w:t>
      </w:r>
    </w:p>
    <w:p>
      <w:pPr>
        <w:spacing w:before="20"/>
        <w:ind w:left="360"/>
      </w:pPr>
      <w:r>
        <w:rPr>
          <w:color w:val="222222"/>
          <w:sz w:val="20"/>
        </w:rPr>
        <w:t>“El nuevo Siri tiene que salir sin fallas y ser algo que la gente quiera usar”, dijoGene Munster,de Deepwater Asset Management.</w:t>
      </w:r>
    </w:p>
    <w:p>
      <w:pPr>
        <w:spacing w:before="20"/>
        <w:ind w:left="360"/>
      </w:pPr>
      <w:r>
        <w:rPr>
          <w:color w:val="222222"/>
          <w:sz w:val="20"/>
        </w:rPr>
        <w:t>“Luego necesita empezar a incorporar talento externo, personas de compañías centradas en IA… culturalmente, deben mostrar al resto de la organización que se están reinventando”.</w:t>
      </w:r>
    </w:p>
    <w:p>
      <w:pPr>
        <w:spacing w:before="40" w:after="120"/>
      </w:pPr>
      <w:r>
        <w:rPr>
          <w:color w:val="CCCCCC"/>
        </w:rPr>
        <w:t>· · ·</w:t>
      </w:r>
    </w:p>
    <w:p>
      <w:r>
        <w:rPr>
          <w:b/>
          <w:color w:val="E65000"/>
        </w:rPr>
        <w:t xml:space="preserve">4. </w:t>
      </w:r>
      <w:r>
        <w:rPr>
          <w:b/>
          <w:sz w:val="22"/>
        </w:rPr>
        <w:t>Nobel de Economía anticipa una recesión global por la destrucción de demanda de petróleo forzada por la guerra</w:t>
      </w:r>
    </w:p>
    <w:p>
      <w:pPr>
        <w:spacing w:before="0"/>
      </w:pPr>
      <w:r>
        <w:rPr>
          <w:color w:val="0056B3"/>
          <w:sz w:val="18"/>
        </w:rPr>
        <w:t>https://www.df.cl/internacional/economia/nobel-de-economia-anticipa-una-recesion-global-por-la-destruccion-de</w:t>
      </w:r>
    </w:p>
    <w:p>
      <w:pPr>
        <w:spacing w:before="20"/>
        <w:ind w:left="360"/>
      </w:pPr>
      <w:r>
        <w:rPr>
          <w:color w:val="222222"/>
          <w:sz w:val="20"/>
        </w:rPr>
        <w:t>Paul Krugman plantea en un artículo que se está subestimando el impacto económico debido a una lectura errada, centrada en estimaciones de precios. De todas maneras, modela diversos escenarios al respecto, con precios que van desde los US$ 99 a los US$ 372 el barril.</w:t>
      </w:r>
    </w:p>
    <w:p>
      <w:pPr>
        <w:spacing w:before="20"/>
        <w:ind w:left="360"/>
      </w:pPr>
      <w:r>
        <w:rPr>
          <w:color w:val="222222"/>
          <w:sz w:val="20"/>
        </w:rPr>
        <w:t>Publicado: Martes 21 de abril de 2026 a las 08:32 hrs.</w:t>
      </w:r>
    </w:p>
    <w:p>
      <w:pPr>
        <w:spacing w:before="20"/>
        <w:ind w:left="360"/>
      </w:pPr>
      <w:r>
        <w:rPr>
          <w:color w:val="222222"/>
          <w:sz w:val="20"/>
        </w:rPr>
        <w:t>El economista enfatizó que los rangos de precios posibles son extraordinariamente amplios.</w:t>
      </w:r>
    </w:p>
    <w:p>
      <w:pPr>
        <w:spacing w:before="20"/>
        <w:ind w:left="360"/>
      </w:pPr>
      <w:r>
        <w:rPr>
          <w:color w:val="222222"/>
          <w:sz w:val="20"/>
        </w:rPr>
        <w:t>La prolongada interrupción del flujo de petróleo a través del estrecho de Ormuz podría desencadenar un escenario mucho más severo para la economía global de lo que actualmente proyectan los organismos internacionales. Así lo advirtió el premio Nobel de Economía Paul Krugman en el artículo “El daño de Ormuz” publicado este lunes.</w:t>
      </w:r>
    </w:p>
    <w:p>
      <w:pPr>
        <w:spacing w:before="20"/>
        <w:ind w:left="360"/>
      </w:pPr>
      <w:r>
        <w:rPr>
          <w:color w:val="222222"/>
          <w:sz w:val="20"/>
        </w:rPr>
        <w:t>“El estrecho de Ormuz sigue cerrado.Parece cada vez más evidente que el 20% del suministro mundial de petróleo que normalmente fluye a través de él hacia los mercados globales no se restablecerá en el corto plazo —muy posiblemente durante varios meses—”, planteó el galardonado con la medalla sueca en 2008, cuestionando directamente el optimismo implícito en algunas proyecciones recientes, que se basa en un encuadre errado para el análisis de la crisis.</w:t>
      </w:r>
    </w:p>
    <w:p>
      <w:pPr>
        <w:spacing w:before="20"/>
        <w:ind w:left="360"/>
      </w:pPr>
      <w:r>
        <w:rPr>
          <w:color w:val="222222"/>
          <w:sz w:val="20"/>
        </w:rPr>
        <w:t>“El enfoque habitual consiste en partir con una estimación aproximada del precio del petróleo en el próximo año,para luego intentar modelar los efectos de esa trayectoria de precios sobre la economía mundial”, señaló. Sin embargo, advirtió queesta metodología es insuficiente ante un escenario marcado por una alta incertidumbretanto en la magnitud de la disrupción como en la respuesta de la demanda.</w:t>
      </w:r>
    </w:p>
    <w:p>
      <w:pPr>
        <w:spacing w:before="20"/>
        <w:ind w:left="360"/>
      </w:pPr>
      <w:r>
        <w:rPr>
          <w:color w:val="222222"/>
          <w:sz w:val="20"/>
        </w:rPr>
        <w:t>En esa línea,el economista enfatizó que los rangos de precios posibles son extraordinariamente amplios, lo que refleja la fragilidad de los modelos tradicionales.Para modelar los posibles escenarios, el economista cruzó dos variables clave: el nivel de disrupción en la oferta (baja, media y alta) y la elasticidad de la demanda (alta, media y baja) para modelar diversos escenarios de precios.</w:t>
      </w:r>
    </w:p>
    <w:p>
      <w:pPr>
        <w:spacing w:before="20"/>
        <w:ind w:left="360"/>
      </w:pPr>
      <w:r>
        <w:rPr>
          <w:color w:val="222222"/>
          <w:sz w:val="20"/>
        </w:rPr>
        <w:t>En una escena de baja disrupción, el precio del Brent podría ubicarse entre US$ 99 por barril, si la demanda responde con fuerza a los precios, y US$ 150 si esa respuesta es más limitada. Con una disrupción intermedia, los valores escalarían desde US$ 123 hasta US$ 233, dependiendo de esa misma sensibilidad. En tanto,bajo un escenario de alta disrupción —el más severo—, el rango se amplía considerablemente, desde US$ 155 hasta un máximo de US$ 372 por barril en un contexto de baja elasticidad, es decir, cuando los consumidores tienen escasas alternativas para reducir su consumo.</w:t>
      </w:r>
    </w:p>
    <w:p>
      <w:pPr>
        <w:spacing w:before="120"/>
        <w:ind w:left="360"/>
      </w:pPr>
      <w:r>
        <w:rPr>
          <w:b/>
          <w:color w:val="E65000"/>
          <w:sz w:val="26"/>
        </w:rPr>
        <w:t xml:space="preserve"> </w:t>
      </w:r>
    </w:p>
    <w:p>
      <w:pPr>
        <w:spacing w:before="20"/>
        <w:ind w:left="360"/>
      </w:pPr>
      <w:r>
        <w:rPr>
          <w:color w:val="222222"/>
          <w:sz w:val="20"/>
        </w:rPr>
        <w:t>Más allá de las estimaciones de precios, Krugman propone un cambio de enfoque.“Deberíamos comenzar por las restricciones físicas de oferta, no por una conjetura sobre los precios del petróleo.De una u otra forma, el mundo tendrá que consumir significativamente menos petróleo en el corto plazo de lo que habría consumido si esta guerra se hubiera evitado”, afirma el académico de la City University of New York (CUNY).</w:t>
      </w:r>
    </w:p>
    <w:p>
      <w:pPr>
        <w:spacing w:before="20"/>
        <w:ind w:left="360"/>
      </w:pPr>
      <w:r>
        <w:rPr>
          <w:color w:val="222222"/>
          <w:sz w:val="20"/>
        </w:rPr>
        <w:t>En ese contexto, el economista identifica tres vías mediante las cuales podría materializarse esta reducción en el consumo: la sustitución hacia otras fuentes de energía, que en el corto plazo es muy limitada; cambios en los patrones de consumo hacia actividades menos intensivas en petróleo, una opción restringida para buena parte de la población y sectores productivos; y, finalmente,una contracción general de la actividad económica, con menor consumo y producción a nivel global. Es esta última la que, a su juicio, terminaría predominando, configurando lo que denomina “destrucción de demanda” como eje central del ajuste económico.</w:t>
      </w:r>
    </w:p>
    <w:p>
      <w:pPr>
        <w:spacing w:before="20"/>
        <w:ind w:left="360"/>
      </w:pPr>
      <w:r>
        <w:rPr>
          <w:color w:val="222222"/>
          <w:sz w:val="20"/>
        </w:rPr>
        <w:t>“El mundo tendrá que ‘destruir’ demanda de petróleo. Pero ¿cómo puede ocurrir esto? (...) Las personas pueden cambiar a otras fuentes de energía o modificar sus patrones de consumo, pero en el corto plazo estas opciones son muy limitadas. En la práctica,gran parte del ajuste ocurre porque la economía global se contrae: se consume menos, se produce menos. Es decir, mediante una recesión global”, explica.</w:t>
      </w:r>
    </w:p>
    <w:p>
      <w:pPr>
        <w:spacing w:before="20"/>
        <w:ind w:left="360"/>
      </w:pPr>
      <w:r>
        <w:rPr>
          <w:color w:val="222222"/>
          <w:sz w:val="20"/>
        </w:rPr>
        <w:t>Desde esta perspectiva, el alza en los precios del crudo no es el detonante principal, sino una consecuencia inevitable del shock de oferta. “Frente a una gran pérdida de oferta, el precio del petróleo debe subir lo suficiente como para generar una destrucción de demanda equivalente. Si ese precio no parece lo suficientemente alto como para provocar una recesión global, entonces está siendo subestimado”, advierte.</w:t>
      </w:r>
    </w:p>
    <w:p>
      <w:pPr>
        <w:spacing w:before="20"/>
        <w:ind w:left="360"/>
      </w:pPr>
      <w:r>
        <w:rPr>
          <w:color w:val="222222"/>
          <w:sz w:val="20"/>
        </w:rPr>
        <w:t>Krugman concluye que, bajo un escenario en que el estrecho permanezca cerrado por varios meses, una recesión global “es más probable que no”, desafiando directamente las proyecciones más moderadas, como la del Fondo Monetario Internacional (FMI),que anticipa una desaceleración, pero no un colapso.</w:t>
      </w:r>
    </w:p>
    <w:p>
      <w:pPr>
        <w:spacing w:before="40" w:after="120"/>
      </w:pPr>
      <w:r>
        <w:rPr>
          <w:color w:val="CCCCCC"/>
        </w:rPr>
        <w:t>· · ·</w:t>
      </w:r>
    </w:p>
    <w:p/>
    <w:p>
      <w:pPr>
        <w:pStyle w:val="Heading1"/>
      </w:pPr>
      <w:r>
        <w:rPr>
          <w:color w:val="E65000"/>
        </w:rPr>
        <w:t>🔹 Innovación</w:t>
      </w:r>
    </w:p>
    <w:p>
      <w:r>
        <w:rPr>
          <w:b/>
          <w:color w:val="E65000"/>
        </w:rPr>
        <w:t xml:space="preserve">1. </w:t>
      </w:r>
      <w:r>
        <w:rPr>
          <w:b/>
          <w:sz w:val="22"/>
        </w:rPr>
        <w:t>VC Latam Summit 2026 abordará el contexto geopolítico y la inversión en tecnologías para defensa</w:t>
      </w:r>
      <w:r>
        <w:rPr>
          <w:color w:val="CC7700"/>
          <w:sz w:val="18"/>
        </w:rPr>
        <w:t xml:space="preserve">  [⭐ Destacada]</w:t>
      </w:r>
    </w:p>
    <w:p>
      <w:pPr>
        <w:spacing w:before="0"/>
      </w:pPr>
      <w:r>
        <w:rPr>
          <w:color w:val="0056B3"/>
          <w:sz w:val="18"/>
        </w:rPr>
        <w:t>https://www.df.cl/df-lab/tech-empresas/vc-latam-summit-2026-abordara-el-contexto-geopolitico-y-la-inversion-en</w:t>
      </w:r>
    </w:p>
    <w:p>
      <w:pPr>
        <w:spacing w:before="20"/>
        <w:ind w:left="360"/>
      </w:pPr>
      <w:r>
        <w:rPr>
          <w:color w:val="222222"/>
          <w:sz w:val="20"/>
        </w:rPr>
        <w:t>La cumbre, que parte este miércoles, es uno de los principales eventos de capital de riesgo para la región y espera reunir a 100 actores de la industria.</w:t>
      </w:r>
    </w:p>
    <w:p>
      <w:pPr>
        <w:spacing w:before="20"/>
        <w:ind w:left="360"/>
      </w:pPr>
      <w:r>
        <w:rPr>
          <w:color w:val="222222"/>
          <w:sz w:val="20"/>
        </w:rPr>
        <w:t>Publicado: Martes 21 de abril de 2026 a las 04:00 hrs.</w:t>
      </w:r>
    </w:p>
    <w:p>
      <w:pPr>
        <w:spacing w:before="20"/>
        <w:ind w:left="360"/>
      </w:pPr>
      <w:r>
        <w:rPr>
          <w:color w:val="222222"/>
          <w:sz w:val="20"/>
        </w:rPr>
        <w:t>Participarán 40 fondos internacionales y siete administradoras chilenas. En la imagen, VC Latam Summit 2025.</w:t>
      </w:r>
    </w:p>
    <w:p>
      <w:pPr>
        <w:spacing w:before="20"/>
        <w:ind w:left="360"/>
      </w:pPr>
      <w:r>
        <w:rPr>
          <w:color w:val="222222"/>
          <w:sz w:val="20"/>
        </w:rPr>
        <w:t>Este miércoles, y por sexto año consecutivo, Miami será la anfitriona del evento de capital de riesgo para startups de la región con el VC Latam Summit, cumbre organizada por 11 asociaciones de capital de riesgo de la región para promover este activo alternativo en Latinoamérica.</w:t>
      </w:r>
    </w:p>
    <w:p>
      <w:pPr>
        <w:spacing w:before="20"/>
        <w:ind w:left="360"/>
      </w:pPr>
      <w:r>
        <w:rPr>
          <w:color w:val="222222"/>
          <w:sz w:val="20"/>
        </w:rPr>
        <w:t>El presidente de la Asociación Chilena de Venture Capital (ACVC) -gremio que lidera la organización del encuentro- y socio de Carey, Francisco Guzmán, dijo que las principales temáticas que abordarán son el contexto geopolítico y su impacto en la industria, y la conexión entre mercados de capital.</w:t>
      </w:r>
    </w:p>
    <w:p>
      <w:pPr>
        <w:spacing w:before="20"/>
        <w:ind w:left="360"/>
      </w:pPr>
      <w:r>
        <w:rPr>
          <w:color w:val="222222"/>
          <w:sz w:val="20"/>
        </w:rPr>
        <w:t>“Cuando empezamos, un objetivo era acercar a inversionistas extranjeros a la región. Hoy ya se puede ver la conectividad entre los distintos mercados: hay fondos que levantan plata en otros países que puede fluir hacia la región, como también inversionistas latinoamericanos que quieren invertir en Asia, Estados Unidos y Europa”, dijo Guzmán.</w:t>
      </w:r>
    </w:p>
    <w:p>
      <w:pPr>
        <w:spacing w:before="20"/>
        <w:ind w:left="360"/>
      </w:pPr>
      <w:r>
        <w:rPr>
          <w:color w:val="222222"/>
          <w:sz w:val="20"/>
        </w:rPr>
        <w:t>La actividad se llevará a cabo en las oficinas de Carey Abogados en Brickell, Miami, Estados Unidos, y participarán unas 100 personas -principalmente inversionistas de fondos y family offices- que analizarán en distintos paneles el actual escenario geopolítico dominado por el conflicto entre EEUU e Irán y cómo podría afectar al capital de riesgo, pero también el auge de las startups de tecnología para defensa.</w:t>
      </w:r>
    </w:p>
    <w:p>
      <w:pPr>
        <w:spacing w:before="20"/>
        <w:ind w:left="360"/>
      </w:pPr>
      <w:r>
        <w:rPr>
          <w:color w:val="222222"/>
          <w:sz w:val="20"/>
        </w:rPr>
        <w:t>Entre los oradores estará Lorin Selby, un contralmirante en retiro de la Armada de EEUU que estuvo a cargo de diseñar la política de defensa exterior de esta rama en 2021 y que hoy dirige un fondo para tecnología en defensa.</w:t>
      </w:r>
    </w:p>
    <w:p>
      <w:pPr>
        <w:spacing w:before="20"/>
        <w:ind w:left="360"/>
      </w:pPr>
      <w:r>
        <w:rPr>
          <w:color w:val="222222"/>
          <w:sz w:val="20"/>
        </w:rPr>
        <w:t>“Estos fondos son un tema muy fuerte, muy de moda en EEUU y están en forma recurrente en las conversaciones”, dijo Guzmán.</w:t>
      </w:r>
    </w:p>
    <w:p>
      <w:pPr>
        <w:spacing w:before="20"/>
        <w:ind w:left="360"/>
      </w:pPr>
      <w:r>
        <w:rPr>
          <w:color w:val="222222"/>
          <w:sz w:val="20"/>
        </w:rPr>
        <w:t>Se espera que participen inversionistas y ejecutivos de 40 fondos de capital de riesgo que manejan más de US$ 13 mil millones en activos. De Chile, habrá ejecutivos de siete administradoras: Kayyak Ventures, Manutara Ventures, WeBoost, Taram Capital, Sunna Ventures, Südlich Capital y Driven.</w:t>
      </w:r>
    </w:p>
    <w:p>
      <w:pPr>
        <w:spacing w:before="20"/>
        <w:ind w:left="360"/>
      </w:pPr>
      <w:r>
        <w:rPr>
          <w:color w:val="222222"/>
          <w:sz w:val="20"/>
        </w:rPr>
        <w:t>Guzmán comentó que la ACVC tiene “plena disposición de trabajar con el nuevo gobierno” y con el recién nombrado vicepresidente ejecutivo de Corfo, José Mujica.</w:t>
      </w:r>
    </w:p>
    <w:p>
      <w:pPr>
        <w:spacing w:before="20"/>
        <w:ind w:left="360"/>
      </w:pPr>
      <w:r>
        <w:rPr>
          <w:color w:val="222222"/>
          <w:sz w:val="20"/>
        </w:rPr>
        <w:t>“Estamos en proceso de conocer a las nuevas autoridades y estamos teniendo reuniones”, dijo.</w:t>
      </w:r>
    </w:p>
    <w:p>
      <w:pPr>
        <w:spacing w:before="20"/>
        <w:ind w:left="360"/>
      </w:pPr>
      <w:r>
        <w:rPr>
          <w:color w:val="222222"/>
          <w:sz w:val="20"/>
        </w:rPr>
        <w:t>Agregó que la ACVC entregó a los candidatos presidenciales propuestas para “que Chile pueda ser un hub de inversión tecnológica”, que continuarán impulsando.</w:t>
      </w:r>
    </w:p>
    <w:p>
      <w:pPr>
        <w:spacing w:before="20"/>
        <w:ind w:left="360"/>
      </w:pPr>
      <w:r>
        <w:rPr>
          <w:color w:val="222222"/>
          <w:sz w:val="20"/>
        </w:rPr>
        <w:t>Entre ellas, la creación de un fondo de fondos apalancados por el Estado; habilitar la inversión de institucionales -como AFP- en fondos de capital de riesgo; cambios a la Ley de I+D para permitir que el beneficio tributario cubra la adquisición de startups; y la continuidad de los programas de capital de riesgo de Corfo.</w:t>
      </w:r>
    </w:p>
    <w:p>
      <w:pPr>
        <w:spacing w:before="20"/>
        <w:ind w:left="360"/>
      </w:pPr>
      <w:r>
        <w:rPr>
          <w:color w:val="222222"/>
          <w:sz w:val="20"/>
        </w:rPr>
        <w:t>“Son temas que consideramos transversales. Hay mucha expectativa de qué va a pasar con Corfo y las medidas que quieren implementar”, dijo.</w:t>
      </w:r>
    </w:p>
    <w:p>
      <w:pPr>
        <w:spacing w:before="40" w:after="120"/>
      </w:pPr>
      <w:r>
        <w:rPr>
          <w:color w:val="CCCCCC"/>
        </w:rPr>
        <w:t>· · ·</w:t>
      </w:r>
    </w:p>
    <w:p/>
    <w:p>
      <w:pPr>
        <w:pStyle w:val="Heading1"/>
      </w:pPr>
      <w:r>
        <w:rPr>
          <w:color w:val="E65000"/>
        </w:rPr>
        <w:t>🔹 Opinión</w:t>
      </w:r>
    </w:p>
    <w:p>
      <w:r>
        <w:rPr>
          <w:b/>
          <w:color w:val="E65000"/>
        </w:rPr>
        <w:t xml:space="preserve">1. </w:t>
      </w:r>
      <w:r>
        <w:rPr>
          <w:b/>
          <w:sz w:val="22"/>
        </w:rPr>
        <w:t>Desafíos de la Dirección del Trabajo</w:t>
      </w:r>
      <w:r>
        <w:rPr>
          <w:color w:val="990000"/>
          <w:sz w:val="18"/>
        </w:rPr>
        <w:t xml:space="preserve">  [🔒 paywall]</w:t>
      </w:r>
    </w:p>
    <w:p>
      <w:pPr>
        <w:spacing w:before="0"/>
      </w:pPr>
      <w:r>
        <w:rPr>
          <w:color w:val="0056B3"/>
          <w:sz w:val="18"/>
        </w:rPr>
        <w:t>https://www.df.cl/opinion/editorial/p/1</w:t>
      </w:r>
    </w:p>
    <w:p>
      <w:pPr>
        <w:spacing w:before="40" w:after="120"/>
      </w:pPr>
      <w:r>
        <w:rPr>
          <w:color w:val="CCCCCC"/>
        </w:rPr>
        <w:t>· · ·</w:t>
      </w:r>
    </w:p>
    <w:p>
      <w:r>
        <w:rPr>
          <w:b/>
          <w:color w:val="E65000"/>
        </w:rPr>
        <w:t xml:space="preserve">2. </w:t>
      </w:r>
      <w:r>
        <w:rPr>
          <w:b/>
          <w:sz w:val="22"/>
        </w:rPr>
        <w:t>Desafíos de la Dirección del Trabajo</w:t>
      </w:r>
    </w:p>
    <w:p>
      <w:pPr>
        <w:spacing w:before="0"/>
      </w:pPr>
      <w:r>
        <w:rPr>
          <w:color w:val="0056B3"/>
          <w:sz w:val="18"/>
        </w:rPr>
        <w:t>https://www.df.cl/opinion/editorial/desafios-de-la-direccion-del-trabajo</w:t>
      </w:r>
    </w:p>
    <w:p>
      <w:pPr>
        <w:spacing w:before="20"/>
        <w:ind w:left="360"/>
      </w:pPr>
      <w:r>
        <w:rPr>
          <w:color w:val="222222"/>
          <w:sz w:val="20"/>
        </w:rPr>
        <w:t>Por:Equipo DFPublicado: Martes 21 de abril de 2026 a las 04:00 hrs.</w:t>
      </w:r>
    </w:p>
    <w:p>
      <w:pPr>
        <w:spacing w:before="20"/>
        <w:ind w:left="360"/>
      </w:pPr>
      <w:r>
        <w:rPr>
          <w:color w:val="222222"/>
          <w:sz w:val="20"/>
        </w:rPr>
        <w:t>Publicado: Martes 21 de abril de 2026 a las 04:00 hrs.</w:t>
      </w:r>
    </w:p>
    <w:p>
      <w:pPr>
        <w:spacing w:before="20"/>
        <w:ind w:left="360"/>
      </w:pPr>
      <w:r>
        <w:rPr>
          <w:color w:val="222222"/>
          <w:sz w:val="20"/>
        </w:rPr>
        <w:t>A poco más de un mes de asumir, el nuevo director del Trabajo, David Oddó, declaró a DF que su rol central será “dar certeza al mercado para la generación de empleo”. Lo que podría parecer una obviedad, tiene mucho sentido al considerar cómo se fue desdibujando el rol del organismo en la administración anterior, con dictámenes tardíos, cambios de criterio y decisiones adoptadas ad portas de la implementación de las normas. En un organismo técnico lo esperable es que las interpretaciones administrativas sean coetáneas a la dictación de las leyes y no al límite de su entrada en vigencia, evitando así la incertidumbre operativa y costos de ajuste innecesarios, tarea que la nueva administración deberá abordar para restablecer un marco interpretativo oportuno.</w:t>
      </w:r>
    </w:p>
    <w:p>
      <w:pPr>
        <w:spacing w:before="20"/>
        <w:ind w:left="360"/>
      </w:pPr>
      <w:r>
        <w:rPr>
          <w:color w:val="222222"/>
          <w:sz w:val="20"/>
        </w:rPr>
        <w:t>Durante los últimos años, la puesta en marcha de normativas como la Lay Karin, la de 40 horas y diversos cambios en materia de negociación colectiva estuvo marcada por interpretaciones que en algunos casos se apartaron de la lógica de implementación previsible. Ello generó un escenario de menor claridad para empleadores y trabajadores, con efectos en la toma de decisiones y en la gestión interna de las organizaciones. A esto se sumaron modificaciones de criterio en ámbitos sensibles, como el de negociación colectiva, que alteraron la doctrina vigente sin mediar requerimientos específicos, lo que tensionó aún más la certeza jurídica del sistema.</w:t>
      </w:r>
    </w:p>
    <w:p>
      <w:pPr>
        <w:spacing w:before="20"/>
        <w:ind w:left="360"/>
      </w:pPr>
      <w:r>
        <w:rPr>
          <w:color w:val="222222"/>
          <w:sz w:val="20"/>
        </w:rPr>
        <w:t>En este contexto, la nueva administración hereda un servicio con debilidades de conducción y gestión, afectado en su funcionamiento interno y en la relación con sus usuarios. El caso más evidente es la implementación de la Ley Karin. Se estima que existen cerca de 8.000 denuncias pendientes, un volumen que supera con creces la capacidad operativa del organismo y que sigue creciendo. Con plazos legales de 30 días, en la práctica las investigaciones pueden extenderse por seis u ocho meses, lo que no solo tensiona la gestión del servicio, sino que impacta en los entornos laborales, donde denunciantes y denunciados permanecen bajo medidas de resguardo prolongadas, afectando el clima interno, la productividad y la continuidad operativa de las empresas. De allí que uno de los desafíos urgentes sea la revisión de criterios de admisibilidad. Es clave examinar procedimientos, establecer filtros más exigentes y redefinir la distribución de las investigaciones, radicándolas principalmente en las empresas, reservando para la DT los casos de mayor gravedad, particularmente los de acoso sexual.</w:t>
      </w:r>
    </w:p>
    <w:p>
      <w:pPr>
        <w:spacing w:before="20"/>
        <w:ind w:left="360"/>
      </w:pPr>
      <w:r>
        <w:rPr>
          <w:color w:val="222222"/>
          <w:sz w:val="20"/>
        </w:rPr>
        <w:t>Un segundo ámbito crítico es la fiscalización. La caída del Sistema de Gestión Inspectiva implementado en enero por la administración anterior -tras una inversión significativa y un funcionamiento fallido- abre un espacio para replantear el modelo de fiscalización. Hoy predomina un esquema centrado en la sanción inmediata, por lo que la oportunidad está en avanzar hacia un sistema mixto, que incorpore herramientas de prevención, gradualidad y acompañamiento, orientadas a un cumplimiento efectivo de las normas.</w:t>
      </w:r>
    </w:p>
    <w:p>
      <w:pPr>
        <w:spacing w:before="20"/>
        <w:ind w:left="360"/>
      </w:pPr>
      <w:r>
        <w:rPr>
          <w:color w:val="222222"/>
          <w:sz w:val="20"/>
        </w:rPr>
        <w:t>El desafío supone recomponer capacidades de gestión, ordenar criterios y restablecer confianzas. Pero, sobre todo, exige recuperar un equilibrio técnico en un servicio que tiene dos usuarios: trabajadores y empleadores. La DT no puede prescindir de esa dualidad. Su legitimidad depende de su capacidad de actuar con consistencia, oportunidad y proporcionalidad, atributos indispensables para un sistema laboral que requiere reglas claras y previsibles.</w:t>
      </w:r>
    </w:p>
    <w:p>
      <w:pPr>
        <w:spacing w:before="40" w:after="120"/>
      </w:pPr>
      <w:r>
        <w:rPr>
          <w:color w:val="CCCCCC"/>
        </w:rPr>
        <w:t>· · ·</w:t>
      </w:r>
    </w:p>
    <w:p>
      <w:r>
        <w:rPr>
          <w:b/>
          <w:color w:val="E65000"/>
        </w:rPr>
        <w:t xml:space="preserve">3. </w:t>
      </w:r>
      <w:r>
        <w:rPr>
          <w:b/>
          <w:sz w:val="22"/>
        </w:rPr>
        <w:t>Control de horas punta</w:t>
      </w:r>
    </w:p>
    <w:p>
      <w:pPr>
        <w:spacing w:before="0"/>
      </w:pPr>
      <w:r>
        <w:rPr>
          <w:color w:val="0056B3"/>
          <w:sz w:val="18"/>
        </w:rPr>
        <w:t>https://www.df.cl/opinion/cartas/control-de-horas-punta</w:t>
      </w:r>
    </w:p>
    <w:p>
      <w:pPr>
        <w:spacing w:before="20"/>
        <w:ind w:left="360"/>
      </w:pPr>
      <w:r>
        <w:rPr>
          <w:color w:val="222222"/>
          <w:sz w:val="20"/>
        </w:rPr>
        <w:t>Por:Equipo DFPublicado: Martes 21 de abril de 2026 a las 04:04 hrs.</w:t>
      </w:r>
    </w:p>
    <w:p>
      <w:pPr>
        <w:spacing w:before="20"/>
        <w:ind w:left="360"/>
      </w:pPr>
      <w:r>
        <w:rPr>
          <w:color w:val="222222"/>
          <w:sz w:val="20"/>
        </w:rPr>
        <w:t>Publicado: Martes 21 de abril de 2026 a las 04:04 hrs.</w:t>
      </w:r>
    </w:p>
    <w:p>
      <w:pPr>
        <w:spacing w:before="20"/>
        <w:ind w:left="360"/>
      </w:pPr>
      <w:r>
        <w:rPr>
          <w:color w:val="222222"/>
          <w:sz w:val="20"/>
        </w:rPr>
        <w:t>La solicitud de diversos gremios a la ministra de Energía para atenuar el control de horas punta para el pago de potencia eléctrica es una urgencia económica y ambiental. Con una producción industrial que retrocedió 1,6% a enero de 2026, el diseño actual del cobro de potencia penaliza la eficiencia del país.El impacto es crítico para la agroindustria. El período de punta inicia en abril, mes donde el sector aún procesa cosechas estivales. En dicho período se mantiene la recepción de tomates para concentrados, además de manzanas y peras para elaborar pulpas, purés, jugos, deshidratados y congelados. Obligar a estas plantas a costear tarifas onerosas en pleno auge productivo genera una distorsión grave, pues para no detenerse, las empresas se ven obligadas a la autogeneración con diésel.Esto es un contrasentido que socava los planes de descarbonización de Chile, incentivando el uso de combustibles fósiles cuyo precio escala por el conflicto en Irán. Reducir el período a cuatro meses es una medida factible que no arriesga el sistema. Es imperativo armonizar la norma con la realidad productiva para no subvencionar la polución.</w:t>
      </w:r>
    </w:p>
    <w:p>
      <w:pPr>
        <w:spacing w:before="40" w:after="120"/>
      </w:pPr>
      <w:r>
        <w:rPr>
          <w:color w:val="CCCCCC"/>
        </w:rPr>
        <w:t>· · ·</w:t>
      </w:r>
    </w:p>
    <w:p>
      <w:r>
        <w:rPr>
          <w:b/>
          <w:color w:val="E65000"/>
        </w:rPr>
        <w:t xml:space="preserve">4. </w:t>
      </w:r>
      <w:r>
        <w:rPr>
          <w:b/>
          <w:sz w:val="22"/>
        </w:rPr>
        <w:t>Un difícil equilibrio</w:t>
      </w:r>
    </w:p>
    <w:p>
      <w:pPr>
        <w:spacing w:before="0"/>
      </w:pPr>
      <w:r>
        <w:rPr>
          <w:color w:val="0056B3"/>
          <w:sz w:val="18"/>
        </w:rPr>
        <w:t>https://www.df.cl/opinion/cartas/un-dificil-equilibrio</w:t>
      </w:r>
    </w:p>
    <w:p>
      <w:pPr>
        <w:spacing w:before="20"/>
        <w:ind w:left="360"/>
      </w:pPr>
      <w:r>
        <w:rPr>
          <w:color w:val="222222"/>
          <w:sz w:val="20"/>
        </w:rPr>
        <w:t>Por:Equipo DFPublicado: Martes 21 de abril de 2026 a las 04:03 hrs.</w:t>
      </w:r>
    </w:p>
    <w:p>
      <w:pPr>
        <w:spacing w:before="20"/>
        <w:ind w:left="360"/>
      </w:pPr>
      <w:r>
        <w:rPr>
          <w:color w:val="222222"/>
          <w:sz w:val="20"/>
        </w:rPr>
        <w:t>Publicado: Martes 21 de abril de 2026 a las 04:03 hrs.</w:t>
      </w:r>
    </w:p>
    <w:p>
      <w:pPr>
        <w:spacing w:before="20"/>
        <w:ind w:left="360"/>
      </w:pPr>
      <w:r>
        <w:rPr>
          <w:color w:val="222222"/>
          <w:sz w:val="20"/>
        </w:rPr>
        <w:t>Chile ha encadenado dos años de mejoras en productividad tras una década de estancamiento. Aunque es tentador atribuirlo a políticas específicas, aún no está claro si esto es un cambio estructural o transitorio.Sostener las ganancias de productividad requiere innovación, e innovar en Chile enfrenta dos grandes desafíos. El primero es el tamaño del mercado, pues muchas ideas solo son de interés para inversionistas privados si son viables a gran escala. Con 19 millones de habitantes, el mercado del país no es suficiente, y la emigración de talento emprendedor se vuelve una consecuencia natural. El segundo es el tipo de innovación que necesitamos. Nuestras ventajas están en sectores de tecnología dura como minería, litio, y energía, donde experimentar es costoso y lento. El capital de riesgo se ha mantenido alejado de estos sectores, incluso en EEUU. Cómo atraer capital privado a estos sectores es una pregunta abierta.Estos desafíos hacen que una política de innovación para Chile no pueda importarse. Debe ser específica y capaz de retener y aprovechar talento en sectores donde el país tiene ventajas reales, sin ignorar que parte de ese talento emigrará. Diseñar ese equilibrio es difícil, pero necesario, para mantener las mejoras en productividad.</w:t>
      </w:r>
    </w:p>
    <w:p>
      <w:pPr>
        <w:spacing w:before="40" w:after="120"/>
      </w:pPr>
      <w:r>
        <w:rPr>
          <w:color w:val="CCCCCC"/>
        </w:rPr>
        <w:t>· · ·</w:t>
      </w:r>
    </w:p>
    <w:p>
      <w:r>
        <w:rPr>
          <w:b/>
          <w:color w:val="E65000"/>
        </w:rPr>
        <w:t xml:space="preserve">5. </w:t>
      </w:r>
      <w:r>
        <w:rPr>
          <w:b/>
          <w:sz w:val="22"/>
        </w:rPr>
        <w:t>Mujeres en minería</w:t>
      </w:r>
    </w:p>
    <w:p>
      <w:pPr>
        <w:spacing w:before="0"/>
      </w:pPr>
      <w:r>
        <w:rPr>
          <w:color w:val="0056B3"/>
          <w:sz w:val="18"/>
        </w:rPr>
        <w:t>https://www.df.cl/opinion/cartas/mujeres-en-mineria</w:t>
      </w:r>
    </w:p>
    <w:p>
      <w:pPr>
        <w:spacing w:before="20"/>
        <w:ind w:left="360"/>
      </w:pPr>
      <w:r>
        <w:rPr>
          <w:color w:val="222222"/>
          <w:sz w:val="20"/>
        </w:rPr>
        <w:t>Por:Equipo DFPublicado: Martes 21 de abril de 2026 a las 04:02 hrs.</w:t>
      </w:r>
    </w:p>
    <w:p>
      <w:pPr>
        <w:spacing w:before="20"/>
        <w:ind w:left="360"/>
      </w:pPr>
      <w:r>
        <w:rPr>
          <w:color w:val="222222"/>
          <w:sz w:val="20"/>
        </w:rPr>
        <w:t>Publicado: Martes 21 de abril de 2026 a las 04:02 hrs.</w:t>
      </w:r>
    </w:p>
    <w:p>
      <w:pPr>
        <w:spacing w:before="20"/>
        <w:ind w:left="360"/>
      </w:pPr>
      <w:r>
        <w:rPr>
          <w:color w:val="222222"/>
          <w:sz w:val="20"/>
        </w:rPr>
        <w:t>La industria minera en Chile ha sido pionera y un ejemplo de la real inclusión laboral de las mujeres. Con un 24% de participación femenina, ha ubicado al país en el primer lugar a nivel mundial, superando a naciones como Canadá, Australia y Sudáfrica.Una industria que hace 30 años prohibía el ingreso de las mujeres a las faenas, ha sido capaz de superar con cinco años de anticipación la meta del 20% de participación femenina impuesta en la Política Nacional Minera 2030. La minería es hoy un real motor del empleo femenino, del crecimiento de carrera y del acceso a altos cargos de gerencia y de toma de decisiones (18%).No podemos negar que hemos avanzado, pero tampoco que aún tenemos grandes desafíos. Las mujeres en la minería demandan capacitaciones técnicas que les permitan acceder a más empleos tecnológicos; necesitan sentirse seguras en sus espacios de trabajo y, sobre todo, requieren de políticas de conciliación y corresponsabilidad, para que las labores de cuidado -que tradicionalmente han recaído sobre ellas- no se conviertan en un obstáculo para su crecimiento personal y profesional.</w:t>
      </w:r>
    </w:p>
    <w:p>
      <w:pPr>
        <w:spacing w:before="20"/>
        <w:ind w:left="360"/>
      </w:pPr>
      <w:r>
        <w:rPr>
          <w:color w:val="222222"/>
          <w:sz w:val="20"/>
        </w:rPr>
        <w:t>Daniela Castro ArayaSubsecretaria de la Mujer y la Equidad de Género</w:t>
      </w:r>
    </w:p>
    <w:p>
      <w:pPr>
        <w:spacing w:before="40" w:after="120"/>
      </w:pPr>
      <w:r>
        <w:rPr>
          <w:color w:val="CCCCCC"/>
        </w:rPr>
        <w:t>· · ·</w:t>
      </w:r>
    </w:p>
    <w:p>
      <w:r>
        <w:rPr>
          <w:b/>
          <w:color w:val="E65000"/>
        </w:rPr>
        <w:t xml:space="preserve">6. </w:t>
      </w:r>
      <w:r>
        <w:rPr>
          <w:b/>
          <w:sz w:val="22"/>
        </w:rPr>
        <w:t>Legalización de las apuestas en línea</w:t>
      </w:r>
    </w:p>
    <w:p>
      <w:pPr>
        <w:spacing w:before="0"/>
      </w:pPr>
      <w:r>
        <w:rPr>
          <w:color w:val="0056B3"/>
          <w:sz w:val="18"/>
        </w:rPr>
        <w:t>https://www.df.cl/opinion/cartas/legalizacion-de-las-apuestas-en-linea</w:t>
      </w:r>
    </w:p>
    <w:p>
      <w:pPr>
        <w:spacing w:before="20"/>
        <w:ind w:left="360"/>
      </w:pPr>
      <w:r>
        <w:rPr>
          <w:color w:val="222222"/>
          <w:sz w:val="20"/>
        </w:rPr>
        <w:t>Por:Equipo DFPublicado: Martes 21 de abril de 2026 a las 04:01 hrs.</w:t>
      </w:r>
    </w:p>
    <w:p>
      <w:pPr>
        <w:spacing w:before="20"/>
        <w:ind w:left="360"/>
      </w:pPr>
      <w:r>
        <w:rPr>
          <w:color w:val="222222"/>
          <w:sz w:val="20"/>
        </w:rPr>
        <w:t>Publicado: Martes 21 de abril de 2026 a las 04:01 hrs.</w:t>
      </w:r>
    </w:p>
    <w:p>
      <w:pPr>
        <w:spacing w:before="20"/>
        <w:ind w:left="360"/>
      </w:pPr>
      <w:r>
        <w:rPr>
          <w:color w:val="222222"/>
          <w:sz w:val="20"/>
        </w:rPr>
        <w:t>La agenda de Reconstrucción y Desarrollo Económico y Social presentada por el Gobierno instala un criterio claro en torno a que, en un contexto de estrechez fiscal, el foco debe estar en fortalecer y ampliar la base de ingresos sin frenar la actividad económica. Ese principio obliga a mirar con mayor atención aquellos sectores que hoy no pueden operar dentro del sistema tributario.Uno de ellos es el de las plataformas de apuestas en línea. Se trata de una actividad ya consolidada, con alta penetración digital y un volumen económico relevante, que no cuenta con un marco regulatorio que permita su adecuada fiscalización ni su contribución al financiamiento del Estado.El proyecto de ley en tramitación en el Senado es una oportunidad para avanzar en la formalización de este mercado. Más que una discusión sobre creación de nuevos gravámenes, lo que está en juego es la capacidad de integrar una actividad existente al sistema formal, con reglas claras y estándares comparables a los de otras jurisdicciones. En el contexto de la agenda de reconstrucción, integrar este mercado al sistema formal es una decisión necesaria y consistente con los objetivos de crecimiento, eficiencia y sostenibilidad fiscal que el país requiere</w:t>
      </w:r>
    </w:p>
    <w:p>
      <w:pPr>
        <w:spacing w:before="20"/>
        <w:ind w:left="360"/>
      </w:pPr>
      <w:r>
        <w:rPr>
          <w:color w:val="222222"/>
          <w:sz w:val="20"/>
        </w:rPr>
        <w:t>Carlos BaezaAbogado Agrupación de Plataformas de Apuestas en Línea (aPAL)</w:t>
      </w:r>
    </w:p>
    <w:p>
      <w:pPr>
        <w:spacing w:before="40" w:after="120"/>
      </w:pPr>
      <w:r>
        <w:rPr>
          <w:color w:val="CCCCCC"/>
        </w:rPr>
        <w:t>· · ·</w:t>
      </w:r>
    </w:p>
    <w:p/>
    <w:p>
      <w:r>
        <w:br w:type="page"/>
      </w:r>
    </w:p>
    <w:p>
      <w:pPr>
        <w:jc w:val="center"/>
      </w:pPr>
      <w:r>
        <w:rPr>
          <w:color w:val="888888"/>
        </w:rPr>
        <w:t>Generado el 21/04/2026 a las 12:01</w:t>
        <w:br/>
        <w:t>Fuente: www.df.cl  |  Paywall: archive.today (Option 1 RemovePaywalls)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