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E65000"/>
          <w:sz w:val="44"/>
        </w:rPr>
        <w:t>📰 Resumen Diario Financiero</w:t>
      </w:r>
    </w:p>
    <w:p>
      <w:pPr>
        <w:jc w:val="center"/>
      </w:pPr>
      <w:r>
        <w:rPr>
          <w:color w:val="555555"/>
        </w:rPr>
        <w:t>Edición Del Wednesday 22 De April De 2026</w:t>
      </w:r>
    </w:p>
    <w:p/>
    <w:p>
      <w:pPr>
        <w:jc w:val="center"/>
      </w:pPr>
      <w:r>
        <w:rPr>
          <w:color w:val="444444"/>
        </w:rPr>
        <w:t>Noticias: 31  |  Con contenido: 30  |  Via archive.today: 0</w:t>
      </w:r>
    </w:p>
    <w:p>
      <w:r>
        <w:rPr>
          <w:color w:val="E65000"/>
        </w:rPr>
        <w:t>────────────────────────────────────────────────────────────────────────────────</w:t>
      </w:r>
    </w:p>
    <w:p>
      <w:r>
        <w:br w:type="page"/>
      </w:r>
    </w:p>
    <w:p>
      <w:pPr>
        <w:pStyle w:val="Heading1"/>
      </w:pPr>
      <w:r>
        <w:rPr>
          <w:color w:val="E65000"/>
        </w:rPr>
        <w:t>🔹 Mercados</w:t>
      </w:r>
    </w:p>
    <w:p>
      <w:r>
        <w:rPr>
          <w:b/>
          <w:color w:val="E65000"/>
        </w:rPr>
        <w:t xml:space="preserve">1. </w:t>
      </w:r>
      <w:r>
        <w:rPr>
          <w:b/>
          <w:sz w:val="22"/>
        </w:rPr>
        <w:t>Por qué el peso podría beneficiarse del plan de reconstrucción de Kast</w:t>
      </w:r>
      <w:r>
        <w:rPr>
          <w:color w:val="CC7700"/>
          <w:sz w:val="18"/>
        </w:rPr>
        <w:t xml:space="preserve">  [⭐ Destacada]</w:t>
      </w:r>
    </w:p>
    <w:p>
      <w:pPr>
        <w:spacing w:before="0"/>
      </w:pPr>
      <w:r>
        <w:rPr>
          <w:color w:val="0056B3"/>
          <w:sz w:val="18"/>
        </w:rPr>
        <w:t>https://www.df.cl/mercados/bolsa-monedas/por-que-el-peso-podria-beneficiarse-del-plan-de-reconstruccion-de-kast</w:t>
      </w:r>
    </w:p>
    <w:p>
      <w:pPr>
        <w:spacing w:before="20"/>
        <w:ind w:left="360"/>
      </w:pPr>
      <w:r>
        <w:rPr>
          <w:color w:val="222222"/>
          <w:sz w:val="20"/>
        </w:rPr>
        <w:t>Analistas ven espacio para que el paquete económico aporte soporte adicional a la moneda local si logra avanzar en el Congreso.</w:t>
      </w:r>
    </w:p>
    <w:p>
      <w:pPr>
        <w:spacing w:before="20"/>
        <w:ind w:left="360"/>
      </w:pPr>
      <w:r>
        <w:rPr>
          <w:color w:val="222222"/>
          <w:sz w:val="20"/>
        </w:rPr>
        <w:t>Por:José Tomás RodríguezPublicado: Miércoles 22 de abril de 2026 a las 11:40 hrs.</w:t>
      </w:r>
    </w:p>
    <w:p>
      <w:pPr>
        <w:spacing w:before="20"/>
        <w:ind w:left="360"/>
      </w:pPr>
      <w:r>
        <w:rPr>
          <w:color w:val="222222"/>
          <w:sz w:val="20"/>
        </w:rPr>
        <w:t>Publicado: Miércoles 22 de abril de 2026 a las 11:40 hrs.</w:t>
      </w:r>
    </w:p>
    <w:p>
      <w:pPr>
        <w:spacing w:before="20"/>
        <w:ind w:left="360"/>
      </w:pPr>
      <w:r>
        <w:rPr>
          <w:color w:val="222222"/>
          <w:sz w:val="20"/>
        </w:rPr>
        <w:t>Elplan de reconstrucción y desarrollo económicopresentado por el gobierno abrió un nuevo foco para el mercado cambiario, al instalar la pregunta sobre si las más de 40 medidas que lo componen -entre ellas, la baja de impuestos, la eliminación transitoria del IVA a la nueva vivienda y los incentivos a las PYME- pueden transformarse en un apoyo adicional para el peso chileno.</w:t>
      </w:r>
    </w:p>
    <w:p>
      <w:pPr>
        <w:spacing w:before="20"/>
        <w:ind w:left="360"/>
      </w:pPr>
      <w:r>
        <w:rPr>
          <w:color w:val="222222"/>
          <w:sz w:val="20"/>
        </w:rPr>
        <w:t>Aunque el tipo de cambio ya venía cayendo por factores externos asociados al conflicto en Medio Oriente y logróresistir gracias al cobre, el paquete introduce un componente local que podría empezar a ser monitoreado más de cerca por inversionistas y analistas.</w:t>
      </w:r>
    </w:p>
    <w:p>
      <w:pPr>
        <w:spacing w:before="20"/>
        <w:ind w:left="360"/>
      </w:pPr>
      <w:r>
        <w:rPr>
          <w:color w:val="222222"/>
          <w:sz w:val="20"/>
        </w:rPr>
        <w:t>La clave está en si estas medidas logran mejorar el atractivo de Chile para la inversión y generar mayores flujos de divisas, especialmente si una mejor regulación de permisos termina favoreciendo proyectos mineros y si la ventana para repatriar capitales cumple el objetivo del Ejecutivo.</w:t>
      </w:r>
    </w:p>
    <w:p>
      <w:pPr>
        <w:spacing w:before="120"/>
        <w:ind w:left="360"/>
      </w:pPr>
      <w:r>
        <w:rPr>
          <w:b/>
          <w:color w:val="E65000"/>
          <w:sz w:val="26"/>
        </w:rPr>
        <w:t xml:space="preserve"> </w:t>
      </w:r>
    </w:p>
    <w:p>
      <w:pPr>
        <w:spacing w:before="20"/>
        <w:ind w:left="360"/>
      </w:pPr>
      <w:r>
        <w:rPr>
          <w:color w:val="222222"/>
          <w:sz w:val="20"/>
        </w:rPr>
        <w:t>Según expertos, el plan no cambia por sí solo la tendencia reciente del dólar, pero sí abre la posibilidad de que la política económica local comience a complementar el impulso que ya ha venido dando el mineral. Incluso, el solo anunio de la medida previo a su presentación podría estar operando como catalizador de un mayor fortalecimiento de la moneda local.</w:t>
      </w:r>
    </w:p>
    <w:p>
      <w:pPr>
        <w:spacing w:before="20"/>
        <w:ind w:left="360"/>
      </w:pPr>
      <w:r>
        <w:rPr>
          <w:color w:val="222222"/>
          <w:sz w:val="20"/>
        </w:rPr>
        <w:t>Desde XTB, Emanuelle Santos sostuvo aDFque"una señal creíble de convergencia hacia una política fiscal y regulatoria más predecible reduce la prima de riesgo exigida al peso y puede apreciar el tipo de cambio incluso antes de que se materialice un solo dólar de inversión extranjera".</w:t>
      </w:r>
    </w:p>
    <w:p>
      <w:pPr>
        <w:spacing w:before="20"/>
        <w:ind w:left="360"/>
      </w:pPr>
      <w:r>
        <w:rPr>
          <w:color w:val="222222"/>
          <w:sz w:val="20"/>
        </w:rPr>
        <w:t>En unwebinar, el analista de BTG PactualWealth Management, Andrés Barberis, explicó que “el peso chileno avanzó un 2,17%, siendo la mejor moneda dentro de nuestra región, apoyada por una combinación de factores bastante directa (...) con un telón de fondo más favorable para el sector minero chileno en una semana donde se destaca esfuerzos para acelerar las aprobaciones de inversión en cuanto a los proyectos mineros”.</w:t>
      </w:r>
    </w:p>
    <w:p>
      <w:pPr>
        <w:spacing w:before="20"/>
        <w:ind w:left="360"/>
      </w:pPr>
      <w:r>
        <w:rPr>
          <w:color w:val="222222"/>
          <w:sz w:val="20"/>
        </w:rPr>
        <w:t>En la misma línea, Felipe Cáceres, analista de mercados de Capitaria, señaló aDFque“el plan mejora el clima de inversión y eso el mercado lo anticipa antes de que lleguen los primeros flujos concretos”.A su juicio, las señales son concretas: rebaja del impuesto corporativo, repatriación de capitales y destrabe de proyectos de inversión que llevan años paralizados.“Todo eso reduce la percepción de riesgo país y aumenta el atractivo de Chile como destino de inversión. El factor determinante será cuánto logra avanzar en el Congreso sin perder su esencia”, agregó.</w:t>
      </w:r>
    </w:p>
    <w:p>
      <w:pPr>
        <w:spacing w:before="20"/>
        <w:ind w:left="360"/>
      </w:pPr>
      <w:r>
        <w:rPr>
          <w:color w:val="222222"/>
          <w:sz w:val="20"/>
        </w:rPr>
        <w:t>Ahora bien, Cáceres explicó que, en el caso de aprobarse,la repatriación de capitales con una tasa del 7% genera flujos directos hacia el peso en el corto plazo, mientras que la rebaja corporativa del 27% al 23% tiene un efecto más estructural. Esto, gracias a que reduce el incentivo a mantener capital en el exterior y mejora la competitividad tributaria frente a economías comparables.</w:t>
      </w:r>
    </w:p>
    <w:p>
      <w:pPr>
        <w:spacing w:before="20"/>
        <w:ind w:left="360"/>
      </w:pPr>
      <w:r>
        <w:rPr>
          <w:color w:val="222222"/>
          <w:sz w:val="20"/>
        </w:rPr>
        <w:t>Por su parte, el economista jefe de Credicorp Capital Chile, Samuel Carrasco, sostuvo aDFque en lo inmediato,las medidas anunciadas podrían tener un impacto, “aunque acotado” en el corto plazo, operando principalmente a través del canal de expectativas más que de flujos efectivos. Aun así, advirtió que la evolución del peso chileno sigue estando fuertemente condicionada por el escenario internacional, en particular por la resolución del conflicto geopolítico, la dinámica de los precios de las materias primas y la trayectoria deldollar index. Ya mirando el mediano plazo, estimó que “las medidas van en la dirección correcta y podrían resultar constructivas para el peso chileno, siempre que logren destrabar la inversión, elevar el PIB tendencial, mejorar la productividad y fortalecer la sostenibilidad de las finanzas públicas”.</w:t>
      </w:r>
    </w:p>
    <w:p>
      <w:pPr>
        <w:spacing w:before="20"/>
        <w:ind w:left="360"/>
      </w:pPr>
      <w:r>
        <w:rPr>
          <w:color w:val="222222"/>
          <w:sz w:val="20"/>
        </w:rPr>
        <w:t>El mercado empieza a delinear un rango más claro para el dólar en la medida en que se combine el avance del plan económico con una mejora del escenario externo. Desde XTB, proyectaron que una aprobación progresiva del paquete de Kast en el Congreso, sumada a una reapertura efectiva del Estrecho de Ormuz que estabilice el cobre sobre US$ 4,5 por libra, podría empujar al tipo de cambio hacia soportes de$ 851 e incluso $ 837, nivel que implicaría una apreciación cercana al 18% del peso respecto de los máximos de febrero.</w:t>
      </w:r>
    </w:p>
    <w:p>
      <w:pPr>
        <w:spacing w:before="20"/>
        <w:ind w:left="360"/>
      </w:pPr>
      <w:r>
        <w:rPr>
          <w:color w:val="222222"/>
          <w:sz w:val="20"/>
        </w:rPr>
        <w:t>"Un fracaso legislativo temprano elimina el componente de prima política positiva que el mercado pueda haber incorporado parcialmente.Además, podría debilitar la capacidad negociadora del Gobierno para el resto de su mandato y elevar la percepción del riesgo institucional. En términos cambiarios, ese escenario podría empujar el dólar de vuelta por encima de los $ 900",estimó la corredora de bolsa.</w:t>
      </w:r>
    </w:p>
    <w:p>
      <w:pPr>
        <w:spacing w:before="20"/>
        <w:ind w:left="360"/>
      </w:pPr>
      <w:r>
        <w:rPr>
          <w:color w:val="222222"/>
          <w:sz w:val="20"/>
        </w:rPr>
        <w:t>Esa visión conversa con la de Capitaria, donde estiman que, si coinciden un cobre sobre US$ 5 la libra, una tregua sostenida con Irán y un avance legislativo del plan de Hacienda ,el dólar tendría espacio para acercarse a la zona de $ 850. El movimiento no sería menor: en elpeakde la guerra el billete verde escaló hasta niveles cercanos a $ 936, mientras que hoy se ubica en torno a$ 883,de acuerdo con cifras del Banco Central.</w:t>
      </w:r>
    </w:p>
    <w:p>
      <w:pPr>
        <w:spacing w:before="20"/>
        <w:ind w:left="360"/>
      </w:pPr>
      <w:r>
        <w:rPr>
          <w:color w:val="222222"/>
          <w:sz w:val="20"/>
        </w:rPr>
        <w:t>Más allá de esas proyecciones, en BCI Corredora de Bolsa prefieren ordenar la discusión en tres escenarios para 2026. El estratega de inversiones, Vicente Dourthe, asigna una probabilidad de 50% al escenario base, que contempla una guerra en Medio Oriente extendiéndose hasta comienzos del segundo semestre, un entorno global más complejo y ausencia de reformas económicas significativas en Chile, aunque con foco en consolidación fiscal;en ese caso, el dólar cerraría en torno a$ 880.</w:t>
      </w:r>
    </w:p>
    <w:p>
      <w:pPr>
        <w:spacing w:before="20"/>
        <w:ind w:left="360"/>
      </w:pPr>
      <w:r>
        <w:rPr>
          <w:color w:val="222222"/>
          <w:sz w:val="20"/>
        </w:rPr>
        <w:t>El escenario favorable, con 20% de probabilidad, considera una moderación de los riesgos globales y avances en reformas locales, lo que abriría espacio para un tipo de cambio cercano a $ 830.</w:t>
      </w:r>
    </w:p>
    <w:p>
      <w:pPr>
        <w:spacing w:before="20"/>
        <w:ind w:left="360"/>
      </w:pPr>
      <w:r>
        <w:rPr>
          <w:color w:val="222222"/>
          <w:sz w:val="20"/>
        </w:rPr>
        <w:t>En el extremo opuesto, el escenario adverso -con 30% de probabilidad- combina una guerra más prolongada, tensiones políticas, menor crecimiento global y mayor polarización local, un cuadro que, según Dourthe,“empieza a afectar distintas confianzas en la economía” y podría llevar al dólar hasta niveles próximos a $ 960.</w:t>
      </w:r>
    </w:p>
    <w:p>
      <w:pPr>
        <w:spacing w:before="20"/>
        <w:ind w:left="360"/>
      </w:pPr>
      <w:r>
        <w:rPr>
          <w:color w:val="222222"/>
          <w:sz w:val="20"/>
        </w:rPr>
        <w:t>Finalmente, desde Credicorp Capital, matizaron en que el plan de reconstrucción "no garantiza una apreciación del peso por sí solo, pero contribuye a reducir riesgos, mejorar las expectativas, reabrir el canal inversión‑crecimiento y comprimir la prima de riesgo”.</w:t>
      </w:r>
    </w:p>
    <w:p>
      <w:pPr>
        <w:spacing w:before="40" w:after="120"/>
      </w:pPr>
      <w:r>
        <w:rPr>
          <w:color w:val="CCCCCC"/>
        </w:rPr>
        <w:t>· · ·</w:t>
      </w:r>
    </w:p>
    <w:p>
      <w:r>
        <w:rPr>
          <w:b/>
          <w:color w:val="E65000"/>
        </w:rPr>
        <w:t xml:space="preserve">2. </w:t>
      </w:r>
      <w:r>
        <w:rPr>
          <w:b/>
          <w:sz w:val="22"/>
        </w:rPr>
        <w:t>Dólar cotiza a la baja cerca de $ 890 a medida que el cobre sube fuerte después de que Trump anuncia una extensión de la tregua con Irán</w:t>
      </w:r>
      <w:r>
        <w:rPr>
          <w:color w:val="CC7700"/>
          <w:sz w:val="18"/>
        </w:rPr>
        <w:t xml:space="preserve">  [⭐ Destacada]</w:t>
      </w:r>
    </w:p>
    <w:p>
      <w:pPr>
        <w:spacing w:before="0"/>
      </w:pPr>
      <w:r>
        <w:rPr>
          <w:color w:val="0056B3"/>
          <w:sz w:val="18"/>
        </w:rPr>
        <w:t>https://www.df.cl/mercados/bolsa-monedas/dolar-hoy-5ykus</w:t>
      </w:r>
    </w:p>
    <w:p>
      <w:pPr>
        <w:spacing w:before="20"/>
        <w:ind w:left="360"/>
      </w:pPr>
      <w:r>
        <w:rPr>
          <w:color w:val="222222"/>
          <w:sz w:val="20"/>
        </w:rPr>
        <w:t>El cobre Comex repuntaba 1,8% para cotizar a US$ 6,18 por libra, dándole un soporte al peso, en momentos en que el petróleo Brent superaba los US$ 100 por barril y un indicador del dólar global se apreciaba marginalmente.</w:t>
      </w:r>
    </w:p>
    <w:p>
      <w:pPr>
        <w:spacing w:before="20"/>
        <w:ind w:left="360"/>
      </w:pPr>
      <w:r>
        <w:rPr>
          <w:color w:val="222222"/>
          <w:sz w:val="20"/>
        </w:rPr>
        <w:t>Publicado: Miércoles 22 de abril de 2026 a las 11:22 hrs.</w:t>
      </w:r>
    </w:p>
    <w:p>
      <w:pPr>
        <w:spacing w:before="20"/>
        <w:ind w:left="360"/>
      </w:pPr>
      <w:r>
        <w:rPr>
          <w:color w:val="222222"/>
          <w:sz w:val="20"/>
        </w:rPr>
        <w:t>El dólar caía este miércoles, después de queDonald Trumpanunciara una extensión indefinida de la tregua con Irán, aunque el entusiasmo de lostradersse está viendo desafiado por el hecho de que Teheránsigue dificultando el paso por el estrecho de Ormuz.</w:t>
      </w:r>
    </w:p>
    <w:p>
      <w:pPr>
        <w:spacing w:before="20"/>
        <w:ind w:left="360"/>
      </w:pPr>
      <w:r>
        <w:rPr>
          <w:color w:val="222222"/>
          <w:sz w:val="20"/>
        </w:rPr>
        <w:t>La divisa bajaba $ 4,8 a $ 890,2 antes del mediodía en el mercado local. El peso chileno lideraba los retornos entre las divisas emergentes, lo que, en todo caso, viene trassufrir el mayor golpe en la jornada previa, según los datos de Bloomberg.</w:t>
      </w:r>
    </w:p>
    <w:p>
      <w:pPr>
        <w:spacing w:before="20"/>
        <w:ind w:left="360"/>
      </w:pPr>
      <w:r>
        <w:rPr>
          <w:color w:val="222222"/>
          <w:sz w:val="20"/>
        </w:rPr>
        <w:t>El cobre Comex repuntaba 1,8% para cotizar a US$ 6,18 por libra, dándole un soporte al peso, en momentos en que el petróleo Brent superaba los US$ 100 por barril y un indicador del dólar global se apreciaba marginalmente.</w:t>
      </w:r>
    </w:p>
    <w:p>
      <w:pPr>
        <w:spacing w:before="20"/>
        <w:ind w:left="360"/>
      </w:pPr>
      <w:r>
        <w:rPr>
          <w:color w:val="222222"/>
          <w:sz w:val="20"/>
        </w:rPr>
        <w:t>Restricciones de oferta podrían estar apoyando al metal rojo. "Si bien la evolución del precio del cobre desde el inicio del conflicto con Irán ha reflejado en gran medida la preocupación por el crecimiento económico, con una caída inicial seguida de una recuperación tras el alto al fuego,observamos riesgos para el suministro de cobre derivados de una posible escasez de ácido sulfúrico si la recuperación de los flujos a través del estrecho de Ormuz se retrasa aún más", dijeron analistas deGoldman Sachscitados por Bloomberg.</w:t>
      </w:r>
    </w:p>
    <w:p>
      <w:pPr>
        <w:spacing w:before="20"/>
        <w:ind w:left="360"/>
      </w:pPr>
      <w:r>
        <w:rPr>
          <w:color w:val="222222"/>
          <w:sz w:val="20"/>
        </w:rPr>
        <w:t>Trump dijo este martes, posterior al cierre de los mercados en Chile y Estados Unidos, que no habrá un plazo límite para este miércoles, como había señalado anteriormente, sino quela actual tregua con Irán seguirá vigente hasta que concluyan las negociaciones de paz.</w:t>
      </w:r>
    </w:p>
    <w:p>
      <w:pPr>
        <w:spacing w:before="20"/>
        <w:ind w:left="360"/>
      </w:pPr>
      <w:r>
        <w:rPr>
          <w:color w:val="222222"/>
          <w:sz w:val="20"/>
        </w:rPr>
        <w:t>El mandatario sostuvo en su red Truth Social que esto fue a petición del primer ministro pakistaní. En concreto,Shehbaz Sharifle pidió que suspenda el ataque previsto contra Irán "hasta que sus líderes y representantes puedan presentar una propuesta unificada". Trump habló de fragmentación dentro del régimen persa.</w:t>
      </w:r>
    </w:p>
    <w:p>
      <w:pPr>
        <w:spacing w:before="20"/>
        <w:ind w:left="360"/>
      </w:pPr>
      <w:r>
        <w:rPr>
          <w:color w:val="222222"/>
          <w:sz w:val="20"/>
        </w:rPr>
        <w:t>Sin embargo, noticias posteriores fueron desalentadoras para los entusiastas de una pronta resolución del conflicto. Y es que Teherán se adjudicó la detención de dos buques comerciales en el estrecho de Ormuz, a los que condujo a sus aguas territoriales por "poner en peligro la seguridad marítima". La prensa iraní se refirió más tarde a un ataque -sin detención- a un tercer barco.</w:t>
      </w:r>
    </w:p>
    <w:p>
      <w:pPr>
        <w:spacing w:before="20"/>
        <w:ind w:left="360"/>
      </w:pPr>
      <w:r>
        <w:rPr>
          <w:color w:val="222222"/>
          <w:sz w:val="20"/>
        </w:rPr>
        <w:t>El ministro de Relaciones Exteriores de Irán,Abbas Araghchi, dijo en conversación con su homólogo italiano que la situación en Ormuz es "un resultado directo del rompimiento de las leyes" por parte de Washington.</w:t>
      </w:r>
    </w:p>
    <w:p>
      <w:pPr>
        <w:spacing w:before="20"/>
        <w:ind w:left="360"/>
      </w:pPr>
      <w:r>
        <w:rPr>
          <w:color w:val="222222"/>
          <w:sz w:val="20"/>
        </w:rPr>
        <w:t>Mientras sigue imponiendo un bloqueo naval a los puertos iraníes, EEUU ha estado incrementando su presencia en Medio Oriente. Camino a la región se encuentra el portaviones USS George HW Bush, cuya llegada marcaría el mayor despliegue naval desde la guerra de Irak en 2003, según el Financial Times.</w:t>
      </w:r>
    </w:p>
    <w:p>
      <w:pPr>
        <w:spacing w:before="40" w:after="120"/>
      </w:pPr>
      <w:r>
        <w:rPr>
          <w:color w:val="CCCCCC"/>
        </w:rPr>
        <w:t>· · ·</w:t>
      </w:r>
    </w:p>
    <w:p>
      <w:r>
        <w:rPr>
          <w:b/>
          <w:color w:val="E65000"/>
        </w:rPr>
        <w:t xml:space="preserve">3. </w:t>
      </w:r>
      <w:r>
        <w:rPr>
          <w:b/>
          <w:sz w:val="22"/>
        </w:rPr>
        <w:t>Macarena Ossa, gerenta de la Asociación de Fondos Mutuos: "Es importante que las exigencias regulatorias no se conviertan en una carga innecesaria"</w:t>
      </w:r>
      <w:r>
        <w:rPr>
          <w:color w:val="CC7700"/>
          <w:sz w:val="18"/>
        </w:rPr>
        <w:t xml:space="preserve">  [⭐ Destacada]</w:t>
      </w:r>
    </w:p>
    <w:p>
      <w:pPr>
        <w:spacing w:before="0"/>
      </w:pPr>
      <w:r>
        <w:rPr>
          <w:color w:val="0056B3"/>
          <w:sz w:val="18"/>
        </w:rPr>
        <w:t>https://www.df.cl/mercados/fondos-de-inversion/macarena-ossa-de-la-asociacion-de-fondos-mutuos-es-importante-que-las</w:t>
      </w:r>
    </w:p>
    <w:p>
      <w:pPr>
        <w:spacing w:before="20"/>
        <w:ind w:left="360"/>
      </w:pPr>
      <w:r>
        <w:rPr>
          <w:color w:val="222222"/>
          <w:sz w:val="20"/>
        </w:rPr>
        <w:t>La nueva alta ejecutiva de la agrupación delinea la hoja de ruta del sector.</w:t>
      </w:r>
    </w:p>
    <w:p>
      <w:pPr>
        <w:spacing w:before="20"/>
        <w:ind w:left="360"/>
      </w:pPr>
      <w:r>
        <w:rPr>
          <w:color w:val="222222"/>
          <w:sz w:val="20"/>
        </w:rPr>
        <w:t>Publicado: Miércoles 22 de abril de 2026 a las 11:10 hrs.</w:t>
      </w:r>
    </w:p>
    <w:p>
      <w:pPr>
        <w:spacing w:before="20"/>
        <w:ind w:left="360"/>
      </w:pPr>
      <w:r>
        <w:rPr>
          <w:color w:val="222222"/>
          <w:sz w:val="20"/>
        </w:rPr>
        <w:t>La nueva gerenta general de la Asociación de Fondos Mutuos., Macarena Ossa/Fotógrafo Jonathan Durán</w:t>
      </w:r>
    </w:p>
    <w:p>
      <w:pPr>
        <w:spacing w:before="20"/>
        <w:ind w:left="360"/>
      </w:pPr>
      <w:r>
        <w:rPr>
          <w:color w:val="222222"/>
          <w:sz w:val="20"/>
        </w:rPr>
        <w:t>Después de siete años liderando la gerencia de desarrollo de laAsociación de Fondos Mutuos(AFM),a inicios de 2026,Macarena Ossaasumió la gerencia general del gremio en reemplazo deMónica Cavallini.</w:t>
      </w:r>
    </w:p>
    <w:p>
      <w:pPr>
        <w:spacing w:before="20"/>
        <w:ind w:left="360"/>
      </w:pPr>
      <w:r>
        <w:rPr>
          <w:color w:val="222222"/>
          <w:sz w:val="20"/>
        </w:rPr>
        <w:t>En sus primeros meses en el cargo, la ejecutiva ha interactuado con diversos actores del mercado para dar cuenta de la hoja de ruta del gremio. Hace unas semanas se reunió -junto con el directorio de la AFM- conel coordinador de mercado de capitales de Hacienda, Eugenio Symon,a quien le presentó la agenda del sector.</w:t>
      </w:r>
    </w:p>
    <w:p>
      <w:pPr>
        <w:spacing w:before="20"/>
        <w:ind w:left="360"/>
      </w:pPr>
      <w:r>
        <w:rPr>
          <w:color w:val="222222"/>
          <w:sz w:val="20"/>
        </w:rPr>
        <w:t>"En la reunión, destacamos que la industria de fondos mutuos es un pilar del ahorro de las personas y del financiamiento de la economía chilena, que ha alcanzado un nivel de profundidad histórico (27% del PIB), con fuerte foco en personas naturales y en inversión local. Además, reforzamos la importancia de avanzar hacia un marco regulatorio más eficiente, reduciendo el costo de cumplimiento para los fondos, lo que finalmente va en directo beneficio de los aportantes", señala en su primera entrevista conDF.</w:t>
      </w:r>
    </w:p>
    <w:p>
      <w:pPr>
        <w:spacing w:before="20"/>
        <w:ind w:left="360"/>
      </w:pPr>
      <w:r>
        <w:rPr>
          <w:color w:val="222222"/>
          <w:sz w:val="20"/>
        </w:rPr>
        <w:t>- ¿Cuáles fueron las principales propuestas que hizo el gremio al Ministerio de Hacienda?</w:t>
      </w:r>
    </w:p>
    <w:p>
      <w:pPr>
        <w:spacing w:before="20"/>
        <w:ind w:left="360"/>
      </w:pPr>
      <w:r>
        <w:rPr>
          <w:color w:val="222222"/>
          <w:sz w:val="20"/>
        </w:rPr>
        <w:t>- Para efectos de potenciar el ahorro a largo plazo, buscamos mejorar el bienestar y fortalecer la competencia en el mercado financiero. Por ello, nuestras propuestas apuntan a asegurarneutralidad tributariaen beneficio de personas naturales considerando la exención al impuesto a ganancia de capital paraaquellos fondos mutuos que inviertan en acciones exentas;desarrollar elmercado de letras de Tesorería;fortalecer el APVy el ahorro de largo plazo; y establecer unrégimen transitorio con incentivos a la repatriación de rentas del exterior.</w:t>
      </w:r>
    </w:p>
    <w:p>
      <w:pPr>
        <w:spacing w:before="20"/>
        <w:ind w:left="360"/>
      </w:pPr>
      <w:r>
        <w:rPr>
          <w:color w:val="222222"/>
          <w:sz w:val="20"/>
        </w:rPr>
        <w:t>- ¿Por qué la neutralidad tributaria podría beneficiar a las personas naturales más allá de inversionistas sofisticados?</w:t>
      </w:r>
    </w:p>
    <w:p>
      <w:pPr>
        <w:spacing w:before="20"/>
        <w:ind w:left="360"/>
      </w:pPr>
      <w:r>
        <w:rPr>
          <w:color w:val="222222"/>
          <w:sz w:val="20"/>
        </w:rPr>
        <w:t>- Actualmente, los fondos mutuos canalizan el ahorro e inversiones que en gran parte pertenecen a personas naturales -96% de los aportantes son personas naturales-, por lo que asegurar neutralidad tributaria considerando la exención al impuesto a ganancia de capital paraaquellos fondos mutuos que inviertan en acciones exentas, iría en directobeneficio de personas naturales,más allá de inversionistas sofisticados que invierten directamente en bolsa.</w:t>
      </w:r>
    </w:p>
    <w:p>
      <w:pPr>
        <w:spacing w:before="20"/>
        <w:ind w:left="360"/>
      </w:pPr>
      <w:r>
        <w:rPr>
          <w:color w:val="222222"/>
          <w:sz w:val="20"/>
        </w:rPr>
        <w:t>- Respecto del mercado de letras en Chile ¿Cómo se podría y qué efectos podría tener?</w:t>
      </w:r>
    </w:p>
    <w:p>
      <w:pPr>
        <w:spacing w:before="20"/>
        <w:ind w:left="360"/>
      </w:pPr>
      <w:r>
        <w:rPr>
          <w:color w:val="222222"/>
          <w:sz w:val="20"/>
        </w:rPr>
        <w:t>- Propusimos potenciar el mercado de letras de Tesorería, con un programa estable, excluyendo las letras de corto plazo del cómputo del margen de emisión bruta, o bien estableciendo un mecanismo permanente, que, por ejemplo, permita evaluar las letras según unstockmáximo definido. Esto proporcionaría al mercado un colateral de alta calidad y mejoraría la gestión de liquidez.</w:t>
      </w:r>
    </w:p>
    <w:p>
      <w:pPr>
        <w:spacing w:before="20"/>
        <w:ind w:left="360"/>
      </w:pPr>
      <w:r>
        <w:rPr>
          <w:color w:val="222222"/>
          <w:sz w:val="20"/>
        </w:rPr>
        <w:t>- ¿En cuanto al APV y el APVC en empresas, qué idea presentaron a Symon?</w:t>
      </w:r>
    </w:p>
    <w:p>
      <w:pPr>
        <w:spacing w:before="20"/>
        <w:ind w:left="360"/>
      </w:pPr>
      <w:r>
        <w:rPr>
          <w:color w:val="222222"/>
          <w:sz w:val="20"/>
        </w:rPr>
        <w:t>- Una de las propuestas es otorgar mayor flexibilidad al APV, permitiendo retiros para financiar la primera vivienda sin penalidad tributaria, bajo un esquema de reintegro. Esto permitiría compatibilizar el objetivo previsional con necesidades concretas de las familias.</w:t>
      </w:r>
    </w:p>
    <w:p>
      <w:pPr>
        <w:spacing w:before="20"/>
        <w:ind w:left="360"/>
      </w:pPr>
      <w:r>
        <w:rPr>
          <w:color w:val="222222"/>
          <w:sz w:val="20"/>
        </w:rPr>
        <w:t>En el caso del APVC, buscamos incorporar  a los empleadores en la construcción del ahorro previsional de sus trabajadores, generando incentivos compartidos al vincular aportes de empleadores a créditos tributarios.</w:t>
      </w:r>
    </w:p>
    <w:p>
      <w:pPr>
        <w:spacing w:before="20"/>
        <w:ind w:left="360"/>
      </w:pPr>
      <w:r>
        <w:rPr>
          <w:color w:val="222222"/>
          <w:sz w:val="20"/>
        </w:rPr>
        <w:t>- Sobre la repatriación de capitales, ¿Qué propone el gremio?</w:t>
      </w:r>
    </w:p>
    <w:p>
      <w:pPr>
        <w:spacing w:before="20"/>
        <w:ind w:left="360"/>
      </w:pPr>
      <w:r>
        <w:rPr>
          <w:color w:val="222222"/>
          <w:sz w:val="20"/>
        </w:rPr>
        <w:t>- En línea con la agenda de autoridades en torno a fomentar la economía y la inversión en Chile, planteamos a las autoridades que el programa extraordinario de declaración de rentas en el extranjero incorpore incentivos tributarios para su repatriación sujeto a su inversión en determinados sectores económicos que se busque promover, como por ejemplo, el mercado de capitales. Dada las declaraciones recientes del Presidente Kast, vemos que tuvo una buena acogida esta medida.</w:t>
      </w:r>
    </w:p>
    <w:p>
      <w:pPr>
        <w:spacing w:before="20"/>
        <w:ind w:left="360"/>
      </w:pPr>
      <w:r>
        <w:rPr>
          <w:color w:val="222222"/>
          <w:sz w:val="20"/>
        </w:rPr>
        <w:t>- En cuanto a las normas, ¿cómo podría aumentar la eficiencia o disminuir la carga regulatoria de la industria?</w:t>
      </w:r>
    </w:p>
    <w:p>
      <w:pPr>
        <w:spacing w:before="20"/>
        <w:ind w:left="360"/>
      </w:pPr>
      <w:r>
        <w:rPr>
          <w:color w:val="222222"/>
          <w:sz w:val="20"/>
        </w:rPr>
        <w:t>- Es importante promover una agenda regulatoria armónica que evite generar costos operativos que no tengan beneficios para los inversionistas. En este ámbito, es importante asegurar que las exigencias no se conviertan en una carga innecesaria, por ejemplo, evitando duplicidades regulatorias, eliminando reportes redundantes y simplificar la carga administrativa, de modo de mejorar la eficiencia de la industria sin afectar los estándares de supervisión.</w:t>
      </w:r>
    </w:p>
    <w:p>
      <w:pPr>
        <w:spacing w:before="20"/>
        <w:ind w:left="360"/>
      </w:pPr>
      <w:r>
        <w:rPr>
          <w:color w:val="222222"/>
          <w:sz w:val="20"/>
        </w:rPr>
        <w:t>-¿Cuáles son las próximas regulaciones que se aplicarán en la industria por parte de la CMF que podrían impactar al negocio?</w:t>
      </w:r>
    </w:p>
    <w:p>
      <w:pPr>
        <w:spacing w:before="20"/>
        <w:ind w:left="360"/>
      </w:pPr>
      <w:r>
        <w:rPr>
          <w:color w:val="222222"/>
          <w:sz w:val="20"/>
        </w:rPr>
        <w:t>- Próximamente, se implementará el Manual de Sistema de Información (MSI) de fondos, y también, dentro del plan de regulación de la CMF se emitirá la norma relativa al compendio de fondos, que busca sistematizar en una norma las reglas aplicables a la industria.</w:t>
      </w:r>
    </w:p>
    <w:p>
      <w:pPr>
        <w:spacing w:before="20"/>
        <w:ind w:left="360"/>
      </w:pPr>
      <w:r>
        <w:rPr>
          <w:color w:val="222222"/>
          <w:sz w:val="20"/>
        </w:rPr>
        <w:t>Valoramos estos avances y participamos activamente en el proceso de discusión de ambos proyectos. Respecto al compendio, hemos realizado una serie de observaciones orientadas a optimizar la implementación, de forma que esta sistematización se traduzca en una estructura funcional, que agregue valor tanto a AGF como a partícipes.</w:t>
      </w:r>
    </w:p>
    <w:p>
      <w:pPr>
        <w:spacing w:before="20"/>
        <w:ind w:left="360"/>
      </w:pPr>
      <w:r>
        <w:rPr>
          <w:color w:val="222222"/>
          <w:sz w:val="20"/>
        </w:rPr>
        <w:t>Dentro de su contenido, destacamos la simplificación que se propuso para optimizar la entrega de información a los inversionistas, pasando de folletos informativos a una ficha resumen con foco en lo que importa para apoyar la toma de decisiones informadas, comprendiendo las características y riesgo de cada fondo.</w:t>
      </w:r>
    </w:p>
    <w:p>
      <w:pPr>
        <w:spacing w:before="20"/>
        <w:ind w:left="360"/>
      </w:pPr>
      <w:r>
        <w:rPr>
          <w:color w:val="222222"/>
          <w:sz w:val="20"/>
        </w:rPr>
        <w:t>El plan de regulación también tiene otras normas atingentes a la industria, como por ejemplo, la actualización de la norma relativa a liquidez de fondos mutuos, por lo que participaremos activamente en su discusión para promover un entorno regulatorio que facilite la profundidad del mercado.</w:t>
      </w:r>
    </w:p>
    <w:p>
      <w:pPr>
        <w:spacing w:before="20"/>
        <w:ind w:left="360"/>
      </w:pPr>
      <w:r>
        <w:rPr>
          <w:color w:val="222222"/>
          <w:sz w:val="20"/>
        </w:rPr>
        <w:t>-¿Cómo observa la agenda de desarrollo de mercado que está impulsando la presidenta de la CMF, Catherine Tornel? Por ahora el foco ha estado en la banca. ¿Espera algún énfasis hacia su industria?</w:t>
      </w:r>
    </w:p>
    <w:p>
      <w:pPr>
        <w:spacing w:before="20"/>
        <w:ind w:left="360"/>
      </w:pPr>
      <w:r>
        <w:rPr>
          <w:color w:val="222222"/>
          <w:sz w:val="20"/>
        </w:rPr>
        <w:t>- Valoramos la visión de la CMF de posicionar el desarrollo del mercado como un eje estratégico de su gestión. Compartimos la convicción de que avanzar hacia un marco regulatorio armónico que promueva la profundidad y eficiencia del sistema financiero es un pilar relevante para el desarrollo del mercado de capitales.</w:t>
      </w:r>
    </w:p>
    <w:p>
      <w:pPr>
        <w:spacing w:before="20"/>
        <w:ind w:left="360"/>
      </w:pPr>
      <w:r>
        <w:rPr>
          <w:color w:val="222222"/>
          <w:sz w:val="20"/>
        </w:rPr>
        <w:t>En la industria de fondos mutuos ya estamos viendo este énfasis con proyectos clave como el compendio de fondos y el MSI. En este ámbito, nuestra agenda con la CMF busca que esta modernización se traduzca en mayor agilidad operativa y en la eliminación de redundancias que no necesariamente agregan valor al cliente final. Creemos que hay una oportunidad para que esta agenda potencie el acceso a mejores herramientas de ahorro.</w:t>
      </w:r>
    </w:p>
    <w:p>
      <w:pPr>
        <w:spacing w:before="40" w:after="120"/>
      </w:pPr>
      <w:r>
        <w:rPr>
          <w:color w:val="CCCCCC"/>
        </w:rPr>
        <w:t>· · ·</w:t>
      </w:r>
    </w:p>
    <w:p>
      <w:r>
        <w:rPr>
          <w:b/>
          <w:color w:val="E65000"/>
        </w:rPr>
        <w:t xml:space="preserve">4. </w:t>
      </w:r>
      <w:r>
        <w:rPr>
          <w:b/>
          <w:sz w:val="22"/>
        </w:rPr>
        <w:t>Bolsa chilena repunta en primeros negocios tras anuncio de extensión del alto al fuego entre EEUU e Irán</w:t>
      </w:r>
    </w:p>
    <w:p>
      <w:pPr>
        <w:spacing w:before="0"/>
      </w:pPr>
      <w:r>
        <w:rPr>
          <w:color w:val="0056B3"/>
          <w:sz w:val="18"/>
        </w:rPr>
        <w:t>https://www.df.cl/mercados/bolsa-monedas/bolsas-hoy-5axuu</w:t>
      </w:r>
    </w:p>
    <w:p>
      <w:pPr>
        <w:spacing w:before="20"/>
        <w:ind w:left="360"/>
      </w:pPr>
      <w:r>
        <w:rPr>
          <w:color w:val="222222"/>
          <w:sz w:val="20"/>
        </w:rPr>
        <w:t>También Wall Street recuperaba terreno en la apertura. Con todo, el petróleo Brent seguía próximo a US$ 100 el barril, pues aún no hay señales de una pronta normalización del tráfico energético.</w:t>
      </w:r>
    </w:p>
    <w:p>
      <w:pPr>
        <w:spacing w:before="20"/>
        <w:ind w:left="360"/>
      </w:pPr>
      <w:r>
        <w:rPr>
          <w:color w:val="222222"/>
          <w:sz w:val="20"/>
        </w:rPr>
        <w:t>Por:Equipo DFPublicado: Miércoles 22 de abril de 2026 a las 09:46 hrs.</w:t>
      </w:r>
    </w:p>
    <w:p>
      <w:pPr>
        <w:spacing w:before="20"/>
        <w:ind w:left="360"/>
      </w:pPr>
      <w:r>
        <w:rPr>
          <w:color w:val="222222"/>
          <w:sz w:val="20"/>
        </w:rPr>
        <w:t>Publicado: Miércoles 22 de abril de 2026 a las 09:46 hrs.</w:t>
      </w:r>
    </w:p>
    <w:p>
      <w:pPr>
        <w:spacing w:before="20"/>
        <w:ind w:left="360"/>
      </w:pPr>
      <w:r>
        <w:rPr>
          <w:color w:val="222222"/>
          <w:sz w:val="20"/>
        </w:rPr>
        <w:t>Las bolsas de Santiago y Nueva York abrieron con ganancias este miércoles, tras la noticia de que Estados Unidosprolongará su tregua con Irándurante todo el tiempo que sea necesario para cerrar un acuerdo de paz.</w:t>
      </w:r>
    </w:p>
    <w:p>
      <w:pPr>
        <w:spacing w:before="20"/>
        <w:ind w:left="360"/>
      </w:pPr>
      <w:r>
        <w:rPr>
          <w:color w:val="222222"/>
          <w:sz w:val="20"/>
        </w:rPr>
        <w:t>El S&amp;P IPSA subía 0,4% hasta los 11.165,38 puntosen los primeros negocios del mercado chileno. En cuanto a Wall Street,el Nasdaq crecía 0,8%, y el S&amp;P 500 con el Nasdaq ganaban 0,7%. En Europa, los índices bursátiles no tenían cambios relevantes.</w:t>
      </w:r>
    </w:p>
    <w:p>
      <w:pPr>
        <w:spacing w:before="20"/>
        <w:ind w:left="360"/>
      </w:pPr>
      <w:r>
        <w:rPr>
          <w:color w:val="222222"/>
          <w:sz w:val="20"/>
        </w:rPr>
        <w:t>Las plazas occidentales venían decerrar con pérdidas este martes, en medio del nerviosismo por la noticia de que la delegación estadounidense suspendió su viaje a Pakistán -sede de las negociaciones de paz- por la falta de respuesta iraní a sus propuestas.</w:t>
      </w:r>
    </w:p>
    <w:p>
      <w:pPr>
        <w:spacing w:before="20"/>
        <w:ind w:left="360"/>
      </w:pPr>
      <w:r>
        <w:rPr>
          <w:color w:val="222222"/>
          <w:sz w:val="20"/>
        </w:rPr>
        <w:t>Esto ocurrióad portasa lo que se había planteado como fecha límite para este miércoles en la tarde. Sin embargo, posterior al cierre del mercado estadounidense, Trump anunció esta prolongación indefinida del alto al fuego.</w:t>
      </w:r>
    </w:p>
    <w:p>
      <w:pPr>
        <w:spacing w:before="20"/>
        <w:ind w:left="360"/>
      </w:pPr>
      <w:r>
        <w:rPr>
          <w:color w:val="222222"/>
          <w:sz w:val="20"/>
        </w:rPr>
        <w:t>Según el mandatario, fue a petición deShehbaz Sharif, el primer ministro pakistaní,hasta que los líderes y representantes de Irán "puedan presentar una propuesta unificada", en un contexto de fragmentación del régimen persa.</w:t>
      </w:r>
    </w:p>
    <w:p>
      <w:pPr>
        <w:spacing w:before="20"/>
        <w:ind w:left="360"/>
      </w:pPr>
      <w:r>
        <w:rPr>
          <w:color w:val="222222"/>
          <w:sz w:val="20"/>
        </w:rPr>
        <w:t>Con todo,el petróleo Brent seguía rondando los US$ 100 por barril, viendo queaún no hay señales de una pronta normalización del tráfico de energía desde el golfo Pérsico.</w:t>
      </w:r>
    </w:p>
    <w:p>
      <w:pPr>
        <w:spacing w:before="20"/>
        <w:ind w:left="360"/>
      </w:pPr>
      <w:r>
        <w:rPr>
          <w:color w:val="222222"/>
          <w:sz w:val="20"/>
        </w:rPr>
        <w:t>Después del anuncio estadounidense, se han reportadoataques iraníes a buques portacontenedoresen el estrecho de Ormuz, y Teherán informó que detuvo a naves que transitaban el pasaje, escoltándolos a sus aguas territoriales por "poner en peligro la seguridad marítima".</w:t>
      </w:r>
    </w:p>
    <w:p>
      <w:pPr>
        <w:spacing w:before="40" w:after="120"/>
      </w:pPr>
      <w:r>
        <w:rPr>
          <w:color w:val="CCCCCC"/>
        </w:rPr>
        <w:t>· · ·</w:t>
      </w:r>
    </w:p>
    <w:p>
      <w:r>
        <w:rPr>
          <w:b/>
          <w:color w:val="E65000"/>
        </w:rPr>
        <w:t xml:space="preserve">5. </w:t>
      </w:r>
      <w:r>
        <w:rPr>
          <w:b/>
          <w:sz w:val="22"/>
        </w:rPr>
        <w:t>CEO de BTG Pactual, Juan Guillermo Agüero: “No podemos darnos el lujo de no lograr acuerdos que nos permitan retomar la senda del crecimiento”</w:t>
      </w:r>
    </w:p>
    <w:p>
      <w:pPr>
        <w:spacing w:before="0"/>
      </w:pPr>
      <w:r>
        <w:rPr>
          <w:color w:val="0056B3"/>
          <w:sz w:val="18"/>
        </w:rPr>
        <w:t>https://www.df.cl/mercados/bolsa-monedas/ceo-de-btg-pactual-juan-guillermo-aguero-no-podemos-darnos-el-lujo-de-no</w:t>
      </w:r>
    </w:p>
    <w:p>
      <w:pPr>
        <w:spacing w:before="20"/>
        <w:ind w:left="360"/>
      </w:pPr>
      <w:r>
        <w:rPr>
          <w:color w:val="222222"/>
          <w:sz w:val="20"/>
        </w:rPr>
        <w:t>En la apertura de Latam Focus 2026, el gerente general de BTG Pactual, Juan Guillermo Agüero, llamó al mundo político a destrabar acuerdos para reactivar el crecimiento y advirtió que “hay que salir de la lógica del bloqueo”.</w:t>
      </w:r>
    </w:p>
    <w:p>
      <w:pPr>
        <w:spacing w:before="20"/>
        <w:ind w:left="360"/>
      </w:pPr>
      <w:r>
        <w:rPr>
          <w:color w:val="222222"/>
          <w:sz w:val="20"/>
        </w:rPr>
        <w:t>Por:José Tomás Rodríguez y Cristóbal MuñozPublicado: Miércoles 22 de abril de 2026 a las 09:09 hrs.</w:t>
      </w:r>
    </w:p>
    <w:p>
      <w:pPr>
        <w:spacing w:before="20"/>
        <w:ind w:left="360"/>
      </w:pPr>
      <w:r>
        <w:rPr>
          <w:color w:val="222222"/>
          <w:sz w:val="20"/>
        </w:rPr>
        <w:t>Publicado: Miércoles 22 de abril de 2026 a las 09:09 hrs.</w:t>
      </w:r>
    </w:p>
    <w:p>
      <w:pPr>
        <w:spacing w:before="20"/>
        <w:ind w:left="360"/>
      </w:pPr>
      <w:r>
        <w:rPr>
          <w:color w:val="222222"/>
          <w:sz w:val="20"/>
        </w:rPr>
        <w:t>Ante una audiencia de cerca de mil personas, el CEO de BTG Pactual, Juan Guillermo Agüero, abrió el evento Latam Focus 2026 con un mensaje centrado en la necesidad de reimpulsar el crecimiento económico de Chile y recuperar el dinamismo perdido en los últimos años.</w:t>
      </w:r>
    </w:p>
    <w:p>
      <w:pPr>
        <w:spacing w:before="20"/>
        <w:ind w:left="360"/>
      </w:pPr>
      <w:r>
        <w:rPr>
          <w:color w:val="222222"/>
          <w:sz w:val="20"/>
        </w:rPr>
        <w:t>En su intervención, Agüero partió saludando a las autoridades presentes, entre ellas el Presidente de la República, José Antonio Kast, quien hizo ingreso a la sala del Hotel W junto a sus ministros de Energía y Relaciones Exteriores, Ximena Rincón y Francisco Pérez Mackenna. Sobre su asistencia, afirmó que era“un testimonio de la importancia que su gobierno da al crecimiento económico y al mercado de capitales como motor de desarrollo y de creación de empleo”.</w:t>
      </w:r>
    </w:p>
    <w:p>
      <w:pPr>
        <w:spacing w:before="20"/>
        <w:ind w:left="360"/>
      </w:pPr>
      <w:r>
        <w:rPr>
          <w:color w:val="222222"/>
          <w:sz w:val="20"/>
        </w:rPr>
        <w:t>Luego, el ejecutivo puso el foco en el nuevo escenario global. “El mundo dejó atrás una abundante liquidez, estabilidad geopolítica y reglas bastante claras a nivel mundial. Hoy el escenario es distinto: hay más fragmentación, más incertidumbre y la volatilidad ya no es coyuntural, sino estructural”, sostuvo.</w:t>
      </w:r>
    </w:p>
    <w:p>
      <w:pPr>
        <w:spacing w:before="20"/>
        <w:ind w:left="360"/>
      </w:pPr>
      <w:r>
        <w:rPr>
          <w:color w:val="222222"/>
          <w:sz w:val="20"/>
        </w:rPr>
        <w:t>Pese a ello, transmitió una mirada optimista sobre Latinoamérica, comentando que puede ser parte de la solución. "Somos una región en paz, en democracia, con abundantes recursos naturales, con un rol global en seguridad alimentaria y energética y, por lo tanto, con un gran potencial”, dijo.</w:t>
      </w:r>
    </w:p>
    <w:p>
      <w:pPr>
        <w:spacing w:before="20"/>
        <w:ind w:left="360"/>
      </w:pPr>
      <w:r>
        <w:rPr>
          <w:color w:val="222222"/>
          <w:sz w:val="20"/>
        </w:rPr>
        <w:t>En el caso de Chile, Agüero advirtió que el país arrastra un período prolongado de bajo crecimiento, menor inversión y pérdida de dinamismo. “Todos sabemos que hemos tenido un período ya largo de menor crecimiento, de menor inversión y una pérdida de dinamismo que no es consistente con nuestro potencial y con nuestras capacidades. Bien lo sabemos quienes estamos en el mercado de capitales, por lo que hemos tenido que pasar”, señaló.</w:t>
      </w:r>
    </w:p>
    <w:p>
      <w:pPr>
        <w:spacing w:before="20"/>
        <w:ind w:left="360"/>
      </w:pPr>
      <w:r>
        <w:rPr>
          <w:color w:val="222222"/>
          <w:sz w:val="20"/>
        </w:rPr>
        <w:t>A su juicio, el principal desafío del país es claro: recuperar el dinamismo, atraer inversión, generar empleo y volver a crecer con fuerza para crear bienestar y desarrollo para toda la población.</w:t>
      </w:r>
    </w:p>
    <w:p>
      <w:pPr>
        <w:spacing w:before="20"/>
        <w:ind w:left="360"/>
      </w:pPr>
      <w:r>
        <w:rPr>
          <w:color w:val="222222"/>
          <w:sz w:val="20"/>
        </w:rPr>
        <w:t>En esa línea, anticipó parte de lo que más tarde sería el discurso del Mandatario, quien anunció el despacho del plan de reestructuración nacional orientado a impulsar el crecimiento económico. Para Agüero, en esa discusión el mercado tiene mucho que aportar por prorpuestas como la repatriación de capitales desde el extranjero o invaribilidad tributaria.</w:t>
      </w:r>
    </w:p>
    <w:p>
      <w:pPr>
        <w:spacing w:before="20"/>
        <w:ind w:left="360"/>
      </w:pPr>
      <w:r>
        <w:rPr>
          <w:color w:val="222222"/>
          <w:sz w:val="20"/>
        </w:rPr>
        <w:t>“Corresponde que esas propuestas sean discutidas, perfeccionadas y enriquecidas en lo que está ocurriendo en este momento. Pero luego de esa discusión es necesario que, como país, pasemos a la acción y seamos capaces de avanzar con decisión si queremos realmente retomar la senda del crecimiento y el dinamismo”, afirmó.</w:t>
      </w:r>
    </w:p>
    <w:p>
      <w:pPr>
        <w:spacing w:before="20"/>
        <w:ind w:left="360"/>
      </w:pPr>
      <w:r>
        <w:rPr>
          <w:color w:val="222222"/>
          <w:sz w:val="20"/>
        </w:rPr>
        <w:t>Más adelante, el gerente general de BTG Pactual hizo un llamado explícito al mundo político a salir de la parálisis y avanzar en acuerdos que permitan retomar la senda del crecimiento sostenido."Hay que salir de la lógica del bloqueo”, planteó.</w:t>
      </w:r>
    </w:p>
    <w:p>
      <w:pPr>
        <w:spacing w:before="20"/>
        <w:ind w:left="360"/>
      </w:pPr>
      <w:r>
        <w:rPr>
          <w:color w:val="222222"/>
          <w:sz w:val="20"/>
        </w:rPr>
        <w:t>A eso sumó la necesidad de mejorar el tono del debate público y elevar la calidad de la discusión y construir sobre aquello que une al país son condiciones indispensables para recuperar la confianza. También criticó las caricaturas en materia tributaria y advirtió que Chile tiene hoy una cultura impositiva que no promueve el ahorro ni la inversión, y que además no resulta competitiva frente a economías más desarrolladas y estables.</w:t>
      </w:r>
    </w:p>
    <w:p>
      <w:pPr>
        <w:spacing w:before="20"/>
        <w:ind w:left="360"/>
      </w:pPr>
      <w:r>
        <w:rPr>
          <w:color w:val="222222"/>
          <w:sz w:val="20"/>
        </w:rPr>
        <w:t>Junto con emplazar al sistema político, Agüero también dirigió un mensaje al sector privado. “Desde nuestro rol estamos convencidos de que el sector privado tiene una responsabilidad muy grande en este proceso, no solo como motor de inversión y empleo, sino también como un actor dispuesto a contribuir con visión y experiencia a la construcción de mejores soluciones para el país”, afirmó.</w:t>
      </w:r>
    </w:p>
    <w:p>
      <w:pPr>
        <w:spacing w:before="20"/>
        <w:ind w:left="360"/>
      </w:pPr>
      <w:r>
        <w:rPr>
          <w:color w:val="222222"/>
          <w:sz w:val="20"/>
        </w:rPr>
        <w:t>“En ese espíritu, desde el sector empresarial debemos colaborar en todo lo que permita avanzar en esta dirección”, agregó.</w:t>
      </w:r>
    </w:p>
    <w:p>
      <w:pPr>
        <w:spacing w:before="20"/>
        <w:ind w:left="360"/>
      </w:pPr>
      <w:r>
        <w:rPr>
          <w:color w:val="222222"/>
          <w:sz w:val="20"/>
        </w:rPr>
        <w:t>Hacia el cierre, insistió en que reactivar el crecimiento es una tarea colectiva y no solo del Gobierno de turno. “La tarea de darle un impulso al país, de salir del estancamiento, de superar el 2% de crecimiento y retomar el progreso es demasiado grande para que la haga solo el gobierno. No puede ser solo tarea de los políticos. No podemos dejar al gobierno solo. Tenemos que hacer un esfuerzo de todos y, en ese sentido, al menos desde BTG, estamos 100% comprometidos”, concluyó, antes de dar paso al discurso del Presidente.</w:t>
      </w:r>
    </w:p>
    <w:p>
      <w:pPr>
        <w:spacing w:before="40" w:after="120"/>
      </w:pPr>
      <w:r>
        <w:rPr>
          <w:color w:val="CCCCCC"/>
        </w:rPr>
        <w:t>· · ·</w:t>
      </w:r>
    </w:p>
    <w:p>
      <w:r>
        <w:rPr>
          <w:b/>
          <w:color w:val="E65000"/>
        </w:rPr>
        <w:t xml:space="preserve">6. </w:t>
      </w:r>
      <w:r>
        <w:rPr>
          <w:b/>
          <w:sz w:val="22"/>
        </w:rPr>
        <w:t>Principales bancos privados del país anotan dispares resultados al primer trimestre de 2026</w:t>
      </w:r>
    </w:p>
    <w:p>
      <w:pPr>
        <w:spacing w:before="0"/>
      </w:pPr>
      <w:r>
        <w:rPr>
          <w:color w:val="0056B3"/>
          <w:sz w:val="18"/>
        </w:rPr>
        <w:t>https://www.df.cl/mercados/banca-fintech/principales-bancos-privados-del-pais-anotan-dispares-resultados-al-primer</w:t>
      </w:r>
    </w:p>
    <w:p>
      <w:pPr>
        <w:spacing w:before="20"/>
        <w:ind w:left="360"/>
      </w:pPr>
      <w:r>
        <w:rPr>
          <w:color w:val="222222"/>
          <w:sz w:val="20"/>
        </w:rPr>
        <w:t>La inflación registrada entre enero y marzo afectó el desempeño de algunos actores de la industria.</w:t>
      </w:r>
    </w:p>
    <w:p>
      <w:pPr>
        <w:spacing w:before="20"/>
        <w:ind w:left="360"/>
      </w:pPr>
      <w:r>
        <w:rPr>
          <w:color w:val="222222"/>
          <w:sz w:val="20"/>
        </w:rPr>
        <w:t>Publicado: Miércoles 22 de abril de 2026 a las 04:00 hrs.</w:t>
      </w:r>
    </w:p>
    <w:p>
      <w:pPr>
        <w:spacing w:before="20"/>
        <w:ind w:left="360"/>
      </w:pPr>
      <w:r>
        <w:rPr>
          <w:color w:val="222222"/>
          <w:sz w:val="20"/>
        </w:rPr>
        <w:t>Resultados dispares marcaron el inicio de 2026 para la banca, en un trimestre en quela inflaciónvolvió a posicionarse como un elemento clave para el balance.</w:t>
      </w:r>
    </w:p>
    <w:p>
      <w:pPr>
        <w:spacing w:before="20"/>
        <w:ind w:left="360"/>
      </w:pPr>
      <w:r>
        <w:rPr>
          <w:color w:val="222222"/>
          <w:sz w:val="20"/>
        </w:rPr>
        <w:t>Al cierre de los primeros tres meses del año,Bci y Scotiabank registraron alzas en sus utilidades respecto del mismo periodo del 2025, mientras que Banco de Chile, Santander e Itaú anotaron una caídaen sus ganancias.</w:t>
      </w:r>
    </w:p>
    <w:p>
      <w:pPr>
        <w:spacing w:before="20"/>
        <w:ind w:left="360"/>
      </w:pPr>
      <w:r>
        <w:rPr>
          <w:color w:val="222222"/>
          <w:sz w:val="20"/>
        </w:rPr>
        <w:t>De acuerdo con el analista de renta variable local de BICE Inversiones, Ewald Stark, este dispar resultado se debe “principalmente por un menor nivel de inflación para el primer trimestre del año versus el mismo período de 2025”.</w:t>
      </w:r>
    </w:p>
    <w:p>
      <w:pPr>
        <w:spacing w:before="120"/>
        <w:ind w:left="360"/>
      </w:pPr>
      <w:r>
        <w:rPr>
          <w:b/>
          <w:color w:val="E65000"/>
          <w:sz w:val="26"/>
        </w:rPr>
        <w:t xml:space="preserve"> </w:t>
      </w:r>
    </w:p>
    <w:p>
      <w:pPr>
        <w:spacing w:before="20"/>
        <w:ind w:left="360"/>
      </w:pPr>
      <w:r>
        <w:rPr>
          <w:color w:val="222222"/>
          <w:sz w:val="20"/>
        </w:rPr>
        <w:t>Según datos del Instituto Nacional de Estadísticas (INE), en los primeros tres meses de 2025 la inflación acumulada fue de 2,4%, mientras que en el mismo periodo del 2026 fue de 0,9%.</w:t>
      </w:r>
    </w:p>
    <w:p>
      <w:pPr>
        <w:spacing w:before="20"/>
        <w:ind w:left="360"/>
      </w:pPr>
      <w:r>
        <w:rPr>
          <w:color w:val="222222"/>
          <w:sz w:val="20"/>
        </w:rPr>
        <w:t>En el período, Bci se consolidó como el banco local con mayores ganancias, al alcanzar $ 287.980 millones, lo que representó un aumento de 5% frente a los $ 273.398 millones reportados en 2025.</w:t>
      </w:r>
    </w:p>
    <w:p>
      <w:pPr>
        <w:spacing w:before="20"/>
        <w:ind w:left="360"/>
      </w:pPr>
      <w:r>
        <w:rPr>
          <w:color w:val="222222"/>
          <w:sz w:val="20"/>
        </w:rPr>
        <w:t>En tanto, Scotiabank anotó un incremento de 69% en sus utilidades, al cerrar el trimestre con $ 97.241 millones.</w:t>
      </w:r>
    </w:p>
    <w:p>
      <w:pPr>
        <w:spacing w:before="20"/>
        <w:ind w:left="360"/>
      </w:pPr>
      <w:r>
        <w:rPr>
          <w:color w:val="222222"/>
          <w:sz w:val="20"/>
        </w:rPr>
        <w:t>En tanto, Banco de Chile disminuyó en 18% sus utilidades interanuales. En los primeros tres meses de 2025 la firma ligada al grupo Luksic y Citi reportó ganancias por $ 328.944 millones, mientras que en el arranque del presente ejercicio dichos resultados llegaron a $ 268.628 millones.</w:t>
      </w:r>
    </w:p>
    <w:p>
      <w:pPr>
        <w:spacing w:before="20"/>
        <w:ind w:left="360"/>
      </w:pPr>
      <w:r>
        <w:rPr>
          <w:color w:val="222222"/>
          <w:sz w:val="20"/>
        </w:rPr>
        <w:t>A juicio de Stark, esto se debe a que “Banco de Chile tiene una sensibilidad más alta a la inflación que el resto de la industria. Es por eso que con un menor nivel de inflación, los resultados del banco se reducen más que los del resto”.</w:t>
      </w:r>
    </w:p>
    <w:p>
      <w:pPr>
        <w:spacing w:before="20"/>
        <w:ind w:left="360"/>
      </w:pPr>
      <w:r>
        <w:rPr>
          <w:color w:val="222222"/>
          <w:sz w:val="20"/>
        </w:rPr>
        <w:t>Por su parte, Santander obtuvo ganancias por $ 273.190 millones, lo que representa una disminución de 1,5% respecto de 2025.</w:t>
      </w:r>
    </w:p>
    <w:p>
      <w:pPr>
        <w:spacing w:before="20"/>
        <w:ind w:left="360"/>
      </w:pPr>
      <w:r>
        <w:rPr>
          <w:color w:val="222222"/>
          <w:sz w:val="20"/>
        </w:rPr>
        <w:t>En tanto, la caída en las utilidades de Banco Itaú fue aún más pronunciada. La entidad de capitales brasileños acumuló beneficios por $ 69.220 millones en el primer trimestre, esto es, una baja de 37% respecto de igual período en 2025, cuando sus resultados alcanzaron los $ 110.759 millones.</w:t>
      </w:r>
    </w:p>
    <w:p>
      <w:pPr>
        <w:spacing w:before="20"/>
        <w:ind w:left="360"/>
      </w:pPr>
      <w:r>
        <w:rPr>
          <w:color w:val="222222"/>
          <w:sz w:val="20"/>
        </w:rPr>
        <w:t>A a juicio de Stark, el conflicto bélico que se desarrolla en Medio Oriente y su impacto en el precio del petróleo y la inflación, impactará en las futuras entregas de resultados de la banca.</w:t>
      </w:r>
    </w:p>
    <w:p>
      <w:pPr>
        <w:spacing w:before="40" w:after="120"/>
      </w:pPr>
      <w:r>
        <w:rPr>
          <w:color w:val="CCCCCC"/>
        </w:rPr>
        <w:t>· · ·</w:t>
      </w:r>
    </w:p>
    <w:p>
      <w:r>
        <w:rPr>
          <w:b/>
          <w:color w:val="E65000"/>
        </w:rPr>
        <w:t xml:space="preserve">7. </w:t>
      </w:r>
      <w:r>
        <w:rPr>
          <w:b/>
          <w:sz w:val="22"/>
        </w:rPr>
        <w:t>Liderado por dos socios fundadores: el equipo de Picton que custodia los patrimonios de los ministros Barros y Mas</w:t>
      </w:r>
    </w:p>
    <w:p>
      <w:pPr>
        <w:spacing w:before="0"/>
      </w:pPr>
      <w:r>
        <w:rPr>
          <w:color w:val="0056B3"/>
          <w:sz w:val="18"/>
        </w:rPr>
        <w:t>https://www.df.cl/mercados/bolsa-monedas/liderado-por-dos-socios-fundadores-el-equipo-de-picton-que-custodia-los</w:t>
      </w:r>
    </w:p>
    <w:p>
      <w:pPr>
        <w:spacing w:before="20"/>
        <w:ind w:left="360"/>
      </w:pPr>
      <w:r>
        <w:rPr>
          <w:color w:val="222222"/>
          <w:sz w:val="20"/>
        </w:rPr>
        <w:t>Son acompañados por 20 ejecutivos y analistas. En 2025, el negocio de administración de carteras de la firma anotó 105 clientes, por US$ 2.580 millones.</w:t>
      </w:r>
    </w:p>
    <w:p>
      <w:pPr>
        <w:spacing w:before="20"/>
        <w:ind w:left="360"/>
      </w:pPr>
      <w:r>
        <w:rPr>
          <w:color w:val="222222"/>
          <w:sz w:val="20"/>
        </w:rPr>
        <w:t>Publicado: Miércoles 22 de abril de 2026 a las 04:00 hrs.</w:t>
      </w:r>
    </w:p>
    <w:p>
      <w:pPr>
        <w:spacing w:before="20"/>
        <w:ind w:left="360"/>
      </w:pPr>
      <w:r>
        <w:rPr>
          <w:color w:val="222222"/>
          <w:sz w:val="20"/>
        </w:rPr>
        <w:t>Augusto Undurraga, socio fundador y líder de Multi Family Office, y José Miguel Ureta, socio fundador y líder del área de inversiones.</w:t>
      </w:r>
    </w:p>
    <w:p>
      <w:pPr>
        <w:spacing w:before="20"/>
        <w:ind w:left="360"/>
      </w:pPr>
      <w:r>
        <w:rPr>
          <w:color w:val="222222"/>
          <w:sz w:val="20"/>
        </w:rPr>
        <w:t>Entre las Declaraciones de Intereses y Patrimonio (DIP) que realizaron los ministros del gobierno de José Antonio Kast y que se liberaron a comienzos de la semana pasada, un actor financiero destacó comoel principal custodio de las fortunas del gabinete: Picton.</w:t>
      </w:r>
    </w:p>
    <w:p>
      <w:pPr>
        <w:spacing w:before="20"/>
        <w:ind w:left="360"/>
      </w:pPr>
      <w:r>
        <w:rPr>
          <w:color w:val="222222"/>
          <w:sz w:val="20"/>
        </w:rPr>
        <w:t>Tantoel ministro de Defensa, Fernando Barros, como el biministro de Economía y Minería, Daniel Mas, contrataron los servicios de la compañía ligada a Matías Eguiguren, Gregorio Donoso, Augusto Undurraga y José Miguel Ureta, con mandatos de administración de cartera por montos de$ 10.445 millones y $ 8.858 millones, respectivamente.</w:t>
      </w:r>
    </w:p>
    <w:p>
      <w:pPr>
        <w:spacing w:before="20"/>
        <w:ind w:left="360"/>
      </w:pPr>
      <w:r>
        <w:rPr>
          <w:color w:val="222222"/>
          <w:sz w:val="20"/>
        </w:rPr>
        <w:t>Estos recursos serán gestionados por equipos de Picton liderados por socios fundadores y 20 ejecutivos de dos áreas distintas.</w:t>
      </w:r>
    </w:p>
    <w:p>
      <w:pPr>
        <w:spacing w:before="20"/>
        <w:ind w:left="360"/>
      </w:pPr>
      <w:r>
        <w:rPr>
          <w:color w:val="222222"/>
          <w:sz w:val="20"/>
        </w:rPr>
        <w:t>De esta forma, la compañía se posicionó en un segmento en que anteriormente otros actores del mercado, como LarrainVial, BICE Inversiones, BTG Pactual y Altis, habían liderado los fideicomisos en los dos gobiernos de Sebastián Piñera.</w:t>
      </w:r>
    </w:p>
    <w:p>
      <w:pPr>
        <w:spacing w:before="20"/>
        <w:ind w:left="360"/>
      </w:pPr>
      <w:r>
        <w:rPr>
          <w:color w:val="222222"/>
          <w:sz w:val="20"/>
        </w:rPr>
        <w:t>Si bien los contratos de Mas y Barros se suscribieron con la administradora general de fondos (AGF) de Picton, la administración de las carteras de Barros y Mas recayó en el área de Multi Family Office (MFO), liderada por el socio fundador de Picton, Augusto Undurraga.</w:t>
      </w:r>
    </w:p>
    <w:p>
      <w:pPr>
        <w:spacing w:before="20"/>
        <w:ind w:left="360"/>
      </w:pPr>
      <w:r>
        <w:rPr>
          <w:color w:val="222222"/>
          <w:sz w:val="20"/>
        </w:rPr>
        <w:t>Creada en 2017, la división de MFO busca entregar una eficiente y personalizada administración de activos financieros a familias, fundaciones e instituciones de alto patrimonio, actuando como el family office de cada cliente.</w:t>
      </w:r>
    </w:p>
    <w:p>
      <w:pPr>
        <w:spacing w:before="20"/>
        <w:ind w:left="360"/>
      </w:pPr>
      <w:r>
        <w:rPr>
          <w:color w:val="222222"/>
          <w:sz w:val="20"/>
        </w:rPr>
        <w:t>A Undurraga le reportan tres gerentes de MFO para Chile -Sebastián Arancibia, Vicente Ariztía y Rodrigo Pérez-Cotapos-, además de cuatro analistas senior dedicados a esta línea de negocios.</w:t>
      </w:r>
    </w:p>
    <w:p>
      <w:pPr>
        <w:spacing w:before="20"/>
        <w:ind w:left="360"/>
      </w:pPr>
      <w:r>
        <w:rPr>
          <w:color w:val="222222"/>
          <w:sz w:val="20"/>
        </w:rPr>
        <w:t>El trabajo de la unidad de gestión patrimonial es acompañado por la ejecución de las inversiones, división a cargo del socio fundador de Picton, José Miguel Ureta.</w:t>
      </w:r>
    </w:p>
    <w:p>
      <w:pPr>
        <w:spacing w:before="20"/>
        <w:ind w:left="360"/>
      </w:pPr>
      <w:r>
        <w:rPr>
          <w:color w:val="222222"/>
          <w:sz w:val="20"/>
        </w:rPr>
        <w:t>En dicha área, Ureta cuenta con un equipo de 14 personas, dentro de los que se encuentran el gerente de renta fija, Paulo Tisi, y el gerente de renta variable, José Luis Vergara, ambos socios de Picton.</w:t>
      </w:r>
    </w:p>
    <w:p>
      <w:pPr>
        <w:spacing w:before="20"/>
        <w:ind w:left="360"/>
      </w:pPr>
      <w:r>
        <w:rPr>
          <w:color w:val="222222"/>
          <w:sz w:val="20"/>
        </w:rPr>
        <w:t>En 2025, el negocio de administración de carteras de familias, fundaciones e instituciones de Picton anotó 105 relaciones o clientes, cuyo patrimonio consolidado ascendía a US$ 2.580 millones, al cierre del dólar de aquel año, según Picton AGF.</w:t>
      </w:r>
    </w:p>
    <w:p>
      <w:pPr>
        <w:spacing w:before="20"/>
        <w:ind w:left="360"/>
      </w:pPr>
      <w:r>
        <w:rPr>
          <w:color w:val="222222"/>
          <w:sz w:val="20"/>
        </w:rPr>
        <w:t>La gestión de estos patrimonios generó ingresos por $ 6.985 millones para la firma durante el año pasado.</w:t>
      </w:r>
    </w:p>
    <w:p>
      <w:pPr>
        <w:spacing w:before="20"/>
        <w:ind w:left="360"/>
      </w:pPr>
      <w:r>
        <w:rPr>
          <w:color w:val="222222"/>
          <w:sz w:val="20"/>
        </w:rPr>
        <w:t>El negocio creció respecto a 2024, cuando anotaron 96 relaciones por US$ 1.938 millones, al cambio de la época.</w:t>
      </w:r>
    </w:p>
    <w:p>
      <w:pPr>
        <w:spacing w:before="40" w:after="120"/>
      </w:pPr>
      <w:r>
        <w:rPr>
          <w:color w:val="CCCCCC"/>
        </w:rPr>
        <w:t>· · ·</w:t>
      </w:r>
    </w:p>
    <w:p/>
    <w:p>
      <w:pPr>
        <w:pStyle w:val="Heading1"/>
      </w:pPr>
      <w:r>
        <w:rPr>
          <w:color w:val="E65000"/>
        </w:rPr>
        <w:t>🔹 Empresas</w:t>
      </w:r>
    </w:p>
    <w:p>
      <w:r>
        <w:rPr>
          <w:b/>
          <w:color w:val="E65000"/>
        </w:rPr>
        <w:t xml:space="preserve">1. </w:t>
      </w:r>
      <w:r>
        <w:rPr>
          <w:b/>
          <w:sz w:val="22"/>
        </w:rPr>
        <w:t>Producción trimestral de cobre de BHP cae 7%, pero minera refuerza proyección de acercarse a los 2 millones de toneladas anuales</w:t>
      </w:r>
      <w:r>
        <w:rPr>
          <w:color w:val="CC7700"/>
          <w:sz w:val="18"/>
        </w:rPr>
        <w:t xml:space="preserve">  [⭐ Destacada]</w:t>
      </w:r>
    </w:p>
    <w:p>
      <w:pPr>
        <w:spacing w:before="0"/>
      </w:pPr>
      <w:r>
        <w:rPr>
          <w:color w:val="0056B3"/>
          <w:sz w:val="18"/>
        </w:rPr>
        <w:t>https://www.df.cl/empresas/mineria/produccion-trimestral-de-cobre-de-bhp-cae-7-pero-proyecta-acercarse-a-2</w:t>
      </w:r>
    </w:p>
    <w:p>
      <w:pPr>
        <w:spacing w:before="20"/>
        <w:ind w:left="360"/>
      </w:pPr>
      <w:r>
        <w:rPr>
          <w:color w:val="222222"/>
          <w:sz w:val="20"/>
        </w:rPr>
        <w:t>En el tercer trimestre fiscal de la compañía, Escondida reportó un récord de material minado y procesamiento en su concentradora, lo que compensó parcialmente las bajas leyes del mineral.</w:t>
      </w:r>
    </w:p>
    <w:p>
      <w:pPr>
        <w:spacing w:before="20"/>
        <w:ind w:left="360"/>
      </w:pPr>
      <w:r>
        <w:rPr>
          <w:color w:val="222222"/>
          <w:sz w:val="20"/>
        </w:rPr>
        <w:t>Publicado: Miércoles 22 de abril de 2026 a las 10:53 hrs.</w:t>
      </w:r>
    </w:p>
    <w:p>
      <w:pPr>
        <w:spacing w:before="20"/>
        <w:ind w:left="360"/>
      </w:pPr>
      <w:r>
        <w:rPr>
          <w:color w:val="222222"/>
          <w:sz w:val="20"/>
        </w:rPr>
        <w:t>La gigante minera BHPreforzó sus proyecciones anuales, las que apuntan a una producción de cobre cercana a las 2 millones de toneladas.Así, pese a anotar una caída del 7% en su desempeño cuprífero global durante el tercer trimestre fiscal de la compañía (enero-marzo), la minera australiana destacó un "sólido desempeño" en Escondida, con un rendimiento récord en su concentradora y de material minado.</w:t>
      </w:r>
    </w:p>
    <w:p>
      <w:pPr>
        <w:spacing w:before="20"/>
        <w:ind w:left="360"/>
      </w:pPr>
      <w:r>
        <w:rPr>
          <w:color w:val="222222"/>
          <w:sz w:val="20"/>
        </w:rPr>
        <w:t>En la publicación de su reporte operacional correspondiente a los nueve meses terminados el 31 de marzo, el CEO global de BHP, Mike Henry, comentó que "el sólido desempeño en Escondida y Antamina (Perú)respalda nuestra expectativa de lograr una producción ubicada en la mitad superior de nuestra guía para 2026. Continuamos progresando con nuestro programa de crecimiento en cobre, consistente con poner nuestro foco en activos de largo plazo, de cobre de alta calidad y una asignación de capital disciplinada".</w:t>
      </w:r>
    </w:p>
    <w:p>
      <w:pPr>
        <w:spacing w:before="20"/>
        <w:ind w:left="360"/>
      </w:pPr>
      <w:r>
        <w:rPr>
          <w:color w:val="222222"/>
          <w:sz w:val="20"/>
        </w:rPr>
        <w:t>Cabe destacar que la guía actual se mantuvo en un rango entre 1,9 y 2,0 millones de toneladas de cobre.En el caso de Escondida, la proyección es que la mina chilena produzca entre 1,2 y 1,275 millones de toneladas al cierre del año fiscal de BHP.En el acumulado de los nueve meses finalizados en marzo, la compañía registra una producción de 1,460 millones de toneladas a nivel global.</w:t>
      </w:r>
    </w:p>
    <w:p>
      <w:pPr>
        <w:spacing w:before="120"/>
        <w:ind w:left="360"/>
      </w:pPr>
      <w:r>
        <w:rPr>
          <w:b/>
          <w:color w:val="E65000"/>
          <w:sz w:val="26"/>
        </w:rPr>
        <w:t xml:space="preserve"> </w:t>
      </w:r>
    </w:p>
    <w:p>
      <w:pPr>
        <w:spacing w:before="20"/>
        <w:ind w:left="360"/>
      </w:pPr>
      <w:r>
        <w:rPr>
          <w:color w:val="222222"/>
          <w:sz w:val="20"/>
        </w:rPr>
        <w:t>Respecto a los resultados del trimestre enero-marzo, la gigante minera totalizó 476,8 mil toneladas de cobre fino, registrando una caída del 7% respecto del mismo periodo del ejercicio anterior. La operación que más contribuyó al desempeño fueEscondida, con 303 mil toneladas en el periodo, pese a anotar una baja del 9% interanual debido a una menor ley de alimentación en la planta concentradora, lo que fue compensado por un volúmen récord de material minado y rendimiento de la concentradora, así como mejoras en la recuperación de cobre.</w:t>
      </w:r>
    </w:p>
    <w:p>
      <w:pPr>
        <w:spacing w:before="20"/>
        <w:ind w:left="360"/>
      </w:pPr>
      <w:r>
        <w:rPr>
          <w:color w:val="222222"/>
          <w:sz w:val="20"/>
        </w:rPr>
        <w:t>En el caso deSpence, la otra faena de BHP en Chile, la producción bajó 34%, hasta las 44,6 mil toneladas, debido a las persistentes complejidades del mineral, lo que llevó a la firma a reducir las previsiones anuales para el yacimiento desde 230-250 miles de tonealdas a entre 210-220 miles de toneladas.</w:t>
      </w:r>
    </w:p>
    <w:p>
      <w:pPr>
        <w:spacing w:before="20"/>
        <w:ind w:left="360"/>
      </w:pPr>
      <w:r>
        <w:rPr>
          <w:color w:val="222222"/>
          <w:sz w:val="20"/>
        </w:rPr>
        <w:t>Según detalló Henry,su sucesorBrandon Craig asumirá el rol de CEO el 1 de julio próximo, "llevando a BHP hacia adelante desde una posición sólida, con operaciones confiables y una cartera significativa de proyectos de crecimiento en cobre y potasa, para generar valor de largo plazo a través del ciclo”, indicó.</w:t>
      </w:r>
    </w:p>
    <w:p>
      <w:pPr>
        <w:spacing w:before="20"/>
        <w:ind w:left="360"/>
      </w:pPr>
      <w:r>
        <w:rPr>
          <w:color w:val="222222"/>
          <w:sz w:val="20"/>
        </w:rPr>
        <w:t>Entre sus principales proyectos,la compañía destacó el proyecto de US$ 5.150 millones para la nueva planta concentradora de Escondida como "pieza central del programa de crecimiento" de la mayor mina a cielo abierto del mundo,la que podría aportar entre 220 mil y 260 mil toneladas anuales de cobre."Sujeto a la aprobación ambiental, el proyecto avanzará hacia una decisión final de inversión (FID) esperada entre 2027 y 2028, con potencial primera producción entre 2031 y 2032", detalló en el reporte.</w:t>
      </w:r>
    </w:p>
    <w:p>
      <w:pPr>
        <w:spacing w:before="40" w:after="120"/>
      </w:pPr>
      <w:r>
        <w:rPr>
          <w:color w:val="CCCCCC"/>
        </w:rPr>
        <w:t>· · ·</w:t>
      </w:r>
    </w:p>
    <w:p>
      <w:r>
        <w:rPr>
          <w:b/>
          <w:color w:val="E65000"/>
        </w:rPr>
        <w:t xml:space="preserve">2. </w:t>
      </w:r>
      <w:r>
        <w:rPr>
          <w:b/>
          <w:sz w:val="22"/>
        </w:rPr>
        <w:t>Subtel propone que PDI pueda solicitar información de direcciones IP cuando hay sospecha de delitos</w:t>
      </w:r>
      <w:r>
        <w:rPr>
          <w:color w:val="CC7700"/>
          <w:sz w:val="18"/>
        </w:rPr>
        <w:t xml:space="preserve">  [⭐ Destacada]</w:t>
      </w:r>
    </w:p>
    <w:p>
      <w:pPr>
        <w:spacing w:before="0"/>
      </w:pPr>
      <w:r>
        <w:rPr>
          <w:color w:val="0056B3"/>
          <w:sz w:val="18"/>
        </w:rPr>
        <w:t>https://www.df.cl/empresas/telecom-tecnologia/subtel-propone-que-pdi-pueda-solicitar-informacion-de-direcciones-ip-cuando</w:t>
      </w:r>
    </w:p>
    <w:p>
      <w:pPr>
        <w:spacing w:before="20"/>
        <w:ind w:left="360"/>
      </w:pPr>
      <w:r>
        <w:rPr>
          <w:color w:val="222222"/>
          <w:sz w:val="20"/>
        </w:rPr>
        <w:t>En el marco de la modificación a la Ley General de Telecomunicaciones, la autoridad planteó los riesgos de alterar la infraestructura de Internet.</w:t>
      </w:r>
    </w:p>
    <w:p>
      <w:pPr>
        <w:spacing w:before="20"/>
        <w:ind w:left="360"/>
      </w:pPr>
      <w:r>
        <w:rPr>
          <w:color w:val="222222"/>
          <w:sz w:val="20"/>
        </w:rPr>
        <w:t>Publicado: Miércoles 22 de abril de 2026 a las 04:00 hrs.</w:t>
      </w:r>
    </w:p>
    <w:p>
      <w:pPr>
        <w:spacing w:before="20"/>
        <w:ind w:left="360"/>
      </w:pPr>
      <w:r>
        <w:rPr>
          <w:color w:val="222222"/>
          <w:sz w:val="20"/>
        </w:rPr>
        <w:t>Subsecretaria de Telecomunicaciones, Romina Garrido.</w:t>
      </w:r>
    </w:p>
    <w:p>
      <w:pPr>
        <w:spacing w:before="20"/>
        <w:ind w:left="360"/>
      </w:pPr>
      <w:r>
        <w:rPr>
          <w:color w:val="222222"/>
          <w:sz w:val="20"/>
        </w:rPr>
        <w:t>A eso de las 17:30 se dio comienzo a la sesión programada para este martes en la Comisión de Obras Públicas, Transportes y Telecomunicaciones de la Cámara de Diputados, a la que fue invitada la subsecretaria de Telecomunicaciones (Subtel), Romina Garrido.</w:t>
      </w:r>
    </w:p>
    <w:p>
      <w:pPr>
        <w:spacing w:before="20"/>
        <w:ind w:left="360"/>
      </w:pPr>
      <w:r>
        <w:rPr>
          <w:color w:val="222222"/>
          <w:sz w:val="20"/>
        </w:rPr>
        <w:t>En ella, se discutió el proyecto de ley presentado por la diputada Chiara Barchiesi que –entre otras cosas– busca que se mejore el traspaso de información de las direcciones de IP (explicado, en sencillo, como conjuntos de datos que hoy funcionan como ‘direcciones postales’, entre usuarios que entran a internet y el lugar de donde sacan la información que navegan) por parte de las empresas de telecomunicaciones hacia las policías del país. Esto, con el objetivo de perseguir el abuso sexual infantil en Chile.</w:t>
      </w:r>
    </w:p>
    <w:p>
      <w:pPr>
        <w:spacing w:before="20"/>
        <w:ind w:left="360"/>
      </w:pPr>
      <w:r>
        <w:rPr>
          <w:color w:val="222222"/>
          <w:sz w:val="20"/>
        </w:rPr>
        <w:t>¿Qué propone? Modificar la Ley General de Telecomunicaciones y crear la obligación para que compañías prestadoras de servicios creen IP diferente para cada cliente. “Necesitamos que la PDI tenga la dirección exacta del pedófilo al que queremos perseguir (...) Porque no puede ser que Claro entregue inmediatamente la información; Movistar exija que el Ministerio Público se pronuncie al respecto; y WOM no haga absolutamente nada”, alegó Barchiesi.</w:t>
      </w:r>
    </w:p>
    <w:p>
      <w:pPr>
        <w:spacing w:before="20"/>
        <w:ind w:left="360"/>
      </w:pPr>
      <w:r>
        <w:rPr>
          <w:color w:val="222222"/>
          <w:sz w:val="20"/>
        </w:rPr>
        <w:t>Al respecto, Garrido dijo compartir las preocupaciones planteadas, pues van alineadas con la agenda de seguridad del gobierno, “pero también como entidad técnica tenemos que garantizar la operación y la conectividad de las personas en nuestro rol como Subsecretaría de Telecomunicaciones”. Acto seguido, tras analizar la materia, expuso algunos riesgos que ven en crear IP “fijas”.</w:t>
      </w:r>
    </w:p>
    <w:p>
      <w:pPr>
        <w:spacing w:before="20"/>
        <w:ind w:left="360"/>
      </w:pPr>
      <w:r>
        <w:rPr>
          <w:color w:val="222222"/>
          <w:sz w:val="20"/>
        </w:rPr>
        <w:t>“Obligaría básicamente a desmantelar esta arquitectura bajo la cual funciona Internet”, planteó, lo que complicaría a empresas de telecomunicaciones para entregar la información exacta de los domicilios. Además, detectó que hoy los ciberdelincuentes podrían evitar la medida usando otras tecnologías como VPN y que asignar un IP fijo podría significar poner en “una situación de vulnerabilidad a los usuarios”.</w:t>
      </w:r>
    </w:p>
    <w:p>
      <w:pPr>
        <w:spacing w:before="20"/>
        <w:ind w:left="360"/>
      </w:pPr>
      <w:r>
        <w:rPr>
          <w:color w:val="222222"/>
          <w:sz w:val="20"/>
        </w:rPr>
        <w:t>Para hacer más eficaz la comunicación con empresas de telecomunicaciones, dijo que la solución “va más por habilitar que sean las policías las que puedan solicitar esta información o uniformar las solicitudes de las direcciones IP, más que en alterar la infraestructura con la que funciona Internet a través de una IP fija”.</w:t>
      </w:r>
    </w:p>
    <w:p>
      <w:pPr>
        <w:spacing w:before="20"/>
        <w:ind w:left="360"/>
      </w:pPr>
      <w:r>
        <w:rPr>
          <w:color w:val="222222"/>
          <w:sz w:val="20"/>
        </w:rPr>
        <w:t>Sobre posibles colisiones de la medida con la Ley de Protección de Datos, Garrido adelantó que como subsecretaría “vamos a tener una normativa que va a entrar en vigencia este año en diciembre”.</w:t>
      </w:r>
    </w:p>
    <w:p>
      <w:pPr>
        <w:spacing w:before="20"/>
        <w:ind w:left="360"/>
      </w:pPr>
      <w:r>
        <w:rPr>
          <w:color w:val="222222"/>
          <w:sz w:val="20"/>
        </w:rPr>
        <w:t>La titular de la Subtel afirmó que están abiertos a seguir trabajando en la medida y que “sería muy valioso” que la comisión pudiera también escuchar a la PDI “para poder entender dónde podrían estar las trabas administrativas y (...) seguir trabajando junto con las compañías de telecomunicaciones”.</w:t>
      </w:r>
    </w:p>
    <w:p>
      <w:pPr>
        <w:spacing w:before="40" w:after="120"/>
      </w:pPr>
      <w:r>
        <w:rPr>
          <w:color w:val="CCCCCC"/>
        </w:rPr>
        <w:t>· · ·</w:t>
      </w:r>
    </w:p>
    <w:p>
      <w:r>
        <w:rPr>
          <w:b/>
          <w:color w:val="E65000"/>
        </w:rPr>
        <w:t xml:space="preserve">3. </w:t>
      </w:r>
      <w:r>
        <w:rPr>
          <w:b/>
          <w:sz w:val="22"/>
        </w:rPr>
        <w:t>Consultora detecta que la morosidad en contribuciones en Chile aumentó siete veces en cuatro años</w:t>
      </w:r>
      <w:r>
        <w:rPr>
          <w:color w:val="CC7700"/>
          <w:sz w:val="18"/>
        </w:rPr>
        <w:t xml:space="preserve">  [⭐ Destacada]</w:t>
      </w:r>
    </w:p>
    <w:p>
      <w:pPr>
        <w:spacing w:before="0"/>
      </w:pPr>
      <w:r>
        <w:rPr>
          <w:color w:val="0056B3"/>
          <w:sz w:val="18"/>
        </w:rPr>
        <w:t>https://www.df.cl/empresas/industria/consultora-detecta-que-la-morosidad-en-contribuciones-en-chile-aumento</w:t>
      </w:r>
    </w:p>
    <w:p>
      <w:pPr>
        <w:spacing w:before="20"/>
        <w:ind w:left="360"/>
      </w:pPr>
      <w:r>
        <w:rPr>
          <w:color w:val="222222"/>
          <w:sz w:val="20"/>
        </w:rPr>
        <w:t>Colliers sugiere que el límite de tolerancia al pago del impuesto se ha alcanzado en amplios segmentos de contribuyentes, lo que, a su juicio, debe ser considerado en la discusión sobre eliminar el gravamen a mayores de 65 años y no afectar así a los municipios.</w:t>
      </w:r>
    </w:p>
    <w:p>
      <w:pPr>
        <w:spacing w:before="20"/>
        <w:ind w:left="360"/>
      </w:pPr>
      <w:r>
        <w:rPr>
          <w:color w:val="222222"/>
          <w:sz w:val="20"/>
        </w:rPr>
        <w:t>Publicado: Miércoles 22 de abril de 2026 a las 04:00 hrs.</w:t>
      </w:r>
    </w:p>
    <w:p>
      <w:pPr>
        <w:spacing w:before="20"/>
        <w:ind w:left="360"/>
      </w:pPr>
      <w:r>
        <w:rPr>
          <w:color w:val="222222"/>
          <w:sz w:val="20"/>
        </w:rPr>
        <w:t>El cobro de las contribuciones de bienes raíces está hoy en el centro de la discusiónluego que el Presidente José Antonio Kast anunciara, como parte del proyecto de Plan de Reconstrucción Nacional y Desarrollo Económico Social,la eliminación del impuesto para la vivienda principal de los adultos mayores de 65 años.</w:t>
      </w:r>
    </w:p>
    <w:p>
      <w:pPr>
        <w:spacing w:before="20"/>
        <w:ind w:left="360"/>
      </w:pPr>
      <w:r>
        <w:rPr>
          <w:color w:val="222222"/>
          <w:sz w:val="20"/>
        </w:rPr>
        <w:t>Ahora, uno de los principales actores del mercado de consultoría inmobiliaria, la intermediadora Colliers, sumó un nuevo factor a considerar. Si bien desde la firma destacaron que la mentada medida busca reconocer el esfuerzo de una vida de trabajo y resguardar el patrimonio de quienes enfrentan ingresos reducidos en la vejez, detrás de esta iniciativa -afirman- existe una realidad cuantitativa que la discusión política no puede soslayar: el estado actual de la recaudación del impuesto territorial en Chile.</w:t>
      </w:r>
    </w:p>
    <w:p>
      <w:pPr>
        <w:spacing w:before="20"/>
        <w:ind w:left="360"/>
      </w:pPr>
      <w:r>
        <w:rPr>
          <w:color w:val="222222"/>
          <w:sz w:val="20"/>
        </w:rPr>
        <w:t>Ana López, consultora del Área de Regularizaciones y Desarrollo de Colliers, afirma que los datos de la Tesorería General de la República (TGR) para el período 2022-2025 revelan un deterioro sostenido en los niveles de cumplimiento.</w:t>
      </w:r>
    </w:p>
    <w:p>
      <w:pPr>
        <w:spacing w:before="20"/>
        <w:ind w:left="360"/>
      </w:pPr>
      <w:r>
        <w:rPr>
          <w:color w:val="222222"/>
          <w:sz w:val="20"/>
        </w:rPr>
        <w:t>Destaca que tras el Reavalúo de Bienes Raíces No Agrícolas del año 2022, liderado por el Servicio de Impuestos Internos (SII), se esperaba una estabilización de los ingresos municipales.</w:t>
      </w:r>
    </w:p>
    <w:p>
      <w:pPr>
        <w:spacing w:before="20"/>
        <w:ind w:left="360"/>
      </w:pPr>
      <w:r>
        <w:rPr>
          <w:color w:val="222222"/>
          <w:sz w:val="20"/>
        </w:rPr>
        <w:t>Añade que los planes de gestión tributaria del SII de los últimos años, orientados a la modernización y al cierre de brechas de cumplimiento, permitieron incluso un crecimiento en el número de roles catastrales.</w:t>
      </w:r>
    </w:p>
    <w:p>
      <w:pPr>
        <w:spacing w:before="20"/>
        <w:ind w:left="360"/>
      </w:pPr>
      <w:r>
        <w:rPr>
          <w:color w:val="222222"/>
          <w:sz w:val="20"/>
        </w:rPr>
        <w:t>“No obstante, la práctica muestra un fenómeno distinto: comunas tradicionalmente cumplidoras han transitado hacia niveles de morosidad históricamente altos. A nivel nacional, el saldo deudor neto pasó de $ 63.000 millones en 2022 a los $ 442.100 millones en 2025, lo que representa un incremento del 601%”, señala la experta.</w:t>
      </w:r>
    </w:p>
    <w:p>
      <w:pPr>
        <w:spacing w:before="20"/>
        <w:ind w:left="360"/>
      </w:pPr>
      <w:r>
        <w:rPr>
          <w:color w:val="222222"/>
          <w:sz w:val="20"/>
        </w:rPr>
        <w:t>A su juicio, este salto no es homogéneo, pero sí generalizado. Ejemplos emblemáticos, destaca, ilustran la magnitud del fenómeno: menciona Maipú, donde la deuda neta se elevó de $ 888 millones en 2022 a $6.636 millones en 2025 (crecimiento de 647%). Viña del Mar: que pasó de $ 1.382 millones a $ 9.037 millones (553% de aumento), y Las Condes: de $ 1.091 millones a $ 20.044 millones (1.737% de incremento). Esta es una de las comunas con mayor concentración de propiedades de alto valor.</w:t>
      </w:r>
    </w:p>
    <w:p>
      <w:pPr>
        <w:spacing w:before="20"/>
        <w:ind w:left="360"/>
      </w:pPr>
      <w:r>
        <w:rPr>
          <w:color w:val="222222"/>
          <w:sz w:val="20"/>
        </w:rPr>
        <w:t>El análisis destaca que el aumento se observa incluso en comunas de altos ingresos, donde el Fondo Común Municipal (FCM) cumple un rol redistributivo clave.</w:t>
      </w:r>
    </w:p>
    <w:p>
      <w:pPr>
        <w:spacing w:before="20"/>
        <w:ind w:left="360"/>
      </w:pPr>
      <w:r>
        <w:rPr>
          <w:color w:val="222222"/>
          <w:sz w:val="20"/>
        </w:rPr>
        <w:t>“Esto sugiere que el límite de tolerancia al pago del impuesto territorial se ha alcanzado en amplios segmentos de contribuyentes, agravado por la persistente inflación y la presión sobre los presupuestos familiares”, sostiene la experta.</w:t>
      </w:r>
    </w:p>
    <w:p>
      <w:pPr>
        <w:spacing w:before="120"/>
        <w:ind w:left="360"/>
      </w:pPr>
      <w:r>
        <w:rPr>
          <w:b/>
          <w:color w:val="E65000"/>
          <w:sz w:val="26"/>
        </w:rPr>
        <w:t xml:space="preserve"> </w:t>
      </w:r>
    </w:p>
    <w:p>
      <w:pPr>
        <w:spacing w:before="20"/>
        <w:ind w:left="360"/>
      </w:pPr>
      <w:r>
        <w:rPr>
          <w:color w:val="222222"/>
          <w:sz w:val="20"/>
        </w:rPr>
        <w:t>Según López, la curva ascendente es uniforme a lo largo del territorio. “Todas las regiones registran incrementos superiores al 400% en el período, con casos extremos como Tarapacá (+977%) o La Araucanía (+594%). Este patrón apunta a factores estructurales más allá de particularidades locales: el impacto del reavalúo sobre avalúos fiscales, sumado a un contexto macroeconómico que ha erosionado la capacidad de pago de muchos hogares”, manifiesta.</w:t>
      </w:r>
    </w:p>
    <w:p>
      <w:pPr>
        <w:spacing w:before="20"/>
        <w:ind w:left="360"/>
      </w:pPr>
      <w:r>
        <w:rPr>
          <w:color w:val="222222"/>
          <w:sz w:val="20"/>
        </w:rPr>
        <w:t>Para la experta, el riesgo es evidente: señala que diseñar políticas de alivio tributario, por más legítimas que sean, sobre una base de recaudación ya sometida a estrés severo puede amplificar los desequilibrios financieros de los municipios.</w:t>
      </w:r>
    </w:p>
    <w:p>
      <w:pPr>
        <w:spacing w:before="20"/>
        <w:ind w:left="360"/>
      </w:pPr>
      <w:r>
        <w:rPr>
          <w:color w:val="222222"/>
          <w:sz w:val="20"/>
        </w:rPr>
        <w:t>“La exención de contribuciones para adultos mayores de 65 años en su vivienda principal, si bien responde a un principio de justicia intergeneracional, debe calibrarse considerando la real capacidad de los gobiernos locales para absorber la pérdida de ingresos sin deteriorar servicios esenciales”, destaca.</w:t>
      </w:r>
    </w:p>
    <w:p>
      <w:pPr>
        <w:spacing w:before="20"/>
        <w:ind w:left="360"/>
      </w:pPr>
      <w:r>
        <w:rPr>
          <w:color w:val="222222"/>
          <w:sz w:val="20"/>
        </w:rPr>
        <w:t>López enfatiza que no se trata de oponerse al beneficio, sino de dimensionar correctamente sus efectos. “La cultura de pago del impuesto territorial se ha debilitado de manera significativa en los últimos cuatro años”, dice la experta, quien reafirma: “Ignorar los niveles de morosidad de 2025 y su proyección, sería un error que las comunas chilenas, especialmente las más dependientes de la recaudación propia, no pueden permitirse”.</w:t>
      </w:r>
    </w:p>
    <w:p>
      <w:pPr>
        <w:spacing w:before="20"/>
        <w:ind w:left="360"/>
      </w:pPr>
      <w:r>
        <w:rPr>
          <w:color w:val="222222"/>
          <w:sz w:val="20"/>
        </w:rPr>
        <w:t>Con todo, afirma que el éxito de cualquier plan de reconstrucción y desarrollo exige que los números cuadren no solo en el papel, sino en la salud financiera de quienes sostienen el sistema: los contribuyentes y los municipios.</w:t>
      </w:r>
    </w:p>
    <w:p>
      <w:pPr>
        <w:spacing w:before="20"/>
        <w:ind w:left="360"/>
      </w:pPr>
      <w:r>
        <w:rPr>
          <w:color w:val="222222"/>
          <w:sz w:val="20"/>
        </w:rPr>
        <w:t>La eliminación del impuesto a los mayores de 65 años implicaría US$ 200 millones menos en ingresos para el Fondo Común Municipal (FCM), que es el instrumento que recibe la recaudación del gravamen a los bienes raíces -de beneficio municipal- y que luego se redistribuye entre las distintas comunas.</w:t>
      </w:r>
    </w:p>
    <w:p>
      <w:pPr>
        <w:spacing w:before="20"/>
        <w:ind w:left="360"/>
      </w:pPr>
      <w:r>
        <w:rPr>
          <w:color w:val="222222"/>
          <w:sz w:val="20"/>
        </w:rPr>
        <w:t>Para mitigar el impacto en los municipios, el gobierno propone una compensación o reposición de fondos de US$ 130 millones al FCM.</w:t>
      </w:r>
    </w:p>
    <w:p>
      <w:pPr>
        <w:spacing w:before="40" w:after="120"/>
      </w:pPr>
      <w:r>
        <w:rPr>
          <w:color w:val="CCCCCC"/>
        </w:rPr>
        <w:t>· · ·</w:t>
      </w:r>
    </w:p>
    <w:p>
      <w:r>
        <w:rPr>
          <w:b/>
          <w:color w:val="E65000"/>
        </w:rPr>
        <w:t xml:space="preserve">4. </w:t>
      </w:r>
      <w:r>
        <w:rPr>
          <w:b/>
          <w:sz w:val="22"/>
        </w:rPr>
        <w:t>Ajustes en el precio del TAG: MOP inicia diálogo con concesionarias y apunta a rebajas de hasta 30%</w:t>
      </w:r>
    </w:p>
    <w:p>
      <w:pPr>
        <w:spacing w:before="0"/>
      </w:pPr>
      <w:r>
        <w:rPr>
          <w:color w:val="0056B3"/>
          <w:sz w:val="18"/>
        </w:rPr>
        <w:t>https://www.df.cl/empresas/industria/ajustes-en-el-precio-del-tag-mop-inicia-dialogo-con-concesionarias-y</w:t>
      </w:r>
    </w:p>
    <w:p>
      <w:pPr>
        <w:spacing w:before="20"/>
        <w:ind w:left="360"/>
      </w:pPr>
      <w:r>
        <w:rPr>
          <w:color w:val="222222"/>
          <w:sz w:val="20"/>
        </w:rPr>
        <w:t>Los privados evalúan fórmulas como extender plazos de concesión, redistribuir ingresos y reducir pagos por obras existentes para viabilizar el objetivo.</w:t>
      </w:r>
    </w:p>
    <w:p>
      <w:pPr>
        <w:spacing w:before="20"/>
        <w:ind w:left="360"/>
      </w:pPr>
      <w:r>
        <w:rPr>
          <w:color w:val="222222"/>
          <w:sz w:val="20"/>
        </w:rPr>
        <w:t>Publicado: Miércoles 22 de abril de 2026 a las 04:00 hrs.</w:t>
      </w:r>
    </w:p>
    <w:p>
      <w:pPr>
        <w:spacing w:before="20"/>
        <w:ind w:left="360"/>
      </w:pPr>
      <w:r>
        <w:rPr>
          <w:color w:val="222222"/>
          <w:sz w:val="20"/>
        </w:rPr>
        <w:t>Una extensión de los plazos buscaría compensar la menor recaudación tarifaria. Foto: Julio Castro.</w:t>
      </w:r>
    </w:p>
    <w:p>
      <w:pPr>
        <w:spacing w:before="20"/>
        <w:ind w:left="360"/>
      </w:pPr>
      <w:r>
        <w:rPr>
          <w:color w:val="222222"/>
          <w:sz w:val="20"/>
        </w:rPr>
        <w:t>El Ministerio de Obras Públicas (MOP), liderado por Martín Arrau, inició su gestión con el pie en el acelerador. En su primer mes en Morandé 59, la cartera ya ha anunciado una serie de medidas, entre ellas un plan de infraestructura carcelaria para enfrentar la crisis de seguridad, el destrabe de 70 obras prioritarias y el análisis de una eventual rebaja en las tarifas de peajes y del sistema TAG, esta última, la que ha generado mayor revuelo.</w:t>
      </w:r>
    </w:p>
    <w:p>
      <w:pPr>
        <w:spacing w:before="20"/>
        <w:ind w:left="360"/>
      </w:pPr>
      <w:r>
        <w:rPr>
          <w:color w:val="222222"/>
          <w:sz w:val="20"/>
        </w:rPr>
        <w:t>Hasta hace algunas semanas, los detalles de esta posible disminución -como su magnitud, implementación y plazos- no estaban del todo claros públicamente. Sin embargo, en los últimos días comenzó a trascender una bajada más concreta de la iniciativa.</w:t>
      </w:r>
    </w:p>
    <w:p>
      <w:pPr>
        <w:spacing w:before="20"/>
        <w:ind w:left="360"/>
      </w:pPr>
      <w:r>
        <w:rPr>
          <w:color w:val="222222"/>
          <w:sz w:val="20"/>
        </w:rPr>
        <w:t>De acuerdo con tres fuentes ligadas a la industria y una del Ejecutivo, las conversaciones entre el ministro Arrau y las concesionarias -principalmente de autopistas urbanas- ya están en marcha.</w:t>
      </w:r>
    </w:p>
    <w:p>
      <w:pPr>
        <w:spacing w:before="20"/>
        <w:ind w:left="360"/>
      </w:pPr>
      <w:r>
        <w:rPr>
          <w:color w:val="222222"/>
          <w:sz w:val="20"/>
        </w:rPr>
        <w:t>El puntapié inicial se dio hace algunos días, cuando el titular del MOP sostuvo una reunión ampliada con representantes del sector, instancia en la que planteó como objetivo avanzar en una rebaja de tarifas que podría alcanzar hasta un 30% en ciertos casos.</w:t>
      </w:r>
    </w:p>
    <w:p>
      <w:pPr>
        <w:spacing w:before="20"/>
        <w:ind w:left="360"/>
      </w:pPr>
      <w:r>
        <w:rPr>
          <w:color w:val="222222"/>
          <w:sz w:val="20"/>
        </w:rPr>
        <w:t>Es pertinente recordar que una eventual disminución no sería uniforme, dado que cada contrato de concesión presenta condiciones distintas. Así, algunas autopistas podrían enfrentar reducciones significativas -en línea con ese 30%-, mientras que en otras el impacto sería menor o, derechamente, inexistente.</w:t>
      </w:r>
    </w:p>
    <w:p>
      <w:pPr>
        <w:spacing w:before="20"/>
        <w:ind w:left="360"/>
      </w:pPr>
      <w:r>
        <w:rPr>
          <w:color w:val="222222"/>
          <w:sz w:val="20"/>
        </w:rPr>
        <w:t>La diferencia en estas variaciones responde a la diversidad de los contratos que rigen el sistema. Mientras algunos presentan mayor flexibilidad y condiciones financieras menos exigentes -lo que abre espacio para ajustes más profundos-, otros operan bajo esquemas más estrechos y rígidos, limitando el margen para eventuales reducciones.</w:t>
      </w:r>
    </w:p>
    <w:p>
      <w:pPr>
        <w:spacing w:before="20"/>
        <w:ind w:left="360"/>
      </w:pPr>
      <w:r>
        <w:rPr>
          <w:color w:val="222222"/>
          <w:sz w:val="20"/>
        </w:rPr>
        <w:t>En este escenario, según comentaron las fuentes, durante el encuentro el ministro instó a las concesionarias a evaluar alternativas para materializar estas rebajas y definir los mecanismos más adecuados. En esa línea, el MOP comenzará a sostener reuniones bilaterales con cada operador, con el fin de analizar las distintas opciones caso a caso.</w:t>
      </w:r>
    </w:p>
    <w:p>
      <w:pPr>
        <w:spacing w:before="20"/>
        <w:ind w:left="360"/>
      </w:pPr>
      <w:r>
        <w:rPr>
          <w:color w:val="222222"/>
          <w:sz w:val="20"/>
        </w:rPr>
        <w:t>Con la instrucción sobre la mesa, los privados comenzaron a estudiar diversas fórmulas para llevar a cabo este objetivo. Una de ellas, y la que más ha sonado en los últimos días, apunta a extender los plazos de las concesiones, de manera de compensar la menor recaudación tarifaria con un mayor período de explotación.</w:t>
      </w:r>
    </w:p>
    <w:p>
      <w:pPr>
        <w:spacing w:before="20"/>
        <w:ind w:left="360"/>
      </w:pPr>
      <w:r>
        <w:rPr>
          <w:color w:val="222222"/>
          <w:sz w:val="20"/>
        </w:rPr>
        <w:t>Sin embargo, esta opción enfrenta restricciones. Algunos contratos tienen plazos fijos o estructuras de financiamiento que dificultan su modificación, por lo que su aplicación requerirá un análisis detallado en cada caso.</w:t>
      </w:r>
    </w:p>
    <w:p>
      <w:pPr>
        <w:spacing w:before="20"/>
        <w:ind w:left="360"/>
      </w:pPr>
      <w:r>
        <w:rPr>
          <w:color w:val="222222"/>
          <w:sz w:val="20"/>
        </w:rPr>
        <w:t>Otra alternativa en evaluación se relaciona con los contratos más recientes, que contemplan mecanismos de reparto de ingresos entre el Estado y las concesionarias. En estos casos, una posibilidad sería ajustar el porcentaje que recibe el privado, de modo de compensar la baja tarifaria sin afectar sus proyecciones financieras.</w:t>
      </w:r>
    </w:p>
    <w:p>
      <w:pPr>
        <w:spacing w:before="20"/>
        <w:ind w:left="360"/>
      </w:pPr>
      <w:r>
        <w:rPr>
          <w:color w:val="222222"/>
          <w:sz w:val="20"/>
        </w:rPr>
        <w:t>No obstante, esta opción también presenta limitaciones, ya que en ciertos contratos los ingresos fiscales comprometidos no pueden reducirse.</w:t>
      </w:r>
    </w:p>
    <w:p>
      <w:pPr>
        <w:spacing w:before="20"/>
        <w:ind w:left="360"/>
      </w:pPr>
      <w:r>
        <w:rPr>
          <w:color w:val="222222"/>
          <w:sz w:val="20"/>
        </w:rPr>
        <w:t>Finalmente, una tercera vía en análisis apunta a las futuras relicitaciones de obras. Actualmente, cuando una empresa se adjudica una concesión -específicamente aquellas orientadas a la mantención de infraestructura existente, como las próximas licitaciones de Autopista Central o Costanera Norte- debe realizar un pago inicial relevante.</w:t>
      </w:r>
    </w:p>
    <w:p>
      <w:pPr>
        <w:spacing w:before="20"/>
        <w:ind w:left="360"/>
      </w:pPr>
      <w:r>
        <w:rPr>
          <w:color w:val="222222"/>
          <w:sz w:val="20"/>
        </w:rPr>
        <w:t>Según explicaron en la industria, una eventual reducción de este desembolso podría traducirse en menores tarifas para los usuarios.</w:t>
      </w:r>
    </w:p>
    <w:p>
      <w:pPr>
        <w:spacing w:before="20"/>
        <w:ind w:left="360"/>
      </w:pPr>
      <w:r>
        <w:rPr>
          <w:color w:val="222222"/>
          <w:sz w:val="20"/>
        </w:rPr>
        <w:t>En la mañana de este martes, la Asociación de Concesionarios de Obras de Infraestructura Pública (Copsa) realizó el congreso “Alianza público-privada: un motor de desarrollo”, instancia que reunió a empresas del sector, autoridades y líderes gremiales, junto al ministro de Obras Públicas, Martín Arrau.</w:t>
      </w:r>
    </w:p>
    <w:p>
      <w:pPr>
        <w:spacing w:before="20"/>
        <w:ind w:left="360"/>
      </w:pPr>
      <w:r>
        <w:rPr>
          <w:color w:val="222222"/>
          <w:sz w:val="20"/>
        </w:rPr>
        <w:t>Durante el encuentro, además de abordar desafíos que enfrenta la industria -como la baja competencia-, el titular de la cartera expuso una serie de ajustes que el Ministerio está impulsando para fortalecer el sistema de concesiones y evitar situaciones como la paralización de obras.</w:t>
      </w:r>
    </w:p>
    <w:p>
      <w:pPr>
        <w:spacing w:before="20"/>
        <w:ind w:left="360"/>
      </w:pPr>
      <w:r>
        <w:rPr>
          <w:color w:val="222222"/>
          <w:sz w:val="20"/>
        </w:rPr>
        <w:t>En ese contexto, Arrau explicó que el MOP está trabajando en distintas líneas de acción, entre ellas reforzar el rol del Inspector Fiscal y mejorar la capacidad de respuesta de la cartera. En lo concreto, detalló que existen dos propuestas prioritarias: perfeccionar el mecanismo de resolución de controversias y avanzar en la modernización de las futuras bases de licitación. Estas últimas, indicó, incorporarán mejoras en gestión, una distribución más clara de riesgos y mayores niveles de certeza para los actores involucrados.</w:t>
      </w:r>
    </w:p>
    <w:p>
      <w:pPr>
        <w:spacing w:before="40" w:after="120"/>
      </w:pPr>
      <w:r>
        <w:rPr>
          <w:color w:val="CCCCCC"/>
        </w:rPr>
        <w:t>· · ·</w:t>
      </w:r>
    </w:p>
    <w:p>
      <w:r>
        <w:rPr>
          <w:b/>
          <w:color w:val="E65000"/>
        </w:rPr>
        <w:t xml:space="preserve">5. </w:t>
      </w:r>
      <w:r>
        <w:rPr>
          <w:b/>
          <w:sz w:val="22"/>
        </w:rPr>
        <w:t>“Los tiempos pasados no volverán”: el crudo diagnóstico de Concha y Toro ante el nuevo escenario de la industria</w:t>
      </w:r>
    </w:p>
    <w:p>
      <w:pPr>
        <w:spacing w:before="0"/>
      </w:pPr>
      <w:r>
        <w:rPr>
          <w:color w:val="0056B3"/>
          <w:sz w:val="18"/>
        </w:rPr>
        <w:t>https://www.df.cl/empresas/juntas-de-accionistas/los-tiempos-pasados-no-volveran-el-crudo-diagnostico-de-concha-y-toro</w:t>
      </w:r>
    </w:p>
    <w:p>
      <w:pPr>
        <w:spacing w:before="20"/>
        <w:ind w:left="360"/>
      </w:pPr>
      <w:r>
        <w:rPr>
          <w:color w:val="222222"/>
          <w:sz w:val="20"/>
        </w:rPr>
        <w:t>La junta de accionistas también marcó el fin de la era de Alfonso Larraín en el directorio, tras casi seis décadas en la mesa.</w:t>
      </w:r>
    </w:p>
    <w:p>
      <w:pPr>
        <w:spacing w:before="20"/>
        <w:ind w:left="360"/>
      </w:pPr>
      <w:r>
        <w:rPr>
          <w:color w:val="222222"/>
          <w:sz w:val="20"/>
        </w:rPr>
        <w:t>Por:Equipo DFPublicado: Miércoles 22 de abril de 2026 a las 04:00 hrs.</w:t>
      </w:r>
    </w:p>
    <w:p>
      <w:pPr>
        <w:spacing w:before="20"/>
        <w:ind w:left="360"/>
      </w:pPr>
      <w:r>
        <w:rPr>
          <w:color w:val="222222"/>
          <w:sz w:val="20"/>
        </w:rPr>
        <w:t>Publicado: Miércoles 22 de abril de 2026 a las 04:00 hrs.</w:t>
      </w:r>
    </w:p>
    <w:p>
      <w:pPr>
        <w:spacing w:before="20"/>
        <w:ind w:left="360"/>
      </w:pPr>
      <w:r>
        <w:rPr>
          <w:color w:val="222222"/>
          <w:sz w:val="20"/>
        </w:rPr>
        <w:t>Al centro, presidente de Concha y Toro, Rafael Guilisasti; y gerente general de la bodega, Eduardo Guilisasti. Foto: Jonathan Duran</w:t>
      </w:r>
    </w:p>
    <w:p>
      <w:pPr>
        <w:spacing w:before="20"/>
        <w:ind w:left="360"/>
      </w:pPr>
      <w:r>
        <w:rPr>
          <w:color w:val="222222"/>
          <w:sz w:val="20"/>
        </w:rPr>
        <w:t>“Hay un consenso, y cada vez más generalizado a nivel de la industria, de que los tiempos pasados no volverán. Y los que todavía creen que esto es algo transitorio, deben estar muy equivocados”. Con ese tono, el gerente general de Concha y Toro, Eduardo Guilisasti, delineó el complejo escenario que enfrenta la industria vitivinícola, durante la junta de accionistas realizada la tarde del martes.</w:t>
      </w:r>
    </w:p>
    <w:p>
      <w:pPr>
        <w:spacing w:before="20"/>
        <w:ind w:left="360"/>
      </w:pPr>
      <w:r>
        <w:rPr>
          <w:color w:val="222222"/>
          <w:sz w:val="20"/>
        </w:rPr>
        <w:t>A lo largo de su intervención, el ejecutivo insistió en que el sector atraviesa un cambio “profundo, transformacional y estructural”, que -a su juicio- no es coyuntural, sino que llegó para instalarse de forma permanente.</w:t>
      </w:r>
    </w:p>
    <w:p>
      <w:pPr>
        <w:spacing w:before="20"/>
        <w:ind w:left="360"/>
      </w:pPr>
      <w:r>
        <w:rPr>
          <w:color w:val="222222"/>
          <w:sz w:val="20"/>
        </w:rPr>
        <w:t>Entre los factores que explican este giro mencionó un cambio en los hábitos de consumo, especialmente en las nuevas generaciones. En esa línea, apuntó a una mayor preocupación por la salud, el impacto de medicamentos asociados a la reducción de peso y la irrupción de nuevos sustitutos, como el cannabis.</w:t>
      </w:r>
    </w:p>
    <w:p>
      <w:pPr>
        <w:spacing w:before="20"/>
        <w:ind w:left="360"/>
      </w:pPr>
      <w:r>
        <w:rPr>
          <w:color w:val="222222"/>
          <w:sz w:val="20"/>
        </w:rPr>
        <w:t>A ello se suma, indicó, un entorno regulatorio más exigente, con mayores impuestos y restricciones a la publicidad.</w:t>
      </w:r>
    </w:p>
    <w:p>
      <w:pPr>
        <w:spacing w:before="20"/>
        <w:ind w:left="360"/>
      </w:pPr>
      <w:r>
        <w:rPr>
          <w:color w:val="222222"/>
          <w:sz w:val="20"/>
        </w:rPr>
        <w:t>Este escenario ha tenido efectos visibles en el sector, incluyendo el arranque de hectáreas, quiebras de empresas, reducciones de dotación y procesos de consolidación mediante fusiones.</w:t>
      </w:r>
    </w:p>
    <w:p>
      <w:pPr>
        <w:spacing w:before="20"/>
        <w:ind w:left="360"/>
      </w:pPr>
      <w:r>
        <w:rPr>
          <w:color w:val="222222"/>
          <w:sz w:val="20"/>
        </w:rPr>
        <w:t>Así, Guilisasti advirtió que la industria enfrenta una nueva realidad, tanto desde la oferta como desde la demanda.</w:t>
      </w:r>
    </w:p>
    <w:p>
      <w:pPr>
        <w:spacing w:before="20"/>
        <w:ind w:left="360"/>
      </w:pPr>
      <w:r>
        <w:rPr>
          <w:color w:val="222222"/>
          <w:sz w:val="20"/>
        </w:rPr>
        <w:t>“Dentro de este escenario tan negativo, la visión mía personal es que hay oportunidades. Nuestra compañía cuenta con un activo estratégico muy sólido. Hicimos la inversión en el momento adecuado. Construimos las marcas, tenemos la red de distribución. No solamente vamos a resistir un ciclo negativo, vamos a fortalecernos”, puntualizó.</w:t>
      </w:r>
    </w:p>
    <w:p>
      <w:pPr>
        <w:spacing w:before="20"/>
        <w:ind w:left="360"/>
      </w:pPr>
      <w:r>
        <w:rPr>
          <w:color w:val="222222"/>
          <w:sz w:val="20"/>
        </w:rPr>
        <w:t>El ejecutivo añadió que los resultados actuales responden a una estrategia que la compañía viene implementando desde 2017, enfocada en priorizar un portafolio más acotado, con mayor presencia en segmentos premium, en línea con la evolución del mercado.</w:t>
      </w:r>
    </w:p>
    <w:p>
      <w:pPr>
        <w:spacing w:before="20"/>
        <w:ind w:left="360"/>
      </w:pPr>
      <w:r>
        <w:rPr>
          <w:color w:val="222222"/>
          <w:sz w:val="20"/>
        </w:rPr>
        <w:t>En materia de expansión, el presidente de la viña, Rafael Guilisasti, señaló que el foco está puesto en los mercados internacionales, tanto en el fortalecimiento de sus marcas como en la consolidación de su red de distribución, con el objetivo de acceder a nuevos orígenes.</w:t>
      </w:r>
    </w:p>
    <w:p>
      <w:pPr>
        <w:spacing w:before="20"/>
        <w:ind w:left="360"/>
      </w:pPr>
      <w:r>
        <w:rPr>
          <w:color w:val="222222"/>
          <w:sz w:val="20"/>
        </w:rPr>
        <w:t>Tal como se había anticipado, la junta también marcó la salida de Alfonso Larraín del directorio, poniendo fin a una extensa trayectoria de 57 años ligada a la alta dirección de la viña.</w:t>
      </w:r>
    </w:p>
    <w:p>
      <w:pPr>
        <w:spacing w:before="20"/>
        <w:ind w:left="360"/>
      </w:pPr>
      <w:r>
        <w:rPr>
          <w:color w:val="222222"/>
          <w:sz w:val="20"/>
        </w:rPr>
        <w:t>El empresario ingresó en 1969 y, desde entonces, ocupó diversos cargos, como la gerencia general, la vicepresidencia y la presidencia, rol que ejerció hasta julio de 2025, cuando fue sucedido por Rafael Guilisasti.</w:t>
      </w:r>
    </w:p>
    <w:p>
      <w:pPr>
        <w:spacing w:before="20"/>
        <w:ind w:left="360"/>
      </w:pPr>
      <w:r>
        <w:rPr>
          <w:color w:val="222222"/>
          <w:sz w:val="20"/>
        </w:rPr>
        <w:t>Al cierre de la junta, el presidente de la viña realizó un repaso por la trayectoria de Larraín, destacando su impulso a la internacionalización de la compañía y su rol en la recuperación de la firma tras la intervención de 1972. Su alocución fue aplaudida por los asistentes.</w:t>
      </w:r>
    </w:p>
    <w:p>
      <w:pPr>
        <w:spacing w:before="20"/>
        <w:ind w:left="360"/>
      </w:pPr>
      <w:r>
        <w:rPr>
          <w:color w:val="222222"/>
          <w:sz w:val="20"/>
        </w:rPr>
        <w:t>Tras su salida, se incorporó como directora independiente Sandra Porcile, exdirectora de Ripley. La mesa quedó conformada por Rafael Guilisasti, Felipe Larraín, Rafael Marín, Pablo Guilisasti, Janet Awad y Blanca Bustamante.</w:t>
      </w:r>
    </w:p>
    <w:p>
      <w:pPr>
        <w:spacing w:before="40" w:after="120"/>
      </w:pPr>
      <w:r>
        <w:rPr>
          <w:color w:val="CCCCCC"/>
        </w:rPr>
        <w:t>· · ·</w:t>
      </w:r>
    </w:p>
    <w:p>
      <w:r>
        <w:rPr>
          <w:b/>
          <w:color w:val="E65000"/>
        </w:rPr>
        <w:t xml:space="preserve">6. </w:t>
      </w:r>
      <w:r>
        <w:rPr>
          <w:b/>
          <w:sz w:val="22"/>
        </w:rPr>
        <w:t>Domingo Rojas, director nacional del SAG: “La mosca de la fruta nos tiene muy preocupados. Llevamos largo tiempo peleando con sus constantes brotes”</w:t>
      </w:r>
    </w:p>
    <w:p>
      <w:pPr>
        <w:spacing w:before="0"/>
      </w:pPr>
      <w:r>
        <w:rPr>
          <w:color w:val="0056B3"/>
          <w:sz w:val="18"/>
        </w:rPr>
        <w:t>https://www.df.cl/empresas/industria/domingo-rojas-director-nacional-del-sag-la-mosca-de-la-fruta-nos-tiene</w:t>
      </w:r>
    </w:p>
    <w:p>
      <w:pPr>
        <w:spacing w:before="20"/>
        <w:ind w:left="360"/>
      </w:pPr>
      <w:r>
        <w:rPr>
          <w:color w:val="222222"/>
          <w:sz w:val="20"/>
        </w:rPr>
        <w:t>La nueva autoridad del SAG sostuvo que la alta dirección del servicio se involucrará de lleno en resolver el tema. Sobre sus desafíos en el cargo, destacó la modernización de la institución con casi 60 años de historia.</w:t>
      </w:r>
    </w:p>
    <w:p>
      <w:pPr>
        <w:spacing w:before="20"/>
        <w:ind w:left="360"/>
      </w:pPr>
      <w:r>
        <w:rPr>
          <w:color w:val="222222"/>
          <w:sz w:val="20"/>
        </w:rPr>
        <w:t>Publicado: Miércoles 22 de abril de 2026 a las 04:00 hrs.</w:t>
      </w:r>
    </w:p>
    <w:p>
      <w:pPr>
        <w:spacing w:before="20"/>
        <w:ind w:left="360"/>
      </w:pPr>
      <w:r>
        <w:rPr>
          <w:color w:val="222222"/>
          <w:sz w:val="20"/>
        </w:rPr>
        <w:t>El ingeniero agrónomo Domingo Rojas fue una de las 12 “balas de plata” del Presidente José Antonio Kast: lo designó como director nacional del Servicio Agrícola y Ganadero (SAG), mismo cargo al que había postulado vía Alta Dirección Pública cuatro años antes, pero que, pese haber quedado en la terna final, no fue seleccionado por el gobierno anterior.</w:t>
      </w:r>
    </w:p>
    <w:p>
      <w:pPr>
        <w:spacing w:before="20"/>
        <w:ind w:left="360"/>
      </w:pPr>
      <w:r>
        <w:rPr>
          <w:color w:val="222222"/>
          <w:sz w:val="20"/>
        </w:rPr>
        <w:t>Fue una jugada política inusual para este servicio, que para el mismo Rojas refleja “un mensaje potente que está dando el Presidente, de decir que este sector es relevante”, dijo a DF en su primera entrevista en el cargo.</w:t>
      </w:r>
    </w:p>
    <w:p>
      <w:pPr>
        <w:spacing w:before="20"/>
        <w:ind w:left="360"/>
      </w:pPr>
      <w:r>
        <w:rPr>
          <w:color w:val="222222"/>
          <w:sz w:val="20"/>
        </w:rPr>
        <w:t>Egresado de la Pontificia Universidad Católica de Chile y magíster en Dirección Financiera de la Universidad Adolfo Ibáñez, se declaró “con muchas ganas” para el desafío, el que enfrenta como quien ya conoce la interna: trabajó allí en 2011 y entre 2018 y 2022 como jefe de gabinete y subdirector de operaciones.</w:t>
      </w:r>
    </w:p>
    <w:p>
      <w:pPr>
        <w:spacing w:before="20"/>
        <w:ind w:left="360"/>
      </w:pPr>
      <w:r>
        <w:rPr>
          <w:color w:val="222222"/>
          <w:sz w:val="20"/>
        </w:rPr>
        <w:t>- ¿La bala de plata responde entonces a que la importancia del SAG se ha ido desdibujando?</w:t>
      </w:r>
    </w:p>
    <w:p>
      <w:pPr>
        <w:spacing w:before="20"/>
        <w:ind w:left="360"/>
      </w:pPr>
      <w:r>
        <w:rPr>
          <w:color w:val="222222"/>
          <w:sz w:val="20"/>
        </w:rPr>
        <w:t>- Es multifactorial, pero en cierto sentido, sí. En el gobierno anterior, la mitad del tiempo el SAG no tuvo un director titular. Eso ya dice algo. Esta es una institución muy jerárquica que requiere esa cabeza. Ahora, tampoco es que esto se haya deteriorado; en el fondo, se desordena o se pierde la oportunidad de avanzar, mientras nuestros competidores le están poniendo con todo, y eso nos va dejando en una posición desventajosa.</w:t>
      </w:r>
    </w:p>
    <w:p>
      <w:pPr>
        <w:spacing w:before="20"/>
        <w:ind w:left="360"/>
      </w:pPr>
      <w:r>
        <w:rPr>
          <w:color w:val="222222"/>
          <w:sz w:val="20"/>
        </w:rPr>
        <w:t>Pero también es algo que va más allá. El SAG tiene 59 años y se rige por las mismas normas y la agricultura hace 60 años versus hoy día ha cambiado considerablemente. Si bien el SAG es una institución referente a nivel mundial, a la que muchos países vienen a solicitar experiencia, por otro lado, el dinamismo que tiene el sector hace muy difícil que el SAG pueda responder a eso con estas normas antiguas.</w:t>
      </w:r>
    </w:p>
    <w:p>
      <w:pPr>
        <w:spacing w:before="20"/>
        <w:ind w:left="360"/>
      </w:pPr>
      <w:r>
        <w:rPr>
          <w:color w:val="222222"/>
          <w:sz w:val="20"/>
        </w:rPr>
        <w:t>- Apuntamos a eso, pero modernizar siempre se entiende como tecnología, pero es mucho más: tiene que ver con procesos, capacidades, con tener funcionarios motivados, con trabajar de la mano de los usuarios. Eso es lo que estamos buscando.</w:t>
      </w:r>
    </w:p>
    <w:p>
      <w:pPr>
        <w:spacing w:before="20"/>
        <w:ind w:left="360"/>
      </w:pPr>
      <w:r>
        <w:rPr>
          <w:color w:val="222222"/>
          <w:sz w:val="20"/>
        </w:rPr>
        <w:t>- ¿Puede dar un ejemplo de lo que se podría actualizar a los tiempos de hoy?</w:t>
      </w:r>
    </w:p>
    <w:p>
      <w:pPr>
        <w:spacing w:before="20"/>
        <w:ind w:left="360"/>
      </w:pPr>
      <w:r>
        <w:rPr>
          <w:color w:val="222222"/>
          <w:sz w:val="20"/>
        </w:rPr>
        <w:t>- Los requerimientos de personas que viajan con animales son el 50% de los certificados zoosanitarios que emite el SAG, es decir, unos 35 mil al año, y eso requiere un montón de horas hombre destinadas a revisar papeles. Se podría evolucionar a un sistema digital o incluso usar la figura que permite la Ley Orgánica del SAG de trabajar con organismos externos a los que se les delega ese trabajo. Hablamos de procesos rutinarios, donde también la IA podría ayudar a resolver.</w:t>
      </w:r>
    </w:p>
    <w:p>
      <w:pPr>
        <w:spacing w:before="20"/>
        <w:ind w:left="360"/>
      </w:pPr>
      <w:r>
        <w:rPr>
          <w:color w:val="222222"/>
          <w:sz w:val="20"/>
        </w:rPr>
        <w:t>Desde 1995, Chile es un país libre de mosca de la fruta -una de las plagas más dañinas del mundo- y el único en Sudamérica bajo esta condición, lo que resulta clave para el sistema agroexportador nacional. Sin embargo, desde 2022 a la fecha, entre comercio ilegal, flujos migratorios humanos y condiciones climáticas, el país ha visto una seguidilla de brotes, llegando a 66 en la temporada 2025-2026.</w:t>
      </w:r>
    </w:p>
    <w:p>
      <w:pPr>
        <w:spacing w:before="20"/>
        <w:ind w:left="360"/>
      </w:pPr>
      <w:r>
        <w:rPr>
          <w:color w:val="222222"/>
          <w:sz w:val="20"/>
        </w:rPr>
        <w:t>“Nuestra principal prioridad son las tres emergencias: anemia infecciosa equina, influenza aviar y mosca de la fruta. Todas son importantes, pero la de la mosca de la fruta es la que más preocupa, por el largo tiempo que llevamos peleando con sus constantes brotes. Eso nos tiene muy preocupados y queremos involucrarnos desde la alta dirección del SAG para resolverlo, porque cada vez que pasa más tiempo se vuelve más complejo de resolver el tema”, sostuvo, y detalló que el gobierno anterior destinó $ 95 mil millones en sus cuatro años para enfrentar la emergencia.</w:t>
      </w:r>
    </w:p>
    <w:p>
      <w:pPr>
        <w:spacing w:before="20"/>
        <w:ind w:left="360"/>
      </w:pPr>
      <w:r>
        <w:rPr>
          <w:color w:val="222222"/>
          <w:sz w:val="20"/>
        </w:rPr>
        <w:t>- ¿A cuánto estamos de no ser más un país “libre de”?</w:t>
      </w:r>
    </w:p>
    <w:p>
      <w:pPr>
        <w:spacing w:before="20"/>
        <w:ind w:left="360"/>
      </w:pPr>
      <w:r>
        <w:rPr>
          <w:color w:val="222222"/>
          <w:sz w:val="20"/>
        </w:rPr>
        <w:t>- Eso es algo que se define en relaciones bilaterales con los distintos mercados, pero estamos dando garantías y creen en nuestro sistema, además, pueden venir a verificar y auditarnos. Aquí hay normas internacionales y avisos que se activan cada vez que hay un brote. Chile tiene incursiones específicas de la mosca y no hay zonas completamente cubiertas que hagan que nos cuestionen desde otros mercados. Si bien han preguntado y hay inquietudes, las principales zonas productivas no han tenido problemas y no hemos tenido cierres de mercado.</w:t>
      </w:r>
    </w:p>
    <w:p>
      <w:pPr>
        <w:spacing w:before="20"/>
        <w:ind w:left="360"/>
      </w:pPr>
      <w:r>
        <w:rPr>
          <w:color w:val="222222"/>
          <w:sz w:val="20"/>
        </w:rPr>
        <w:t>Sobre el debate por las subdivisiones agrícolas y la circular de 2022 que instruía al SAG a endurecer criterios para autorizar loteos, Rojas enfatizó que el rol del servicio es resguardar el suelo agrícola y no visar proyectos inmobiliarios.</w:t>
      </w:r>
    </w:p>
    <w:p>
      <w:pPr>
        <w:spacing w:before="20"/>
        <w:ind w:left="360"/>
      </w:pPr>
      <w:r>
        <w:rPr>
          <w:color w:val="222222"/>
          <w:sz w:val="20"/>
        </w:rPr>
        <w:t>“Eso no quita que creamos que es importante que los requisitos que se deben cumplir para estas solicitudes sean lo más claro posible para evitar los problemas que hemos visto (...). Se habla mucho del SAG, pero el SAG no vela por proyectos habitacionales. Esa es la discusión y creo que es materia del Ministerio de Vivienda y Urbanismo”.</w:t>
      </w:r>
    </w:p>
    <w:p>
      <w:pPr>
        <w:spacing w:before="20"/>
        <w:ind w:left="360"/>
      </w:pPr>
      <w:r>
        <w:rPr>
          <w:color w:val="222222"/>
          <w:sz w:val="20"/>
        </w:rPr>
        <w:t>Ante el proyecto de ley que revisa la Cámara, dijo: “Vamos a ver si el proyecto es suficiente o no para poder superar esta discusión, que ha generado más ruido que certeza”.</w:t>
      </w:r>
    </w:p>
    <w:p>
      <w:pPr>
        <w:spacing w:before="40" w:after="120"/>
      </w:pPr>
      <w:r>
        <w:rPr>
          <w:color w:val="CCCCCC"/>
        </w:rPr>
        <w:t>· · ·</w:t>
      </w:r>
    </w:p>
    <w:p>
      <w:r>
        <w:rPr>
          <w:b/>
          <w:color w:val="E65000"/>
        </w:rPr>
        <w:t xml:space="preserve">7. </w:t>
      </w:r>
      <w:r>
        <w:rPr>
          <w:b/>
          <w:sz w:val="22"/>
        </w:rPr>
        <w:t>Aguas Andinas se define como “un aliado estratégico” para el gobierno de Kast</w:t>
      </w:r>
    </w:p>
    <w:p>
      <w:pPr>
        <w:spacing w:before="0"/>
      </w:pPr>
      <w:r>
        <w:rPr>
          <w:color w:val="0056B3"/>
          <w:sz w:val="18"/>
        </w:rPr>
        <w:t>https://www.df.cl/empresas/juntas-de-accionistas/aguas-andinas-se-define-como-un-aliado-estrategico-para-el-gobierno-de</w:t>
      </w:r>
    </w:p>
    <w:p>
      <w:pPr>
        <w:spacing w:before="20"/>
        <w:ind w:left="360"/>
      </w:pPr>
      <w:r>
        <w:rPr>
          <w:color w:val="222222"/>
          <w:sz w:val="20"/>
        </w:rPr>
        <w:t>La sanitaria metropolitana dijo que comparte muchas de las urgencias de la nueva administración.</w:t>
      </w:r>
    </w:p>
    <w:p>
      <w:pPr>
        <w:spacing w:before="20"/>
        <w:ind w:left="360"/>
      </w:pPr>
      <w:r>
        <w:rPr>
          <w:color w:val="222222"/>
          <w:sz w:val="20"/>
        </w:rPr>
        <w:t>Por:Equipo DFPublicado: Miércoles 22 de abril de 2026 a las 04:00 hrs.</w:t>
      </w:r>
    </w:p>
    <w:p>
      <w:pPr>
        <w:spacing w:before="20"/>
        <w:ind w:left="360"/>
      </w:pPr>
      <w:r>
        <w:rPr>
          <w:color w:val="222222"/>
          <w:sz w:val="20"/>
        </w:rPr>
        <w:t>Publicado: Miércoles 22 de abril de 2026 a las 04:00 hrs.</w:t>
      </w:r>
    </w:p>
    <w:p>
      <w:pPr>
        <w:spacing w:before="20"/>
        <w:ind w:left="360"/>
      </w:pPr>
      <w:r>
        <w:rPr>
          <w:color w:val="222222"/>
          <w:sz w:val="20"/>
        </w:rPr>
        <w:t>Como un “aliado estratégico para que el país siga creciendo” se definió la sanitaria metropolitana Aguas Andinas de cara al nuevo gobierno de José Antonio Kast.</w:t>
      </w:r>
    </w:p>
    <w:p>
      <w:pPr>
        <w:spacing w:before="20"/>
        <w:ind w:left="360"/>
      </w:pPr>
      <w:r>
        <w:rPr>
          <w:color w:val="222222"/>
          <w:sz w:val="20"/>
        </w:rPr>
        <w:t>Así lo señaló el presidente de la compañía, Felipe Larraín, en la junta de accionistas realizada este martes, donde indicó que “compartimos muchas de las urgencias” definidas por la nueva administración, por ejemplo, en materia de vivienda y agua potable rural y por ello su actitud será de activa “colaboración”.</w:t>
      </w:r>
    </w:p>
    <w:p>
      <w:pPr>
        <w:spacing w:before="20"/>
        <w:ind w:left="360"/>
      </w:pPr>
      <w:r>
        <w:rPr>
          <w:color w:val="222222"/>
          <w:sz w:val="20"/>
        </w:rPr>
        <w:t>“Queremos desarrollar un trabajo conjunto con la autoridad”, enfatizó, indicando que esta coordinación es crucial dada la envergadura del desafío de suministrar el vital elemento en un contexto de estrés hídrico a los más de siete millones de clientes de la sanitaria.</w:t>
      </w:r>
    </w:p>
    <w:p>
      <w:pPr>
        <w:spacing w:before="20"/>
        <w:ind w:left="360"/>
      </w:pPr>
      <w:r>
        <w:rPr>
          <w:color w:val="222222"/>
          <w:sz w:val="20"/>
        </w:rPr>
        <w:t>Respecto al impacto de la guerra en el Medio Oriente, Larraín señaló que el alza de los combustibles, los insumos y la inflación afectarán a la compañía, aunque trabajan para minimizar el impacto.</w:t>
      </w:r>
    </w:p>
    <w:p>
      <w:pPr>
        <w:spacing w:before="20"/>
        <w:ind w:left="360"/>
      </w:pPr>
      <w:r>
        <w:rPr>
          <w:color w:val="222222"/>
          <w:sz w:val="20"/>
        </w:rPr>
        <w:t>La compañía controlada por la europea Veolia presentó los principales avances de su plan de inversiones en los próximos años, con foco en garantizar la provisión de agua potable y saneamiento a sus más de siete millones de clientes en un escenario de estrés hídrico y vulnerabilidad climática.</w:t>
      </w:r>
    </w:p>
    <w:p>
      <w:pPr>
        <w:spacing w:before="20"/>
        <w:ind w:left="360"/>
      </w:pPr>
      <w:r>
        <w:rPr>
          <w:color w:val="222222"/>
          <w:sz w:val="20"/>
        </w:rPr>
        <w:t>En la junta de accionistas, que marcó el debut de José Sáez como gerente general , la firma destacó que las inversiones del período 2025 llegaron a $ 190 mil millones, 27% más que el ejercicio anterior, para fortalecer la seguridad hídrica de Santiago.</w:t>
      </w:r>
    </w:p>
    <w:p>
      <w:pPr>
        <w:spacing w:before="40" w:after="120"/>
      </w:pPr>
      <w:r>
        <w:rPr>
          <w:color w:val="CCCCCC"/>
        </w:rPr>
        <w:t>· · ·</w:t>
      </w:r>
    </w:p>
    <w:p>
      <w:r>
        <w:rPr>
          <w:b/>
          <w:color w:val="E65000"/>
        </w:rPr>
        <w:t xml:space="preserve">8. </w:t>
      </w:r>
      <w:r>
        <w:rPr>
          <w:b/>
          <w:sz w:val="22"/>
        </w:rPr>
        <w:t>“Son los que marcan la pauta”: gerente general de Movicenter destaca fuerte giro hacia autos chinos en el país</w:t>
      </w:r>
    </w:p>
    <w:p>
      <w:pPr>
        <w:spacing w:before="0"/>
      </w:pPr>
      <w:r>
        <w:rPr>
          <w:color w:val="0056B3"/>
          <w:sz w:val="18"/>
        </w:rPr>
        <w:t>https://www.df.cl/empresas/industria/son-los-que-marcan-la-pauta-gerente-general-de-movicenter-destaca-fuerte</w:t>
      </w:r>
    </w:p>
    <w:p>
      <w:pPr>
        <w:spacing w:before="20"/>
        <w:ind w:left="360"/>
      </w:pPr>
      <w:r>
        <w:rPr>
          <w:color w:val="222222"/>
          <w:sz w:val="20"/>
        </w:rPr>
        <w:t>Ariel Benzaquen afirmó que dentro del centro comercial hoy un 40% de los vehículos son fabricados por el gigante asiático. En cuanto a electromovilidad, aseguró que las consultas subieron notablemente durante marzo.</w:t>
      </w:r>
    </w:p>
    <w:p>
      <w:pPr>
        <w:spacing w:before="20"/>
        <w:ind w:left="360"/>
      </w:pPr>
      <w:r>
        <w:rPr>
          <w:color w:val="222222"/>
          <w:sz w:val="20"/>
        </w:rPr>
        <w:t>Publicado: Miércoles 22 de abril de 2026 a las 04:00 hrs.</w:t>
      </w:r>
    </w:p>
    <w:p>
      <w:pPr>
        <w:spacing w:before="20"/>
        <w:ind w:left="360"/>
      </w:pPr>
      <w:r>
        <w:rPr>
          <w:color w:val="222222"/>
          <w:sz w:val="20"/>
        </w:rPr>
        <w:t>El gerente general de la compañía, Ariel Benzaquen.</w:t>
      </w:r>
    </w:p>
    <w:p>
      <w:pPr>
        <w:spacing w:before="20"/>
        <w:ind w:left="360"/>
      </w:pPr>
      <w:r>
        <w:rPr>
          <w:color w:val="222222"/>
          <w:sz w:val="20"/>
        </w:rPr>
        <w:t>En marzo se cumplió un año desde que Ariel Benzaquen asumió como gerente general en Movicenter, emblemático centro comercial automovilístico –propiedad de la familia Ergas– ubicado en Huechuraba.</w:t>
      </w:r>
    </w:p>
    <w:p>
      <w:pPr>
        <w:spacing w:before="20"/>
        <w:ind w:left="360"/>
      </w:pPr>
      <w:r>
        <w:rPr>
          <w:color w:val="222222"/>
          <w:sz w:val="20"/>
        </w:rPr>
        <w:t>De estos casi 13 meses que lleva a la cabeza del negocio, el ejecutivo cuenta aDFqueel pasado 2025 fue un año de “consolidación” para Movicenter, firma que en 2027 cumplirá su aniversario número 70.“Crecimos en línea con lo que creció el mercado,que fue un 2%, dependiendo de la fuente, en cuanto a autos nuevos”, afirma.</w:t>
      </w:r>
    </w:p>
    <w:p>
      <w:pPr>
        <w:spacing w:before="20"/>
        <w:ind w:left="360"/>
      </w:pPr>
      <w:r>
        <w:rPr>
          <w:color w:val="222222"/>
          <w:sz w:val="20"/>
        </w:rPr>
        <w:t>Año a año, el centro vende cerca de 25.000 autos (usados y nuevos), calcula. Y este 2026, añade, lo empezaron con cuentas alegres: durante los primeros dos meses del año, sus ventas subieron en un 10%.</w:t>
      </w:r>
    </w:p>
    <w:p>
      <w:pPr>
        <w:spacing w:before="20"/>
        <w:ind w:left="360"/>
      </w:pPr>
      <w:r>
        <w:rPr>
          <w:color w:val="222222"/>
          <w:sz w:val="20"/>
        </w:rPr>
        <w:t>El ejecutivo detecta que el 2025 fue un año de “fuerte giro hacia lo que son las marcas de procedencia china”.En cifras, estima que hoy un 40% de los vehículos que se venden en Movicenter son fabricados en el gigante asiático: 10% de ellos a través de marcas de otro origen, y el otro 30% a través de marcas totalmente chinas.</w:t>
      </w:r>
    </w:p>
    <w:p>
      <w:pPr>
        <w:spacing w:before="20"/>
        <w:ind w:left="360"/>
      </w:pPr>
      <w:r>
        <w:rPr>
          <w:color w:val="222222"/>
          <w:sz w:val="20"/>
        </w:rPr>
        <w:t>“Ellos son los que marcan la pauta”, afirma. Esto, por lavelocidad y variedad de modelos que lanzan al mercado(“casi todos los días”, precisa) y las tecnologías que han introducido, como modelos híbrido de rango extendido y/o híbrido enchufable, que cada vez son más atractivas para el público.</w:t>
      </w:r>
    </w:p>
    <w:p>
      <w:pPr>
        <w:spacing w:before="20"/>
        <w:ind w:left="360"/>
      </w:pPr>
      <w:r>
        <w:rPr>
          <w:color w:val="222222"/>
          <w:sz w:val="20"/>
        </w:rPr>
        <w:t>Esta irrupción también la miden en tasa de reemplazo dentro de Movicenter.Desde 2025, “algunas marcas de otros orígenes, ya sean japonesas o europeas, se están yendo, devuelven el local por distintas razones”. ¿Y quién aparece rápidamente? “Importadores pidiéndote locales para marcas chinas”, afirma.</w:t>
      </w:r>
    </w:p>
    <w:p>
      <w:pPr>
        <w:spacing w:before="20"/>
        <w:ind w:left="360"/>
      </w:pPr>
      <w:r>
        <w:rPr>
          <w:color w:val="222222"/>
          <w:sz w:val="20"/>
        </w:rPr>
        <w:t>De todas formas, matiza que -a su juicio- no todos estos actores “van a poder perdurar en el tiempo”. “Si no venden los autos suficientes para montar una red de distribución a lo largo del país, con servicio mecánico y repuestos no van a perdurar.Se dice mucho que Chile es un mercado de prueba, por eso hay 100 marcas acá, que es una locura”.</w:t>
      </w:r>
    </w:p>
    <w:p>
      <w:pPr>
        <w:spacing w:before="20"/>
        <w:ind w:left="360"/>
      </w:pPr>
      <w:r>
        <w:rPr>
          <w:color w:val="222222"/>
          <w:sz w:val="20"/>
        </w:rPr>
        <w:t>La adopción de vehículos100% eléctricosno ha sido tan rápida como se proyectó en algún momento, opina Benzaquen.Entrega dos razones: los precios, que siguen siendo altos; y la falta de políticas públicas “claras” en la materia y de beneficios por cambiarse a esta tecnología “desconocida” aún para muchos.</w:t>
      </w:r>
    </w:p>
    <w:p>
      <w:pPr>
        <w:spacing w:before="20"/>
        <w:ind w:left="360"/>
      </w:pPr>
      <w:r>
        <w:rPr>
          <w:color w:val="222222"/>
          <w:sz w:val="20"/>
        </w:rPr>
        <w:t>De todas formas, afirma que durante marzo las consultas por autos híbridos y eléctricos subieron“muchísimo” dentro de Movicenter.</w:t>
      </w:r>
    </w:p>
    <w:p>
      <w:pPr>
        <w:spacing w:before="20"/>
        <w:ind w:left="360"/>
      </w:pPr>
      <w:r>
        <w:rPr>
          <w:color w:val="222222"/>
          <w:sz w:val="20"/>
        </w:rPr>
        <w:t>Las últimas cifras de la Asociación Nacional Automotriz de Chile (ANAC) lo respaldan: en su último reporte, el gremio consignó que las cotizaciones por autos (ya sea 100% eléctricos u hibridos) evidenciaron un crecimientodel 300% a partir del pasado 25 de marzo.</w:t>
      </w:r>
    </w:p>
    <w:p>
      <w:pPr>
        <w:spacing w:before="20"/>
        <w:ind w:left="360"/>
      </w:pPr>
      <w:r>
        <w:rPr>
          <w:color w:val="222222"/>
          <w:sz w:val="20"/>
        </w:rPr>
        <w:t>En cuanto a compras efectivas, la ANAC reveló que los híbridos y microhibridos registraron un 122,5% de crecimiento durante marzo; mientras que los enchufables evidenciaron un crecimiento del 237,9%.</w:t>
      </w:r>
    </w:p>
    <w:p>
      <w:pPr>
        <w:spacing w:before="20"/>
        <w:ind w:left="360"/>
      </w:pPr>
      <w:r>
        <w:rPr>
          <w:color w:val="222222"/>
          <w:sz w:val="20"/>
        </w:rPr>
        <w:t>De todas formas, precisaron que estos últimostodavía representan "un bajo porcentaje dentro del total de ventas en el país: sólo un 4,6% del total de vehículos vendidos este año son electrificados enchufables".</w:t>
      </w:r>
    </w:p>
    <w:p>
      <w:pPr>
        <w:spacing w:before="40" w:after="120"/>
      </w:pPr>
      <w:r>
        <w:rPr>
          <w:color w:val="CCCCCC"/>
        </w:rPr>
        <w:t>· · ·</w:t>
      </w:r>
    </w:p>
    <w:p/>
    <w:p>
      <w:pPr>
        <w:pStyle w:val="Heading1"/>
      </w:pPr>
      <w:r>
        <w:rPr>
          <w:color w:val="E65000"/>
        </w:rPr>
        <w:t>🔹 Economía</w:t>
      </w:r>
    </w:p>
    <w:p>
      <w:r>
        <w:rPr>
          <w:b/>
          <w:color w:val="E65000"/>
        </w:rPr>
        <w:t xml:space="preserve">1. </w:t>
      </w:r>
      <w:r>
        <w:rPr>
          <w:b/>
          <w:sz w:val="22"/>
        </w:rPr>
        <w:t>El PDG termina con el misterio: sella acuerdo con el gobierno y respalda el proyecto de reactivación económica</w:t>
      </w:r>
      <w:r>
        <w:rPr>
          <w:color w:val="CC7700"/>
          <w:sz w:val="18"/>
        </w:rPr>
        <w:t xml:space="preserve">  [⭐ Destacada]</w:t>
      </w:r>
    </w:p>
    <w:p>
      <w:pPr>
        <w:spacing w:before="0"/>
      </w:pPr>
      <w:r>
        <w:rPr>
          <w:color w:val="0056B3"/>
          <w:sz w:val="18"/>
        </w:rPr>
        <w:t>https://www.df.cl/economia-y-politica/congreso/el-pdg-termina-con-el-misterio-sella-acuerdo-con-el-gobierno-y-respalda-el</w:t>
      </w:r>
    </w:p>
    <w:p>
      <w:pPr>
        <w:spacing w:before="20"/>
        <w:ind w:left="360"/>
      </w:pPr>
      <w:r>
        <w:rPr>
          <w:color w:val="222222"/>
          <w:sz w:val="20"/>
        </w:rPr>
        <w:t>A cambio, el Ejecutivo se comprometió a ingresra un proyecto paralelo que acoger algunas de sus principales peticiones.</w:t>
      </w:r>
    </w:p>
    <w:p>
      <w:pPr>
        <w:spacing w:before="20"/>
        <w:ind w:left="360"/>
      </w:pPr>
      <w:r>
        <w:rPr>
          <w:color w:val="222222"/>
          <w:sz w:val="20"/>
        </w:rPr>
        <w:t>Publicado: Miércoles 22 de abril de 2026 a las 11:22 hrs.</w:t>
      </w:r>
    </w:p>
    <w:p>
      <w:pPr>
        <w:spacing w:before="20"/>
        <w:ind w:left="360"/>
      </w:pPr>
      <w:r>
        <w:rPr>
          <w:color w:val="222222"/>
          <w:sz w:val="20"/>
        </w:rPr>
        <w:t>Esta ajetreada mañana de miércoles terminó la incertidumbre no sóloacerca del ingreso del proyecto misceláneo al Congreso, específicamente a la Cámara Baja; sino también acerca del acuerdo que alcanzó el Partido de la Gente (PDG) con el Ejecutivo, yque dieron a conocer en conjunto la bancada de la colectividad y el ministro de la Segpres, José García Ruminot, tras una breve reunión entre ambas partes, que resulta ser el corolario de una serie de encuentros tras los que se selló el respaldo de la tienda a la idea de legislar de la iniciativa de reactivación económica.</w:t>
      </w:r>
    </w:p>
    <w:p>
      <w:pPr>
        <w:spacing w:before="20"/>
        <w:ind w:left="360"/>
      </w:pPr>
      <w:r>
        <w:rPr>
          <w:color w:val="222222"/>
          <w:sz w:val="20"/>
        </w:rPr>
        <w:t>Tras la reunión del martes en la noche, cuyo resultado la bancada no quiso adelantar, pues estaban preparando la performance con la que finalmente confirmaron el acuerdo esta mañana de miércoles -oportunidad en quelos diputados se pararon ante la prensa con pequeños carteles con la frase “Plan alivio clase media”, nombre con el que bautizaron el acuerdo alcanzado-, se selló el destino del proyecto misceláneo.</w:t>
      </w:r>
    </w:p>
    <w:p>
      <w:pPr>
        <w:spacing w:before="120"/>
        <w:ind w:left="360"/>
      </w:pPr>
      <w:r>
        <w:rPr>
          <w:b/>
          <w:color w:val="E65000"/>
          <w:sz w:val="26"/>
        </w:rPr>
        <w:t xml:space="preserve"> </w:t>
      </w:r>
    </w:p>
    <w:p>
      <w:pPr>
        <w:spacing w:before="20"/>
        <w:ind w:left="360"/>
      </w:pPr>
      <w:r>
        <w:rPr>
          <w:color w:val="222222"/>
          <w:sz w:val="20"/>
        </w:rPr>
        <w:t>Ello, porque tras la negociación con el PDG, el Ejecutivo aseguró los votos para la idea de legislar del polémico proyecto y la colectividad fundada por Franco Parisi consiguió -tal como señaló DF ayer martes- que el gobierno cediera a la petición de la devolución del IVA a los medicamentos, los pañales y a la mantención permanente de la tasa tributaria de 12,5% para las pymes. Ello,pese a que en principio ninguna de estas medidas se incorporará al proyecto misceláneo.</w:t>
      </w:r>
    </w:p>
    <w:p>
      <w:pPr>
        <w:spacing w:before="20"/>
        <w:ind w:left="360"/>
      </w:pPr>
      <w:r>
        <w:rPr>
          <w:color w:val="222222"/>
          <w:sz w:val="20"/>
        </w:rPr>
        <w:t>Para la devolución del IVA se ingresaría un proyecto paralelo al de reactivación económica y para la tasa de las pymes aún no se ha acordado la fórmula,pues esta se analizará con el sector en reuniones que sostendrá con distintas autoridades del gobierno.</w:t>
      </w:r>
    </w:p>
    <w:p>
      <w:pPr>
        <w:spacing w:before="20"/>
        <w:ind w:left="360"/>
      </w:pPr>
      <w:r>
        <w:rPr>
          <w:color w:val="222222"/>
          <w:sz w:val="20"/>
        </w:rPr>
        <w:t>“Hoy es un día importante para la clase media. El Partido de la Gente junto al gobierno han llegado a un acuerdo llamado “Plan alivio clase media”.El Partido de la Gente, tras dialogar con el gobierno, votará a favor en general, la idea de legislar, de la ley miscelánea o ley de reconstrucción. El objetivo es que la clase media sea el eje central de esta reforma”, anunció el jefe de la bancada, Juan Marcelo Valenzuela.</w:t>
      </w:r>
    </w:p>
    <w:p>
      <w:pPr>
        <w:spacing w:before="20"/>
        <w:ind w:left="360"/>
      </w:pPr>
      <w:r>
        <w:rPr>
          <w:color w:val="222222"/>
          <w:sz w:val="20"/>
        </w:rPr>
        <w:t>El diputado detalló los logros del partido en el marco de la negociación y aclaró que aún no está definida la fórmula para la devolución del IVA, pero que probablemente se hará a través de la Cuenta Rut o del bolsillo electrónico y manifestó queesperan que “el gobierno cumpla su palabra con el compromiso de las bancadas oficialistas”. Ello, no es menor, porque si bien se puede ingresar el proyecto paralelo, nadie asegura que los parlamentarios de gobierno lo respalden.</w:t>
      </w:r>
    </w:p>
    <w:p>
      <w:pPr>
        <w:spacing w:before="20"/>
        <w:ind w:left="360"/>
      </w:pPr>
      <w:r>
        <w:rPr>
          <w:color w:val="222222"/>
          <w:sz w:val="20"/>
        </w:rPr>
        <w:t>Valenzuela insistió que con este paso, el PDG reafirma su posición “no como oposición, sino que como proposición”, eslogan que la colectividad comenzó a levantar hace un par de semanas, cuando comenzó a negociar con el gobierno. Y expresó su convicción de que el acuerdo alcanzado constituye “un muy buen avance para la clase media” y que “este encuentro entre el gobierno y el PDG es el primer paso de muchos para poder aliviar el bolsillo de todos los chilenos”.</w:t>
      </w:r>
    </w:p>
    <w:p>
      <w:pPr>
        <w:spacing w:before="20"/>
        <w:ind w:left="360"/>
      </w:pPr>
      <w:r>
        <w:rPr>
          <w:color w:val="222222"/>
          <w:sz w:val="20"/>
        </w:rPr>
        <w:t>Por su parte, elministro de la Segpresagradeció la apertura al diálogo y los acuerdos expresado por el PDG, “que analizó, estudió las propuestas, vio también las demandas ciudadanas y puso, de manera muy fuerte, sobre la mesa, la devolución del IVA en los pañales y en los medicamentos”, por lo que“agradecemos profundamente al Partido de la Gente no sólo que vayan a respaldar la idea de legislar, sino  esta preocupación sincera y profunda por lo social”, manifestó.</w:t>
      </w:r>
    </w:p>
    <w:p>
      <w:pPr>
        <w:spacing w:before="20"/>
        <w:ind w:left="360"/>
      </w:pPr>
      <w:r>
        <w:rPr>
          <w:color w:val="222222"/>
          <w:sz w:val="20"/>
        </w:rPr>
        <w:t>Además,recordó el compromiso asumido por el Presidente José Antonio Kast, con las pymes y confirmó que “hoy reafirmamos ese compromiso, vamos a mantener la tasa del 12,5% para las pymes”; sin embargo, detalló que en las próximas horas habrá reuniones de representantes de este sector económico con autoridades de gobierno, por lo que “no tengo tan claro y no lo puedo reafirmar hoy día que ese compromiso se vaya a materializar en este proyecto de ley (misceláneo). Porque es probable que lo hagamos en otros” y agregó que “ambas opciones están abiertas, ya vamos a ver lo que se acuerde en está reunión con las pymes”.El ministro cerró su intervención, apelando a que no se pierda de vista el dolor de las familias afectadas por los incendios y “que Dios nos ayude”.</w:t>
      </w:r>
    </w:p>
    <w:p>
      <w:pPr>
        <w:spacing w:before="20"/>
        <w:ind w:left="360"/>
      </w:pPr>
      <w:r>
        <w:rPr>
          <w:color w:val="222222"/>
          <w:sz w:val="20"/>
        </w:rPr>
        <w:t>Por su parte,la diputada Pamela Jiles,a quien no se le borró la sonrisa durante toda la conferencia de prensa, destacó que su partido haya alcanzado el acuerdo con el gobierno y manifestócon este logro el PDG ha pasado a ser “el centro del foco de las posibilidades de la política chilena”.</w:t>
      </w:r>
    </w:p>
    <w:p>
      <w:pPr>
        <w:spacing w:before="40" w:after="120"/>
      </w:pPr>
      <w:r>
        <w:rPr>
          <w:color w:val="CCCCCC"/>
        </w:rPr>
        <w:t>· · ·</w:t>
      </w:r>
    </w:p>
    <w:p>
      <w:r>
        <w:rPr>
          <w:b/>
          <w:color w:val="E65000"/>
        </w:rPr>
        <w:t xml:space="preserve">2. </w:t>
      </w:r>
      <w:r>
        <w:rPr>
          <w:b/>
          <w:sz w:val="22"/>
        </w:rPr>
        <w:t>Reconstrucción tras incendios: proyecto detalla beneficios tributarios, repatriación de capitales, condonación de deudas municipales y facilidades de pagos a la TGR</w:t>
      </w:r>
      <w:r>
        <w:rPr>
          <w:color w:val="CC7700"/>
          <w:sz w:val="18"/>
        </w:rPr>
        <w:t xml:space="preserve">  [⭐ Destacada]</w:t>
      </w:r>
    </w:p>
    <w:p>
      <w:pPr>
        <w:spacing w:before="0"/>
      </w:pPr>
      <w:r>
        <w:rPr>
          <w:color w:val="0056B3"/>
          <w:sz w:val="18"/>
        </w:rPr>
        <w:t>https://www.df.cl/economia-y-politica/df-tax/reconstruccion-tras-incendios-en-biobio-y-nuble-proyecto-de-reactivacion</w:t>
      </w:r>
    </w:p>
    <w:p>
      <w:pPr>
        <w:spacing w:before="20"/>
        <w:ind w:left="360"/>
      </w:pPr>
      <w:r>
        <w:rPr>
          <w:color w:val="222222"/>
          <w:sz w:val="20"/>
        </w:rPr>
        <w:t>El foco principal de las iniciativas está puesto en aumentar la recaudación de impuestos para financiar la ampliación del Fondo de Emergencia Transitorio por Incendios, que aportará los recursos necesarios para la reconstrucción de 4.102 viviendas en Biobío y 327 en Ñuble.</w:t>
      </w:r>
    </w:p>
    <w:p>
      <w:pPr>
        <w:spacing w:before="20"/>
        <w:ind w:left="360"/>
      </w:pPr>
      <w:r>
        <w:rPr>
          <w:color w:val="222222"/>
          <w:sz w:val="20"/>
        </w:rPr>
        <w:t>Publicado: Miércoles 22 de abril de 2026 a las 11:10 hrs.</w:t>
      </w:r>
    </w:p>
    <w:p>
      <w:pPr>
        <w:spacing w:before="20"/>
        <w:ind w:left="360"/>
      </w:pPr>
      <w:r>
        <w:rPr>
          <w:color w:val="222222"/>
          <w:sz w:val="20"/>
        </w:rPr>
        <w:t>Un proyecto que se ha vuelto clave en la estrategia mediática del nuevo gobierno para sacar adelante el enorme paquete de reformas que está impulsando es el que aborda lareconstrucción de las viviendas e infraestructuras destruidas a comienzos de año, durante los incendios de Ñuble y Biobío.</w:t>
      </w:r>
    </w:p>
    <w:p>
      <w:pPr>
        <w:spacing w:before="20"/>
        <w:ind w:left="360"/>
      </w:pPr>
      <w:r>
        <w:rPr>
          <w:color w:val="222222"/>
          <w:sz w:val="20"/>
        </w:rPr>
        <w:t>Esto porque para parte de la oposición, que rechaza la rebaja de impuestos a las grandes empresas, trabar la aprobación del conjunto de iniciativas podría tener un alto costo político, apareciendo ante la opinión pública como el obstáculo para una medida que cuenta con amplio respaldo ciudadano.</w:t>
      </w:r>
    </w:p>
    <w:p>
      <w:pPr>
        <w:spacing w:before="20"/>
        <w:ind w:left="360"/>
      </w:pPr>
      <w:r>
        <w:rPr>
          <w:color w:val="222222"/>
          <w:sz w:val="20"/>
        </w:rPr>
        <w:t>Los detalles del plan de reconstrucción para las comunas afectadas por los siniestros finalmente se conocieron este miércoles, luego de que elPresidente de la República, José Antonio Kast, enviara al Congreso el proyecto de ley misceláneoque representa el núcleo de sus promesas de campaña.</w:t>
      </w:r>
    </w:p>
    <w:p>
      <w:pPr>
        <w:spacing w:before="20"/>
        <w:ind w:left="360"/>
      </w:pPr>
      <w:r>
        <w:rPr>
          <w:color w:val="222222"/>
          <w:sz w:val="20"/>
        </w:rPr>
        <w:t>En este sentido, la batería de medidas incluye la ampliación de los recursos destinados alFondo de Emergencia Transitorio por Incendios, creado por la Ley N° 21.681, para financiar la reconstrucción de 4.429 viviendas: 327 en Ñuble y 4.102 en Biobío. Para asegurar el financiamiento de la reconstrucción, se incorporanmedidas tributarias transitorias destinadas a incrementar la recaudación fiscal.</w:t>
      </w:r>
    </w:p>
    <w:p>
      <w:pPr>
        <w:spacing w:before="20"/>
        <w:ind w:left="360"/>
      </w:pPr>
      <w:r>
        <w:rPr>
          <w:color w:val="222222"/>
          <w:sz w:val="20"/>
        </w:rPr>
        <w:t>En detalle, se propone un sistematemporal, voluntario y extraordinario de declaración de bienes o rentas que se encuentren en el extranjero, afecto al pago de un impuesto único y sustitutivo de 10%.Asimismo, se establece una tasa diferenciada de 7% para incentivar la repatriación e inversiónefectiva de los bienes o rentas declarados en Chile.</w:t>
      </w:r>
    </w:p>
    <w:p>
      <w:pPr>
        <w:spacing w:before="20"/>
        <w:ind w:left="360"/>
      </w:pPr>
      <w:r>
        <w:rPr>
          <w:color w:val="222222"/>
          <w:sz w:val="20"/>
        </w:rPr>
        <w:t>“En segundo término, el proyecto establece un mecanismo voluntario y extraordinario quepermite a las empresas que mantengan saldos acumulados en el Fondo de Utilidades Reinvertidas (“FUR”), en el Saldo Total de Utilidades Tributables (“STUT”) o en registros de retiros en exceso del Fondo de Utilidades Tributables (“FUT”) histórico, optar por afectar la totalidad o parte de dichos saldos a un impuesto único del 10%, sustitutivo de los impuestos finales que habrían correspondido, sin  derecho a crédito alguno”.</w:t>
      </w:r>
    </w:p>
    <w:p>
      <w:pPr>
        <w:spacing w:before="20"/>
        <w:ind w:left="360"/>
      </w:pPr>
      <w:r>
        <w:rPr>
          <w:color w:val="222222"/>
          <w:sz w:val="20"/>
        </w:rPr>
        <w:t>Este régimen transitorio busca movilizar recursos que hoy permanecen retenidos en las empresas por razones tributarias, incorporarlos a la economía y generar recaudación fiscal adicional en un momento en que el fortalecimiento de los ingresos del Estado es prioritario.</w:t>
      </w:r>
    </w:p>
    <w:p>
      <w:pPr>
        <w:spacing w:before="20"/>
        <w:ind w:left="360"/>
      </w:pPr>
      <w:r>
        <w:rPr>
          <w:color w:val="222222"/>
          <w:sz w:val="20"/>
        </w:rPr>
        <w:t>El documento destaca además que el contexto de emergencia económica ha generado una acumulación de deudas de personas naturales y pequeñas empresas con los municipios, por concepto depermisos de  circulación, patentes comerciales, derechos de aseo y otros derechos municipales. Estas deudas, que en muchos casoshan devengado intereses y multas que superan el capital adeudado,  constituyen un obstáculo para la formalización de actividades económicas y generan litigios que sobrecargan la gestión municipal. Frente a ello, el proyectofaculta a los municipios para condonar intereses, multas y renunciar a la acción de cobro de la deuda.</w:t>
      </w:r>
    </w:p>
    <w:p>
      <w:pPr>
        <w:spacing w:before="20"/>
        <w:ind w:left="360"/>
      </w:pPr>
      <w:r>
        <w:rPr>
          <w:color w:val="222222"/>
          <w:sz w:val="20"/>
        </w:rPr>
        <w:t>En la misma línea,faculta a la Tesorería General de la República para otorgar facilidades de pago, por un plazo de 180 días, respecto de deudas vencidas al 31 de diciembre de 2025. “Los beneficiosincluyen condonaciones de hasta el 100% de intereses y 80% de multasen casos de pagos al contado, o hasta 95% y 75% respectivamente si se suscribe un convenio de hasta 24 cuotas, en cuyo caso se exige un pie mínimo de 10% del capital original”.</w:t>
      </w:r>
    </w:p>
    <w:p>
      <w:pPr>
        <w:spacing w:before="20"/>
        <w:ind w:left="360"/>
      </w:pPr>
      <w:r>
        <w:rPr>
          <w:color w:val="222222"/>
          <w:sz w:val="20"/>
        </w:rPr>
        <w:t>Este beneficio está sujeto al cumplimiento total del pacto. De lo contrario, el convenio queda sin efecto y se reactivan intereses y multas. Esta medida está destinada a favorecer solo a personas naturales, micro, pequeñas y medianas empresas.</w:t>
      </w:r>
    </w:p>
    <w:p>
      <w:pPr>
        <w:spacing w:before="20"/>
        <w:ind w:left="360"/>
      </w:pPr>
      <w:r>
        <w:rPr>
          <w:color w:val="222222"/>
          <w:sz w:val="20"/>
        </w:rPr>
        <w:t>En tercer lugar, la iniciativa establece una rebaja temporal del impuesto a las donaciones de50% cuando se realicen mediante escrituras públicas suscritas dentro del plazo de un añoa contar del primer día del mes subsiguiente a la publicación de la ley. Además, se liberan del trámite de insinuación judicial. Para acceder al beneficio, la donación debe respetar las asignaciones forzosas (50% a legitimarios y 25% a cuarta de mejoras) y no puede exceder 75% del patrimonio total del donante.</w:t>
      </w:r>
    </w:p>
    <w:p>
      <w:pPr>
        <w:spacing w:before="20"/>
        <w:ind w:left="360"/>
      </w:pPr>
      <w:r>
        <w:rPr>
          <w:color w:val="222222"/>
          <w:sz w:val="20"/>
        </w:rPr>
        <w:t>El pago del impuesto será un requisito previo para que el notario autorice la escritura pública de donación. El pago de este tributo podrá financiarse mediante préstamos de las mismas sociedades donadas o sus relacionadas sin penalización tributaria.</w:t>
      </w:r>
    </w:p>
    <w:p>
      <w:pPr>
        <w:spacing w:before="20"/>
        <w:ind w:left="360"/>
      </w:pPr>
      <w:r>
        <w:rPr>
          <w:color w:val="222222"/>
          <w:sz w:val="20"/>
        </w:rPr>
        <w:t>Por último, se establece una regla de control en virtud de la cual, si el donante enajena el bien  donado en un plazo de tres años desde la donación, se mantendrá el costo tributario que hubiere correspondido originalmente al donante.</w:t>
      </w:r>
    </w:p>
    <w:p>
      <w:pPr>
        <w:spacing w:before="20"/>
        <w:ind w:left="360"/>
      </w:pPr>
      <w:r>
        <w:rPr>
          <w:color w:val="222222"/>
          <w:sz w:val="20"/>
        </w:rPr>
        <w:t>“Esta medida tiene un impacto inmediato, permitiendo convertir una expectativa de cobro futura e incierta en ingresos efectivos para el Estado. Al mismo tiempo, incentiva la formalización  temprana del patrimonio y desincentiva planificaciones tributarias complejas, cuya fiscalización exige un importante desgaste administrativo y que resulta muchas veces difícil de realizar”, concluye el texto en lo referido a esta materia.</w:t>
      </w:r>
    </w:p>
    <w:p>
      <w:pPr>
        <w:spacing w:before="40" w:after="120"/>
      </w:pPr>
      <w:r>
        <w:rPr>
          <w:color w:val="CCCCCC"/>
        </w:rPr>
        <w:t>· · ·</w:t>
      </w:r>
    </w:p>
    <w:p>
      <w:r>
        <w:rPr>
          <w:b/>
          <w:color w:val="E65000"/>
        </w:rPr>
        <w:t xml:space="preserve">3. </w:t>
      </w:r>
      <w:r>
        <w:rPr>
          <w:b/>
          <w:sz w:val="22"/>
        </w:rPr>
        <w:t>El llamado de Kast en seminario de BTG Pactual: “Decídanse a invertir acá, hoy la prioridad uno es dar empleo y el resto es música”</w:t>
      </w:r>
      <w:r>
        <w:rPr>
          <w:color w:val="CC7700"/>
          <w:sz w:val="18"/>
        </w:rPr>
        <w:t xml:space="preserve">  [⭐ Destacada]</w:t>
      </w:r>
    </w:p>
    <w:p>
      <w:pPr>
        <w:spacing w:before="0"/>
      </w:pPr>
      <w:r>
        <w:rPr>
          <w:color w:val="0056B3"/>
          <w:sz w:val="18"/>
        </w:rPr>
        <w:t>https://www.df.cl/economia-y-politica/gobierno/el-llamado-de-kast-en-seminario-de-btg-pactual-decidanse-a-invertir-aca</w:t>
      </w:r>
    </w:p>
    <w:p>
      <w:pPr>
        <w:spacing w:before="20"/>
        <w:ind w:left="360"/>
      </w:pPr>
      <w:r>
        <w:rPr>
          <w:color w:val="222222"/>
          <w:sz w:val="20"/>
        </w:rPr>
        <w:t>El mandatario indicó que “la conversación pública hoy está llena de ruidos y opiniones que se ven como certezas de aquellas personas que nos llevaron a la situación actual con crecimiento estancado en 2%”.</w:t>
      </w:r>
    </w:p>
    <w:p>
      <w:pPr>
        <w:spacing w:before="20"/>
        <w:ind w:left="360"/>
      </w:pPr>
      <w:r>
        <w:rPr>
          <w:color w:val="222222"/>
          <w:sz w:val="20"/>
        </w:rPr>
        <w:t>Publicado: Miércoles 22 de abril de 2026 a las 09:57 hrs.</w:t>
      </w:r>
    </w:p>
    <w:p>
      <w:pPr>
        <w:spacing w:before="20"/>
        <w:ind w:left="360"/>
      </w:pPr>
      <w:r>
        <w:rPr>
          <w:color w:val="222222"/>
          <w:sz w:val="20"/>
        </w:rPr>
        <w:t>Ante un salón con cerca de 900 personas en el marco del seminario de BTG Pactual Latin Forus 2026, el Presidente José Antonio Kast, realizó una llamado a los privados a tener confianza en Chile y dinamizar proyectos.</w:t>
      </w:r>
    </w:p>
    <w:p>
      <w:pPr>
        <w:spacing w:before="20"/>
        <w:ind w:left="360"/>
      </w:pPr>
      <w:r>
        <w:rPr>
          <w:color w:val="222222"/>
          <w:sz w:val="20"/>
        </w:rPr>
        <w:t>“Decídanse a invertir acá", dijo el mandatario. "Hoy la prioridad uno es dar empleo y el resto es música como decía el expresidente Ricardo Lagos. Chile puede crecer a más del 2%”.</w:t>
      </w:r>
    </w:p>
    <w:p>
      <w:pPr>
        <w:spacing w:before="120"/>
        <w:ind w:left="360"/>
      </w:pPr>
      <w:r>
        <w:rPr>
          <w:b/>
          <w:color w:val="E65000"/>
          <w:sz w:val="26"/>
        </w:rPr>
        <w:t xml:space="preserve"> </w:t>
      </w:r>
    </w:p>
    <w:p>
      <w:pPr>
        <w:spacing w:before="20"/>
        <w:ind w:left="360"/>
      </w:pPr>
      <w:r>
        <w:rPr>
          <w:color w:val="222222"/>
          <w:sz w:val="20"/>
        </w:rPr>
        <w:t>El mandatario participó en el evento luego defirmar el proyecto de ley de reconstruccióny aprovechó de destacar algunos elementos de esa normativa como la repatriación de capitales. Afirmó que el proyecto “es fundamental recuperar la competitividad tributaria” y para eso se reducirá el impuesto corporativo.</w:t>
      </w:r>
    </w:p>
    <w:p>
      <w:pPr>
        <w:spacing w:before="20"/>
        <w:ind w:left="360"/>
      </w:pPr>
      <w:r>
        <w:rPr>
          <w:color w:val="222222"/>
          <w:sz w:val="20"/>
        </w:rPr>
        <w:t>Destacó también la invariabilidad tributaria porque “en últimos años hemos tenido 7 reformas tributarias . Nadie quiere invertir y no saber lo que tiene que pagar”. Agregó la exención del IVA a construcción y otras medidas para que exista más empleo porque “no hay mejor política social que pleno empleo”.</w:t>
      </w:r>
    </w:p>
    <w:p>
      <w:pPr>
        <w:spacing w:before="20"/>
        <w:ind w:left="360"/>
      </w:pPr>
      <w:r>
        <w:rPr>
          <w:color w:val="222222"/>
          <w:sz w:val="20"/>
        </w:rPr>
        <w:t>También mencionó la “reconstrucción fiscal donde planteamos no un ajuste ideológico sino que estructural para buscar una mejor calidad de vida de todos . Si no controlamos el gasto social no vamos a poder financiar en el futuro los derechos sociales”.</w:t>
      </w:r>
    </w:p>
    <w:p>
      <w:pPr>
        <w:spacing w:before="20"/>
        <w:ind w:left="360"/>
      </w:pPr>
      <w:r>
        <w:rPr>
          <w:color w:val="222222"/>
          <w:sz w:val="20"/>
        </w:rPr>
        <w:t>El mandatario también instó al parlamento a dialogar y a la oposición a no cerrarse al debate antes de conocer el detalle de las medidas “esperamos un debate con altura de miras y no eslogans”.</w:t>
      </w:r>
    </w:p>
    <w:p>
      <w:pPr>
        <w:spacing w:before="20"/>
        <w:ind w:left="360"/>
      </w:pPr>
      <w:r>
        <w:rPr>
          <w:color w:val="222222"/>
          <w:sz w:val="20"/>
        </w:rPr>
        <w:t>Indicó que “la conversación pública hoy está llena de ruidos y opiniones que se ven como certezas de aquellas personas que nos llevaron a la situación actual con crecimiento estancado en 2% y desempleo de 800 mil personas”.</w:t>
      </w:r>
    </w:p>
    <w:p>
      <w:pPr>
        <w:spacing w:before="20"/>
        <w:ind w:left="360"/>
      </w:pPr>
      <w:r>
        <w:rPr>
          <w:color w:val="222222"/>
          <w:sz w:val="20"/>
        </w:rPr>
        <w:t>Sostuvo que “sé que hay gente inquieta y nerviosos porque ven que nosotros tomamos decisiones como alza de combustibles, pero todo pasa por más endeudamiento”y reconoció que “era evidente el golpe en la ciudadanía pero las decisiones no son por el aplauso fácil, hay que hablar con la verdad y eso se había olvidado en Chile y no rendirse a las encuestas”.</w:t>
      </w:r>
    </w:p>
    <w:p>
      <w:pPr>
        <w:spacing w:before="20"/>
        <w:ind w:left="360"/>
      </w:pPr>
      <w:r>
        <w:rPr>
          <w:color w:val="222222"/>
          <w:sz w:val="20"/>
        </w:rPr>
        <w:t>Recordó que “hace 12 años se prometió una reforma tributaria que iba a recaudar más y dar el salto al desarrollo e incluso el ministro de Hacienda de la época decía júzguenme por los resultados y esa foto de una portada la tengo enmarcada”.</w:t>
      </w:r>
    </w:p>
    <w:p>
      <w:pPr>
        <w:spacing w:before="20"/>
        <w:ind w:left="360"/>
      </w:pPr>
      <w:r>
        <w:rPr>
          <w:color w:val="222222"/>
          <w:sz w:val="20"/>
        </w:rPr>
        <w:t>Cuando estaba mencionando que se está realizando una auditoría en todo el estado, indicó que “tuve una reunión con auditores en La Moneda, no con mis amigos”, generando risas entre los asistentes en relación al bullado almuerzo con 60 excompañeros de la universidad.</w:t>
      </w:r>
    </w:p>
    <w:p>
      <w:pPr>
        <w:spacing w:before="20"/>
        <w:ind w:left="360"/>
      </w:pPr>
      <w:r>
        <w:rPr>
          <w:color w:val="222222"/>
          <w:sz w:val="20"/>
        </w:rPr>
        <w:t>Sobre el tema indicó que “No lo voy a volver a hacer, perosale más barato que ir a otro lado a comerse un sandwich; solo en movilizar la seguridad es más costoso” y acotó que quizás “vamos a sacar decreto para ocupar solo las tres habitaciones”, en las que reside en la sede de gobierno junto a su esposa Pía Adriasola.</w:t>
      </w:r>
    </w:p>
    <w:p>
      <w:pPr>
        <w:spacing w:before="40" w:after="120"/>
      </w:pPr>
      <w:r>
        <w:rPr>
          <w:color w:val="CCCCCC"/>
        </w:rPr>
        <w:t>· · ·</w:t>
      </w:r>
    </w:p>
    <w:p>
      <w:r>
        <w:rPr>
          <w:b/>
          <w:color w:val="E65000"/>
        </w:rPr>
        <w:t xml:space="preserve">4. </w:t>
      </w:r>
      <w:r>
        <w:rPr>
          <w:b/>
          <w:sz w:val="22"/>
        </w:rPr>
        <w:t>La rebaja corporativa y la reintegración del sistema serán los principales costos para el Fisco: el detalle del proyecto misceláneo de reactivación y reconstrucción que envió Kast al Congreso</w:t>
      </w:r>
    </w:p>
    <w:p>
      <w:pPr>
        <w:spacing w:before="0"/>
      </w:pPr>
      <w:r>
        <w:rPr>
          <w:color w:val="0056B3"/>
          <w:sz w:val="18"/>
        </w:rPr>
        <w:t>https://www.df.cl/economia-y-politica/df-tax/la-rebaja-corporativa-y-la-reintegracion-del-sistema-seran-los-principales</w:t>
      </w:r>
    </w:p>
    <w:p>
      <w:pPr>
        <w:spacing w:before="20"/>
        <w:ind w:left="360"/>
      </w:pPr>
      <w:r>
        <w:rPr>
          <w:color w:val="222222"/>
          <w:sz w:val="20"/>
        </w:rPr>
        <w:t>El texto tiene más de 200 páginas de extensión, entre el proyecto y los informes financieros y de impacto regulatorio.</w:t>
      </w:r>
    </w:p>
    <w:p>
      <w:pPr>
        <w:spacing w:before="20"/>
        <w:ind w:left="360"/>
      </w:pPr>
      <w:r>
        <w:rPr>
          <w:color w:val="222222"/>
          <w:sz w:val="20"/>
        </w:rPr>
        <w:t>Publicado: Miércoles 22 de abril de 2026 a las 09:50 hrs.</w:t>
      </w:r>
    </w:p>
    <w:p>
      <w:pPr>
        <w:spacing w:before="20"/>
        <w:ind w:left="360"/>
      </w:pPr>
      <w:r>
        <w:rPr>
          <w:color w:val="222222"/>
          <w:sz w:val="20"/>
        </w:rPr>
        <w:t>Finalmente y con casi un mes de retraso, este miércoles el Presidente de la República, José Antonio Kast,envió al Congreso el proyecto de ley misceláneo de reconstruccióny reactivación económica, una de las principales promesas de campaña.</w:t>
      </w:r>
    </w:p>
    <w:p>
      <w:pPr>
        <w:spacing w:before="20"/>
        <w:ind w:left="360"/>
      </w:pPr>
      <w:r>
        <w:rPr>
          <w:color w:val="222222"/>
          <w:sz w:val="20"/>
        </w:rPr>
        <w:t>El documento de 203 páginas al que accedió Diario Financiero contempla una serie de medidascomo lareducción del impuesto corporativo de 27% a 23%; la reintegración del sistema tributario; el aumento en el Fondo de Emergencia para la reconstrucción de Valparaíso, Ñuble y el Biobío, afectados por los incendios, por $ 400.000 millones.</w:t>
      </w:r>
    </w:p>
    <w:p>
      <w:pPr>
        <w:spacing w:before="20"/>
        <w:ind w:left="360"/>
      </w:pPr>
      <w:r>
        <w:rPr>
          <w:color w:val="222222"/>
          <w:sz w:val="20"/>
        </w:rPr>
        <w:t>Además, establece modificaciones de parámetros para restringir el aumento de cobertura de la gratuidad en la educación superior desde el sexto al séptimo decil; una moratoria de dos años para el ingreso de nuevas instituciones a la gratuidad de la educación superior; unanueva norma que eleva las sanciones y responsabilidad por el mal uso de licencias médicas, con sanción de destitución; un crédito tributario para la retención y formalización de empleo con un costo fiscal de US$ 1.400 millones por año; y el incremento desde 2.200 a 6.000 de los cupos anuales de incentivo al retiro de funcionarios públicos.</w:t>
      </w:r>
    </w:p>
    <w:p>
      <w:pPr>
        <w:spacing w:before="20"/>
        <w:ind w:left="360"/>
      </w:pPr>
      <w:r>
        <w:rPr>
          <w:color w:val="222222"/>
          <w:sz w:val="20"/>
        </w:rPr>
        <w:t>A esto se sumanajustes a la institucionalidad ambiental, como un mecanismo de restitución de parte del Estado a los titulares de proyectos por la anulación de una Resolución de Calificación Ambiental (RCA); y propuestas para la relocalización de concesiones de acuicultura, eliminando la exigencia de someter determinados casos al Sistema de Evaluación de Impacto Ambiental (SEIA).</w:t>
      </w:r>
    </w:p>
    <w:p>
      <w:pPr>
        <w:spacing w:before="20"/>
        <w:ind w:left="360"/>
      </w:pPr>
      <w:r>
        <w:rPr>
          <w:color w:val="222222"/>
          <w:sz w:val="20"/>
        </w:rPr>
        <w:t>El texto contempla también un conjunto de medidas tributarias para compensar los menores ingresos del Fisco, como lareducción por un año a la mitad del impuesto a las donaciones;una ventana paradeclaración y posterior repatriación de capitales en el extranjero; un mecanismo para acoger las utilidades acumuladas en el Fondo de Utilidades Reinvertidas (FUR) y el saldo de utilidades tributables (STUT) a un impuesto sustitutivo de 10% por un lapso de ocho meses; un nuevoestatuto de invariabilidad tributaria similar al DL 600, que permite mantener la carga impositiva total a la renta en 35% para inversionistas extranjeros por un lapso de 25 años contado desde la puesta en marcha del proyecto y siempre y cuando el monto de la inversión sea de US$ 50 millones, entre otros.</w:t>
      </w:r>
    </w:p>
    <w:p>
      <w:pPr>
        <w:spacing w:before="20"/>
        <w:ind w:left="360"/>
      </w:pPr>
      <w:r>
        <w:rPr>
          <w:color w:val="222222"/>
          <w:sz w:val="20"/>
        </w:rPr>
        <w:t>También, considera laexención de contribuciones de la primera vivienda de adultos mayores de 65 años,permitir al Servicio de Impuestos Internos (SII) realizar fiscalizaciones a través de cruces de información con datos nominados provenientes de órganos de la administración del Estado, compartiendo información con la Dirección de Presupuestos (Dipres); laeliminación del impuesto del 10% a las ganancias de capital en operaciones bursátiles líquidas; mayores sanciones contra el contrabando de tabaco.</w:t>
      </w:r>
    </w:p>
    <w:p>
      <w:pPr>
        <w:spacing w:before="120"/>
        <w:ind w:left="360"/>
      </w:pPr>
      <w:r>
        <w:rPr>
          <w:b/>
          <w:color w:val="E65000"/>
          <w:sz w:val="26"/>
        </w:rPr>
        <w:t xml:space="preserve"> </w:t>
      </w:r>
    </w:p>
    <w:p>
      <w:pPr>
        <w:spacing w:before="20"/>
        <w:ind w:left="360"/>
      </w:pPr>
      <w:r>
        <w:rPr>
          <w:color w:val="222222"/>
          <w:sz w:val="20"/>
        </w:rPr>
        <w:t>Del mismo modo, incluye laeliminación de la franquicia tributaria para gastos en capacitación del Servicio Nacional de Capacitación y Empleo (Sence); la suspensión por 12 meses del IVA a la venta de viviendas nuevas; y laampliación del beneficio de DFL-2 para personas que posean más de tres viviendas económicas, con un tope de 90 metros cuadrados por propiedad y el pago de un impuesto de 5% por las rentas percibidas por arriendos de dichos inmuebles. Esta última medida beneficiará solo a personas naturales, dejando fuera a las empresas y sociedades de inversión.</w:t>
      </w:r>
    </w:p>
    <w:p>
      <w:pPr>
        <w:spacing w:before="20"/>
        <w:ind w:left="360"/>
      </w:pPr>
      <w:r>
        <w:rPr>
          <w:color w:val="222222"/>
          <w:sz w:val="20"/>
        </w:rPr>
        <w:t>Otra novedad del proyecto es que se hace cargo de la tributación del régimen de las pequeñas y medianas empresas (Pyme), que ha sido uno de los temas de discusión en los últimos días debido a la posibilidad de que la tasa aumente desde el actual 12,5% a 25%.</w:t>
      </w:r>
    </w:p>
    <w:p>
      <w:pPr>
        <w:spacing w:before="20"/>
        <w:ind w:left="360"/>
      </w:pPr>
      <w:r>
        <w:rPr>
          <w:color w:val="222222"/>
          <w:sz w:val="20"/>
        </w:rPr>
        <w:t>Así, el texto establece queen paralelo a la rebaja de la tasa de Primera Categoría para las grandes empresas, se mantendrá la gradualidad para los cambios en la tasa Pyme, pasando del actual 12,5% a un 15% en 2028, para luego llegar al 23% -misma tasa para las corporaciones de mayor tamaño- en el año comercial 2029.</w:t>
      </w:r>
    </w:p>
    <w:p>
      <w:pPr>
        <w:spacing w:before="20"/>
        <w:ind w:left="360"/>
      </w:pPr>
      <w:r>
        <w:rPr>
          <w:color w:val="222222"/>
          <w:sz w:val="20"/>
        </w:rPr>
        <w:t>El proyecto tiene 121 páginas, mientras que las restantes se distribuyen entre el informe financiero, elaborado por la Dirección de Presupuestos (Dipres), y el informe de impacto regulatorio, que da cuenta del efecto del conjunto de medidas sobre el crecimiento, el empleo, la inversión y las finanzas públicas.</w:t>
      </w:r>
    </w:p>
    <w:p>
      <w:pPr>
        <w:spacing w:before="20"/>
        <w:ind w:left="360"/>
      </w:pPr>
      <w:r>
        <w:rPr>
          <w:color w:val="222222"/>
          <w:sz w:val="20"/>
        </w:rPr>
        <w:t>En el informe financiero, la Dipres calcula el impacto fiscal de las medidas que implican un mayor gasto, menores ingresos y el efecto en recaudación producto del mayor crecimiento económico.</w:t>
      </w:r>
    </w:p>
    <w:p>
      <w:pPr>
        <w:spacing w:before="20"/>
        <w:ind w:left="360"/>
      </w:pPr>
      <w:r>
        <w:rPr>
          <w:color w:val="222222"/>
          <w:sz w:val="20"/>
        </w:rPr>
        <w:t>Así, calcula quesin contar el crecimiento económico, el saldo es negativo en el neto para las finanzas públicas desde el primer año (2026) hasta el 2050, con un déficit que oscila entre $ 838.430 millones en el primer año (0,22% del PIB) a $ 2.774.807 millones en el año 25 (o sea, el 2050), lo que representa un 0,43% del Producto.</w:t>
      </w:r>
    </w:p>
    <w:p>
      <w:pPr>
        <w:spacing w:before="20"/>
        <w:ind w:left="360"/>
      </w:pPr>
      <w:r>
        <w:rPr>
          <w:color w:val="222222"/>
          <w:sz w:val="20"/>
        </w:rPr>
        <w:t>Ahora,al agregársele el efecto de un mayor crecimiento económico, el saldo negativo se va moderando para alcanzar un neto positivo -o sea, mayor recaudación de impuestos- a partir del año 10, en el 2035, por $ 1.207.499 millones, un 0,26% del tamaño de la economía.</w:t>
      </w:r>
    </w:p>
    <w:p>
      <w:pPr>
        <w:spacing w:before="20"/>
        <w:ind w:left="360"/>
      </w:pPr>
      <w:r>
        <w:rPr>
          <w:color w:val="222222"/>
          <w:sz w:val="20"/>
        </w:rPr>
        <w:t>En cuanto a las medidas con mayor impacto fiscal, como se anticipaba la reducción del impuesto de Primera Categoría explica el principal efecto, con $ 2.845.363 millones al año 2050, mientras que la reintegración reduce los ingresos del Fisco en $ 747.880 millones en dicho horizonte.</w:t>
      </w:r>
    </w:p>
    <w:p>
      <w:pPr>
        <w:spacing w:before="20"/>
        <w:ind w:left="360"/>
      </w:pPr>
      <w:r>
        <w:rPr>
          <w:color w:val="222222"/>
          <w:sz w:val="20"/>
        </w:rPr>
        <w:t>Asimismo,en los primeros años, el crédito tributario al empleo genera el mayor efecto, con menores ingresos por $ 1.541.502 millones al segundo año (2027), un 0,41% del PIB, para luego estabilizarse hasta llegar a $ 13.991 millones al 2050.</w:t>
      </w:r>
    </w:p>
    <w:p>
      <w:pPr>
        <w:spacing w:before="20"/>
        <w:ind w:left="360"/>
      </w:pPr>
      <w:r>
        <w:rPr>
          <w:color w:val="222222"/>
          <w:sz w:val="20"/>
        </w:rPr>
        <w:t>Mirando todo en un horizonte de corto plazo -para 2030-, las medidas con efecto en un mayor gasto implicarán desembolsos por $ 72.017 millones para el Fisco; las medidas tributarias reducirán la recaudación en $ 2.972.298 millones; y los artículos que implicarían un mayor crecimiento agregarían $ 1.663.540 millones, con lo que el saldo neto sería deficitario por $ 1.236.741 millones en dicho año.</w:t>
      </w:r>
    </w:p>
    <w:p>
      <w:pPr>
        <w:spacing w:before="20"/>
        <w:ind w:left="360"/>
      </w:pPr>
      <w:r>
        <w:rPr>
          <w:color w:val="222222"/>
          <w:sz w:val="20"/>
        </w:rPr>
        <w:t>En el detalle,el informe divide en tres grupos el efecto financiero del proyecto: medidas conefecto en gasto,medidas tributariasy efecto enrecaudación por crecimiento.</w:t>
      </w:r>
    </w:p>
    <w:p>
      <w:pPr>
        <w:spacing w:before="20"/>
        <w:ind w:left="360"/>
      </w:pPr>
      <w:r>
        <w:rPr>
          <w:color w:val="222222"/>
          <w:sz w:val="20"/>
        </w:rPr>
        <w:t>En el primer grupo, se enumeran los aumentos de recursos del Fondo de Emergencia Transitorio; la postergación de los deciles de gratuidad; la moratoria de gratuidad para nuevas instituciones de educación superior; la norma de probidad de las licencias médicas; los mayores cupos de incentivos al retiro; el menor uso del Subsidio Único al Empleo (SUE) de parte del empleador; la compensación al Fondo Común Municipal (FCM) por la exención a contribuciones de adultos mayores; el reembolso por anulación de RCA; y la facultad del SII para cruzar datos.</w:t>
      </w:r>
    </w:p>
    <w:p>
      <w:pPr>
        <w:spacing w:before="20"/>
        <w:ind w:left="360"/>
      </w:pPr>
      <w:r>
        <w:rPr>
          <w:color w:val="222222"/>
          <w:sz w:val="20"/>
        </w:rPr>
        <w:t>Estas medidas implican mayor gasto por $ 277.328 millones al año 2050, un 0,05% del PIB.</w:t>
      </w:r>
    </w:p>
    <w:p>
      <w:pPr>
        <w:spacing w:before="20"/>
        <w:ind w:left="360"/>
      </w:pPr>
      <w:r>
        <w:rPr>
          <w:color w:val="222222"/>
          <w:sz w:val="20"/>
        </w:rPr>
        <w:t>En el segundo,se consideran la reducción de la tasa de Primera Categoría; la integración del sistema tributario; el crédito tributario al empleo; la exención de IVA a la vivienda; la eliminación del impuesto a las ganancias de capital; las modificaciones al DFL-2; las sanciones al contrabando de tabaco; el adelanto del impuesto a la herencia y donaciones; la declaración de bienes en el extranjero; repatriación para inversión en Chile; la eliminación de la franquicia tributaria Sence; los impuestos sustitutivos; cambios a patentes acuícolas; y una nueva ventana para facilidad de pago de deudas tributarias con la Tesorería General de la República.</w:t>
      </w:r>
    </w:p>
    <w:p>
      <w:pPr>
        <w:spacing w:before="20"/>
        <w:ind w:left="360"/>
      </w:pPr>
      <w:r>
        <w:rPr>
          <w:color w:val="222222"/>
          <w:sz w:val="20"/>
        </w:rPr>
        <w:t>Este apartado implica menores ingresos para el Fisco en régimen (2050) por $ 3.052.135 millones (0,48% del PIB).</w:t>
      </w:r>
    </w:p>
    <w:p>
      <w:pPr>
        <w:spacing w:before="20"/>
        <w:ind w:left="360"/>
      </w:pPr>
      <w:r>
        <w:rPr>
          <w:color w:val="222222"/>
          <w:sz w:val="20"/>
        </w:rPr>
        <w:t>Mientras que en el grupo demedidas que aportarían un mayor crecimiento, destaca la reducción de la tasa de Primera Categoría; la reintegración del sistema tributario; la reducción de plazos para permisos; el adelantamiento de inversiones; el crédito tributario al empleo; y la invariabilidad tributaria.</w:t>
      </w:r>
    </w:p>
    <w:p>
      <w:pPr>
        <w:spacing w:before="20"/>
        <w:ind w:left="360"/>
      </w:pPr>
      <w:r>
        <w:rPr>
          <w:color w:val="222222"/>
          <w:sz w:val="20"/>
        </w:rPr>
        <w:t>Dicha propuestas, al implementarse, aumentarán la recaudación tributaria en $ 7.781.536 millones al 2050, un 1,21% del PIB, calculan Hacienda y la Dipres.</w:t>
      </w:r>
    </w:p>
    <w:p>
      <w:pPr>
        <w:spacing w:before="40" w:after="120"/>
      </w:pPr>
      <w:r>
        <w:rPr>
          <w:color w:val="CCCCCC"/>
        </w:rPr>
        <w:t>· · ·</w:t>
      </w:r>
    </w:p>
    <w:p>
      <w:r>
        <w:rPr>
          <w:b/>
          <w:color w:val="E65000"/>
        </w:rPr>
        <w:t xml:space="preserve">5. </w:t>
      </w:r>
      <w:r>
        <w:rPr>
          <w:b/>
          <w:sz w:val="22"/>
        </w:rPr>
        <w:t>Kast firma proyecto de reactivación: agradece respaldo oficialista y "buena disposición" de parlamentarios al texto que inicia hoy su tramitación</w:t>
      </w:r>
    </w:p>
    <w:p>
      <w:pPr>
        <w:spacing w:before="0"/>
      </w:pPr>
      <w:r>
        <w:rPr>
          <w:color w:val="0056B3"/>
          <w:sz w:val="18"/>
        </w:rPr>
        <w:t>https://www.df.cl/economia-y-politica/congreso/pdg-se-transforma-en-el-seguro-del-gobierno-para-aprobar-el-proyecto-de</w:t>
      </w:r>
    </w:p>
    <w:p>
      <w:pPr>
        <w:spacing w:before="20"/>
        <w:ind w:left="360"/>
      </w:pPr>
      <w:r>
        <w:rPr>
          <w:color w:val="222222"/>
          <w:sz w:val="20"/>
        </w:rPr>
        <w:t>"Si bien es un proyecto importante para nuestro gobierno, es mucho más relevante para el futuro de la nación", dijo el Presidente José Antonio Kast acompañado por los ministros del Comité Político durante la ceremonia de firma de la iniciativa miscelánea esta mañana en el Palacio de La Moneda.</w:t>
      </w:r>
    </w:p>
    <w:p>
      <w:pPr>
        <w:spacing w:before="20"/>
        <w:ind w:left="360"/>
      </w:pPr>
      <w:r>
        <w:rPr>
          <w:color w:val="222222"/>
          <w:sz w:val="20"/>
        </w:rPr>
        <w:t>Publicado: Miércoles 22 de abril de 2026 a las 07:50 hrs.</w:t>
      </w:r>
    </w:p>
    <w:p>
      <w:pPr>
        <w:spacing w:before="20"/>
        <w:ind w:left="360"/>
      </w:pPr>
      <w:r>
        <w:rPr>
          <w:color w:val="222222"/>
          <w:sz w:val="20"/>
        </w:rPr>
        <w:t>Kast estuvo acompañado por los ministros del Comité Político durante la ceremonia de firma del proyecto esta mañana en el Palacio de La Moneda. (Foto: Aton Chile)</w:t>
      </w:r>
    </w:p>
    <w:p>
      <w:pPr>
        <w:spacing w:before="20"/>
        <w:ind w:left="360"/>
      </w:pPr>
      <w:r>
        <w:rPr>
          <w:color w:val="222222"/>
          <w:sz w:val="20"/>
        </w:rPr>
        <w:t>Negociaciones y llamadas telefónicas han marcado las horas decisivas antes delingreso al Congreso del proyecto de ley de reactivación y reconstrucción nacional, lo que ocurrirá este miércoles a las 11 de la mañana, cuando se dé cuenta ante la Sala de la Cámara de Diputados.</w:t>
      </w:r>
    </w:p>
    <w:p>
      <w:pPr>
        <w:spacing w:before="20"/>
        <w:ind w:left="360"/>
      </w:pPr>
      <w:r>
        <w:rPr>
          <w:color w:val="222222"/>
          <w:sz w:val="20"/>
        </w:rPr>
        <w:t>"Si bien es un proyecto importante para nuestro gobierno, es mucho más relevante para el futuro de la nación", dijo el Presidente José Antonio Kast acompañado por los ministros del Comité Político durante la ceremonia de firma del proyecto esta mañana en el Palacio de La Moneda. "Cada parlamentario tendrá que decidir qué va a hacer, si va a estar del lado del empleo o del estancamiento".</w:t>
      </w:r>
    </w:p>
    <w:p>
      <w:pPr>
        <w:spacing w:before="20"/>
        <w:ind w:left="360"/>
      </w:pPr>
      <w:r>
        <w:rPr>
          <w:color w:val="222222"/>
          <w:sz w:val="20"/>
        </w:rPr>
        <w:t>Kast agradeció el apoyo a la iniciativa por parte de la coalición oficialista -partidosDemócratas, Social Cristiano, Evopoli, Renovación Nacional, UDI y Partido Republicano, además de la"buena disposición de varios diputados independientes", del Partido Nacional Libertario (PNL) y "la disposición para llegar a un acuerdo del PDG".</w:t>
      </w:r>
    </w:p>
    <w:p>
      <w:pPr>
        <w:spacing w:before="20"/>
        <w:ind w:left="360"/>
      </w:pPr>
      <w:r>
        <w:rPr>
          <w:color w:val="222222"/>
          <w:sz w:val="20"/>
        </w:rPr>
        <w:t>Con el tiempo en contra debido al plazo autoimpuesto por el Ejecutivo, los ministerios de Hacienda y de la Secretaría General de la Presidencia (Segpres) trabajaron intensamente para tener listo el mensaje de la normativa con 43 medidas y el informe financiero de la Dirección de Presupuestos (Dipres), que pone las cifras de costos e ingresos fiscales que se espera con cada medida.</w:t>
      </w:r>
    </w:p>
    <w:p>
      <w:pPr>
        <w:spacing w:before="120"/>
        <w:ind w:left="360"/>
      </w:pPr>
      <w:r>
        <w:rPr>
          <w:b/>
          <w:color w:val="E65000"/>
          <w:sz w:val="26"/>
        </w:rPr>
        <w:t xml:space="preserve"> </w:t>
      </w:r>
    </w:p>
    <w:p>
      <w:pPr>
        <w:spacing w:before="20"/>
        <w:ind w:left="360"/>
      </w:pPr>
      <w:r>
        <w:rPr>
          <w:color w:val="222222"/>
          <w:sz w:val="20"/>
        </w:rPr>
        <w:t>El despliegue de los ministros políticos, pero especialmente del titular de Hacienda, Jorge Quiroz, fue intenso este martes,ocasión en que sostuvo una serie de encuentros tanto con la oposición como con los parlamentarios republicanos, ad portas del ingreso del proyecto de reactivación económica.</w:t>
      </w:r>
    </w:p>
    <w:p>
      <w:pPr>
        <w:spacing w:before="20"/>
        <w:ind w:left="360"/>
      </w:pPr>
      <w:r>
        <w:rPr>
          <w:color w:val="222222"/>
          <w:sz w:val="20"/>
        </w:rPr>
        <w:t>Lo cierto es que calculadora en mano, el foco del Ejecutivo es amarrar los votos del Partido de la Gente (PDG). Por lo mismo es que tras la cita que sostuvo el lunes Quiroz con los diputados de la colectividad, optó por comunicarse este martes en la mañana con el vicepresidente de la tienda, Franco Parisi.</w:t>
      </w:r>
    </w:p>
    <w:p>
      <w:pPr>
        <w:spacing w:before="20"/>
        <w:ind w:left="360"/>
      </w:pPr>
      <w:r>
        <w:rPr>
          <w:color w:val="222222"/>
          <w:sz w:val="20"/>
        </w:rPr>
        <w:t>Quienes conocieron esa conversación señalan que en La Moneda conocen la influencia que el fundador del PDG tiene sobre los diputados y que su opinión tiene un peso relevante en las decisiones de la bancada, por lo que tiene la convicción que, además de conversar con los legisladores, deben convencer al excandidato presidencial.</w:t>
      </w:r>
    </w:p>
    <w:p>
      <w:pPr>
        <w:spacing w:before="20"/>
        <w:ind w:left="360"/>
      </w:pPr>
      <w:r>
        <w:rPr>
          <w:color w:val="222222"/>
          <w:sz w:val="20"/>
        </w:rPr>
        <w:t>Los ministros Alvarado y Quiroz en conversaciones con parlamentarios de Demócratas. Foto: Aton.</w:t>
      </w:r>
    </w:p>
    <w:p>
      <w:pPr>
        <w:spacing w:before="20"/>
        <w:ind w:left="360"/>
      </w:pPr>
      <w:r>
        <w:rPr>
          <w:color w:val="222222"/>
          <w:sz w:val="20"/>
        </w:rPr>
        <w:t>Por lo mismo, durante la jornada el ministro de la Segpres, José García, estuvo en permanente contacto con los diputados del PDG, convencido de que “no hay que soltarlos” hasta que ingrese el proyecto y se apruebe la idea de legislar.</w:t>
      </w:r>
    </w:p>
    <w:p>
      <w:pPr>
        <w:spacing w:before="20"/>
        <w:ind w:left="360"/>
      </w:pPr>
      <w:r>
        <w:rPr>
          <w:color w:val="222222"/>
          <w:sz w:val="20"/>
        </w:rPr>
        <w:t>Si bien en la reunión del lunes en la noche con Quiroz, por Zoom, los diputados rechazaron la posibilidad de que la rebaja del IVA a los medicamentos y a los pañales se recoja en un proyecto aparte, entre los tantos acercamientos de este martes surgió una propuesta que podría ser un término medio entre lo que quiere el PDG y a lo que puede acceder el gobierno: incorporar la rebaja del IVA a los medicamentos en un proyecto aparte, pero que ingrese en paralelo al de reactivación económica.</w:t>
      </w:r>
    </w:p>
    <w:p>
      <w:pPr>
        <w:spacing w:before="20"/>
        <w:ind w:left="360"/>
      </w:pPr>
      <w:r>
        <w:rPr>
          <w:color w:val="222222"/>
          <w:sz w:val="20"/>
        </w:rPr>
        <w:t>Hasta el cierre de esta edición, la bancada del PDG continuaba reunida para adoptar una definición sobre comprometer los votos para la idea de legislar o no. Sin embargo, en el Ejecutivo están optimistas de que la colectividad “está más lejos del rechazo y más cerca del acuerdo”.</w:t>
      </w:r>
    </w:p>
    <w:p>
      <w:pPr>
        <w:spacing w:before="20"/>
        <w:ind w:left="360"/>
      </w:pPr>
      <w:r>
        <w:rPr>
          <w:color w:val="222222"/>
          <w:sz w:val="20"/>
        </w:rPr>
        <w:t>En su periplo por el Congreso, Quiroz -junto a los ministros García y de Interior, Claudio Alvarado- también se reunió con Demócratas. En la cita estuvieron presentes los senadores Matías Walker, Miguel Ángel Calisto y la presidenta del movimiento, diputada Joanna Pérez. Los parlamentarios le entregaron una propuesta de seis carillas para mejorar el proyecto.</w:t>
      </w:r>
    </w:p>
    <w:p>
      <w:pPr>
        <w:spacing w:before="20"/>
        <w:ind w:left="360"/>
      </w:pPr>
      <w:r>
        <w:rPr>
          <w:color w:val="222222"/>
          <w:sz w:val="20"/>
        </w:rPr>
        <w:t>No obstante, el titular de Hacienda fue igual de franco y directo que con el PDG, explicando que no puede asumir compromisos que lo saquen de los márgenes del informe financiero, porque ello implica mayor gasto que no está en condiciones de asumir.</w:t>
      </w:r>
    </w:p>
    <w:p>
      <w:pPr>
        <w:spacing w:before="20"/>
        <w:ind w:left="360"/>
      </w:pPr>
      <w:r>
        <w:rPr>
          <w:color w:val="222222"/>
          <w:sz w:val="20"/>
        </w:rPr>
        <w:t>Entre las propuestas de Demócratas destacan el fortalecimiento y ampliación del Bolsillo Familiar Electrónico, como mecanismo de apoyo directo y eficiente a los hogares; que se promueva el teletrabajo con foco en las mujeres; el despacho del proyecto de sala cuna; un plan de destrabe de la inversión pública y privada como eje de reactivación económica; reexaminar el rol de las empresas públicas, en particular ENAP, como herramientas para contribuir a la estabilidad de precios y a la eficiencia en la cadena de abastecimiento energético; y acceso universal a medicamentos a través de Cenabast como mecanismo de eficiencia del gasto en salud, entre otros.</w:t>
      </w:r>
    </w:p>
    <w:p>
      <w:pPr>
        <w:spacing w:before="20"/>
        <w:ind w:left="360"/>
      </w:pPr>
      <w:r>
        <w:rPr>
          <w:color w:val="222222"/>
          <w:sz w:val="20"/>
        </w:rPr>
        <w:t>Aunque los parlamentarios se quedaron con la sensación de que una de sus principales propuestas, la referida al Bolsillo Familiar Electrónico, podría tener acogida en el gobierno, pero no incluida en el proyecto misceláneo para no incurrir en mayor gasto, no descartan que se admita a través de otra fórmula.</w:t>
      </w:r>
    </w:p>
    <w:p>
      <w:pPr>
        <w:spacing w:before="20"/>
        <w:ind w:left="360"/>
      </w:pPr>
      <w:r>
        <w:rPr>
          <w:color w:val="222222"/>
          <w:sz w:val="20"/>
        </w:rPr>
        <w:t>Juan Marcelo Valenzuela y Zandra Parisi, diputados del PDG. Foto: Aton.</w:t>
      </w:r>
    </w:p>
    <w:p>
      <w:pPr>
        <w:spacing w:before="20"/>
        <w:ind w:left="360"/>
      </w:pPr>
      <w:r>
        <w:rPr>
          <w:color w:val="222222"/>
          <w:sz w:val="20"/>
        </w:rPr>
        <w:t>Pese a que, al inicio de la socialización del proyecto, el gobierno no consideró al PDG, intentando acercarse al PPD y la DC -confiando en que como tiendas moderadas acogerían con mayor interés la propuesta- la estrategia no funcionó y en el gobierno reflexionan que estas tiendas “terminaron siendo más duras”. Por lo que ahora tiene todas sus fichas puestas en la tienda de Parisi en la Cámara. Pero ya está viendo que tendrá que renunciar a aprobar la idea de legislar por un amplio margen.</w:t>
      </w:r>
    </w:p>
    <w:p>
      <w:pPr>
        <w:spacing w:before="20"/>
        <w:ind w:left="360"/>
      </w:pPr>
      <w:r>
        <w:rPr>
          <w:color w:val="222222"/>
          <w:sz w:val="20"/>
        </w:rPr>
        <w:t>En la DC, el jefe de bancada Jorge Díaz aseguró a DF que en la única reunión que tuvieron con García Ruminot no se habló de este proyecto y que “no ha habido trabajo prelegislativo” de parte del gobierno, en lo que a esta bancada compete.</w:t>
      </w:r>
    </w:p>
    <w:p>
      <w:pPr>
        <w:spacing w:before="20"/>
        <w:ind w:left="360"/>
      </w:pPr>
      <w:r>
        <w:rPr>
          <w:color w:val="222222"/>
          <w:sz w:val="20"/>
        </w:rPr>
        <w:t>Una mirada similar planteó el jefe de bancada del PPD, Raúl Soto, quien enfatizó a DF que el gobierno definió que el corazón del proyecto es la rebaja tributaria y recordó que eso “es una línea roja para nosotros”, por lo que, si la iniciativa ingresa en las condiciones anunciadas, rechazarán la idea de legislar.</w:t>
      </w:r>
    </w:p>
    <w:p>
      <w:pPr>
        <w:spacing w:before="20"/>
        <w:ind w:left="360"/>
      </w:pPr>
      <w:r>
        <w:rPr>
          <w:color w:val="222222"/>
          <w:sz w:val="20"/>
        </w:rPr>
        <w:t>A las negociaciones en el Parlamento se suma lo planteado por diversos gremios de PYME, que instan al gobierno a mantener como permanente el impuesto transitorio de 12,5%.</w:t>
      </w:r>
    </w:p>
    <w:p>
      <w:pPr>
        <w:spacing w:before="20"/>
        <w:ind w:left="360"/>
      </w:pPr>
      <w:r>
        <w:rPr>
          <w:color w:val="222222"/>
          <w:sz w:val="20"/>
        </w:rPr>
        <w:t>De hecho, en Hacienda ya están sacando los cálculos para incluir dicha medida en la reforma de reactivación o para dejarla para una iniciativa independiente a tramitar posteriormente.</w:t>
      </w:r>
    </w:p>
    <w:p>
      <w:pPr>
        <w:spacing w:before="20"/>
        <w:ind w:left="360"/>
      </w:pPr>
      <w:r>
        <w:rPr>
          <w:color w:val="222222"/>
          <w:sz w:val="20"/>
        </w:rPr>
        <w:t>Hasta el cierre de esta edición, Teatinos 120 había puesto sobre la mesa la alternativa de que el impuesto a las PYMEe se situara en 15% de forma permanente. Las negociaciones continuarán en las próximas horas.</w:t>
      </w:r>
    </w:p>
    <w:p>
      <w:pPr>
        <w:spacing w:before="20"/>
        <w:ind w:left="360"/>
      </w:pPr>
      <w:r>
        <w:rPr>
          <w:color w:val="222222"/>
          <w:sz w:val="20"/>
        </w:rPr>
        <w:t>De hecho, este jueves gremios como la Multigremial Nacional, la Asech, Conapyme y Achiga, entre otros, acudirán a un almuerzo con el Presidente Kast en La Moneda para abordar diversos temas.</w:t>
      </w:r>
    </w:p>
    <w:p>
      <w:pPr>
        <w:spacing w:before="40" w:after="120"/>
      </w:pPr>
      <w:r>
        <w:rPr>
          <w:color w:val="CCCCCC"/>
        </w:rPr>
        <w:t>· · ·</w:t>
      </w:r>
    </w:p>
    <w:p>
      <w:r>
        <w:rPr>
          <w:b/>
          <w:color w:val="E65000"/>
        </w:rPr>
        <w:t xml:space="preserve">6. </w:t>
      </w:r>
      <w:r>
        <w:rPr>
          <w:b/>
          <w:sz w:val="22"/>
        </w:rPr>
        <w:t>Un costoso récord para el bolsillo: la UF tardó menos de cinco años en pasar de $ 30 mil a $ 40 mil</w:t>
      </w:r>
    </w:p>
    <w:p>
      <w:pPr>
        <w:spacing w:before="0"/>
      </w:pPr>
      <w:r>
        <w:rPr>
          <w:color w:val="0056B3"/>
          <w:sz w:val="18"/>
        </w:rPr>
        <w:t>https://www.df.cl/economia-y-politica/macro/un-costoso-record-para-el-bolsillo-la-uf-tardo-menos-de-cinco-anos-en</w:t>
      </w:r>
    </w:p>
    <w:p>
      <w:pPr>
        <w:spacing w:before="20"/>
        <w:ind w:left="360"/>
      </w:pPr>
      <w:r>
        <w:rPr>
          <w:color w:val="222222"/>
          <w:sz w:val="20"/>
        </w:rPr>
        <w:t>En el avance fueron determinantes el shock inflacionario luego de la pandemia y, en lo más reciente, el alza de la luz y las bencinas.</w:t>
      </w:r>
    </w:p>
    <w:p>
      <w:pPr>
        <w:spacing w:before="20"/>
        <w:ind w:left="360"/>
      </w:pPr>
      <w:r>
        <w:rPr>
          <w:color w:val="222222"/>
          <w:sz w:val="20"/>
        </w:rPr>
        <w:t>Publicado: Miércoles 22 de abril de 2026 a las 04:00 hrs.</w:t>
      </w:r>
    </w:p>
    <w:p>
      <w:pPr>
        <w:spacing w:before="20"/>
        <w:ind w:left="360"/>
      </w:pPr>
      <w:r>
        <w:rPr>
          <w:color w:val="222222"/>
          <w:sz w:val="20"/>
        </w:rPr>
        <w:t>Tal como se anticipó tras conocerse el aumento mensual de 1% que registró el Índice de Precios al Consumidor (IPC) en marzo, la Unidad de Fomento (UF) rompió una nueva barrera y escaló este martes hasta los $ 40 mil.</w:t>
      </w:r>
    </w:p>
    <w:p>
      <w:pPr>
        <w:spacing w:before="20"/>
        <w:ind w:left="360"/>
      </w:pPr>
      <w:r>
        <w:rPr>
          <w:color w:val="222222"/>
          <w:sz w:val="20"/>
        </w:rPr>
        <w:t>Un avance que, aunque previsto, no pasó inadvertido dado que presiona el monto que se paga en una serie de servicios que se reajustan por el aumento del costo de la vida: por ejemplo, los dividendos en el caso de los deudores de créditos hipotecarios y/o el precio de los planes de Isapre, entre otros.</w:t>
      </w:r>
    </w:p>
    <w:p>
      <w:pPr>
        <w:spacing w:before="20"/>
        <w:ind w:left="360"/>
      </w:pPr>
      <w:r>
        <w:rPr>
          <w:color w:val="222222"/>
          <w:sz w:val="20"/>
        </w:rPr>
        <w:t>Pero, por otro lado, esta vez destacó que sólo le tomó cuatro años y siete meses dejar atrás el umbral de $ 30 mil.</w:t>
      </w:r>
    </w:p>
    <w:p>
      <w:pPr>
        <w:spacing w:before="20"/>
        <w:ind w:left="360"/>
      </w:pPr>
      <w:r>
        <w:rPr>
          <w:color w:val="222222"/>
          <w:sz w:val="20"/>
        </w:rPr>
        <w:t>Antes de eso, el salto desde $ 10 mil a $ 20 mil de la UF se dio en 14 años y ocho meses; y desde ese umbral hasta $ 30 mil, el tiempo fue de 13 años y cuatro meses (ver gráfico).</w:t>
      </w:r>
    </w:p>
    <w:p>
      <w:pPr>
        <w:spacing w:before="20"/>
        <w:ind w:left="360"/>
      </w:pPr>
      <w:r>
        <w:rPr>
          <w:color w:val="222222"/>
          <w:sz w:val="20"/>
        </w:rPr>
        <w:t>“Después de los retiros tuvimos inflación de 14%. Si vas sumando, los precios subieron más de un 20% en un período muy corto de tiempo”, dijo la economista jefe en Prudential AGF, Carolina Grünwald, quien explicó que en teoría el valor de la UF debería subir anualmente 3%, que es la meta de inflación del Banco Central.</w:t>
      </w:r>
    </w:p>
    <w:p>
      <w:pPr>
        <w:spacing w:before="20"/>
        <w:ind w:left="360"/>
      </w:pPr>
      <w:r>
        <w:rPr>
          <w:color w:val="222222"/>
          <w:sz w:val="20"/>
        </w:rPr>
        <w:t>Así, añadió que la velocidad del salto hacia los $ 40 mil tiene que ver en parte con el fuerte período de alza de inflación que se dio entre 2021 y 2022, como consecuencia de la mayor liquidez que se generó en el marco de la crisis sanitaria.</w:t>
      </w:r>
    </w:p>
    <w:p>
      <w:pPr>
        <w:spacing w:before="20"/>
        <w:ind w:left="360"/>
      </w:pPr>
      <w:r>
        <w:rPr>
          <w:color w:val="222222"/>
          <w:sz w:val="20"/>
        </w:rPr>
        <w:t>En este contexto, se aprobaron retiros de los fondos previsionales, que en sus primeras tres autorizaciones implicaron inyecciones de recursos a la economía del orden de US$ 50 mil millones. A esto se añadió la ayuda estatal que implicó el Ingreso Familiar de Emergencia (IFE).</w:t>
      </w:r>
    </w:p>
    <w:p>
      <w:pPr>
        <w:spacing w:before="20"/>
        <w:ind w:left="360"/>
      </w:pPr>
      <w:r>
        <w:rPr>
          <w:color w:val="222222"/>
          <w:sz w:val="20"/>
        </w:rPr>
        <w:t>El economista de Itaú, Ignacio Martínez, coincidió con que la rapidez del paso de los $ 30 mil a $ 40 mil en comparación a décadas anteriores responde a que se trató de un período excepcional de presiones inflacionarias en la economía chilena.</w:t>
      </w:r>
    </w:p>
    <w:p>
      <w:pPr>
        <w:spacing w:before="20"/>
        <w:ind w:left="360"/>
      </w:pPr>
      <w:r>
        <w:rPr>
          <w:color w:val="222222"/>
          <w:sz w:val="20"/>
        </w:rPr>
        <w:t>“A ello se suma una serie de choques de oferta con efectos inflacionarios, destacando los reajustes en las tarifas eléctricas tras el descongelamiento de precios, así como el reciente aumento de los precios internacionales del petróleo”, explicó.</w:t>
      </w:r>
    </w:p>
    <w:p>
      <w:pPr>
        <w:spacing w:before="20"/>
        <w:ind w:left="360"/>
      </w:pPr>
      <w:r>
        <w:rPr>
          <w:color w:val="222222"/>
          <w:sz w:val="20"/>
        </w:rPr>
        <w:t>El economista de Santander, Rodrigo Cruz, explicó que el salto implicó un aumento de cerca 33% acumulado de inflación, siendo en torno a 6% anual. En cambio, el tramo anterior -de $ 20 mil a $ 30 mil- correspondió a una inflación acumulada de 50%, lo que se traduce en un alza de 3,2% anual durante 13 años.</w:t>
      </w:r>
    </w:p>
    <w:p>
      <w:pPr>
        <w:spacing w:before="20"/>
        <w:ind w:left="360"/>
      </w:pPr>
      <w:r>
        <w:rPr>
          <w:color w:val="222222"/>
          <w:sz w:val="20"/>
        </w:rPr>
        <w:t>Grünwald comentó que la creación de la UF -en 1967- fue “muy útil” para Chile, ya que ha permitido acceder a un financiamiento hipotecario de largo plazo a tasas de interés estables, por ejemplo.</w:t>
      </w:r>
    </w:p>
    <w:p>
      <w:pPr>
        <w:spacing w:before="20"/>
        <w:ind w:left="360"/>
      </w:pPr>
      <w:r>
        <w:rPr>
          <w:color w:val="222222"/>
          <w:sz w:val="20"/>
        </w:rPr>
        <w:t>Precisamente, se trata de una unidad que se reajusta en función entre el día 10 de cada mes y hasta el nueve del siguiente en forma diaria, de acuerdo a la variación del IPC del mes previo.</w:t>
      </w:r>
    </w:p>
    <w:p>
      <w:pPr>
        <w:spacing w:before="20"/>
        <w:ind w:left="360"/>
      </w:pPr>
      <w:r>
        <w:rPr>
          <w:color w:val="222222"/>
          <w:sz w:val="20"/>
        </w:rPr>
        <w:t>Hoy, destacan los analistas, su utilización va más allá de la vivienda, créditos hipotecarios y dividendos y ha llegado a otro tipo de contratos y servicios, como planes de salud, seguros, mensualidades de colegios y universidades, entre otros.</w:t>
      </w:r>
    </w:p>
    <w:p>
      <w:pPr>
        <w:spacing w:before="20"/>
        <w:ind w:left="360"/>
      </w:pPr>
      <w:r>
        <w:rPr>
          <w:color w:val="222222"/>
          <w:sz w:val="20"/>
        </w:rPr>
        <w:t>“Si pagas las cosas en UF y recibes ingresos en pesos, cuando no hay inflaciones altas no pasa nada; pero cuando hay inflaciones altas, se nota mucho en el poder adquisitivo de tus ingresos”, explicó la economista.</w:t>
      </w:r>
    </w:p>
    <w:p>
      <w:pPr>
        <w:spacing w:before="20"/>
        <w:ind w:left="360"/>
      </w:pPr>
      <w:r>
        <w:rPr>
          <w:color w:val="222222"/>
          <w:sz w:val="20"/>
        </w:rPr>
        <w:t>Agregó que “los últimos choques inflacionarios han servido o han motivado un incremento importante en cuáles son los bienes y servicios que se cobran en UF”.</w:t>
      </w:r>
    </w:p>
    <w:p>
      <w:pPr>
        <w:spacing w:before="20"/>
        <w:ind w:left="360"/>
      </w:pPr>
      <w:r>
        <w:rPr>
          <w:color w:val="222222"/>
          <w:sz w:val="20"/>
        </w:rPr>
        <w:t>Además, precisó que un 25% de la canasta del IPC en Chile -es decir, los productos y servicios representativos del gasto de los hogares utilizado para medir la inflación- está relacionada con el índice.</w:t>
      </w:r>
    </w:p>
    <w:p>
      <w:pPr>
        <w:spacing w:before="20"/>
        <w:ind w:left="360"/>
      </w:pPr>
      <w:r>
        <w:rPr>
          <w:color w:val="222222"/>
          <w:sz w:val="20"/>
        </w:rPr>
        <w:t>Con todo, destacó que la UF es útil desde el punto de vista financiero, ya que es una protección contra la pérdida de valor de la moneda.</w:t>
      </w:r>
    </w:p>
    <w:p>
      <w:pPr>
        <w:spacing w:before="20"/>
        <w:ind w:left="360"/>
      </w:pPr>
      <w:r>
        <w:rPr>
          <w:color w:val="222222"/>
          <w:sz w:val="20"/>
        </w:rPr>
        <w:t>Desde Itaú, Martínez señaló que la discusión de fondo a la indexación de la economía de la UF debería enfocarse en el control de la inflación y en los factores que la generan.</w:t>
      </w:r>
    </w:p>
    <w:p>
      <w:pPr>
        <w:spacing w:before="20"/>
        <w:ind w:left="360"/>
      </w:pPr>
      <w:r>
        <w:rPr>
          <w:color w:val="222222"/>
          <w:sz w:val="20"/>
        </w:rPr>
        <w:t>“La gradual nominalización de la economía eventualmente continuará, pero es un proceso paulatino y lento, especialmente después de un choque inflacionario como el vivido en años recientes”, dijo.</w:t>
      </w:r>
    </w:p>
    <w:p>
      <w:pPr>
        <w:spacing w:before="40" w:after="120"/>
      </w:pPr>
      <w:r>
        <w:rPr>
          <w:color w:val="CCCCCC"/>
        </w:rPr>
        <w:t>· · ·</w:t>
      </w:r>
    </w:p>
    <w:p>
      <w:r>
        <w:rPr>
          <w:b/>
          <w:color w:val="E65000"/>
        </w:rPr>
        <w:t xml:space="preserve">7. </w:t>
      </w:r>
      <w:r>
        <w:rPr>
          <w:b/>
          <w:sz w:val="22"/>
        </w:rPr>
        <w:t>Empresarios buscan sacarle partido a Alemania para impulsar a las PYME</w:t>
      </w:r>
    </w:p>
    <w:p>
      <w:pPr>
        <w:spacing w:before="0"/>
      </w:pPr>
      <w:r>
        <w:rPr>
          <w:color w:val="0056B3"/>
          <w:sz w:val="18"/>
        </w:rPr>
        <w:t>https://www.df.cl/economia-y-politica/laboral-personas/empresarios-buscan-sacarle-partido-a-alemania-para-impulsar-a-las-pyme</w:t>
      </w:r>
    </w:p>
    <w:p>
      <w:pPr>
        <w:spacing w:before="20"/>
        <w:ind w:left="360"/>
      </w:pPr>
      <w:r>
        <w:rPr>
          <w:color w:val="222222"/>
          <w:sz w:val="20"/>
        </w:rPr>
        <w:t>Dirigentes de Grande PYME, Icare y la Cámara Chileno-Alemana (AHK Chile) viajaron para conocer el modelo Mittelstand.</w:t>
      </w:r>
    </w:p>
    <w:p>
      <w:pPr>
        <w:spacing w:before="20"/>
        <w:ind w:left="360"/>
      </w:pPr>
      <w:r>
        <w:rPr>
          <w:color w:val="222222"/>
          <w:sz w:val="20"/>
        </w:rPr>
        <w:t>Publicado: Miércoles 22 de abril de 2026 a las 04:00 hrs.</w:t>
      </w:r>
    </w:p>
    <w:p>
      <w:pPr>
        <w:spacing w:before="20"/>
        <w:ind w:left="360"/>
      </w:pPr>
      <w:r>
        <w:rPr>
          <w:color w:val="222222"/>
          <w:sz w:val="20"/>
        </w:rPr>
        <w:t>La delegación, liderada por Grande PYME, Icare y AHK Chile, en una de las actividades del viaje.</w:t>
      </w:r>
    </w:p>
    <w:p>
      <w:pPr>
        <w:spacing w:before="20"/>
        <w:ind w:left="360"/>
      </w:pPr>
      <w:r>
        <w:rPr>
          <w:color w:val="222222"/>
          <w:sz w:val="20"/>
        </w:rPr>
        <w:t>Conocer in situ para inspirar. Así podría resumirse el objetivo que llevó a Alemania a una delegación de empresarios chilenos liderada por Grande PYME, Icare y la Cámara Chileno-Alemana (AHK Chile). En terreno, se sumergirán en el modelo Mittelstand, un ecosistema de empresas medianas que articula cadenas productivas con otras grandes, impulsa I+D y sostiene la competitividad exportadora de la nación germana.</w:t>
      </w:r>
    </w:p>
    <w:p>
      <w:pPr>
        <w:spacing w:before="20"/>
        <w:ind w:left="360"/>
      </w:pPr>
      <w:r>
        <w:rPr>
          <w:color w:val="222222"/>
          <w:sz w:val="20"/>
        </w:rPr>
        <w:t>O sea, un esquema en el que las mayores firmas empujan el desarrollo de las más pequeñas.</w:t>
      </w:r>
    </w:p>
    <w:p>
      <w:pPr>
        <w:spacing w:before="20"/>
        <w:ind w:left="360"/>
      </w:pPr>
      <w:r>
        <w:rPr>
          <w:color w:val="222222"/>
          <w:sz w:val="20"/>
        </w:rPr>
        <w:t>El modelo, explicó la directora ejecutiva de Grande Pyme, Katia Trusich, tiene dos aspectos que lo hacen “particularmente potente”. Lo primero es el peso real de las PYME, ya que “representan más del 99,4% del tejido empresarial del país, aportan entre el 50% y el 61% del PIB, y son responsables del 55% del empleo formal”.</w:t>
      </w:r>
    </w:p>
    <w:p>
      <w:pPr>
        <w:spacing w:before="20"/>
        <w:ind w:left="360"/>
      </w:pPr>
      <w:r>
        <w:rPr>
          <w:color w:val="222222"/>
          <w:sz w:val="20"/>
        </w:rPr>
        <w:t>En segundo lugar, la arquitectura de redes que las sostiene. En Alemania las empresas nacen afiliadas a un gremio, que les da formación, redes de contacto y las inserta productivamente en el territorio donde operan.</w:t>
      </w:r>
    </w:p>
    <w:p>
      <w:pPr>
        <w:spacing w:before="20"/>
        <w:ind w:left="360"/>
      </w:pPr>
      <w:r>
        <w:rPr>
          <w:color w:val="222222"/>
          <w:sz w:val="20"/>
        </w:rPr>
        <w:t>“El crecimiento económico no ocurre de manera aislada dentro de cada empresa, sino que se construye cuando este se transmite a través de una buena conexión empresarial”, resaltó el presidente de Icare, Holger Paulmann.</w:t>
      </w:r>
    </w:p>
    <w:p>
      <w:pPr>
        <w:spacing w:before="20"/>
        <w:ind w:left="360"/>
      </w:pPr>
      <w:r>
        <w:rPr>
          <w:color w:val="222222"/>
          <w:sz w:val="20"/>
        </w:rPr>
        <w:t>Holger Paulmann, presidente de Icare, junto a Katia Trusich, directora ejecutiva de Grande PYME. Foto: Jonathan Duran</w:t>
      </w:r>
    </w:p>
    <w:p>
      <w:pPr>
        <w:spacing w:before="20"/>
        <w:ind w:left="360"/>
      </w:pPr>
      <w:r>
        <w:rPr>
          <w:color w:val="222222"/>
          <w:sz w:val="20"/>
        </w:rPr>
        <w:t>Y hoy, agregó, Chile tiene un problema justamente ahí. “No en la cantidad de empresas, sino en la calidad de la relación entre ellas. Y cuando esa conexión es débil, los efectos también se transmiten, hacia el empleo y la estabilidad de las personas”, dijo.</w:t>
      </w:r>
    </w:p>
    <w:p>
      <w:pPr>
        <w:spacing w:before="20"/>
        <w:ind w:left="360"/>
      </w:pPr>
      <w:r>
        <w:rPr>
          <w:color w:val="222222"/>
          <w:sz w:val="20"/>
        </w:rPr>
        <w:t>En su opinión, lo crucial del modelo alemán, es que los más grandes no solo trabajan con los más pequeños, sino que los integran, los desarrollan y los forman en función de sus propias necesidades productivas. “Ese es el estándar al que Chile debería aspirar”, señaló.</w:t>
      </w:r>
    </w:p>
    <w:p>
      <w:pPr>
        <w:spacing w:before="20"/>
        <w:ind w:left="360"/>
      </w:pPr>
      <w:r>
        <w:rPr>
          <w:color w:val="222222"/>
          <w:sz w:val="20"/>
        </w:rPr>
        <w:t>Por ello, complementó Trusich, la apuesta del viaje es “estudiar, observar, investigar y generar aprendizajes inmersivos. Esta misión es una búsqueda de experiencias concretas que, en un futuro cercano, puedan generar eco en la política pública de nuestro país”.</w:t>
      </w:r>
    </w:p>
    <w:p>
      <w:pPr>
        <w:spacing w:before="20"/>
        <w:ind w:left="360"/>
      </w:pPr>
      <w:r>
        <w:rPr>
          <w:color w:val="222222"/>
          <w:sz w:val="20"/>
        </w:rPr>
        <w:t>Junto a diferentes representantes del mundo empresarial -como Joaquín Cruz, gerente general de Abastible; Paola Alvano, gerente de asuntos corporativos y sostenibilidad de BCI; Manuel Olivares, presidente del directorio de Sura, entre otros- viajaron representantes de los ministerios de Economía y Hacienda, a través de ProChile y la Comisión Nacional de Evaluación y Productividad (CNEP).</w:t>
      </w:r>
    </w:p>
    <w:p>
      <w:pPr>
        <w:spacing w:before="20"/>
        <w:ind w:left="360"/>
      </w:pPr>
      <w:r>
        <w:rPr>
          <w:color w:val="222222"/>
          <w:sz w:val="20"/>
        </w:rPr>
        <w:t>“La idea es que los aprendizajes lleguen directamente a quienes toman decisiones”, dijo Trusich. Su punto fue complementado por Paulmann, quien ve espacio para “traer buenas prácticas para que las empresas socias de Icare las conozcan, las cuestionen y si amerita las implementen. Ahí es donde realmente se genera valor”, afirmó.</w:t>
      </w:r>
    </w:p>
    <w:p>
      <w:pPr>
        <w:spacing w:before="20"/>
        <w:ind w:left="360"/>
      </w:pPr>
      <w:r>
        <w:rPr>
          <w:color w:val="222222"/>
          <w:sz w:val="20"/>
        </w:rPr>
        <w:t>Y si bien el viaje puede ser inspirador, para Trusich, lo crucial es cambiar el relato en este tema.</w:t>
      </w:r>
    </w:p>
    <w:p>
      <w:pPr>
        <w:spacing w:before="20"/>
        <w:ind w:left="360"/>
      </w:pPr>
      <w:r>
        <w:rPr>
          <w:color w:val="222222"/>
          <w:sz w:val="20"/>
        </w:rPr>
        <w:t>“Durante décadas, hemos mirado a las PYME desde el asistencialismo: subsidios, capacitaciones puntuales, programas focalizados en la supervivencia. Y con eso no basta”, expuso, recalcando que los datos muestran que las empresas de menor tamaño crecen de verdad cuando se conectan con grandes compañías.</w:t>
      </w:r>
    </w:p>
    <w:p>
      <w:pPr>
        <w:spacing w:before="20"/>
        <w:ind w:left="360"/>
      </w:pPr>
      <w:r>
        <w:rPr>
          <w:color w:val="222222"/>
          <w:sz w:val="20"/>
        </w:rPr>
        <w:t>De hecho, de acuerdo a datos propios de Grande Pyme, este sector representa el 98% del tejido empresarial chileno y concentran el 64% del empleo formal. “Si ellas aumentan la escala de su negocio, sube el empleo, mejoran los salarios y el país crece. Es importante que las empresas grandes entiendan que tienen un rol que jugar en el crecimiento de sus proveedores. Eso es sostenibilidad”, cerró Trusich.</w:t>
      </w:r>
    </w:p>
    <w:p>
      <w:pPr>
        <w:spacing w:before="40" w:after="120"/>
      </w:pPr>
      <w:r>
        <w:rPr>
          <w:color w:val="CCCCCC"/>
        </w:rPr>
        <w:t>· · ·</w:t>
      </w:r>
    </w:p>
    <w:p/>
    <w:p>
      <w:pPr>
        <w:pStyle w:val="Heading1"/>
      </w:pPr>
      <w:r>
        <w:rPr>
          <w:color w:val="E65000"/>
        </w:rPr>
        <w:t>🔹 Internacional</w:t>
      </w:r>
    </w:p>
    <w:p>
      <w:r>
        <w:rPr>
          <w:b/>
          <w:color w:val="E65000"/>
        </w:rPr>
        <w:t xml:space="preserve">1. </w:t>
      </w:r>
      <w:r>
        <w:rPr>
          <w:b/>
          <w:sz w:val="22"/>
        </w:rPr>
        <w:t>Trump abre la puerta a un rescate de la aerolínea Spirit y rechaza fusión United-American</w:t>
      </w:r>
      <w:r>
        <w:rPr>
          <w:color w:val="CC7700"/>
          <w:sz w:val="18"/>
        </w:rPr>
        <w:t xml:space="preserve">  [⭐ Destacada]</w:t>
      </w:r>
    </w:p>
    <w:p>
      <w:pPr>
        <w:spacing w:before="0"/>
      </w:pPr>
      <w:r>
        <w:rPr>
          <w:color w:val="0056B3"/>
          <w:sz w:val="18"/>
        </w:rPr>
        <w:t>https://www.df.cl/internacional/multinacionales/trump-abre-la-puerta-a-un-rescate-de-la-aerolinea-spirit-y-rechaza-fusion</w:t>
      </w:r>
    </w:p>
    <w:p>
      <w:pPr>
        <w:spacing w:before="20"/>
        <w:ind w:left="360"/>
      </w:pPr>
      <w:r>
        <w:rPr>
          <w:color w:val="222222"/>
          <w:sz w:val="20"/>
        </w:rPr>
        <w:t>Las acciones de Spirit subieron hasta un 178% el martes tras los comentarios del mandatario. En tanto, los títulos de United y American bajaron.</w:t>
      </w:r>
    </w:p>
    <w:p>
      <w:pPr>
        <w:spacing w:before="20"/>
        <w:ind w:left="360"/>
      </w:pPr>
      <w:r>
        <w:rPr>
          <w:color w:val="222222"/>
          <w:sz w:val="20"/>
        </w:rPr>
        <w:t>Por:BloombergPublicado: Miércoles 22 de abril de 2026 a las 11:21 hrs.</w:t>
      </w:r>
    </w:p>
    <w:p>
      <w:pPr>
        <w:spacing w:before="20"/>
        <w:ind w:left="360"/>
      </w:pPr>
      <w:r>
        <w:rPr>
          <w:color w:val="222222"/>
          <w:sz w:val="20"/>
        </w:rPr>
        <w:t>Publicado: Miércoles 22 de abril de 2026 a las 11:21 hrs.</w:t>
      </w:r>
    </w:p>
    <w:p>
      <w:pPr>
        <w:spacing w:before="20"/>
        <w:ind w:left="360"/>
      </w:pPr>
      <w:r>
        <w:rPr>
          <w:color w:val="222222"/>
          <w:sz w:val="20"/>
        </w:rPr>
        <w:t>El Presidente de Estados Unidos, Donald Trump, dijo que le gustaría ver que surja un comprador para Spirit Aviation Holdings y se mostró abierto a que el gobierno acuda en ayuda de la aerolínea. También se opuso a una fusión entre American Airlines Group Inc. y United Airlines Holdings Inc.</w:t>
      </w:r>
    </w:p>
    <w:p>
      <w:pPr>
        <w:spacing w:before="20"/>
        <w:ind w:left="360"/>
      </w:pPr>
      <w:r>
        <w:rPr>
          <w:color w:val="222222"/>
          <w:sz w:val="20"/>
        </w:rPr>
        <w:t>“Spirit está en problemas, y me encantaría que alguien la comprara”,dijo Trump el martes en una entrevista con CNBC, y agregó que “quizás el gobierno federal debería ayudar en este caso”,dado que hay 14.000 empleos en juego.</w:t>
      </w:r>
    </w:p>
    <w:p>
      <w:pPr>
        <w:spacing w:before="20"/>
        <w:ind w:left="360"/>
      </w:pPr>
      <w:r>
        <w:rPr>
          <w:color w:val="222222"/>
          <w:sz w:val="20"/>
        </w:rPr>
        <w:t>Spirit ha considerado ofrecer al gobierno de EEUU una participación accionaria en la aerolínea de bajo costopara ayudar a evitar una posible liquidación,según personas familiarizadas con el asunto.</w:t>
      </w:r>
    </w:p>
    <w:p>
      <w:pPr>
        <w:spacing w:before="20"/>
        <w:ind w:left="360"/>
      </w:pPr>
      <w:r>
        <w:rPr>
          <w:color w:val="222222"/>
          <w:sz w:val="20"/>
        </w:rPr>
        <w:t>Las acciones de Spirit subieron hasta un 178% el martes tras los comentarios del mandatario. En tanto, los títulos de United y American bajaron, luego de que el titular de la Casa Blanca emitiera comentarios sobreuna posible fusión entre ambas.</w:t>
      </w:r>
    </w:p>
    <w:p>
      <w:pPr>
        <w:spacing w:before="120"/>
        <w:ind w:left="360"/>
      </w:pPr>
      <w:r>
        <w:rPr>
          <w:b/>
          <w:color w:val="E65000"/>
          <w:sz w:val="26"/>
        </w:rPr>
        <w:t xml:space="preserve"> </w:t>
      </w:r>
    </w:p>
    <w:p>
      <w:pPr>
        <w:spacing w:before="20"/>
        <w:ind w:left="360"/>
      </w:pPr>
      <w:r>
        <w:rPr>
          <w:color w:val="222222"/>
          <w:sz w:val="20"/>
        </w:rPr>
        <w:t>La semana pasada Bloomberg News informó que el director ejecutivo de United, Scott Kirby, planteó al presidente en febrero la posibilidad de una combinación.</w:t>
      </w:r>
    </w:p>
    <w:p>
      <w:pPr>
        <w:spacing w:before="20"/>
        <w:ind w:left="360"/>
      </w:pPr>
      <w:r>
        <w:rPr>
          <w:color w:val="222222"/>
          <w:sz w:val="20"/>
        </w:rPr>
        <w:t>Desde entonces,American ha dicho que no participa ni está interesada en ninguna conversación con United.</w:t>
      </w:r>
    </w:p>
    <w:p>
      <w:pPr>
        <w:spacing w:before="20"/>
        <w:ind w:left="360"/>
      </w:pPr>
      <w:r>
        <w:rPr>
          <w:color w:val="222222"/>
          <w:sz w:val="20"/>
        </w:rPr>
        <w:t>“Le dije a mi gente, pero con American -le está yendo bien-, y a United le va muy bien”, dijo Trump en la entrevista con CNBC. “Conozco a la gente de United, les está yendo muy bien.No me gusta que se fusionen”.</w:t>
      </w:r>
    </w:p>
    <w:p>
      <w:pPr>
        <w:spacing w:before="20"/>
        <w:ind w:left="360"/>
      </w:pPr>
      <w:r>
        <w:rPr>
          <w:color w:val="222222"/>
          <w:sz w:val="20"/>
        </w:rPr>
        <w:t>“Es como todas estas empresas aeroespaciales y de defensa: antes teníamos cientos de ellas, y ahora tenemos un número muy pequeño, y recibes una sola oferta, y eso las vuelve perezosas”, afirmó.</w:t>
      </w:r>
    </w:p>
    <w:p>
      <w:pPr>
        <w:spacing w:before="20"/>
        <w:ind w:left="360"/>
      </w:pPr>
      <w:r>
        <w:rPr>
          <w:color w:val="222222"/>
          <w:sz w:val="20"/>
        </w:rPr>
        <w:t>El secretario de Transporte, Sean Duffy, al hablar en un eventoen Washington, dijo que planeaba tener una conversación con Trump más tarde ese día sobre Spirit.</w:t>
      </w:r>
    </w:p>
    <w:p>
      <w:pPr>
        <w:spacing w:before="20"/>
        <w:ind w:left="360"/>
      </w:pPr>
      <w:r>
        <w:rPr>
          <w:color w:val="222222"/>
          <w:sz w:val="20"/>
        </w:rPr>
        <w:t>“El Presidente dice: ‘Echen un vistazo’. Y él es mi jefe”, dijo Duffy. “Así que lo analizaremos”.</w:t>
      </w:r>
    </w:p>
    <w:p>
      <w:pPr>
        <w:spacing w:before="20"/>
        <w:ind w:left="360"/>
      </w:pPr>
      <w:r>
        <w:rPr>
          <w:color w:val="222222"/>
          <w:sz w:val="20"/>
        </w:rPr>
        <w:t>La guerra entre EEUU e Irán ha impulsado los precios del combustible para aviones.Esto ha vuelto a plantear interrogantes sobre consolidación en la industria. El lunes, Alaska Air Group suspendió su previsión de ganancias para todo el año y anticipó una pérdida mayor a la esperada por Wall Street para el segundo trimestre. American Airlines reporta resultados más adelante esta semana.</w:t>
      </w:r>
    </w:p>
    <w:p>
      <w:pPr>
        <w:spacing w:before="20"/>
        <w:ind w:left="360"/>
      </w:pPr>
      <w:r>
        <w:rPr>
          <w:color w:val="222222"/>
          <w:sz w:val="20"/>
        </w:rPr>
        <w:t>Spirit está buscando una inyección de efectivo del gobierno de EEUU ante el alza en los precios del combustible para aviones, según personas familiarizadas con las deliberaciones, que pidieron no ser identificadas dado que las conversaciones son confidenciales.</w:t>
      </w:r>
    </w:p>
    <w:p>
      <w:pPr>
        <w:spacing w:before="20"/>
        <w:ind w:left="360"/>
      </w:pPr>
      <w:r>
        <w:rPr>
          <w:color w:val="222222"/>
          <w:sz w:val="20"/>
        </w:rPr>
        <w:t>La aerolínea se acogió al Capítulo 11 de protección por bancarrota en agosto de 2025, la segunda vez que tuvo que hacerlo en menos de un año.</w:t>
      </w:r>
    </w:p>
    <w:p>
      <w:pPr>
        <w:spacing w:before="40" w:after="120"/>
      </w:pPr>
      <w:r>
        <w:rPr>
          <w:color w:val="CCCCCC"/>
        </w:rPr>
        <w:t>· · ·</w:t>
      </w:r>
    </w:p>
    <w:p>
      <w:r>
        <w:rPr>
          <w:b/>
          <w:color w:val="E65000"/>
        </w:rPr>
        <w:t xml:space="preserve">2. </w:t>
      </w:r>
      <w:r>
        <w:rPr>
          <w:b/>
          <w:sz w:val="22"/>
        </w:rPr>
        <w:t>Coca-Cola inaugura nuevo centro de distribución en Argentina con inversión de US$ 51 millones</w:t>
      </w:r>
      <w:r>
        <w:rPr>
          <w:color w:val="CC7700"/>
          <w:sz w:val="18"/>
        </w:rPr>
        <w:t xml:space="preserve">  [⭐ Destacada]</w:t>
      </w:r>
    </w:p>
    <w:p>
      <w:pPr>
        <w:spacing w:before="0"/>
      </w:pPr>
      <w:r>
        <w:rPr>
          <w:color w:val="0056B3"/>
          <w:sz w:val="18"/>
        </w:rPr>
        <w:t>https://www.df.cl/df-sud/multilatinas/coca-cola-inaugura-nuevo-centro-de-distribucion-en-argentina-con-inversion</w:t>
      </w:r>
    </w:p>
    <w:p>
      <w:pPr>
        <w:spacing w:before="20"/>
        <w:ind w:left="360"/>
      </w:pPr>
      <w:r>
        <w:rPr>
          <w:color w:val="222222"/>
          <w:sz w:val="20"/>
        </w:rPr>
        <w:t>Bajo el nombre de "Nuevo Norte", el centro permitirá optimizar la operación y mejorar los niveles de servicio para miles de comercios en el área Metropolitana de Buenos Aires.</w:t>
      </w:r>
    </w:p>
    <w:p>
      <w:pPr>
        <w:spacing w:before="20"/>
        <w:ind w:left="360"/>
      </w:pPr>
      <w:r>
        <w:rPr>
          <w:color w:val="222222"/>
          <w:sz w:val="20"/>
        </w:rPr>
        <w:t>Por:Karen Flores B.Publicado: Miércoles 22 de abril de 2026 a las 10:30 hrs.</w:t>
      </w:r>
    </w:p>
    <w:p>
      <w:pPr>
        <w:spacing w:before="20"/>
        <w:ind w:left="360"/>
      </w:pPr>
      <w:r>
        <w:rPr>
          <w:color w:val="222222"/>
          <w:sz w:val="20"/>
        </w:rPr>
        <w:t>Publicado: Miércoles 22 de abril de 2026 a las 10:30 hrs.</w:t>
      </w:r>
    </w:p>
    <w:p>
      <w:pPr>
        <w:spacing w:before="20"/>
        <w:ind w:left="360"/>
      </w:pPr>
      <w:r>
        <w:rPr>
          <w:color w:val="222222"/>
          <w:sz w:val="20"/>
        </w:rPr>
        <w:t>Con una inversión de US$ 51 millones,Coca-Colainauguró un nuevo centro de distribución en Argentina, ubicado en el municipio de Tres de Febrero en la provincia de Buenos Aires.</w:t>
      </w:r>
    </w:p>
    <w:p>
      <w:pPr>
        <w:spacing w:before="20"/>
        <w:ind w:left="360"/>
      </w:pPr>
      <w:r>
        <w:rPr>
          <w:color w:val="222222"/>
          <w:sz w:val="20"/>
        </w:rPr>
        <w:t>Bajo el nombre de "Nuevo Norte",localizado específicamente en el Parque Logístico de Camino del Buen Ayre, el centropermitirá optimizar la operación y mejorar los niveles de serviciopara miles de comercios en el área Metropolitana de Buenos Aires, según explicó la firma.</w:t>
      </w:r>
    </w:p>
    <w:p>
      <w:pPr>
        <w:spacing w:before="20"/>
        <w:ind w:left="360"/>
      </w:pPr>
      <w:r>
        <w:rPr>
          <w:color w:val="222222"/>
          <w:sz w:val="20"/>
        </w:rPr>
        <w:t>De acuerdo con lo informado por la compañía,la nueva inversión forma parte del plan por US$ 1.400 millones queCoca-Colaestá llevando adelante en Argentina,el cual fue anunciado el año pasado y cuya ejecución está prevista hasta 2028.</w:t>
      </w:r>
    </w:p>
    <w:p>
      <w:pPr>
        <w:spacing w:before="20"/>
        <w:ind w:left="360"/>
      </w:pPr>
      <w:r>
        <w:rPr>
          <w:color w:val="222222"/>
          <w:sz w:val="20"/>
        </w:rPr>
        <w:t>En esa línea, su objetivo es modernizar operaciones, fortalecer la infraestructura logística y profundizar las iniciativas de sustentabilidad.</w:t>
      </w:r>
    </w:p>
    <w:p>
      <w:pPr>
        <w:spacing w:before="20"/>
        <w:ind w:left="360"/>
      </w:pPr>
      <w:r>
        <w:rPr>
          <w:color w:val="222222"/>
          <w:sz w:val="20"/>
        </w:rPr>
        <w:t>En una visita al país trasandino, Bruno Pietracci, presidente de la firma para América Latina, señaló a medios nacionales que "el sistema Coca-Cola cree en el potencial de Argentina.Estamos comprometidos a seguir invirtiendo para fortalecer nuestras operaciones,generar empleo y acompañar el desarrollo de las comunidades en todo el país”,</w:t>
      </w:r>
    </w:p>
    <w:p>
      <w:pPr>
        <w:spacing w:before="20"/>
        <w:ind w:left="360"/>
      </w:pPr>
      <w:r>
        <w:rPr>
          <w:color w:val="222222"/>
          <w:sz w:val="20"/>
        </w:rPr>
        <w:t>Y es que noticia se da a conocer tras el cierre positivo de 2025 para la firma y semanas antes que comience la Copa Mundial de Fútbol, evento en el que Coca-Cola apuesta como sponsor oficial de FIFA y de la misma Selección argentina.</w:t>
      </w:r>
    </w:p>
    <w:p>
      <w:pPr>
        <w:spacing w:before="120"/>
        <w:ind w:left="360"/>
      </w:pPr>
      <w:r>
        <w:rPr>
          <w:b/>
          <w:color w:val="E65000"/>
          <w:sz w:val="26"/>
        </w:rPr>
        <w:t xml:space="preserve"> </w:t>
      </w:r>
    </w:p>
    <w:p>
      <w:pPr>
        <w:spacing w:before="20"/>
        <w:ind w:left="360"/>
      </w:pPr>
      <w:r>
        <w:rPr>
          <w:color w:val="222222"/>
          <w:sz w:val="20"/>
        </w:rPr>
        <w:t>Los planes de Coca-Cola en distintas regiones de Argentina vienen desarrollándose desde algunos años.En 2025, Reginald Lee -el primer embotellador de Coca-Cola en el país austral- incorporó una nueva línea de produccióna partir de una inversión por US$ 18,5 millones en su planta ubicada en la localidad de Ranelaghm en la provincia de Buenos Aires.</w:t>
      </w:r>
    </w:p>
    <w:p>
      <w:pPr>
        <w:spacing w:before="20"/>
        <w:ind w:left="360"/>
      </w:pPr>
      <w:r>
        <w:rPr>
          <w:color w:val="222222"/>
          <w:sz w:val="20"/>
        </w:rPr>
        <w:t>A su vez, en 2024,Coca-Cola Andina Argentinainauguró en Mendoza una nueva línea de envases retornables a partir de una inversión por US$ 40 millones, posicionando a la operación como una de las más importantes y tecnológicamente avanzadas de Sudamérica.</w:t>
      </w:r>
    </w:p>
    <w:p>
      <w:pPr>
        <w:spacing w:before="20"/>
        <w:ind w:left="360"/>
      </w:pPr>
      <w:r>
        <w:rPr>
          <w:color w:val="222222"/>
          <w:sz w:val="20"/>
        </w:rPr>
        <w:t>Bajo ese contexto,el grupo reiteró su estrategia de innovación y apoyo a las economías regionales,apostando por la modernización operativa y la reducción de la huella ambiental como ejes centrales de su política corporativa en sus 83 años de presencia en Argentina.</w:t>
      </w:r>
    </w:p>
    <w:p>
      <w:pPr>
        <w:spacing w:before="40" w:after="120"/>
      </w:pPr>
      <w:r>
        <w:rPr>
          <w:color w:val="CCCCCC"/>
        </w:rPr>
        <w:t>· · ·</w:t>
      </w:r>
    </w:p>
    <w:p>
      <w:r>
        <w:rPr>
          <w:b/>
          <w:color w:val="E65000"/>
        </w:rPr>
        <w:t xml:space="preserve">3. </w:t>
      </w:r>
      <w:r>
        <w:rPr>
          <w:b/>
          <w:sz w:val="22"/>
        </w:rPr>
        <w:t>Dos buques portacontenedores fueron atacados en el estrecho de Ormuz luego de que Trump extendiera el cese al fuego</w:t>
      </w:r>
      <w:r>
        <w:rPr>
          <w:color w:val="CC7700"/>
          <w:sz w:val="18"/>
        </w:rPr>
        <w:t xml:space="preserve">  [⭐ Destacada]</w:t>
      </w:r>
    </w:p>
    <w:p>
      <w:pPr>
        <w:spacing w:before="0"/>
      </w:pPr>
      <w:r>
        <w:rPr>
          <w:color w:val="0056B3"/>
          <w:sz w:val="18"/>
        </w:rPr>
        <w:t>https://www.df.cl/internacional/dos-buques-portacontenedores-fueron-atacados-en-el-estrecho-de-ormuz-luego</w:t>
      </w:r>
    </w:p>
    <w:p>
      <w:pPr>
        <w:spacing w:before="20"/>
        <w:ind w:left="360"/>
      </w:pPr>
      <w:r>
        <w:rPr>
          <w:color w:val="222222"/>
          <w:sz w:val="20"/>
        </w:rPr>
        <w:t>El crudo Brent se acercaba a los US$ 100 por barril tras las noticias de los ataques a los buques.</w:t>
      </w:r>
    </w:p>
    <w:p>
      <w:pPr>
        <w:spacing w:before="20"/>
        <w:ind w:left="360"/>
      </w:pPr>
      <w:r>
        <w:rPr>
          <w:color w:val="222222"/>
          <w:sz w:val="20"/>
        </w:rPr>
        <w:t>Por:BloombergPublicado: Miércoles 22 de abril de 2026 a las 06:11 hrs.</w:t>
      </w:r>
    </w:p>
    <w:p>
      <w:pPr>
        <w:spacing w:before="20"/>
        <w:ind w:left="360"/>
      </w:pPr>
      <w:r>
        <w:rPr>
          <w:color w:val="222222"/>
          <w:sz w:val="20"/>
        </w:rPr>
        <w:t>Publicado: Miércoles 22 de abril de 2026 a las 06:11 hrs.</w:t>
      </w:r>
    </w:p>
    <w:p>
      <w:pPr>
        <w:spacing w:before="20"/>
        <w:ind w:left="360"/>
      </w:pPr>
      <w:r>
        <w:rPr>
          <w:color w:val="222222"/>
          <w:sz w:val="20"/>
        </w:rPr>
        <w:t>Los últimos incidentes demuestran el alto riesgo de transitar por el punto estratégico energético más importante del mundo. (Foto: Reuters)</w:t>
      </w:r>
    </w:p>
    <w:p>
      <w:pPr>
        <w:spacing w:before="20"/>
        <w:ind w:left="360"/>
      </w:pPr>
      <w:r>
        <w:rPr>
          <w:color w:val="222222"/>
          <w:sz w:val="20"/>
        </w:rPr>
        <w:t>La Armada británica informó quedos buques portacontenedores fueron atacados cerca del estrecho de Ormuz, en los últimos incidentes tras los tiroteos del fin de semana que aumentaron la tensión en esta vía marítima vital y paralizaron prácticamente el tráfico marítimo.El crudo Brent se acercaba a los US$ 100 por barriltras las noticias de los ataques a los buques.</w:t>
      </w:r>
    </w:p>
    <w:p>
      <w:pPr>
        <w:spacing w:before="20"/>
        <w:ind w:left="360"/>
      </w:pPr>
      <w:r>
        <w:rPr>
          <w:color w:val="222222"/>
          <w:sz w:val="20"/>
        </w:rPr>
        <w:t>Una embarcación de la Guardia Revolucionaria Islámica de Irán se acercó a un buque portacontenedores a unas 15 millas náuticas de la costa de Omán y abrió fuego, causando graves daños al puente de mando, según un comunicado dela agencia de Operaciones de Comercio Marítimo de Reino Unido (UKMTO, por sus siglas en inglés).Otro buque de carga reportó haber sido atacado a 8 millas náuticas de Irán. La agencia no identificó ninguna de las embarcaciones.</w:t>
      </w:r>
    </w:p>
    <w:p>
      <w:pPr>
        <w:spacing w:before="20"/>
        <w:ind w:left="360"/>
      </w:pPr>
      <w:r>
        <w:rPr>
          <w:color w:val="222222"/>
          <w:sz w:val="20"/>
        </w:rPr>
        <w:t>Por su parte,la armada iraní anunció la incautación de dos buques mercantes y su escolta hasta sus aguas territoriales. Según un comunicado de la armada de la Guardia Revolucionaria, los buques, identificados como MSC Francesca y Epaminodes, fueron detenidos por "poner en peligro la seguridad marítima". Las autoridades marítimas británicas no confirmaron la incautación por parte de Irán.</w:t>
      </w:r>
    </w:p>
    <w:p>
      <w:pPr>
        <w:spacing w:before="20"/>
        <w:ind w:left="360"/>
      </w:pPr>
      <w:r>
        <w:rPr>
          <w:color w:val="222222"/>
          <w:sz w:val="20"/>
        </w:rPr>
        <w:t>Estos incidentes demuestran el alto riesgo de transitar por el punto estratégico energético más importante del mundo, incluso cuandoel presidente estadounidense Donald Trump extendió indefinidamente el alto el fuego con Irán justo antes de su vencimiento. Trump mantuvo el bloqueo naval a los buques iraníes después de que las conversaciones de paz previstas entre ambas partes no se concretaran.</w:t>
      </w:r>
    </w:p>
    <w:p>
      <w:pPr>
        <w:spacing w:before="120"/>
        <w:ind w:left="360"/>
      </w:pPr>
      <w:r>
        <w:rPr>
          <w:b/>
          <w:color w:val="E65000"/>
          <w:sz w:val="26"/>
        </w:rPr>
        <w:t xml:space="preserve"> </w:t>
      </w:r>
    </w:p>
    <w:p>
      <w:pPr>
        <w:spacing w:before="20"/>
        <w:ind w:left="360"/>
      </w:pPr>
      <w:r>
        <w:rPr>
          <w:color w:val="222222"/>
          <w:sz w:val="20"/>
        </w:rPr>
        <w:t>Irán ha declarado que mantendrá su control sobre el estrecho de Ormuz hasta que Estados Unidos levante el bloqueo, yel martes el estrecho permaneció prácticamente vacío de tráfico comercial. Sin embargo, según la empresa de inteligencia de datos Vortexa, algunos petroleros iraníes han zarpado y superado la barrera estadounidense en los últimos días.</w:t>
      </w:r>
    </w:p>
    <w:p>
      <w:pPr>
        <w:spacing w:before="20"/>
        <w:ind w:left="360"/>
      </w:pPr>
      <w:r>
        <w:rPr>
          <w:color w:val="222222"/>
          <w:sz w:val="20"/>
        </w:rPr>
        <w:t>A media mañana en Londres,los futuros del crudo Brentganaban un 0,7%, a US$ 99,21 el barril, y los del West Texas Intermediate en Estados Unidos (WTI) subíanun 0,7%, a US$ 90,26. Ambos referenciales sumaron cerca de un 3% el martes.</w:t>
      </w:r>
    </w:p>
    <w:p>
      <w:pPr>
        <w:spacing w:before="20"/>
        <w:ind w:left="360"/>
      </w:pPr>
      <w:r>
        <w:rPr>
          <w:color w:val="222222"/>
          <w:sz w:val="20"/>
        </w:rPr>
        <w:t>Trump señaló anteriormente que, sin el bloqueo, "nunca podrá haber un acuerdo con Irán, ¡a menos que destruyamos el resto de su país, incluidos sus líderes!". La agencia de noticias semioficial iraní Tasnim informó que había indicios de que Estados Unidos está dispuesto a romper el bloqueo, citando al enviado de Teherán ante la ONU, Amir-Saeid Iravani. No proporcionó más detalles.</w:t>
      </w:r>
    </w:p>
    <w:p>
      <w:pPr>
        <w:spacing w:before="20"/>
        <w:ind w:left="360"/>
      </w:pPr>
      <w:r>
        <w:rPr>
          <w:color w:val="222222"/>
          <w:sz w:val="20"/>
        </w:rPr>
        <w:t>La UKMTO informó el sábado que lanchas patrulleras de la Guardia Revolucionaria Islámica se acercaron a un petrolero frente a la costa de Omán antes de abrir fuego contra él. Posteriormente, un buque portacontenedores fue alcanzado por un proyectil desconocido en un incidente separado, según informó el UKMTO más tarde.</w:t>
      </w:r>
    </w:p>
    <w:p>
      <w:pPr>
        <w:spacing w:before="20"/>
        <w:ind w:left="360"/>
      </w:pPr>
      <w:r>
        <w:rPr>
          <w:color w:val="222222"/>
          <w:sz w:val="20"/>
        </w:rPr>
        <w:t>Tras un periodo de caos después de que Irán anunciara el viernes la apertura del estrecho de Ormuz,se desató una carrera entre los buques para salir del golfo Pérsico. Muchos de estos barcos dieron media vuelta horas después de que Irán cerrara el estrecho el sábado, tras el anuncio de Trump de que el bloqueo naval estadounidense se mantendría.</w:t>
      </w:r>
    </w:p>
    <w:p>
      <w:pPr>
        <w:spacing w:before="40" w:after="120"/>
      </w:pPr>
      <w:r>
        <w:rPr>
          <w:color w:val="CCCCCC"/>
        </w:rPr>
        <w:t>· · ·</w:t>
      </w:r>
    </w:p>
    <w:p>
      <w:r>
        <w:rPr>
          <w:b/>
          <w:color w:val="E65000"/>
        </w:rPr>
        <w:t xml:space="preserve">4. </w:t>
      </w:r>
      <w:r>
        <w:rPr>
          <w:b/>
          <w:sz w:val="22"/>
        </w:rPr>
        <w:t>“Cambio de régimen” para la Fed: Warsh apunta a modificar la conducción de la política monetaria y enterrar el dot plot</w:t>
      </w:r>
    </w:p>
    <w:p>
      <w:pPr>
        <w:spacing w:before="0"/>
      </w:pPr>
      <w:r>
        <w:rPr>
          <w:color w:val="0056B3"/>
          <w:sz w:val="18"/>
        </w:rPr>
        <w:t>https://www.df.cl/internacional/economia/cambio-de-regimen-para-la-fed-warsh-apunta-a-modificar-la-conduccion-de</w:t>
      </w:r>
    </w:p>
    <w:p>
      <w:pPr>
        <w:spacing w:before="20"/>
        <w:ind w:left="360"/>
      </w:pPr>
      <w:r>
        <w:rPr>
          <w:color w:val="222222"/>
          <w:sz w:val="20"/>
        </w:rPr>
        <w:t>En el comité de Banca del Senado, el nominado de Trump para liderar la Reserva Federal criticó la visión con la que el banco central ha interpretado la economía desde la crisis financiera.</w:t>
      </w:r>
    </w:p>
    <w:p>
      <w:pPr>
        <w:spacing w:before="20"/>
        <w:ind w:left="360"/>
      </w:pPr>
      <w:r>
        <w:rPr>
          <w:color w:val="222222"/>
          <w:sz w:val="20"/>
        </w:rPr>
        <w:t>Por:Fernanda ArancibiaPublicado: Miércoles 22 de abril de 2026 a las 04:00 hrs.</w:t>
      </w:r>
    </w:p>
    <w:p>
      <w:pPr>
        <w:spacing w:before="20"/>
        <w:ind w:left="360"/>
      </w:pPr>
      <w:r>
        <w:rPr>
          <w:color w:val="222222"/>
          <w:sz w:val="20"/>
        </w:rPr>
        <w:t>Publicado: Miércoles 22 de abril de 2026 a las 04:00 hrs.</w:t>
      </w:r>
    </w:p>
    <w:p>
      <w:pPr>
        <w:spacing w:before="20"/>
        <w:ind w:left="360"/>
      </w:pPr>
      <w:r>
        <w:rPr>
          <w:color w:val="222222"/>
          <w:sz w:val="20"/>
        </w:rPr>
        <w:t>Kevin Warsh fue gobernador de la Fed entre 2006 y 2011, enfrentando la crisis financiera junto a Ben Bernanke.</w:t>
      </w:r>
    </w:p>
    <w:p>
      <w:pPr>
        <w:spacing w:before="20"/>
        <w:ind w:left="360"/>
      </w:pPr>
      <w:r>
        <w:rPr>
          <w:color w:val="222222"/>
          <w:sz w:val="20"/>
        </w:rPr>
        <w:t>El proceso de confirmación de Kevin Warsh para convertirse en el nuevo presidente de la Reserva Federal tuvo este martes su primer capítulo. El nominado de Donald Trump para suceder a Jerome Powell en el banco central de mayor peso a nivel mundial, asistió a una audiencia en el comité de Banca del Senado, donde aseguró que la Reserva Federal necesita una transformación profunda.</w:t>
      </w:r>
    </w:p>
    <w:p>
      <w:pPr>
        <w:spacing w:before="20"/>
        <w:ind w:left="360"/>
      </w:pPr>
      <w:r>
        <w:rPr>
          <w:color w:val="222222"/>
          <w:sz w:val="20"/>
        </w:rPr>
        <w:t>El financista de 56 años, argumentó que la Fed arrastra problemas de inflación desde la pandemia de Covid-19 que no ha logrado corregir. A su juicio, hubo una tardanza en reconocer y combatir el repunte inflacionario de 2021-2022 lo que califica como un error grave, que afectó la credibilidad del banco central.</w:t>
      </w:r>
    </w:p>
    <w:p>
      <w:pPr>
        <w:spacing w:before="20"/>
        <w:ind w:left="360"/>
      </w:pPr>
      <w:r>
        <w:rPr>
          <w:color w:val="222222"/>
          <w:sz w:val="20"/>
        </w:rPr>
        <w:t>Ante este panorama, Warsh busca impulsar un “cambio de régimen” a través de modificaciones en la conducción de la política monetaria y en la forma en que la entidad la comunica.</w:t>
      </w:r>
    </w:p>
    <w:p>
      <w:pPr>
        <w:spacing w:before="20"/>
        <w:ind w:left="360"/>
      </w:pPr>
      <w:r>
        <w:rPr>
          <w:color w:val="222222"/>
          <w:sz w:val="20"/>
        </w:rPr>
        <w:t>“Aunque es cierto que la inflación es menos problemática (...) los estadounidenses que trabajan duro sin duda la siguen sintiendo”, señaló Warsh. “Creo que eso implica un cambio de régimen en la conducción de la política. Creo que eso significa un marco de inflación distinto y nuevo”, recalcó.</w:t>
      </w:r>
    </w:p>
    <w:p>
      <w:pPr>
        <w:spacing w:before="20"/>
        <w:ind w:left="360"/>
      </w:pPr>
      <w:r>
        <w:rPr>
          <w:color w:val="222222"/>
          <w:sz w:val="20"/>
        </w:rPr>
        <w:t>El diagnóstico de Warsh sobre los problemas de la institución no apunta a que las tasas de interés estén mal ajustadas. Lo que realmente cuestiona es la visión con la que la Fed ha estado interpretando el mundo desde la crisis financiera, algo que, en su opinión, no es posible arreglar con un aumento o reducción de 0,25 en las tasas.</w:t>
      </w:r>
    </w:p>
    <w:p>
      <w:pPr>
        <w:spacing w:before="20"/>
        <w:ind w:left="360"/>
      </w:pPr>
      <w:r>
        <w:rPr>
          <w:color w:val="222222"/>
          <w:sz w:val="20"/>
        </w:rPr>
        <w:t>En el ámbito de su crítica a la política de comunicación de la Fed, el principal blanco de Warsh son los llamados dot plot, gráficos publicados cuatro veces al año que recogen las proyecciones anónimas de 19 autoridades.</w:t>
      </w:r>
    </w:p>
    <w:p>
      <w:pPr>
        <w:spacing w:before="20"/>
        <w:ind w:left="360"/>
      </w:pPr>
      <w:r>
        <w:rPr>
          <w:color w:val="222222"/>
          <w:sz w:val="20"/>
        </w:rPr>
        <w:t>Según Warsh, estas proyecciones convierten a sus autores en prisioneros de sus propias palabras y reducen la flexibilidad del central para responder a shocks imprevistos.</w:t>
      </w:r>
    </w:p>
    <w:p>
      <w:pPr>
        <w:spacing w:before="20"/>
        <w:ind w:left="360"/>
      </w:pPr>
      <w:r>
        <w:rPr>
          <w:color w:val="222222"/>
          <w:sz w:val="20"/>
        </w:rPr>
        <w:t>También en materia comunicacional, Warsh pretende limitar los discursos y entrevistas. Desde su punto de vista, la sobreexposición mediática refuerza la percepción de que el banco central puede y debe resolver cualquier problema económico, una expectativa que considera poco útil.</w:t>
      </w:r>
    </w:p>
    <w:p>
      <w:pPr>
        <w:spacing w:before="20"/>
        <w:ind w:left="360"/>
      </w:pPr>
      <w:r>
        <w:rPr>
          <w:color w:val="222222"/>
          <w:sz w:val="20"/>
        </w:rPr>
        <w:t>Ignacio Mieres, head of research de XTB, ve con buenos ojos los cambios propuestos por Warsh. “Defendió un giro claro en política monetaria, más disciplina, un marco renovado y menos dependencia de guías adelantadas o señales previas sobre las tasas”, indicó.</w:t>
      </w:r>
    </w:p>
    <w:p>
      <w:pPr>
        <w:spacing w:before="20"/>
        <w:ind w:left="360"/>
      </w:pPr>
      <w:r>
        <w:rPr>
          <w:color w:val="222222"/>
          <w:sz w:val="20"/>
        </w:rPr>
        <w:t>Uno de los puntos abordados por Warsh al que los analistas de Wall Street siguieron con especial atención fue su preferencia por reducir el balance de la Fed, instrumento que el candidato calificó como “hinchado” y distorsivo debido a la acumulación de bonos después de la pandemia y otras crisis. Esta inclinación ha generado cautela entre los inversionistas, quienes todavía no están seguros de cuán profunda podría ser esa reducción.</w:t>
      </w:r>
    </w:p>
    <w:p>
      <w:pPr>
        <w:spacing w:before="20"/>
        <w:ind w:left="360"/>
      </w:pPr>
      <w:r>
        <w:rPr>
          <w:color w:val="222222"/>
          <w:sz w:val="20"/>
        </w:rPr>
        <w:t>Quién fuera gobernador de la Fed entre los años 2006 o 2011 también tuvo que hacerse cargo de los cuestionamiento sobre la injerencia de la Casa Blanca en sus definiciones, considerando las recurrentes presiones del Presidente Donald Trump. “Permítanme ser muy claro: la independencia de la política monetaria es esencial. Quienes elaboran la política monetaria deben actuar en interés de la nación”, afirmó Warsh ante los senadores.</w:t>
      </w:r>
    </w:p>
    <w:p>
      <w:pPr>
        <w:spacing w:before="20"/>
        <w:ind w:left="360"/>
      </w:pPr>
      <w:r>
        <w:rPr>
          <w:color w:val="222222"/>
          <w:sz w:val="20"/>
        </w:rPr>
        <w:t>Con todo, la nominación de Warsh sigue dependiendo de lo que el Departamento de Justicia defina el futuro de la investigación acerca de la remodelación de la Fed, en la que apunta en contra de su actual líder. Thom Tillis, el senador que le da la mayoría al Partido Republicano en el comité de Banca el Senado, ha dicho que mientras no se archive ese caso bloqueará la votación, que corre a contrareloj del 15 de mayo, cuando acaba el mandato de Powell, quien seguiría como presidente interino si no hay un confirmado para su reemplazo.</w:t>
      </w:r>
    </w:p>
    <w:p>
      <w:pPr>
        <w:spacing w:before="40" w:after="120"/>
      </w:pPr>
      <w:r>
        <w:rPr>
          <w:color w:val="CCCCCC"/>
        </w:rPr>
        <w:t>· · ·</w:t>
      </w:r>
    </w:p>
    <w:p/>
    <w:p>
      <w:pPr>
        <w:pStyle w:val="Heading1"/>
      </w:pPr>
      <w:r>
        <w:rPr>
          <w:color w:val="E65000"/>
        </w:rPr>
        <w:t>🔹 Innovación</w:t>
      </w:r>
    </w:p>
    <w:p>
      <w:r>
        <w:rPr>
          <w:b/>
          <w:color w:val="E65000"/>
        </w:rPr>
        <w:t xml:space="preserve">1. </w:t>
      </w:r>
      <w:r>
        <w:rPr>
          <w:b/>
          <w:sz w:val="22"/>
        </w:rPr>
        <w:t>Startup Wise y Massiva crean empresa conjunta y alistan metaverso en el móvil para marcas</w:t>
      </w:r>
      <w:r>
        <w:rPr>
          <w:color w:val="CC7700"/>
          <w:sz w:val="18"/>
        </w:rPr>
        <w:t xml:space="preserve">  [⭐ Destacada]</w:t>
      </w:r>
    </w:p>
    <w:p>
      <w:pPr>
        <w:spacing w:before="0"/>
      </w:pPr>
      <w:r>
        <w:rPr>
          <w:color w:val="0056B3"/>
          <w:sz w:val="18"/>
        </w:rPr>
        <w:t>https://www.df.cl/df-lab/innovacion-y-startups/startup-wise-y-massiva-crean-empresa-conjunta-y-alistan-metaverso-en-el</w:t>
      </w:r>
    </w:p>
    <w:p>
      <w:pPr>
        <w:spacing w:before="20"/>
        <w:ind w:left="360"/>
      </w:pPr>
      <w:r>
        <w:rPr>
          <w:color w:val="222222"/>
          <w:sz w:val="20"/>
        </w:rPr>
        <w:t>A diferencia de la visión inmersiva y uso lentes de realidad virtual, Fan Tactics apuesta por el uso de los teléfonos de los usuarios, quienes podrán acumular monedas virtuales y canjearlas en el mundo real.</w:t>
      </w:r>
    </w:p>
    <w:p>
      <w:pPr>
        <w:spacing w:before="20"/>
        <w:ind w:left="360"/>
      </w:pPr>
      <w:r>
        <w:rPr>
          <w:color w:val="222222"/>
          <w:sz w:val="20"/>
        </w:rPr>
        <w:t>Publicado: Miércoles 22 de abril de 2026 a las 04:00 hrs.</w:t>
      </w:r>
    </w:p>
    <w:p>
      <w:pPr>
        <w:spacing w:before="20"/>
        <w:ind w:left="360"/>
      </w:pPr>
      <w:r>
        <w:rPr>
          <w:color w:val="222222"/>
          <w:sz w:val="20"/>
        </w:rPr>
        <w:t>Visualización digital del metaverso móvil de Fan Tactics.</w:t>
      </w:r>
    </w:p>
    <w:p>
      <w:pPr>
        <w:spacing w:before="20"/>
        <w:ind w:left="360"/>
      </w:pPr>
      <w:r>
        <w:rPr>
          <w:color w:val="222222"/>
          <w:sz w:val="20"/>
        </w:rPr>
        <w:t>El metaverso no está muerto. Al menos eso creen Wise Innovation Studios y Massiva. La startup chilena de metamarketing y la firma de publicidad en vía pública anunciaron la creación de una empresa conjunta que se llamará Fan Tactics, para desarrollar plataformas de interacción entre marcas y audiencias.</w:t>
      </w:r>
    </w:p>
    <w:p>
      <w:pPr>
        <w:spacing w:before="20"/>
        <w:ind w:left="360"/>
      </w:pPr>
      <w:r>
        <w:rPr>
          <w:color w:val="222222"/>
          <w:sz w:val="20"/>
        </w:rPr>
        <w:t>Fan Tactics debutará con el lanzamiento de un “metaverso móvil” para marcas el segundo semestre de este año. Cuenta con un presupuesto inicial de US$ 3 millones, que destinarán al desarrollo de la plataforma, a la estrategia de promoción y campañas de marketing, además del desarrollo e implementación de la tecnología.</w:t>
      </w:r>
    </w:p>
    <w:p>
      <w:pPr>
        <w:spacing w:before="20"/>
        <w:ind w:left="360"/>
      </w:pPr>
      <w:r>
        <w:rPr>
          <w:color w:val="222222"/>
          <w:sz w:val="20"/>
        </w:rPr>
        <w:t>El CEO y cofundador de Wise, Igal Weitzman, dijo que el plan es lanzar una aplicación móvil (app) gratuita para iOS y Android, donde los usuarios podrán crear un avatar con inteligencia artificial (IA), jugar minijuegos patrocinados y acumular monedas digitales canjeables por beneficios en alimentación, transporte, entretenimiento y educación.</w:t>
      </w:r>
    </w:p>
    <w:p>
      <w:pPr>
        <w:spacing w:before="20"/>
        <w:ind w:left="360"/>
      </w:pPr>
      <w:r>
        <w:rPr>
          <w:color w:val="222222"/>
          <w:sz w:val="20"/>
        </w:rPr>
        <w:t>Sebastián García, de Massiva, junto a Mariana Pardo e Igal Weitzman, fundadores de Wise Innovations Studios.</w:t>
      </w:r>
    </w:p>
    <w:p>
      <w:pPr>
        <w:spacing w:before="20"/>
        <w:ind w:left="360"/>
      </w:pPr>
      <w:r>
        <w:rPr>
          <w:color w:val="222222"/>
          <w:sz w:val="20"/>
        </w:rPr>
        <w:t>A diferencia de la visión inmersiva y uso de lentes de realidad virtual, Fan Tactics apuesta por el teléfono. Wise tiene experiencia en desarrollos para smartphones y hace cinco años acuñó el concepto de “metaverso móvil”, con proyectos para Unilever en México -que alcanzó 500 mil usuarios en nueve regiones- y Pepsi, entre otros.</w:t>
      </w:r>
    </w:p>
    <w:p>
      <w:pPr>
        <w:spacing w:before="20"/>
        <w:ind w:left="360"/>
      </w:pPr>
      <w:r>
        <w:rPr>
          <w:color w:val="222222"/>
          <w:sz w:val="20"/>
        </w:rPr>
        <w:t>La relación entre ambas compañías partió hace dos años. Weitzman contó que Massiva se acercó buscando cómo innovar en su negocio de vía pública y les propuso dar un salto en lo que ya hacía Wise para pasar de plataformas de una sola marca a “un marketplace donde conviven múltiples anunciantes organizados en categorías”.</w:t>
      </w:r>
    </w:p>
    <w:p>
      <w:pPr>
        <w:spacing w:before="20"/>
        <w:ind w:left="360"/>
      </w:pPr>
      <w:r>
        <w:rPr>
          <w:color w:val="222222"/>
          <w:sz w:val="20"/>
        </w:rPr>
        <w:t>Weitzman comentó que Massiva usará su red de pantallas y soportes de vía pública para comunicar novedades de la plataforma durante un año con pauta constante de promociones. Además, las marcas pequeñas que participen en la app van a poder aparecer en las difusiones solo por estar dentro del ecosistema digital.</w:t>
      </w:r>
    </w:p>
    <w:p>
      <w:pPr>
        <w:spacing w:before="20"/>
        <w:ind w:left="360"/>
      </w:pPr>
      <w:r>
        <w:rPr>
          <w:color w:val="222222"/>
          <w:sz w:val="20"/>
        </w:rPr>
        <w:t>“Si eres una marca pequeña esto te va a permitir estar en la comunicación que vamos a hacer afuera en las calles. Y eso es súper democratizador”, dijo.</w:t>
      </w:r>
    </w:p>
    <w:p>
      <w:pPr>
        <w:spacing w:before="20"/>
        <w:ind w:left="360"/>
      </w:pPr>
      <w:r>
        <w:rPr>
          <w:color w:val="222222"/>
          <w:sz w:val="20"/>
        </w:rPr>
        <w:t>El modelo de negocio de la nueva empresa se basa en el brand digital currency, una economía digital donde las marcas financian los beneficios y, a cambio, obtienen datos de consumo que hoy no logran capturar. El público objetivo es la Generación Z (18 a 27 años).</w:t>
      </w:r>
    </w:p>
    <w:p>
      <w:pPr>
        <w:spacing w:before="20"/>
        <w:ind w:left="360"/>
      </w:pPr>
      <w:r>
        <w:rPr>
          <w:color w:val="222222"/>
          <w:sz w:val="20"/>
        </w:rPr>
        <w:t>Weitzman explicó que los usuarios podrán ir acumulando monedas digitales y canjearlas en el mundo real para distintos beneficios y categorías. Destacó el caso de la educación: “Podrían acceder a un workshop de inteligencia artificial en un instituto o a una charla en una universidad”.</w:t>
      </w:r>
    </w:p>
    <w:p>
      <w:pPr>
        <w:spacing w:before="20"/>
        <w:ind w:left="360"/>
      </w:pPr>
      <w:r>
        <w:rPr>
          <w:color w:val="222222"/>
          <w:sz w:val="20"/>
        </w:rPr>
        <w:t>La hoja de ruta contempla un debut con 10 marcas iniciales en Chile, expansión regional a partir de 2027 -mediante un módulo propio de georreferenciación que adapta contenidos y beneficios por país- y una segunda fase con portales de teletransportación a experiencias con influencers, artistas y retail virtual, a través de los teléfonos.</w:t>
      </w:r>
    </w:p>
    <w:p>
      <w:pPr>
        <w:spacing w:before="40" w:after="120"/>
      </w:pPr>
      <w:r>
        <w:rPr>
          <w:color w:val="CCCCCC"/>
        </w:rPr>
        <w:t>· · ·</w:t>
      </w:r>
    </w:p>
    <w:p>
      <w:r>
        <w:rPr>
          <w:b/>
          <w:color w:val="E65000"/>
        </w:rPr>
        <w:t xml:space="preserve">2. </w:t>
      </w:r>
      <w:r>
        <w:rPr>
          <w:b/>
          <w:sz w:val="22"/>
        </w:rPr>
        <w:t>Cámara Chilena de IA alertó sobre Mythos y llamó a elevar los estándares de resiliencia digital</w:t>
      </w:r>
      <w:r>
        <w:rPr>
          <w:color w:val="CC7700"/>
          <w:sz w:val="18"/>
        </w:rPr>
        <w:t xml:space="preserve">  [⭐ Destacada]</w:t>
      </w:r>
    </w:p>
    <w:p>
      <w:pPr>
        <w:spacing w:before="0"/>
      </w:pPr>
      <w:r>
        <w:rPr>
          <w:color w:val="0056B3"/>
          <w:sz w:val="18"/>
        </w:rPr>
        <w:t>https://www.df.cl/df-lab/tech-empresas/camara-chilena-de-ia-alerto-sobre-mythos-y-llamo-a-elevar-los-estandares-de</w:t>
      </w:r>
    </w:p>
    <w:p>
      <w:pPr>
        <w:spacing w:before="20"/>
        <w:ind w:left="360"/>
      </w:pPr>
      <w:r>
        <w:rPr>
          <w:color w:val="222222"/>
          <w:sz w:val="20"/>
        </w:rPr>
        <w:t>El gremio dijo que el agente de IA Anthropic plantea un desafío para la seguridad sistémica.</w:t>
      </w:r>
    </w:p>
    <w:p>
      <w:pPr>
        <w:spacing w:before="20"/>
        <w:ind w:left="360"/>
      </w:pPr>
      <w:r>
        <w:rPr>
          <w:color w:val="222222"/>
          <w:sz w:val="20"/>
        </w:rPr>
        <w:t>Por:Equipo DFPublicado: Miércoles 22 de abril de 2026 a las 04:00 hrs.</w:t>
      </w:r>
    </w:p>
    <w:p>
      <w:pPr>
        <w:spacing w:before="20"/>
        <w:ind w:left="360"/>
      </w:pPr>
      <w:r>
        <w:rPr>
          <w:color w:val="222222"/>
          <w:sz w:val="20"/>
        </w:rPr>
        <w:t>Publicado: Miércoles 22 de abril de 2026 a las 04:00 hrs.</w:t>
      </w:r>
    </w:p>
    <w:p>
      <w:pPr>
        <w:spacing w:before="20"/>
        <w:ind w:left="360"/>
      </w:pPr>
      <w:r>
        <w:rPr>
          <w:color w:val="222222"/>
          <w:sz w:val="20"/>
        </w:rPr>
        <w:t>Anthropic sigue dando de qué hablar. A su nuevo modelo Claude Cowork –que puso en jaque la hegemonía del software de gestión- sumó Mythos, un agente de inteligencia artificial (IA) que permite detectar, pero también explotar, vulnerabilidades de ciberseguridad. Sin embargo, la tecnológica de Silicon Valley señaló que el modelo era tan avanzado, que decidió limitar su uso a un grupo reducido de empresas (Project Glasswing).</w:t>
      </w:r>
    </w:p>
    <w:p>
      <w:pPr>
        <w:spacing w:before="20"/>
        <w:ind w:left="360"/>
      </w:pPr>
      <w:r>
        <w:rPr>
          <w:color w:val="222222"/>
          <w:sz w:val="20"/>
        </w:rPr>
        <w:t>La singularidad de estas declaraciones disparó las alertas en empresas, gremios y gobiernos de todo el mundo. En Chile, la Cámara Chilena de Inteligencia Artificial (CCHIA), un gremio que debutó en 2025 y que reúne a 45 socios –startups, consultoras y empresas de IA- señaló que si bien el modelo promete una capacidad defensiva revolucionaria para parchar infraestructuras críticas, también plantea un desafío ético y de seguridad sistémica.</w:t>
      </w:r>
    </w:p>
    <w:p>
      <w:pPr>
        <w:spacing w:before="20"/>
        <w:ind w:left="360"/>
      </w:pPr>
      <w:r>
        <w:rPr>
          <w:color w:val="222222"/>
          <w:sz w:val="20"/>
        </w:rPr>
        <w:t>El presidente de la CCHIA, Edison Vásquez, llamó a no subestimar este avance.</w:t>
      </w:r>
    </w:p>
    <w:p>
      <w:pPr>
        <w:spacing w:before="20"/>
        <w:ind w:left="360"/>
      </w:pPr>
      <w:r>
        <w:rPr>
          <w:color w:val="222222"/>
          <w:sz w:val="20"/>
        </w:rPr>
        <w:t>“Con la llegada de modelos como Mythos, la brecha entre la capacidad ofensiva y defensiva en el ciberespacio se vuelve más delgada que nunca”, dijo.</w:t>
      </w:r>
    </w:p>
    <w:p>
      <w:pPr>
        <w:spacing w:before="20"/>
        <w:ind w:left="360"/>
      </w:pPr>
      <w:r>
        <w:rPr>
          <w:color w:val="222222"/>
          <w:sz w:val="20"/>
        </w:rPr>
        <w:t>Además, Vásquez advirtió sobre la capacidad de la herramienta tanto para “blindar una nación” como exponer sus “puntos más críticos en cuestión de horas”.</w:t>
      </w:r>
    </w:p>
    <w:p>
      <w:pPr>
        <w:spacing w:before="20"/>
        <w:ind w:left="360"/>
      </w:pPr>
      <w:r>
        <w:rPr>
          <w:color w:val="222222"/>
          <w:sz w:val="20"/>
        </w:rPr>
        <w:t>En esa línea, hizo un “llamado urgente” a las empresas chilenas y al Estado, a elevar los estándares de seguridad y resiliencia digital.</w:t>
      </w:r>
    </w:p>
    <w:p>
      <w:pPr>
        <w:spacing w:before="40" w:after="120"/>
      </w:pPr>
      <w:r>
        <w:rPr>
          <w:color w:val="CCCCCC"/>
        </w:rPr>
        <w:t>· · ·</w:t>
      </w:r>
    </w:p>
    <w:p/>
    <w:p>
      <w:pPr>
        <w:pStyle w:val="Heading1"/>
      </w:pPr>
      <w:r>
        <w:rPr>
          <w:color w:val="E65000"/>
        </w:rPr>
        <w:t>🔹 Opinión</w:t>
      </w:r>
    </w:p>
    <w:p>
      <w:r>
        <w:rPr>
          <w:b/>
          <w:color w:val="E65000"/>
        </w:rPr>
        <w:t xml:space="preserve">1. </w:t>
      </w:r>
      <w:r>
        <w:rPr>
          <w:b/>
          <w:sz w:val="22"/>
        </w:rPr>
        <w:t>Rebaja del impuesto corporativo: menos caricatura</w:t>
      </w:r>
      <w:r>
        <w:rPr>
          <w:color w:val="990000"/>
          <w:sz w:val="18"/>
        </w:rPr>
        <w:t xml:space="preserve">  [🔒 paywall]</w:t>
      </w:r>
    </w:p>
    <w:p>
      <w:pPr>
        <w:spacing w:before="0"/>
      </w:pPr>
      <w:r>
        <w:rPr>
          <w:color w:val="0056B3"/>
          <w:sz w:val="18"/>
        </w:rPr>
        <w:t>https://www.df.cl/opinion/editorial/p/1</w:t>
      </w:r>
    </w:p>
    <w:p>
      <w:pPr>
        <w:spacing w:before="40" w:after="120"/>
      </w:pPr>
      <w:r>
        <w:rPr>
          <w:color w:val="CCCCCC"/>
        </w:rPr>
        <w:t>· · ·</w:t>
      </w:r>
    </w:p>
    <w:p>
      <w:r>
        <w:rPr>
          <w:b/>
          <w:color w:val="E65000"/>
        </w:rPr>
        <w:t xml:space="preserve">2. </w:t>
      </w:r>
      <w:r>
        <w:rPr>
          <w:b/>
          <w:sz w:val="22"/>
        </w:rPr>
        <w:t>Rebaja del impuesto corporativo: menos caricatura</w:t>
      </w:r>
    </w:p>
    <w:p>
      <w:pPr>
        <w:spacing w:before="0"/>
      </w:pPr>
      <w:r>
        <w:rPr>
          <w:color w:val="0056B3"/>
          <w:sz w:val="18"/>
        </w:rPr>
        <w:t>https://www.df.cl/opinion/editorial/rebaja-del-impuesto-corporativo-menos-caricatura</w:t>
      </w:r>
    </w:p>
    <w:p>
      <w:pPr>
        <w:spacing w:before="20"/>
        <w:ind w:left="360"/>
      </w:pPr>
      <w:r>
        <w:rPr>
          <w:color w:val="222222"/>
          <w:sz w:val="20"/>
        </w:rPr>
        <w:t>Por:Equipo DFPublicado: Miércoles 22 de abril de 2026 a las 04:00 hrs.</w:t>
      </w:r>
    </w:p>
    <w:p>
      <w:pPr>
        <w:spacing w:before="20"/>
        <w:ind w:left="360"/>
      </w:pPr>
      <w:r>
        <w:rPr>
          <w:color w:val="222222"/>
          <w:sz w:val="20"/>
        </w:rPr>
        <w:t>Publicado: Miércoles 22 de abril de 2026 a las 04:00 hrs.</w:t>
      </w:r>
    </w:p>
    <w:p>
      <w:pPr>
        <w:spacing w:before="20"/>
        <w:ind w:left="360"/>
      </w:pPr>
      <w:r>
        <w:rPr>
          <w:color w:val="222222"/>
          <w:sz w:val="20"/>
        </w:rPr>
        <w:t>En los últimos días ha comenzado a instalarse en el debate público que la rebaja del impuesto corporativo que el gobierno incluirá en el proyecto de reconstrucción beneficiará a los más ricos. Las encuestas de opinión lo recogieron durante el fin de semana, mientras políticos de oposición lo han levantado como argumento contra la idea de legislar, sin exhibir mayor evidencia. Llevada así la discusión, se distorsiona el debate y se desvirtúa el sentido de un proyecto que busca dotar al país de una estructura tributaria pro crecimiento, que incentive la inversión y el empleo.</w:t>
      </w:r>
    </w:p>
    <w:p>
      <w:pPr>
        <w:spacing w:before="20"/>
        <w:ind w:left="360"/>
      </w:pPr>
      <w:r>
        <w:rPr>
          <w:color w:val="222222"/>
          <w:sz w:val="20"/>
        </w:rPr>
        <w:t>Existe consenso respecto de que en Chile el actual nivel del impuesto de Primera Categoría, de 27%, resta competitividad a las empresas frente al promedio de 24% de la OCDE y de 21% en América Latina. La idea de rebajar este gravamen ha estado presente en el debate tributario desde antes de la actual administración e, incluso, el exministro de Hacienda Mario Marcel consideró una propuesta para rebajarlo a hasta 24%. Reducir la discusión a un supuesto beneficio para los más ricos es desconocer la necesidad de elevar la competitividad del país, mientras en su lugar el análisis se centra en cuánto podría dejar de recaudar el Fisco. Se trata de una pregunta legítima, que debe abordarse, pero insuficiente, pues omite la emergencia laboral y de informalidad en el empleo que enfrenta el país.</w:t>
      </w:r>
    </w:p>
    <w:p>
      <w:pPr>
        <w:spacing w:before="20"/>
        <w:ind w:left="360"/>
      </w:pPr>
      <w:r>
        <w:rPr>
          <w:color w:val="222222"/>
          <w:sz w:val="20"/>
        </w:rPr>
        <w:t>Hoy, Chile registra una tasa de desempleo de 8,3%, con cerca de 860 mil personas desocupadas y más de 2,5 millones en la informalidad. Si a ello se suma que el actual régimen tributario ha ido configurando un sistema que, por su complejidad, segmentación y distorsiones, termina operando como un desincentivo a la inversión y, por esa vía, frena el empleo, la pregunta es, entonces, ¿qué porcentaje de la población podría perder potenciales nuevas oportunidades de empleabilidad si todo se mantiene igual? O dicho de otro modo, ¿cuánto le está costando al país mantener un esquema que desalienta la expansión de las empresas, la productividad y la formalización laboral? En esta línea, la discusión debería abordarse con más economía y menos ideología, sin perder de vista que cualquier ajuste debe realizarse con disciplina y sostenibilidad fiscal. A ello se suma que buena parte de la reducción de la pobreza se ha sostenido en transferencias del Estado, más que en ingresos autónomos. Promover, condiciones que impulsen la inversión y el crecimiento es, por tanto, una mejor respuesta de empleabilidad.</w:t>
      </w:r>
    </w:p>
    <w:p>
      <w:pPr>
        <w:spacing w:before="20"/>
        <w:ind w:left="360"/>
      </w:pPr>
      <w:r>
        <w:rPr>
          <w:color w:val="222222"/>
          <w:sz w:val="20"/>
        </w:rPr>
        <w:t>Ayer se conocieron, además, críticas de economistas de la oposición, asegurando que la rebaja tributaria “se apoya en una convicción ideológica, que carece de respaldo empírico sólido respecto de que por el solo hecho de pagar menos impuestos, las empresas y los propietarios actuarán en beneficio del país”, con lo cual no solo desconocieron infinidad de investigaciones, sino también las conclusiones de la Comisión Marfán, ampliamente validadas. Estas sostienen que reducciones en la carga tributaria pueden tener efectos en torno a 0,65 punto del PIB.</w:t>
      </w:r>
    </w:p>
    <w:p>
      <w:pPr>
        <w:spacing w:before="20"/>
        <w:ind w:left="360"/>
      </w:pPr>
      <w:r>
        <w:rPr>
          <w:color w:val="222222"/>
          <w:sz w:val="20"/>
        </w:rPr>
        <w:t>Es evidente que una medida de esta naturaleza exige mecanismos de compensación que aseguren su viabilidad fiscal. Y en ese sentido, será clave contar con un informe financiero detallado por parte del Ministerio de Hacienda, que permita sostener una discusión técnica y fundada en el Congreso. Lo que le sobra al debate son las caricaturas y los eslóganes.</w:t>
      </w:r>
    </w:p>
    <w:p>
      <w:pPr>
        <w:spacing w:before="40" w:after="120"/>
      </w:pPr>
      <w:r>
        <w:rPr>
          <w:color w:val="CCCCCC"/>
        </w:rPr>
        <w:t>· · ·</w:t>
      </w:r>
    </w:p>
    <w:p>
      <w:r>
        <w:rPr>
          <w:b/>
          <w:color w:val="E65000"/>
        </w:rPr>
        <w:t xml:space="preserve">3. </w:t>
      </w:r>
      <w:r>
        <w:rPr>
          <w:b/>
          <w:sz w:val="22"/>
        </w:rPr>
        <w:t>12 años de discursos</w:t>
      </w:r>
    </w:p>
    <w:p>
      <w:pPr>
        <w:spacing w:before="0"/>
      </w:pPr>
      <w:r>
        <w:rPr>
          <w:color w:val="0056B3"/>
          <w:sz w:val="18"/>
        </w:rPr>
        <w:t>https://www.df.cl/opinion/cartas/12-anos-de-discursos</w:t>
      </w:r>
    </w:p>
    <w:p>
      <w:pPr>
        <w:spacing w:before="20"/>
        <w:ind w:left="360"/>
      </w:pPr>
      <w:r>
        <w:rPr>
          <w:color w:val="222222"/>
          <w:sz w:val="20"/>
        </w:rPr>
        <w:t>Por:Equipo DFPublicado: Miércoles 22 de abril de 2026 a las 04:00 hrs.</w:t>
      </w:r>
    </w:p>
    <w:p>
      <w:pPr>
        <w:spacing w:before="20"/>
        <w:ind w:left="360"/>
      </w:pPr>
      <w:r>
        <w:rPr>
          <w:color w:val="222222"/>
          <w:sz w:val="20"/>
        </w:rPr>
        <w:t>Publicado: Miércoles 22 de abril de 2026 a las 04:00 hrs.</w:t>
      </w:r>
    </w:p>
    <w:p>
      <w:pPr>
        <w:spacing w:before="20"/>
        <w:ind w:left="360"/>
      </w:pPr>
      <w:r>
        <w:rPr>
          <w:color w:val="222222"/>
          <w:sz w:val="20"/>
        </w:rPr>
        <w:t>Hay una pregunta que los parlamentarios chilenos deberían hacerse antes de votar: ¿cuántas familias han salido de la pobreza gracias a un subsidio y cuántas gracias a un empleo digno? La respuesta es conocida. No hay mejor política social que el trabajo. Genera ingresos, autoestima, proyecto de vida y herencia para los hijos. Ningún bono lo reemplaza.</w:t>
      </w:r>
    </w:p>
    <w:p>
      <w:pPr>
        <w:spacing w:before="20"/>
        <w:ind w:left="360"/>
      </w:pPr>
      <w:r>
        <w:rPr>
          <w:color w:val="222222"/>
          <w:sz w:val="20"/>
        </w:rPr>
        <w:t>Es llamativo que la rebaja al impuesto corporativo, que el propio exPresidente Boric consideraba necesaria, hoy se presente como un ataque a los más vulnerables. Mientras Chile subía sus impuestos corporativos del 17% al 27%, todos los países de la OCDE los bajaban del 31% al 22% en promedio. ¿Estaban equivocados? ¿O nosotros fuimos la excepción que confirma el fracaso?</w:t>
      </w:r>
    </w:p>
    <w:p>
      <w:pPr>
        <w:spacing w:before="20"/>
        <w:ind w:left="360"/>
      </w:pPr>
      <w:r>
        <w:rPr>
          <w:color w:val="222222"/>
          <w:sz w:val="20"/>
        </w:rPr>
        <w:t>El resultado está a la vista: una década de crecimiento al 2%, inversión contraída y cesantía estructural. No fueron los trabajadores quienes se beneficiaron de esa política. Fueron los discursos.</w:t>
      </w:r>
    </w:p>
    <w:p>
      <w:pPr>
        <w:spacing w:before="20"/>
        <w:ind w:left="360"/>
      </w:pPr>
      <w:r>
        <w:rPr>
          <w:color w:val="222222"/>
          <w:sz w:val="20"/>
        </w:rPr>
        <w:t>Le pido a los honorables parlamentarios que piensen en el trabajador informal que quiere cotizar, en el joven que no encuentra empleo, en la PYME que no puede contratar. Voten pensando en ellos. No en las próximas elecciones.</w:t>
      </w:r>
    </w:p>
    <w:p>
      <w:pPr>
        <w:spacing w:before="40" w:after="120"/>
      </w:pPr>
      <w:r>
        <w:rPr>
          <w:color w:val="CCCCCC"/>
        </w:rPr>
        <w:t>· · ·</w:t>
      </w:r>
    </w:p>
    <w:p/>
    <w:p>
      <w:r>
        <w:br w:type="page"/>
      </w:r>
    </w:p>
    <w:p>
      <w:pPr>
        <w:jc w:val="center"/>
      </w:pPr>
      <w:r>
        <w:rPr>
          <w:color w:val="888888"/>
        </w:rPr>
        <w:t>Generado el 22/04/2026 a las 12:01</w:t>
        <w:br/>
        <w:t>Fuente: www.df.cl  |  Paywall: archive.today (Option 1 RemovePaywalls)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