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65000"/>
          <w:sz w:val="44"/>
        </w:rPr>
        <w:t>📰 Resumen Diario Financiero</w:t>
      </w:r>
    </w:p>
    <w:p>
      <w:pPr>
        <w:jc w:val="center"/>
      </w:pPr>
      <w:r>
        <w:rPr>
          <w:color w:val="555555"/>
        </w:rPr>
        <w:t>Edición Del Thursday 23 De April De 2026</w:t>
      </w:r>
    </w:p>
    <w:p/>
    <w:p>
      <w:pPr>
        <w:jc w:val="center"/>
      </w:pPr>
      <w:r>
        <w:rPr>
          <w:color w:val="444444"/>
        </w:rPr>
        <w:t>Noticias: 42  |  Con contenido: 41  |  Via archive.today: 0</w:t>
      </w:r>
    </w:p>
    <w:p>
      <w:r>
        <w:rPr>
          <w:color w:val="E65000"/>
        </w:rPr>
        <w:t>────────────────────────────────────────────────────────────────────────────────</w:t>
      </w:r>
    </w:p>
    <w:p>
      <w:r>
        <w:br w:type="page"/>
      </w:r>
    </w:p>
    <w:p>
      <w:pPr>
        <w:pStyle w:val="Heading1"/>
      </w:pPr>
      <w:r>
        <w:rPr>
          <w:color w:val="E65000"/>
        </w:rPr>
        <w:t>🔹 Mercados</w:t>
      </w:r>
    </w:p>
    <w:p>
      <w:r>
        <w:rPr>
          <w:b/>
          <w:color w:val="E65000"/>
        </w:rPr>
        <w:t xml:space="preserve">1. </w:t>
      </w:r>
      <w:r>
        <w:rPr>
          <w:b/>
          <w:sz w:val="22"/>
        </w:rPr>
        <w:t>Carozzi levanta casi US$ 70 millones gracias a un bono a más de 20 años plazo en el mercado chileno</w:t>
      </w:r>
      <w:r>
        <w:rPr>
          <w:color w:val="CC7700"/>
          <w:sz w:val="18"/>
        </w:rPr>
        <w:t xml:space="preserve">  [⭐ Destacada]</w:t>
      </w:r>
    </w:p>
    <w:p>
      <w:pPr>
        <w:spacing w:before="0"/>
      </w:pPr>
      <w:r>
        <w:rPr>
          <w:color w:val="0056B3"/>
          <w:sz w:val="18"/>
        </w:rPr>
        <w:t>https://www.df.cl/mercados/renta-fija/carozzi-levanta-casi-us-70-millones-gracias-a-un-bono-a-mas-de-20-anos</w:t>
      </w:r>
    </w:p>
    <w:p>
      <w:pPr>
        <w:spacing w:before="20"/>
        <w:ind w:left="360"/>
      </w:pPr>
      <w:r>
        <w:rPr>
          <w:color w:val="222222"/>
          <w:sz w:val="20"/>
        </w:rPr>
        <w:t>En medio del repunte de las expectativas inflacionarias, varias empresas líderes en su sector han salido a colocar deuda indexada al nivel de precios en el mercado local, incluyendo a Metrogas, Cencosud y Ruta del Maipo.</w:t>
      </w:r>
    </w:p>
    <w:p>
      <w:pPr>
        <w:spacing w:before="20"/>
        <w:ind w:left="360"/>
      </w:pPr>
      <w:r>
        <w:rPr>
          <w:color w:val="222222"/>
          <w:sz w:val="20"/>
        </w:rPr>
        <w:t>Publicado: Jueves 23 de abril de 2026 a las 11:42 hrs.</w:t>
      </w:r>
    </w:p>
    <w:p>
      <w:pPr>
        <w:spacing w:before="20"/>
        <w:ind w:left="360"/>
      </w:pPr>
      <w:r>
        <w:rPr>
          <w:color w:val="222222"/>
          <w:sz w:val="20"/>
        </w:rPr>
        <w:t>Carozzi salió a ofrecer un bono de largo plazo y recaudó el equivalente a unos US$ 67 millones, tras cortejar a inversionistas deseosos de exponerse ala UFen estos tiempos de mayor presión inflacionaria.</w:t>
      </w:r>
    </w:p>
    <w:p>
      <w:pPr>
        <w:spacing w:before="20"/>
        <w:ind w:left="360"/>
      </w:pPr>
      <w:r>
        <w:rPr>
          <w:color w:val="222222"/>
          <w:sz w:val="20"/>
        </w:rPr>
        <w:t>La multinacional de la familia Bofill recaudóUF 1,5 millóncon el bono serie Y en la mañana de este jueves.La operación logró una tasa de interés promedio de 3,14%, cifra que representa unspreadde alrededor de 70 puntos basey está por debajo de la tasa de inscripción de 3,47%.</w:t>
      </w:r>
    </w:p>
    <w:p>
      <w:pPr>
        <w:spacing w:before="20"/>
        <w:ind w:left="360"/>
      </w:pPr>
      <w:r>
        <w:rPr>
          <w:color w:val="222222"/>
          <w:sz w:val="20"/>
        </w:rPr>
        <w:t>Los fondos se utilizarán en"refinanciamiento de pasivos financieros" y "otros usos corporativos generales"tanto del emisor como sus filiales, según la presentación de unroadshowa potenciales inversionistas.</w:t>
      </w:r>
    </w:p>
    <w:p>
      <w:pPr>
        <w:spacing w:before="120"/>
        <w:ind w:left="360"/>
      </w:pPr>
      <w:r>
        <w:rPr>
          <w:b/>
          <w:color w:val="E65000"/>
          <w:sz w:val="26"/>
        </w:rPr>
        <w:t xml:space="preserve"> </w:t>
      </w:r>
    </w:p>
    <w:p>
      <w:pPr>
        <w:spacing w:before="20"/>
        <w:ind w:left="360"/>
      </w:pPr>
      <w:r>
        <w:rPr>
          <w:color w:val="222222"/>
          <w:sz w:val="20"/>
        </w:rPr>
        <w:t>El vencimiento es en 2047, peroel fabricante de alimentos empezará a devolver capital a un ritmo constante pasados los 10 años,lo que irá reduciendo a su vez la carga de intereses. Dicha estructura comprime elduration(plazo ponderado por flujos) a un poco más de la mitad del plazo bruto.</w:t>
      </w:r>
    </w:p>
    <w:p>
      <w:pPr>
        <w:spacing w:before="20"/>
        <w:ind w:left="360"/>
      </w:pPr>
      <w:r>
        <w:rPr>
          <w:color w:val="222222"/>
          <w:sz w:val="20"/>
        </w:rPr>
        <w:t>Las tasas en UF han caído desde que a fines de febrero Estados Unidos inició suoperación militar contra Irán, por el apremio de inversionistas que buscan exponerse a la UF ante los efectos inflacionarios de un conflicto aún no resuelto.</w:t>
      </w:r>
    </w:p>
    <w:p>
      <w:pPr>
        <w:spacing w:before="20"/>
        <w:ind w:left="360"/>
      </w:pPr>
      <w:r>
        <w:rPr>
          <w:color w:val="222222"/>
          <w:sz w:val="20"/>
        </w:rPr>
        <w:t>Varias empresas líderes en su sector han salido a colocar deuda indexada en estas circunstancias, incluyendo a la distribuidora de energíaMetrogas, el minoristaCencosudy la concesionaria de autopistasRuta del Maipo.</w:t>
      </w:r>
    </w:p>
    <w:p>
      <w:pPr>
        <w:spacing w:before="20"/>
        <w:ind w:left="360"/>
      </w:pPr>
      <w:r>
        <w:rPr>
          <w:color w:val="222222"/>
          <w:sz w:val="20"/>
        </w:rPr>
        <w:t>La deuda de Carozzi tiene notas crediticias "AA-" otorgadas por las clasificadoras Fitch Ratings y Feller Rate. El ratio deuda financiera neta sobre Ebitda de la compañía aumentó a 2,7 veces en 2025, año en quesalió a colocar un bono localpara pagar un dividendo a sus accionistas, como parte del acuerdo de recompra de la participación de Tiger Brands sobre su filial Empresas Carozzi.</w:t>
      </w:r>
    </w:p>
    <w:p>
      <w:pPr>
        <w:spacing w:before="40" w:after="120"/>
      </w:pPr>
      <w:r>
        <w:rPr>
          <w:color w:val="CCCCCC"/>
        </w:rPr>
        <w:t>· · ·</w:t>
      </w:r>
    </w:p>
    <w:p>
      <w:r>
        <w:rPr>
          <w:b/>
          <w:color w:val="E65000"/>
        </w:rPr>
        <w:t xml:space="preserve">2. </w:t>
      </w:r>
      <w:r>
        <w:rPr>
          <w:b/>
          <w:sz w:val="22"/>
        </w:rPr>
        <w:t>IPSA vuelve a caer y pierde la marca de 11.000 puntos frente a la incertidumbre por el bloqueo del estrecho de Ormuz</w:t>
      </w:r>
      <w:r>
        <w:rPr>
          <w:color w:val="CC7700"/>
          <w:sz w:val="18"/>
        </w:rPr>
        <w:t xml:space="preserve">  [⭐ Destacada]</w:t>
      </w:r>
    </w:p>
    <w:p>
      <w:pPr>
        <w:spacing w:before="0"/>
      </w:pPr>
      <w:r>
        <w:rPr>
          <w:color w:val="0056B3"/>
          <w:sz w:val="18"/>
        </w:rPr>
        <w:t>https://www.df.cl/mercados/bolsa-monedas/bolsas-hoy-bk29a</w:t>
      </w:r>
    </w:p>
    <w:p>
      <w:pPr>
        <w:spacing w:before="20"/>
        <w:ind w:left="360"/>
      </w:pPr>
      <w:r>
        <w:rPr>
          <w:color w:val="222222"/>
          <w:sz w:val="20"/>
        </w:rPr>
        <w:t>Trump está esperando que Irán acceda a entregar sus inventarios de uranio altamente enriquecido. Mientras, el Presidente de EEUU ordenó a la Armada que "dispare y destruya cualquier embarcación" que esté colocando minas en aguas del pasaje.</w:t>
      </w:r>
    </w:p>
    <w:p>
      <w:pPr>
        <w:spacing w:before="20"/>
        <w:ind w:left="360"/>
      </w:pPr>
      <w:r>
        <w:rPr>
          <w:color w:val="222222"/>
          <w:sz w:val="20"/>
        </w:rPr>
        <w:t>Publicado: Jueves 23 de abril de 2026 a las 09:47 hrs.</w:t>
      </w:r>
    </w:p>
    <w:p>
      <w:pPr>
        <w:spacing w:before="20"/>
        <w:ind w:left="360"/>
      </w:pPr>
      <w:r>
        <w:rPr>
          <w:color w:val="222222"/>
          <w:sz w:val="20"/>
        </w:rPr>
        <w:t>Las bolsas caían este jueves, ya que el panorama del comercio energético se ha nublado por el persistente bloqueo del estrecho de Ormuz, y proliferan las alertas sobre el potencial daño a la economía global.</w:t>
      </w:r>
    </w:p>
    <w:p>
      <w:pPr>
        <w:spacing w:before="20"/>
        <w:ind w:left="360"/>
      </w:pPr>
      <w:r>
        <w:rPr>
          <w:color w:val="222222"/>
          <w:sz w:val="20"/>
        </w:rPr>
        <w:t>Después decuatro sesiones a la baja,el S&amp;P IPSA descendía 0,3% hasta los 10.973,55 puntosen la apertura de la Bolsa de Santiago, con gran influencia delBanco de Chile (-1,5%) y SQM-B (-1%).</w:t>
      </w:r>
    </w:p>
    <w:p>
      <w:pPr>
        <w:spacing w:before="20"/>
        <w:ind w:left="360"/>
      </w:pPr>
      <w:r>
        <w:rPr>
          <w:color w:val="222222"/>
          <w:sz w:val="20"/>
        </w:rPr>
        <w:t>En Wall Street, que viene de cerrar en máximos históricos,el Dow Jones aflojaba 0,4%, el Nasdaq perdía 0,3% y el S&amp;P 500 cedía 0,2%. Por el lado de Europa,el continental Euro Stoxx 50 bajaba 0,3% y el FTSE 100 de Londres retrocedía 0,4%. Todos los principales índices bursátiles de Asia cerraron en rojo.</w:t>
      </w:r>
    </w:p>
    <w:p>
      <w:pPr>
        <w:spacing w:before="20"/>
        <w:ind w:left="360"/>
      </w:pPr>
      <w:r>
        <w:rPr>
          <w:color w:val="222222"/>
          <w:sz w:val="20"/>
        </w:rPr>
        <w:t>El petróleo Brent se estabilizaba por arriba de US$ 100 el barril, mientrasTrump está esperando que Irán acceda a entregar sus inventarios de uranio altamente enriquecido, según dijo a la prensa este miércoles la vocera de la Casa Blanca,Karoline Leavitt.</w:t>
      </w:r>
    </w:p>
    <w:p>
      <w:pPr>
        <w:spacing w:before="20"/>
        <w:ind w:left="360"/>
      </w:pPr>
      <w:r>
        <w:rPr>
          <w:color w:val="222222"/>
          <w:sz w:val="20"/>
        </w:rPr>
        <w:t>La víspera estuvo marcada por la noticia de que el Presidente de EEUU extendió la tregua con Teherán hasta lograr un acuerdo, pero también por los posteriores recuentos de disparos iraníes a barcos que navegaban por el estrecho de Ormuz, y dos detenciones a manos del régimen persa.</w:t>
      </w:r>
    </w:p>
    <w:p>
      <w:pPr>
        <w:spacing w:before="20"/>
        <w:ind w:left="360"/>
      </w:pPr>
      <w:r>
        <w:rPr>
          <w:color w:val="222222"/>
          <w:sz w:val="20"/>
        </w:rPr>
        <w:t>Washington sigue pujando por mayor control. "He ordenado a la Armada de los EEUU quedispare y destruya cualquier embarcación, por pequeña que sea, que esté colocando minas en las aguas del estrecho de Ormuz. No debe haber ninguna vacilación", publicó Trump este jueves en su red Truth Social.</w:t>
      </w:r>
    </w:p>
    <w:p>
      <w:pPr>
        <w:spacing w:before="20"/>
        <w:ind w:left="360"/>
      </w:pPr>
      <w:r>
        <w:rPr>
          <w:color w:val="222222"/>
          <w:sz w:val="20"/>
        </w:rPr>
        <w:t>"Sigue habiendo un alto nivel de incertidumbre, y el mercado bursátil estadounidense, que se encuentra en máximos históricos, ha estado básicamente asignando una probabilidad cercana al 0% de que se prolongue guerra o el cierre del estrecho", escribió eldirector de investigación y estrategia de derivados del Schwab Center for Financial Research, Nathan Peterson.</w:t>
      </w:r>
    </w:p>
    <w:p>
      <w:pPr>
        <w:spacing w:before="20"/>
        <w:ind w:left="360"/>
      </w:pPr>
      <w:r>
        <w:rPr>
          <w:color w:val="222222"/>
          <w:sz w:val="20"/>
        </w:rPr>
        <w:t>En noticias corporativas,Tesla (-1,3%)dejó atrás las fuertes alzas iniciales que había visto fuera de rueda tras lapublicación de sus resultados del primer trimestre, mientras los inversionistas adoptan algo más de cautela sobre losingentes planes de inversióndel fabricante de autos eléctricos.</w:t>
      </w:r>
    </w:p>
    <w:p>
      <w:pPr>
        <w:spacing w:before="40" w:after="120"/>
      </w:pPr>
      <w:r>
        <w:rPr>
          <w:color w:val="CCCCCC"/>
        </w:rPr>
        <w:t>· · ·</w:t>
      </w:r>
    </w:p>
    <w:p>
      <w:r>
        <w:rPr>
          <w:b/>
          <w:color w:val="E65000"/>
        </w:rPr>
        <w:t xml:space="preserve">3. </w:t>
      </w:r>
      <w:r>
        <w:rPr>
          <w:b/>
          <w:sz w:val="22"/>
        </w:rPr>
        <w:t>Dólar abre con leve subida mientras no avanzan negociaciones entre EEUU e Irán para destrabar el estrecho de Ormuz</w:t>
      </w:r>
      <w:r>
        <w:rPr>
          <w:color w:val="CC7700"/>
          <w:sz w:val="18"/>
        </w:rPr>
        <w:t xml:space="preserve">  [⭐ Destacada]</w:t>
      </w:r>
    </w:p>
    <w:p>
      <w:pPr>
        <w:spacing w:before="0"/>
      </w:pPr>
      <w:r>
        <w:rPr>
          <w:color w:val="0056B3"/>
          <w:sz w:val="18"/>
        </w:rPr>
        <w:t>https://www.df.cl/mercados/bolsa-monedas/dolar-hoy-inyeo</w:t>
      </w:r>
    </w:p>
    <w:p>
      <w:pPr>
        <w:spacing w:before="20"/>
        <w:ind w:left="360"/>
      </w:pPr>
      <w:r>
        <w:rPr>
          <w:color w:val="222222"/>
          <w:sz w:val="20"/>
        </w:rPr>
        <w:t>El tipo de cambio cerró a la baja este jueves, siendo el peso chileno una de las pocas divisas emergentes que se apreciaron, en momentos en que el cobre Comex alcanzaba los US$ 6,2 por libra.</w:t>
      </w:r>
    </w:p>
    <w:p>
      <w:pPr>
        <w:spacing w:before="20"/>
        <w:ind w:left="360"/>
      </w:pPr>
      <w:r>
        <w:rPr>
          <w:color w:val="222222"/>
          <w:sz w:val="20"/>
        </w:rPr>
        <w:t>Publicado: Jueves 23 de abril de 2026 a las 08:38 hrs.</w:t>
      </w:r>
    </w:p>
    <w:p>
      <w:pPr>
        <w:spacing w:before="20"/>
        <w:ind w:left="360"/>
      </w:pPr>
      <w:r>
        <w:rPr>
          <w:color w:val="222222"/>
          <w:sz w:val="20"/>
        </w:rPr>
        <w:t>El dólar abrió al alza este jueves en Chile, en momentos en que las negociaciones entre Estados Unidos e Irán para resolver el conflicto se encuentran un punto muerto, y el bloqueo del estrecho de Ormuz hace temer consecuencias aún más negativas para la economía global.</w:t>
      </w:r>
    </w:p>
    <w:p>
      <w:pPr>
        <w:spacing w:before="20"/>
        <w:ind w:left="360"/>
      </w:pPr>
      <w:r>
        <w:rPr>
          <w:color w:val="222222"/>
          <w:sz w:val="20"/>
        </w:rPr>
        <w:t>La divisa subía $ 1,6 hasta los $ 891,3 en las primeras transacciones, según datos de Bloomberg. Un indicador del dólar global se fortalecía marginalmente yel cobre Comex retrocedía 0,9% a US$ 6,13 por libra, mientras el petróleo Brent se estabilizaba un poco más arriba de US$ 100 el barril.</w:t>
      </w:r>
    </w:p>
    <w:p>
      <w:pPr>
        <w:spacing w:before="20"/>
        <w:ind w:left="360"/>
      </w:pPr>
      <w:r>
        <w:rPr>
          <w:color w:val="222222"/>
          <w:sz w:val="20"/>
        </w:rPr>
        <w:t>Trump está esperando que Irán acceda a entregar sus inventarios de uranio altamente enriquecido, según dijo a la prensa este miércoles la vocera de la Casa Blanca,Karoline Leavitt. EEUU inició la guerra a fines de febrero bajo el argumento de que dicho material podría ser enriquecido aún más, hasta llegar al grado apto para la confección de una bomba atomíca.</w:t>
      </w:r>
    </w:p>
    <w:p>
      <w:pPr>
        <w:spacing w:before="20"/>
        <w:ind w:left="360"/>
      </w:pPr>
      <w:r>
        <w:rPr>
          <w:color w:val="222222"/>
          <w:sz w:val="20"/>
        </w:rPr>
        <w:t>Mientras, Washington sigue manteniendo un bloqueo a los puertos iraníes en el estrecho de Ormuz, habiendo interceptado efectivamente algunas naves, situación querepresenta el mayor obstáculo para proseguir con las negociaciones, según afirmó Masoud Pezeshkian, el presidente de Irán.</w:t>
      </w:r>
    </w:p>
    <w:p>
      <w:pPr>
        <w:spacing w:before="20"/>
        <w:ind w:left="360"/>
      </w:pPr>
      <w:r>
        <w:rPr>
          <w:color w:val="222222"/>
          <w:sz w:val="20"/>
        </w:rPr>
        <w:t>Si bien hubo algo de optimismo por la noticia de que Trump extendió la tregua con Irán hasta lograr un acuerdo, la víspera estuvo marcada por reportes de que lanchas de guerra iraníes dispararon contra buques que cruzaban el estrecho, y el anuncio de Teherán señalando que detuvo a dos barcos para conducirlos a sus aguas territoriales por "poner en peligro la seguridad marítima".</w:t>
      </w:r>
    </w:p>
    <w:p>
      <w:pPr>
        <w:spacing w:before="20"/>
        <w:ind w:left="360"/>
      </w:pPr>
      <w:r>
        <w:rPr>
          <w:color w:val="222222"/>
          <w:sz w:val="20"/>
        </w:rPr>
        <w:t>En medio de estas noticias,el tipo de cambio cerró a la baja. No sólo eso: el peso chileno fue una de las pocas divisas emergentes que se apreciaron, y ocurrió en paralelo con un fuerte salto del cobre Comex hasta los US$ 6,2 por libra.</w:t>
      </w:r>
    </w:p>
    <w:p>
      <w:pPr>
        <w:spacing w:before="20"/>
        <w:ind w:left="360"/>
      </w:pPr>
      <w:r>
        <w:rPr>
          <w:color w:val="222222"/>
          <w:sz w:val="20"/>
        </w:rPr>
        <w:t>"Los precios del cobre se han recuperado rápidamente, volviendo a los máximos alcanzados a principios de este año. Desde una perspectiva general, este movimiento refleja un cambio generalizado en la confianza que también ha impulsado a las acciones estadounidenses de vuelta a niveles récord, principalmente las expuestas a la expansión de la infraestructura de Inteligencia Artificial", escribió elheadde Next Generation Research en Julius Baer, Casten Menke.</w:t>
      </w:r>
    </w:p>
    <w:p>
      <w:pPr>
        <w:spacing w:before="20"/>
        <w:ind w:left="360"/>
      </w:pPr>
      <w:r>
        <w:rPr>
          <w:color w:val="222222"/>
          <w:sz w:val="20"/>
        </w:rPr>
        <w:t>"La disrupción que se genera a partir de la situación en Ormuz también ha pasado a ser el centro de atención del mercado de cobre. Medio Oriente es un importante exportador de ácido sulfúrico, que resulta crucial para un tipo específico de procesamiento de cobre que representa más del 15% de la producción de las minas. Las preocupaciones sobre la escasez se han visto amplificadas por el anuncio de China de que detendrá las exportaciones a partir de mayo para conservar los suministros nacionales", agregó.</w:t>
      </w:r>
    </w:p>
    <w:p>
      <w:pPr>
        <w:spacing w:before="40" w:after="120"/>
      </w:pPr>
      <w:r>
        <w:rPr>
          <w:color w:val="CCCCCC"/>
        </w:rPr>
        <w:t>· · ·</w:t>
      </w:r>
    </w:p>
    <w:p>
      <w:r>
        <w:rPr>
          <w:b/>
          <w:color w:val="E65000"/>
        </w:rPr>
        <w:t xml:space="preserve">4. </w:t>
      </w:r>
      <w:r>
        <w:rPr>
          <w:b/>
          <w:sz w:val="22"/>
        </w:rPr>
        <w:t>Vinci Compass integrará negocio en Argentina con BACS Asset Management</w:t>
      </w:r>
    </w:p>
    <w:p>
      <w:pPr>
        <w:spacing w:before="0"/>
      </w:pPr>
      <w:r>
        <w:rPr>
          <w:color w:val="0056B3"/>
          <w:sz w:val="18"/>
        </w:rPr>
        <w:t>https://www.df.cl/mercados/bolsa-monedas/vinci-compass-integrara-negocio-en-argentina-con-bacs-asset-management</w:t>
      </w:r>
    </w:p>
    <w:p>
      <w:pPr>
        <w:spacing w:before="20"/>
        <w:ind w:left="360"/>
      </w:pPr>
      <w:r>
        <w:rPr>
          <w:color w:val="222222"/>
          <w:sz w:val="20"/>
        </w:rPr>
        <w:t>La plataforma resultante de la operación alcanzará los US$ 1.600 millones bajo administración. Se concretará en este segundo trimestre.</w:t>
      </w:r>
    </w:p>
    <w:p>
      <w:pPr>
        <w:spacing w:before="20"/>
        <w:ind w:left="360"/>
      </w:pPr>
      <w:r>
        <w:rPr>
          <w:color w:val="222222"/>
          <w:sz w:val="20"/>
        </w:rPr>
        <w:t>Por:Daniel Vizcarra G.Publicado: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Vinci Compass Investments anunció este miércoles la firma de un acuerdo para integrar sus operaciones de gestión de activos en Argentina con BACS Administradora de Activos, una administradora local de fondos mutuos y plataforma de mercado de capitales, que opera bajo la marca Toronto Trust.</w:t>
      </w:r>
    </w:p>
    <w:p>
      <w:pPr>
        <w:spacing w:before="20"/>
        <w:ind w:left="360"/>
      </w:pPr>
      <w:r>
        <w:rPr>
          <w:color w:val="222222"/>
          <w:sz w:val="20"/>
        </w:rPr>
        <w:t>De este modo, se integrarán las operaciones de Investis Asset Management, el negocio de administración de activos que Vinci Compass posee en el país trasandino, con BACS, que al cierre de marzo de este año tenía bajo su gestión US$ 800 millones. Como resultado de la operación, que se espera se concrete en el segundo trimestre de 2026, la plataforma combinada alcanzará cerca de US$ 1.600 millones en activos bajo administración.</w:t>
      </w:r>
    </w:p>
    <w:p>
      <w:pPr>
        <w:spacing w:before="20"/>
        <w:ind w:left="360"/>
      </w:pPr>
      <w:r>
        <w:rPr>
          <w:color w:val="222222"/>
          <w:sz w:val="20"/>
        </w:rPr>
        <w:t>La firma, que además posee oficinas en Chile, Colombia, Uruguay, Perú, México y Estados Unidos, señaló que contará con oferta que incorporará estrategias de liquidez y de mayor duración, con una fuerte presencia en clientes corporativos, minoristas e institucionales.</w:t>
      </w:r>
    </w:p>
    <w:p>
      <w:pPr>
        <w:spacing w:before="20"/>
        <w:ind w:left="360"/>
      </w:pPr>
      <w:r>
        <w:rPr>
          <w:color w:val="222222"/>
          <w:sz w:val="20"/>
        </w:rPr>
        <w:t>El CEO de Vinci Compass, Alessandro Horta, indicó que “Argentina representa una de las oportunidades más atractivas de crecimiento para la industria de asset management en la región, impulsada por cambios estructurales en el ahorro, una mayor demanda de soluciones de inversión y la necesidad de mayor escala y eficiencia”. Agregó que “la integración de Investis con BACS Administradora de Activos nos permite construir una plataforma local sólida, con una red de distribución robusta, una oferta de productos complementaria y un importante potencial de crecimiento operativo”.</w:t>
      </w:r>
    </w:p>
    <w:p>
      <w:pPr>
        <w:spacing w:before="20"/>
        <w:ind w:left="360"/>
      </w:pPr>
      <w:r>
        <w:rPr>
          <w:color w:val="222222"/>
          <w:sz w:val="20"/>
        </w:rPr>
        <w:t>BACS fue fundada en 2012, con foco en clientes corporativos e inversionistas individuales y su principal accionista es el banco mayorista argentino BACS Banco de Crédito y Securitización SA, firma que, al mismo tiempo, es controlada por Banco Hipotecario.</w:t>
      </w:r>
    </w:p>
    <w:p>
      <w:pPr>
        <w:spacing w:before="20"/>
        <w:ind w:left="360"/>
      </w:pPr>
      <w:r>
        <w:rPr>
          <w:color w:val="222222"/>
          <w:sz w:val="20"/>
        </w:rPr>
        <w:t>De acuerdo con lo informado, la operación se concretará a través de una reorganización societaria a nivel de las entidades argentinas de Vinci Compass, sin desembolso de efectivo. Dicha firma continuará a cargo de la gestión de la plataforma combinada, mientras que los accionistas de BACS Administradora de Activos mantendrán una participación minoritaria relevante.</w:t>
      </w:r>
    </w:p>
    <w:p>
      <w:pPr>
        <w:spacing w:before="20"/>
        <w:ind w:left="360"/>
      </w:pPr>
      <w:r>
        <w:rPr>
          <w:color w:val="222222"/>
          <w:sz w:val="20"/>
        </w:rPr>
        <w:t>De la misma forma, se establece un esquema de incentivos relacionado al crecimiento de activos e ingresos generados a través de los canales de distribución de BACS y Banco Hipotecario.</w:t>
      </w:r>
    </w:p>
    <w:p>
      <w:pPr>
        <w:spacing w:before="20"/>
        <w:ind w:left="360"/>
      </w:pPr>
      <w:r>
        <w:rPr>
          <w:color w:val="222222"/>
          <w:sz w:val="20"/>
        </w:rPr>
        <w:t>“La entidad resultante operará bajo los estándares de inversión, gestión de riesgos y cumplimiento normativo de Vinci Compass, complementados con la experiencia local, capacidades operativas y red de distribución de BACS”, se comunicó por parte de la gestora.</w:t>
      </w:r>
    </w:p>
    <w:p>
      <w:pPr>
        <w:spacing w:before="40" w:after="120"/>
      </w:pPr>
      <w:r>
        <w:rPr>
          <w:color w:val="CCCCCC"/>
        </w:rPr>
        <w:t>· · ·</w:t>
      </w:r>
    </w:p>
    <w:p>
      <w:r>
        <w:rPr>
          <w:b/>
          <w:color w:val="E65000"/>
        </w:rPr>
        <w:t xml:space="preserve">5. </w:t>
      </w:r>
      <w:r>
        <w:rPr>
          <w:b/>
          <w:sz w:val="22"/>
        </w:rPr>
        <w:t>Juan Guillermo Agüero, gerente general de BTG Pactual Chile: “Debemos ir hacia un sistema en que no haya impuesto a la ganancia de capital para nadie”</w:t>
      </w:r>
    </w:p>
    <w:p>
      <w:pPr>
        <w:spacing w:before="0"/>
      </w:pPr>
      <w:r>
        <w:rPr>
          <w:color w:val="0056B3"/>
          <w:sz w:val="18"/>
        </w:rPr>
        <w:t>https://www.df.cl/mercados/bolsa-monedas/juan-guillermo-aguero-gerente-general-de-btg-pactual-chile-debemos-ir</w:t>
      </w:r>
    </w:p>
    <w:p>
      <w:pPr>
        <w:spacing w:before="20"/>
        <w:ind w:left="360"/>
      </w:pPr>
      <w:r>
        <w:rPr>
          <w:color w:val="222222"/>
          <w:sz w:val="20"/>
        </w:rPr>
        <w:t>Para el ejecutivo, el proyecto de Kast requiere también de que los empresarios “den empleo, inviertan y es un esfuerzo que tiene que ser más amplio que el gobierno”.</w:t>
      </w:r>
    </w:p>
    <w:p>
      <w:pPr>
        <w:spacing w:before="20"/>
        <w:ind w:left="360"/>
      </w:pPr>
      <w:r>
        <w:rPr>
          <w:color w:val="222222"/>
          <w:sz w:val="20"/>
        </w:rPr>
        <w:t>Publicado: Jueves 23 de abril de 2026 a las 04:00 hrs.</w:t>
      </w:r>
    </w:p>
    <w:p>
      <w:pPr>
        <w:spacing w:before="20"/>
        <w:ind w:left="360"/>
      </w:pPr>
      <w:r>
        <w:rPr>
          <w:color w:val="222222"/>
          <w:sz w:val="20"/>
        </w:rPr>
        <w:t>Fueron cerca de 1.000 ejecutivos, empresarios e inversionistas los que llegaron este miércoles hasta el salón principal del Hotel W Santiago para la más reciente edición del seminario anual de BTG Pactual Chile.</w:t>
      </w:r>
    </w:p>
    <w:p>
      <w:pPr>
        <w:spacing w:before="20"/>
        <w:ind w:left="360"/>
      </w:pPr>
      <w:r>
        <w:rPr>
          <w:color w:val="222222"/>
          <w:sz w:val="20"/>
        </w:rPr>
        <w:t>Con las primeras definiciones del nuevo ciclo económico y político como telón de fondo, las conversaciones en los pasillos del centro de eventos giraron en torno al envío al Congreso del proyecto misceláneo de reactivación y reconstrucción de la administración del Presidente José Antonio Kast.</w:t>
      </w:r>
    </w:p>
    <w:p>
      <w:pPr>
        <w:spacing w:before="20"/>
        <w:ind w:left="360"/>
      </w:pPr>
      <w:r>
        <w:rPr>
          <w:color w:val="222222"/>
          <w:sz w:val="20"/>
        </w:rPr>
        <w:t>El documento, firmado horas antes de iniciarse el seminario del banco de inversión, delineó una batería de medidas que incluyó seis propuestas generales para la actividad económica, y se transformó en el tema obligado entre los asistentes. El evento también contó con la intervención del mandatario.</w:t>
      </w:r>
    </w:p>
    <w:p>
      <w:pPr>
        <w:spacing w:before="20"/>
        <w:ind w:left="360"/>
      </w:pPr>
      <w:r>
        <w:rPr>
          <w:color w:val="222222"/>
          <w:sz w:val="20"/>
        </w:rPr>
        <w:t>En conversación con DF, el gerente general de BTG Pactual Chile, Juan Guillermo Agüero, valoró la iniciativa del gobierno entrante y se alineó con el llamado de Kast al sector privado para apoyar los esfuerzos desde La Moneda.</w:t>
      </w:r>
    </w:p>
    <w:p>
      <w:pPr>
        <w:spacing w:before="20"/>
        <w:ind w:left="360"/>
      </w:pPr>
      <w:r>
        <w:rPr>
          <w:color w:val="222222"/>
          <w:sz w:val="20"/>
        </w:rPr>
        <w:t>- Hay un diagnóstico compartido en el sentido de que llevamos un período largo de bajo crecimiento del 2%, por 12 o 13 años, en el que tenemos un desempleo alto, que hay poca inversión, por distintas causas. El proyecto se hace cargo de ese diagnóstico e intenta revertir esa situación.</w:t>
      </w:r>
    </w:p>
    <w:p>
      <w:pPr>
        <w:spacing w:before="20"/>
        <w:ind w:left="360"/>
      </w:pPr>
      <w:r>
        <w:rPr>
          <w:color w:val="222222"/>
          <w:sz w:val="20"/>
        </w:rPr>
        <w:t>- ¿Cuál será el rol del sector privado a partir de ahora?</w:t>
      </w:r>
    </w:p>
    <w:p>
      <w:pPr>
        <w:spacing w:before="20"/>
        <w:ind w:left="360"/>
      </w:pPr>
      <w:r>
        <w:rPr>
          <w:color w:val="222222"/>
          <w:sz w:val="20"/>
        </w:rPr>
        <w:t>- Se requiere también que los empresarios, el sector privado, se movilicen, den empleo, inviertan, y, por lo tanto, es un esfuerzo que tiene que ser más amplio que el gobierno. El gobierno está haciendo su parte en proponer políticas proinversión, proempleo y procrecimiento.</w:t>
      </w:r>
    </w:p>
    <w:p>
      <w:pPr>
        <w:spacing w:before="20"/>
        <w:ind w:left="360"/>
      </w:pPr>
      <w:r>
        <w:rPr>
          <w:color w:val="222222"/>
          <w:sz w:val="20"/>
        </w:rPr>
        <w:t>El sector privado tiene que cuadrarse con esta iniciativa. Echar a andar Chile es un proyecto demasiado grande para dejárselo solo al gobierno o a los políticos; el sector privado tiene que estar detrás, y apoyar haciendo inversión, dando empleo y teniendo una postura favorable a todas las iniciativas proinversión.</w:t>
      </w:r>
    </w:p>
    <w:p>
      <w:pPr>
        <w:spacing w:before="20"/>
        <w:ind w:left="360"/>
      </w:pPr>
      <w:r>
        <w:rPr>
          <w:color w:val="222222"/>
          <w:sz w:val="20"/>
        </w:rPr>
        <w:t>Para Agüero, la batería de medidas “va a promover el mercado de capitales y activará los animals spirits (espíritus animales), las ganas de invertir, las ganas de volver a Chile”.</w:t>
      </w:r>
    </w:p>
    <w:p>
      <w:pPr>
        <w:spacing w:before="20"/>
        <w:ind w:left="360"/>
      </w:pPr>
      <w:r>
        <w:rPr>
          <w:color w:val="222222"/>
          <w:sz w:val="20"/>
        </w:rPr>
        <w:t>Una de las que más entusiasma al mercado es que el proyecto del gobierno contiene el viejo anhelo de eliminar el impuesto del 10% a las ganancias de capital por la enajenación de valores con presencia bursátil, es decir, con una alta liquidez y número de transacciones.</w:t>
      </w:r>
    </w:p>
    <w:p>
      <w:pPr>
        <w:spacing w:before="20"/>
        <w:ind w:left="360"/>
      </w:pPr>
      <w:r>
        <w:rPr>
          <w:color w:val="222222"/>
          <w:sz w:val="20"/>
        </w:rPr>
        <w:t>En detalle, se busca reinstaurar el régimen previo a su instauración, “bajo el cual dichas ganancias de capital eran ingresos no constitutivos de renta y, por lo tanto, no afectos a impuestos”, precisó el proyecto.</w:t>
      </w:r>
    </w:p>
    <w:p>
      <w:pPr>
        <w:spacing w:before="20"/>
        <w:ind w:left="360"/>
      </w:pPr>
      <w:r>
        <w:rPr>
          <w:color w:val="222222"/>
          <w:sz w:val="20"/>
        </w:rPr>
        <w:t>“Hay un incentivo particular de rebaja tributaria para las transacciones bursátiles, y una invariabilidad tributaria para inversiones por más de US$ 50 millones, que van en la misión de revitalizar el mercado de capitales, con más volúmenes y más número de inversionistas para el mercado local”, afirmó Agüero.</w:t>
      </w:r>
    </w:p>
    <w:p>
      <w:pPr>
        <w:spacing w:before="20"/>
        <w:ind w:left="360"/>
      </w:pPr>
      <w:r>
        <w:rPr>
          <w:color w:val="222222"/>
          <w:sz w:val="20"/>
        </w:rPr>
        <w:t>- Algunos actores del mercado han alertado que un recorte del impuesto a la ganancia de capital solo para las acciones con presencia bursátil aumentaría la brecha frente a papeles small y mid cap. ¿Lo ve así?</w:t>
      </w:r>
    </w:p>
    <w:p>
      <w:pPr>
        <w:spacing w:before="20"/>
        <w:ind w:left="360"/>
      </w:pPr>
      <w:r>
        <w:rPr>
          <w:color w:val="222222"/>
          <w:sz w:val="20"/>
        </w:rPr>
        <w:t>- Ese impuesto creó una serie de imperfecciones, porque separó las empresas grandes de las pequeñas, creando un costo capital diferenciado para grandes y pequeñas. Separó inversionistas, entre institucionales y personas naturales. Unos pagan, otros no pagan.</w:t>
      </w:r>
    </w:p>
    <w:p>
      <w:pPr>
        <w:spacing w:before="20"/>
        <w:ind w:left="360"/>
      </w:pPr>
      <w:r>
        <w:rPr>
          <w:color w:val="222222"/>
          <w:sz w:val="20"/>
        </w:rPr>
        <w:t>- Que no haya impuesto a la ganancia de capital del todo. Debemos ir hacia a un sistema donde no haya impuesto a la ganancia de capital para nadie, que el mercado fluya y que se cobre por los flujos, intereses y dividendos, pero no por la ganancia de capital.</w:t>
      </w:r>
    </w:p>
    <w:p>
      <w:pPr>
        <w:spacing w:before="20"/>
        <w:ind w:left="360"/>
      </w:pPr>
      <w:r>
        <w:rPr>
          <w:color w:val="222222"/>
          <w:sz w:val="20"/>
        </w:rPr>
        <w:t>La rebaja transitoria al impuesto a la herencia es otra de las medidas que podría impulsar el dinamismo en los activos locales.</w:t>
      </w:r>
    </w:p>
    <w:p>
      <w:pPr>
        <w:spacing w:before="20"/>
        <w:ind w:left="360"/>
      </w:pPr>
      <w:r>
        <w:rPr>
          <w:color w:val="222222"/>
          <w:sz w:val="20"/>
        </w:rPr>
        <w:t>En detalle, “en las herencias y las donaciones, la tasa es bastante alta, del 25%, por lo que la gente busca otras maneras de evitar ese impuesto al patrimonio”, detalló Agüero, en una de sus intervenciones en el seminario.</w:t>
      </w:r>
    </w:p>
    <w:p>
      <w:pPr>
        <w:spacing w:before="20"/>
        <w:ind w:left="360"/>
      </w:pPr>
      <w:r>
        <w:rPr>
          <w:color w:val="222222"/>
          <w:sz w:val="20"/>
        </w:rPr>
        <w:t>“Esto puede ser un boom (en recaudación), la estimación del gobierno es muy conservadora, porque en conversaciones con family offices y con grandes empresarios de este país, traspasar la propiedad (de activos) a segundas e incluso terceras generaciones es relevante”, añadió el CEO de BTG, durante uno de los paneles.</w:t>
      </w:r>
    </w:p>
    <w:p>
      <w:pPr>
        <w:spacing w:before="20"/>
        <w:ind w:left="360"/>
      </w:pPr>
      <w:r>
        <w:rPr>
          <w:color w:val="222222"/>
          <w:sz w:val="20"/>
        </w:rPr>
        <w:t>- ¿Cómo va a impactar el megaproyecto al retorno de capitales?</w:t>
      </w:r>
    </w:p>
    <w:p>
      <w:pPr>
        <w:spacing w:before="20"/>
        <w:ind w:left="360"/>
      </w:pPr>
      <w:r>
        <w:rPr>
          <w:color w:val="222222"/>
          <w:sz w:val="20"/>
        </w:rPr>
        <w:t>- Hay un incentivo a traer mucho dinero (de altos patrimonios) que se fue de Chile, a que vuelva. Entonces, del punto de vista del mercado de capitales, eso va a significar más flujo, más inversión.</w:t>
      </w:r>
    </w:p>
    <w:p>
      <w:pPr>
        <w:spacing w:before="40" w:after="120"/>
      </w:pPr>
      <w:r>
        <w:rPr>
          <w:color w:val="CCCCCC"/>
        </w:rPr>
        <w:t>· · ·</w:t>
      </w:r>
    </w:p>
    <w:p>
      <w:r>
        <w:rPr>
          <w:b/>
          <w:color w:val="E65000"/>
        </w:rPr>
        <w:t xml:space="preserve">6. </w:t>
      </w:r>
      <w:r>
        <w:rPr>
          <w:b/>
          <w:sz w:val="22"/>
        </w:rPr>
        <w:t>Gremios del sector financiero piden a la CMF avanzar en proporcionalidad regulatoria</w:t>
      </w:r>
    </w:p>
    <w:p>
      <w:pPr>
        <w:spacing w:before="0"/>
      </w:pPr>
      <w:r>
        <w:rPr>
          <w:color w:val="0056B3"/>
          <w:sz w:val="18"/>
        </w:rPr>
        <w:t>https://www.df.cl/mercados/banca-fintech/gremios-del-sector-financiero-piden-a-la-cmf-avanzar-en-proporcionalidad</w:t>
      </w:r>
    </w:p>
    <w:p>
      <w:pPr>
        <w:spacing w:before="20"/>
        <w:ind w:left="360"/>
      </w:pPr>
      <w:r>
        <w:rPr>
          <w:color w:val="222222"/>
          <w:sz w:val="20"/>
        </w:rPr>
        <w:t>Advirtieron que la actual carga normativa está elevando costos y aumentando las barreras de entrada, mientras el regulador apuntó que avanzará en iniciativa clave.</w:t>
      </w:r>
    </w:p>
    <w:p>
      <w:pPr>
        <w:spacing w:before="20"/>
        <w:ind w:left="360"/>
      </w:pPr>
      <w:r>
        <w:rPr>
          <w:color w:val="222222"/>
          <w:sz w:val="20"/>
        </w:rPr>
        <w:t>Publicado: Jueves 23 de abril de 2026 a las 04:00 hrs.</w:t>
      </w:r>
    </w:p>
    <w:p>
      <w:pPr>
        <w:spacing w:before="20"/>
        <w:ind w:left="360"/>
      </w:pPr>
      <w:r>
        <w:rPr>
          <w:color w:val="222222"/>
          <w:sz w:val="20"/>
        </w:rPr>
        <w:t>La presidenta de la Comisión para el Mercado Financiero (CMF), Catherine Tornel.</w:t>
      </w:r>
    </w:p>
    <w:p>
      <w:pPr>
        <w:spacing w:before="20"/>
        <w:ind w:left="360"/>
      </w:pPr>
      <w:r>
        <w:rPr>
          <w:color w:val="222222"/>
          <w:sz w:val="20"/>
        </w:rPr>
        <w:t>Aunque cuenta con la venia de la industria, la presidenta de la Comisión para el Mercado Financiero (CMF), Catherine Tornel, tomó nota de las principales normas, que, a juicio de los principales gremios del sector, afectan el desarrollo del negocio.</w:t>
      </w:r>
    </w:p>
    <w:p>
      <w:pPr>
        <w:spacing w:before="20"/>
        <w:ind w:left="360"/>
      </w:pPr>
      <w:r>
        <w:rPr>
          <w:color w:val="222222"/>
          <w:sz w:val="20"/>
        </w:rPr>
        <w:t>En el marco de un seminario organizado por la Facultad de Ciencias Económicas y Empresariales de la Universidad de Los Andes, la presidenta del regulador -que estuvo acompañada en el auditorio por los comisionados Bernardita Piedrabuena y Beltrán de Ramón- recibió un petitorio común de parte de la Asociación de Bancos (Abif), la Asociación de Fondos de Inversión (Acafi) y la Asociación de Aseguradores (Aach): aplicar proporcionalidad regulatoria a los actores de cada industria, según su tamaño, riesgo y negocio en que se involucran.</w:t>
      </w:r>
    </w:p>
    <w:p>
      <w:pPr>
        <w:spacing w:before="20"/>
        <w:ind w:left="360"/>
      </w:pPr>
      <w:r>
        <w:rPr>
          <w:color w:val="222222"/>
          <w:sz w:val="20"/>
        </w:rPr>
        <w:t>El mensaje fue claro: sin ese ajuste, existe riesgo de concentración, menor entrada de nuevos actores y un freno al desarrollo.</w:t>
      </w:r>
    </w:p>
    <w:p>
      <w:pPr>
        <w:spacing w:before="20"/>
        <w:ind w:left="360"/>
      </w:pPr>
      <w:r>
        <w:rPr>
          <w:color w:val="222222"/>
          <w:sz w:val="20"/>
        </w:rPr>
        <w:t>“Creo que tenemos un problema súper estructural de proporcionalidad”, comenzó su intervención en el panel, el presidente de Acafi, Luis Alberto Letelier, quien ejemplificó que, en la industria de fondos, “ha sido excesivamente costoso; hemos visto como varias administradoras de fondos han cerrado, otras que se fusionan. Lo vemos con preocupación y creemos que es necesario avanzar en reformular la regulación de tal forma que, a mayor riesgo, mayor regulación”.</w:t>
      </w:r>
    </w:p>
    <w:p>
      <w:pPr>
        <w:spacing w:before="20"/>
        <w:ind w:left="360"/>
      </w:pPr>
      <w:r>
        <w:rPr>
          <w:color w:val="222222"/>
          <w:sz w:val="20"/>
        </w:rPr>
        <w:t>Desde el sector asegurador, el director ejecutivo del gremio, Marcelo Mosso, también apuntó a la falta de diferenciación regulatoria. Por ejemplo, sostuvo que en el caso del reporte de operaciones sospechosas a la Unidad de Análisis Financiero (UAF), “una compañía de seguros de crédito tiene que hacer el mismo reporte que un banco que opera con millones de pesos dando vuelta todos los días”, dando cuenta que, pese a las diferencias de tamaño y de negocio de cada actor, se exige enviar un reporte similar a una agencia estatal.</w:t>
      </w:r>
    </w:p>
    <w:p>
      <w:pPr>
        <w:spacing w:before="20"/>
        <w:ind w:left="360"/>
      </w:pPr>
      <w:r>
        <w:rPr>
          <w:color w:val="222222"/>
          <w:sz w:val="20"/>
        </w:rPr>
        <w:t>A juicio de Mosso el impacto de esa carga no es menor, asegurando que, del presupuesto de gastos de las compañías de seguro, el 21,5% en promedio se destina al costo normativo. Por ello, enfatizó que “una regulación que no distingue es una regulación que concentra”.</w:t>
      </w:r>
    </w:p>
    <w:p>
      <w:pPr>
        <w:spacing w:before="20"/>
        <w:ind w:left="360"/>
      </w:pPr>
      <w:r>
        <w:rPr>
          <w:color w:val="222222"/>
          <w:sz w:val="20"/>
        </w:rPr>
        <w:t>En tanto, el presidente de la Abif, José Manuel Mena, llamó a ajustar el foco normativo y “centrarse más en elementos principales que permitan reflexionar sobre el no desarrollo (del mercado), y en una de esas bajar el esfuerzo en aspectos que son de micro regulación”, planteó.</w:t>
      </w:r>
    </w:p>
    <w:p>
      <w:pPr>
        <w:spacing w:before="20"/>
        <w:ind w:left="360"/>
      </w:pPr>
      <w:r>
        <w:rPr>
          <w:color w:val="222222"/>
          <w:sz w:val="20"/>
        </w:rPr>
        <w:t>Consultada por los planteamientos de la industria, Tornel, coincidió en la necesidad de alinear mejor las exigencias con los riesgos.</w:t>
      </w:r>
    </w:p>
    <w:p>
      <w:pPr>
        <w:spacing w:before="20"/>
        <w:ind w:left="360"/>
      </w:pPr>
      <w:r>
        <w:rPr>
          <w:color w:val="222222"/>
          <w:sz w:val="20"/>
        </w:rPr>
        <w:t>“Tenemos que cuidar que los requerimientos sean exactamente los que se necesitan para los niveles de riesgo. En ello podemos avanzar en mejores mediciones de riesgo y alcanzar eso para el ámbito bancario, continuando con la implementación de Basilea III”, afirmó.</w:t>
      </w:r>
    </w:p>
    <w:p>
      <w:pPr>
        <w:spacing w:before="20"/>
        <w:ind w:left="360"/>
      </w:pPr>
      <w:r>
        <w:rPr>
          <w:color w:val="222222"/>
          <w:sz w:val="20"/>
        </w:rPr>
        <w:t>Añadió que en materia de riesgo de mercado y crediticio, “tenemos modelos que son más bien de Basilea II y que no logran medir también el riesgo. Ahí tenemos que avanzar a Basilea III”.</w:t>
      </w:r>
    </w:p>
    <w:p>
      <w:pPr>
        <w:spacing w:before="20"/>
        <w:ind w:left="360"/>
      </w:pPr>
      <w:r>
        <w:rPr>
          <w:color w:val="222222"/>
          <w:sz w:val="20"/>
        </w:rPr>
        <w:t>En el caso de seguros, sostuvo que “un avance muy relevante y necesario es avanzar en el proyecto de Ley de Supervisión Basada en Riesgos, que también contribuye de manera importante a la proporcionalidad”.</w:t>
      </w:r>
    </w:p>
    <w:p>
      <w:pPr>
        <w:spacing w:before="20"/>
        <w:ind w:left="360"/>
      </w:pPr>
      <w:r>
        <w:rPr>
          <w:color w:val="222222"/>
          <w:sz w:val="20"/>
        </w:rPr>
        <w:t>Los gremios también pusieron sobre la mesa otras brechas que, a su juicio, limitan el desarrollo del mercado.</w:t>
      </w:r>
    </w:p>
    <w:p>
      <w:pPr>
        <w:spacing w:before="20"/>
        <w:ind w:left="360"/>
      </w:pPr>
      <w:r>
        <w:rPr>
          <w:color w:val="222222"/>
          <w:sz w:val="20"/>
        </w:rPr>
        <w:t>Mosso fue enfático en la necesidad de avanzar en el proyecto de Ley de Supervisión Basada en Riesgos -que lleva 15 años en el Congreso- y emplazó al Ejecutivo: “En todos los Enade, el ministro de Hacienda dice que va a ser uno de los proyectos prioritarios (...), lo que pasa es que está estancado (el proyecto) en la Comisión de Hacienda del Senado y nunca hay tiempo para legislar, porque siempre hay otro proyecto más prioritario”.</w:t>
      </w:r>
    </w:p>
    <w:p>
      <w:pPr>
        <w:spacing w:before="20"/>
        <w:ind w:left="360"/>
      </w:pPr>
      <w:r>
        <w:rPr>
          <w:color w:val="222222"/>
          <w:sz w:val="20"/>
        </w:rPr>
        <w:t>Por su parte, Mena hizo énfasis en la conducta de mercado -uno de los mandatos de la CMF- y advirtió que “tenemos un problema principal que no tenemos un referente internacional” en esta materia.</w:t>
      </w:r>
    </w:p>
    <w:p>
      <w:pPr>
        <w:spacing w:before="20"/>
        <w:ind w:left="360"/>
      </w:pPr>
      <w:r>
        <w:rPr>
          <w:color w:val="222222"/>
          <w:sz w:val="20"/>
        </w:rPr>
        <w:t>En ese contexto, planteó que “hemos involucionado como país”, aunque matizó que avanzar en Basilea III permitirá fortalecer la solvencia del sistema. Así, planteó la necesidad de avanzar hacia un “segundo salto de desarrollo”, que no solo dependa del regulador, sino también de una acción coordinada del Ejecutivo, el poder legislativo y el mercado.</w:t>
      </w:r>
    </w:p>
    <w:p>
      <w:pPr>
        <w:spacing w:before="20"/>
        <w:ind w:left="360"/>
      </w:pPr>
      <w:r>
        <w:rPr>
          <w:color w:val="222222"/>
          <w:sz w:val="20"/>
        </w:rPr>
        <w:t>En tanto, Letelier apuntó a la baja profundidad del mercado de capitales como uno de los principales frenos al desarrollo y sostuvo que el tratamiento tributario para las acciones con presencia bursátil debería extenderse hacia emisores con menos transacciones.</w:t>
      </w:r>
    </w:p>
    <w:p>
      <w:pPr>
        <w:spacing w:before="20"/>
        <w:ind w:left="360"/>
      </w:pPr>
      <w:r>
        <w:rPr>
          <w:color w:val="222222"/>
          <w:sz w:val="20"/>
        </w:rPr>
        <w:t>“El gobierno anunció la eliminación del 10% a la ganancia de capital, lo cual es una muy buena noticia para nuestro mercado, pero en la medida que eso se mantenga solo para esos emisores (de gran presencia bursátil), me parece que no es tan buena noticia”.</w:t>
      </w:r>
    </w:p>
    <w:p>
      <w:pPr>
        <w:spacing w:before="20"/>
        <w:ind w:left="360"/>
      </w:pPr>
      <w:r>
        <w:rPr>
          <w:color w:val="222222"/>
          <w:sz w:val="20"/>
        </w:rPr>
        <w:t>A ello sumó el impacto de la mayor carga regulatoria en la industria de fondos, que ha llevado a la salida o consolidación de actores más pequeños.</w:t>
      </w:r>
    </w:p>
    <w:p>
      <w:pPr>
        <w:spacing w:before="20"/>
        <w:ind w:left="360"/>
      </w:pPr>
      <w:r>
        <w:rPr>
          <w:color w:val="222222"/>
          <w:sz w:val="20"/>
        </w:rPr>
        <w:t>Letelier propuso avanzar en la separación entre la administración de fondos y la gestión de inversiones, con el objetivo de facilitar la entrada de nuevos participantes y dinamizar la industria.</w:t>
      </w:r>
    </w:p>
    <w:p>
      <w:pPr>
        <w:spacing w:before="20"/>
        <w:ind w:left="360"/>
      </w:pPr>
      <w:r>
        <w:rPr>
          <w:color w:val="222222"/>
          <w:sz w:val="20"/>
        </w:rPr>
        <w:t>Tornel respondió que la propuesta de Acafi será evaluada para determinar si “tiene beneficios mayores que costos (...), si realizamos como consejo esa evaluación favorable, tenemos que proponérselo al Ministerio de Hacienda”.</w:t>
      </w:r>
    </w:p>
    <w:p>
      <w:pPr>
        <w:spacing w:before="20"/>
        <w:ind w:left="360"/>
      </w:pPr>
      <w:r>
        <w:rPr>
          <w:color w:val="222222"/>
          <w:sz w:val="20"/>
        </w:rPr>
        <w:t>En cuanto al proyecto de supervisión basada en riesgos, sostuvo que “vamos a hacer todo lo que esté en nuestra de nuestra parte para que el ministro de Hacienda tome como prioridad ese proyecto”.</w:t>
      </w:r>
    </w:p>
    <w:p>
      <w:pPr>
        <w:spacing w:before="40" w:after="120"/>
      </w:pPr>
      <w:r>
        <w:rPr>
          <w:color w:val="CCCCCC"/>
        </w:rPr>
        <w:t>· · ·</w:t>
      </w:r>
    </w:p>
    <w:p/>
    <w:p>
      <w:pPr>
        <w:pStyle w:val="Heading1"/>
      </w:pPr>
      <w:r>
        <w:rPr>
          <w:color w:val="E65000"/>
        </w:rPr>
        <w:t>🔹 Empresas</w:t>
      </w:r>
    </w:p>
    <w:p>
      <w:r>
        <w:rPr>
          <w:b/>
          <w:color w:val="E65000"/>
        </w:rPr>
        <w:t xml:space="preserve">1. </w:t>
      </w:r>
      <w:r>
        <w:rPr>
          <w:b/>
          <w:sz w:val="22"/>
        </w:rPr>
        <w:t>PacificBlu certifica sustentabilidad en pesca industrial de la merluza común y abre acceso a nuevos mercados internacionales</w:t>
      </w:r>
      <w:r>
        <w:rPr>
          <w:color w:val="CC7700"/>
          <w:sz w:val="18"/>
        </w:rPr>
        <w:t xml:space="preserve">  [⭐ Destacada]</w:t>
      </w:r>
    </w:p>
    <w:p>
      <w:pPr>
        <w:spacing w:before="0"/>
      </w:pPr>
      <w:r>
        <w:rPr>
          <w:color w:val="0056B3"/>
          <w:sz w:val="18"/>
        </w:rPr>
        <w:t>https://www.df.cl/regiones/biobio/empresas/pacificblu-certifica-sustentabilidad-en-pesca-industrial-de-la-merluza</w:t>
      </w:r>
    </w:p>
    <w:p>
      <w:pPr>
        <w:spacing w:before="20"/>
        <w:ind w:left="360"/>
      </w:pPr>
      <w:r>
        <w:rPr>
          <w:color w:val="222222"/>
          <w:sz w:val="20"/>
        </w:rPr>
        <w:t>El sello MSC reconoce el manejo respetuoso del ecosistema marino. Sin embargo, el aumento de la pesca ilegal ha bajado sistemáticamente la cuota de captura, afectando a industriales y artesanales.</w:t>
      </w:r>
    </w:p>
    <w:p>
      <w:pPr>
        <w:spacing w:before="20"/>
        <w:ind w:left="360"/>
      </w:pPr>
      <w:r>
        <w:rPr>
          <w:color w:val="222222"/>
          <w:sz w:val="20"/>
        </w:rPr>
        <w:t>Publicado: Jueves 23 de abril de 2026 a las 11:10 hrs.</w:t>
      </w:r>
    </w:p>
    <w:p>
      <w:pPr>
        <w:spacing w:before="20"/>
        <w:ind w:left="360"/>
      </w:pPr>
      <w:r>
        <w:rPr>
          <w:color w:val="222222"/>
          <w:sz w:val="20"/>
        </w:rPr>
        <w:t>Lapesquería industrial de la merluza común, operada por las empresasPacificBlu y Friosur,certificó la sustentabilidad del proceso a través deMarine Stewardship Council (MSC).Este estándar de competitividad posiciona a la captura del recurso en una categoría superior de trazabilidad y sostenibilidad económica, permitiendo a la industria nacional aumentar su presencia en mercados internacionales.</w:t>
      </w:r>
    </w:p>
    <w:p>
      <w:pPr>
        <w:spacing w:before="20"/>
        <w:ind w:left="360"/>
      </w:pPr>
      <w:r>
        <w:rPr>
          <w:color w:val="222222"/>
          <w:sz w:val="20"/>
        </w:rPr>
        <w:t>ParaMarcel Moenne, gerente general de Pacific Blu,el sello MSC es el resultado de un trabajo conjunto de las tripulaciones, los equipos técnicos y el vínculo permanente que la empresa mantiene con la academia y la autoridad para que los procesos de captura se ajusten al cuidado de los ecosistemas marinos. “Esta certificación prueba que nuestra pesca de merluza común con arrastre es sustentable, derriba mitos y desmiente falsas acusaciones que por años se han utilizado para justificar cambios regulatorios en contra de nuestra actividad basándose en prejuicios y no en evidencia científica”,señaló.</w:t>
      </w:r>
    </w:p>
    <w:p>
      <w:pPr>
        <w:spacing w:before="20"/>
        <w:ind w:left="360"/>
      </w:pPr>
      <w:r>
        <w:rPr>
          <w:color w:val="222222"/>
          <w:sz w:val="20"/>
        </w:rPr>
        <w:t>En términos de participación de mercado, la cuota global de captura de la merluza común se divide en55% para el sector industrial y 45% para la pesca artesanal. En este escenario, Pacific Blu se consolida como el principal actor, pues si bien la compañía concentra originalmente 53% de la fracción industrial, alcanza68% de las capturas mediante intercambios con otros actores de la industria.</w:t>
      </w:r>
    </w:p>
    <w:p>
      <w:pPr>
        <w:spacing w:before="20"/>
        <w:ind w:left="360"/>
      </w:pPr>
      <w:r>
        <w:rPr>
          <w:color w:val="222222"/>
          <w:sz w:val="20"/>
        </w:rPr>
        <w:t>Este volumen productivo ha sido clave para consolidar a la merluza como uno de los pescados más consumidos del país y parte de la tradición gastronómica nacional. Su impacto en la economía local es directo, ya que aproximadamente85% de su producción total abastece al mercado interno, comercializándose en formatos frescos y congelados.</w:t>
      </w:r>
    </w:p>
    <w:p>
      <w:pPr>
        <w:spacing w:before="20"/>
        <w:ind w:left="360"/>
      </w:pPr>
      <w:r>
        <w:rPr>
          <w:color w:val="222222"/>
          <w:sz w:val="20"/>
        </w:rPr>
        <w:t>Mientras sólo 15% es exportado, la certificación de la MSC permitirá aumentar sus envíos a mercados con altas barreras de entrada, como Europa y Norteamérica.Julissa Melo, encargada de pesquerías para Sudamérica de MSC,explicó que el sello funciona como unavía rápida para el comercio internacional.</w:t>
      </w:r>
    </w:p>
    <w:p>
      <w:pPr>
        <w:spacing w:before="20"/>
        <w:ind w:left="360"/>
      </w:pPr>
      <w:r>
        <w:rPr>
          <w:color w:val="222222"/>
          <w:sz w:val="20"/>
        </w:rPr>
        <w:t>“Uno de los principales beneficios deesta certificación es que te abre el acceso a ciertos mercados en donde hay requerimientos de sostenibilidad muy altos, en donde losretailersya tienen políticas de suministro muy claras de incluir solamente pesquerías sostenibles, pesquerías con certificación del MSC(…) Esto hace que pueda tener una mejor negociación para ingresar a estos mercados, posiblemente con mejores precios, también preferencias de abasto, sin necesidad de pasar por ciertas vallas o ciertos filtros para ver si ingresan a estos mercados”, argumentó la experta.</w:t>
      </w:r>
    </w:p>
    <w:p>
      <w:pPr>
        <w:spacing w:before="20"/>
        <w:ind w:left="360"/>
      </w:pPr>
      <w:r>
        <w:rPr>
          <w:color w:val="222222"/>
          <w:sz w:val="20"/>
        </w:rPr>
        <w:t>Sin embargo, Moenne fue enfático en contrastar este logro internacional con la compleja realidad que la captura de merluza común.En los últimos dos años, la cuota global cayó de 40 mil a 30 mil toneladas.A esto se suma lapérdida de 5%de sus cuotas históricas, las cuales fueron reasignadas al sector artesanal por la Ley de Fraccionamiento.</w:t>
      </w:r>
    </w:p>
    <w:p>
      <w:pPr>
        <w:spacing w:before="20"/>
        <w:ind w:left="360"/>
      </w:pPr>
      <w:r>
        <w:rPr>
          <w:color w:val="222222"/>
          <w:sz w:val="20"/>
        </w:rPr>
        <w:t>Esto, sumado al aumento de lapesca ilegal, definida por una mayor captura de algunos actores del sector artesanal, han llevado a que las cuotas no sean, en el caso de Pacific Blu, suficientes para mantener sus dos barcos operativos todo el año, lo que los sitúa en"una situación operacional y económica que no es sostenible en el largo plazo".</w:t>
      </w:r>
    </w:p>
    <w:p>
      <w:pPr>
        <w:spacing w:before="20"/>
        <w:ind w:left="360"/>
      </w:pPr>
      <w:r>
        <w:rPr>
          <w:color w:val="222222"/>
          <w:sz w:val="20"/>
        </w:rPr>
        <w:t>La extracción irregular del recurso afecta también al sector artesanal que tiene 45% de la captura global, pues frena el potencial económico de la pesquería.</w:t>
      </w:r>
    </w:p>
    <w:p>
      <w:pPr>
        <w:spacing w:before="20"/>
        <w:ind w:left="360"/>
      </w:pPr>
      <w:r>
        <w:rPr>
          <w:color w:val="222222"/>
          <w:sz w:val="20"/>
        </w:rPr>
        <w:t>Moenne explicó que, para fijar las capturas permitidas, el Estado estima el volumen de pesca ilegal y lo descuenta de la cuota global antes de asignarla a los actores regulares. "Mientras más pesca ilegal exista, menor es la cuota disponible para quienes operamos dentro de la ley",dijo y añadió que erradicar este ilícito permitiría duplicar las cuotas, mejorar los precios y generar mayor empleo.</w:t>
      </w:r>
    </w:p>
    <w:p>
      <w:pPr>
        <w:spacing w:before="20"/>
        <w:ind w:left="360"/>
      </w:pPr>
      <w:r>
        <w:rPr>
          <w:color w:val="222222"/>
          <w:sz w:val="20"/>
        </w:rPr>
        <w:t>Desde el Gobierno, elsubsecretario de Pesca y Acuicultura, Osvaldo Urrutia,respaldó esta preocupación y reconoció que existe "una enorme brecha en materia de pesca ilegal" vinculada al sector artesanal. Urrutia advirtió que esta práctica afecta directamente los esfuerzos de manejo y el desarrollo responsable del sector.</w:t>
      </w:r>
    </w:p>
    <w:p>
      <w:pPr>
        <w:spacing w:before="20"/>
        <w:ind w:left="360"/>
      </w:pPr>
      <w:r>
        <w:rPr>
          <w:color w:val="222222"/>
          <w:sz w:val="20"/>
        </w:rPr>
        <w:t>Para hacer frente a este perjuicio económico y ambiental, el subsecretario enfatizó queuna de las prioridades de la administración es avanzar en reformas legislativas que doten al país de un marco regulatorio y de fiscalización acorde a los desafíos actuales.</w:t>
      </w:r>
    </w:p>
    <w:p>
      <w:pPr>
        <w:spacing w:before="20"/>
        <w:ind w:left="360"/>
      </w:pPr>
      <w:r>
        <w:rPr>
          <w:color w:val="222222"/>
          <w:sz w:val="20"/>
        </w:rPr>
        <w:t>Asimismo, Urrutia destacó la urgencia de mejorar las facultades de Sernapesca y su coordinación con instituciones estratégicas, como la Armada, el Servicio de Impuestos Internos y el Ministerio Público, para dar "pasos significativos en el combate a la pesca ilegal".</w:t>
      </w:r>
    </w:p>
    <w:p>
      <w:pPr>
        <w:spacing w:before="40" w:after="120"/>
      </w:pPr>
      <w:r>
        <w:rPr>
          <w:color w:val="CCCCCC"/>
        </w:rPr>
        <w:t>· · ·</w:t>
      </w:r>
    </w:p>
    <w:p>
      <w:r>
        <w:rPr>
          <w:b/>
          <w:color w:val="E65000"/>
        </w:rPr>
        <w:t xml:space="preserve">2. </w:t>
      </w:r>
      <w:r>
        <w:rPr>
          <w:b/>
          <w:sz w:val="22"/>
        </w:rPr>
        <w:t>US$ 105 millones en deudas: reconocida exportadora frutícola chilena al borde de la quiebra</w:t>
      </w:r>
      <w:r>
        <w:rPr>
          <w:color w:val="CC7700"/>
          <w:sz w:val="18"/>
        </w:rPr>
        <w:t xml:space="preserve">  [⭐ Destacada]</w:t>
      </w:r>
    </w:p>
    <w:p>
      <w:pPr>
        <w:spacing w:before="0"/>
      </w:pPr>
      <w:r>
        <w:rPr>
          <w:color w:val="0056B3"/>
          <w:sz w:val="18"/>
        </w:rPr>
        <w:t>https://www.df.cl/empresas/actualidad/us-105-millones-en-deudas-reconocida-exportadora-fruticola-chilena-al</w:t>
      </w:r>
    </w:p>
    <w:p>
      <w:pPr>
        <w:spacing w:before="20"/>
        <w:ind w:left="360"/>
      </w:pPr>
      <w:r>
        <w:rPr>
          <w:color w:val="222222"/>
          <w:sz w:val="20"/>
        </w:rPr>
        <w:t>La compañía dijo estar “en un estado de insolvencia irremontable si no logra reestructurar sus pasivos a largo plazo” bajo un plan de reorganización judicial.</w:t>
      </w:r>
    </w:p>
    <w:p>
      <w:pPr>
        <w:spacing w:before="20"/>
        <w:ind w:left="360"/>
      </w:pPr>
      <w:r>
        <w:rPr>
          <w:color w:val="222222"/>
          <w:sz w:val="20"/>
        </w:rPr>
        <w:t>Publicado: Jueves 23 de abril de 2026 a las 09:05 hrs.</w:t>
      </w:r>
    </w:p>
    <w:p>
      <w:pPr>
        <w:spacing w:before="20"/>
        <w:ind w:left="360"/>
      </w:pPr>
      <w:r>
        <w:rPr>
          <w:color w:val="222222"/>
          <w:sz w:val="20"/>
        </w:rPr>
        <w:t>La alerta de la compañía figura en su solicitud de reorganización judicial, a la que tuvo acceso Diario Financiero.</w:t>
      </w:r>
    </w:p>
    <w:p>
      <w:pPr>
        <w:spacing w:before="20"/>
        <w:ind w:left="360"/>
      </w:pPr>
      <w:r>
        <w:rPr>
          <w:color w:val="222222"/>
          <w:sz w:val="20"/>
        </w:rPr>
        <w:t>La reconocida frutícola chilena Exportadora BB Trading SpA -también conocida como Río King, ligada a la familia Barros- fue tajante:dijo estar “en un estado de insolvencia irremontable si no logra reestructurar sus pasivos a largo plazo” bajo un plan de reorganización judicial.</w:t>
      </w:r>
    </w:p>
    <w:p>
      <w:pPr>
        <w:spacing w:before="20"/>
        <w:ind w:left="360"/>
      </w:pPr>
      <w:r>
        <w:rPr>
          <w:color w:val="222222"/>
          <w:sz w:val="20"/>
        </w:rPr>
        <w:t>La alerta de la compañía figura en su solicitud de reorganización judicial, a la que tuvo accesoDiario Financiero, en la que busca refinanciar pasivos por más de US$ 105 millones.Sus principales acreedores son la importadora y distribuidora estadounidense William H. Kopke Jr, Inc. y los bancos Consorcio y Del Estado.</w:t>
      </w:r>
    </w:p>
    <w:p>
      <w:pPr>
        <w:spacing w:before="20"/>
        <w:ind w:left="360"/>
      </w:pPr>
      <w:r>
        <w:rPr>
          <w:color w:val="222222"/>
          <w:sz w:val="20"/>
        </w:rPr>
        <w:t>“Esta empresa es una actora relevante en el mercado de exportación de fruta de todo tipo. Un tanto debido a sus planes de expansión como a negocios con resultados inesperados, la compañía acumuló deudas por sobre los $ 100.000 millones conforme al balance al 31 de diciembre del año 2025”, señalaron en su presentación a la justicia el agrónomo Andrés Pérez y el abogado Nicolás Parot.</w:t>
      </w:r>
    </w:p>
    <w:p>
      <w:pPr>
        <w:spacing w:before="20"/>
        <w:ind w:left="360"/>
      </w:pPr>
      <w:r>
        <w:rPr>
          <w:color w:val="222222"/>
          <w:sz w:val="20"/>
        </w:rPr>
        <w:t>“Por regla general, además, nuestra representada obtenía utilidades incluso hasta el año 2025 pasado.Pero esas utilidades no daban cuenta de las significativas cuentas por cobrar de la compañíaya sea por anticipos no restituidos o por servicios de packing y frío no pagados por productores que eran muy difíciles de cobrar”, añadieron.</w:t>
      </w:r>
    </w:p>
    <w:p>
      <w:pPr>
        <w:spacing w:before="120"/>
        <w:ind w:left="360"/>
      </w:pPr>
      <w:r>
        <w:rPr>
          <w:b/>
          <w:color w:val="E65000"/>
          <w:sz w:val="26"/>
        </w:rPr>
        <w:t xml:space="preserve"> </w:t>
      </w:r>
    </w:p>
    <w:p>
      <w:pPr>
        <w:spacing w:before="20"/>
        <w:ind w:left="360"/>
      </w:pPr>
      <w:r>
        <w:rPr>
          <w:color w:val="222222"/>
          <w:sz w:val="20"/>
        </w:rPr>
        <w:t>Según afirmaron, lo descrito anteriormente generó desde marzo de 2025 “una amenaza seria” a la liquidez de la compañía, la que, destacaron,tiene enormes compromisos en el mercado financiero.</w:t>
      </w:r>
    </w:p>
    <w:p>
      <w:pPr>
        <w:spacing w:before="20"/>
        <w:ind w:left="360"/>
      </w:pPr>
      <w:r>
        <w:rPr>
          <w:color w:val="222222"/>
          <w:sz w:val="20"/>
        </w:rPr>
        <w:t>Luego, señalaron que la temporada 2025/2026“ha tenido un catastrófico resultado en el mercado de las cerezas y que significará enormes pérdidas que se reflejarán este año”,pues destacaron que los anticipos otorgados y los servicios prestados “difícilmente podrán ser pagados”.</w:t>
      </w:r>
    </w:p>
    <w:p>
      <w:pPr>
        <w:spacing w:before="20"/>
        <w:ind w:left="360"/>
      </w:pPr>
      <w:r>
        <w:rPr>
          <w:color w:val="222222"/>
          <w:sz w:val="20"/>
        </w:rPr>
        <w:t>“A eso se suma queel mercado de cítricos y uva de mesa si bien no tuvo pérdidas, su rentabilidad también se ha visto seriamente dañada”,agregaron los representantes de la sociedad.</w:t>
      </w:r>
    </w:p>
    <w:p>
      <w:pPr>
        <w:spacing w:before="20"/>
        <w:ind w:left="360"/>
      </w:pPr>
      <w:r>
        <w:rPr>
          <w:color w:val="222222"/>
          <w:sz w:val="20"/>
        </w:rPr>
        <w:t>En su página web, Río King destaca tener más de 5.000 hectáreas de terreno entre Chile y Perú, y plantas en Rancagua, Frutango, Copiapó, Las Delicias, Alhué y Calera de Tango.</w:t>
      </w:r>
    </w:p>
    <w:p>
      <w:pPr>
        <w:spacing w:before="20"/>
        <w:ind w:left="360"/>
      </w:pPr>
      <w:r>
        <w:rPr>
          <w:color w:val="222222"/>
          <w:sz w:val="20"/>
        </w:rPr>
        <w:t>“Río King, South Hills, Green Rock, Nortfrut y Hacienda Chada son las marcas de Exportadora BB Trading Spa, que busca liderar el mercado con la mejor fruta nativa de Chile, producto de la historia, la tradición yla experiencia que nos caracterizan y por las que somos reconocidos en Asia y Norteamérica”,señala la firma en su web.</w:t>
      </w:r>
    </w:p>
    <w:p>
      <w:pPr>
        <w:spacing w:before="20"/>
        <w:ind w:left="360"/>
      </w:pPr>
      <w:r>
        <w:rPr>
          <w:color w:val="222222"/>
          <w:sz w:val="20"/>
        </w:rPr>
        <w:t>A principios de abril,Hacienda Chada solicitó a la justicia la apertura de un proceso de reorganización,informando pasivos por US$ 97 millones, lo que incluye deudas con empresas relacionadas por US$ 55 millones. Sus principales acreedores son los bancos Consorcio, Bice y Santander.</w:t>
      </w:r>
    </w:p>
    <w:p>
      <w:pPr>
        <w:spacing w:before="20"/>
        <w:ind w:left="360"/>
      </w:pPr>
      <w:r>
        <w:rPr>
          <w:color w:val="222222"/>
          <w:sz w:val="20"/>
        </w:rPr>
        <w:t>La compañía fue adquirida por Agrícola Barros Ltda. el año 2009, actual controladora.</w:t>
      </w:r>
    </w:p>
    <w:p>
      <w:pPr>
        <w:spacing w:before="20"/>
        <w:ind w:left="360"/>
      </w:pPr>
      <w:r>
        <w:rPr>
          <w:color w:val="222222"/>
          <w:sz w:val="20"/>
        </w:rPr>
        <w:t>En su presentación a la justicia, la compañía dijo que, desde el inicio de sus operaciones, Hacienda Chada mantiene una relación comercial con Río King, empresa relacionada ya que los accionistas de la sociedad tienen directa o indirectamente el 22% de la propiedad de dicha exportadora.</w:t>
      </w:r>
    </w:p>
    <w:p>
      <w:pPr>
        <w:spacing w:before="20"/>
        <w:ind w:left="360"/>
      </w:pPr>
      <w:r>
        <w:rPr>
          <w:color w:val="222222"/>
          <w:sz w:val="20"/>
        </w:rPr>
        <w:t>Al justificar su solicitud de reorganización judicial, la compañía señaló:“Durante los últimos años, la industria frutícola nacional e internacional se ha visto afectada por diversos acontecimientos extraordinarios que han impactado negativamente la rentabilidad del sector”.</w:t>
      </w:r>
    </w:p>
    <w:p>
      <w:pPr>
        <w:spacing w:before="20"/>
        <w:ind w:left="360"/>
      </w:pPr>
      <w:r>
        <w:rPr>
          <w:color w:val="222222"/>
          <w:sz w:val="20"/>
        </w:rPr>
        <w:t>Se mencionó que, a partir del año 2020,por la pandemia, se produjo una importante contracción en el consumo mundial,afectando directamente los retornos esperados por los productores.</w:t>
      </w:r>
    </w:p>
    <w:p>
      <w:pPr>
        <w:spacing w:before="20"/>
        <w:ind w:left="360"/>
      </w:pPr>
      <w:r>
        <w:rPr>
          <w:color w:val="222222"/>
          <w:sz w:val="20"/>
        </w:rPr>
        <w:t>Luego,se apuntó a enero de 2021, cuando se registró un evento climático de carácter extraordinario, con precipitaciones cercanas a los 80 milímetrosen zonas productivas relevantes como Paine, Rancagua y Curicó.</w:t>
      </w:r>
    </w:p>
    <w:p>
      <w:pPr>
        <w:spacing w:before="20"/>
        <w:ind w:left="360"/>
      </w:pPr>
      <w:r>
        <w:rPr>
          <w:color w:val="222222"/>
          <w:sz w:val="20"/>
        </w:rPr>
        <w:t>Adicionalmente, señaló que durante el año 2022, la industria frutícola enfrentó lo que se denominóla “crisis logística”, originada por el aumento de la demanda mundialposterior a la pandemia y la escasez de contenedores.</w:t>
      </w:r>
    </w:p>
    <w:p>
      <w:pPr>
        <w:spacing w:before="20"/>
        <w:ind w:left="360"/>
      </w:pPr>
      <w:r>
        <w:rPr>
          <w:color w:val="222222"/>
          <w:sz w:val="20"/>
        </w:rPr>
        <w:t>Por último, la sociedad afirmó que durante 2024,el mercado de la cereza experimentó una fuerte caída en los precios internacionales producto de “una sobreoferta significativa” en el mercado chino,principal destino de las exportaciones chilenas, lo que, aseguró, derivó en que los retornos promedio disminuyeran en más de 30%.</w:t>
      </w:r>
    </w:p>
    <w:p>
      <w:pPr>
        <w:spacing w:before="40" w:after="120"/>
      </w:pPr>
      <w:r>
        <w:rPr>
          <w:color w:val="CCCCCC"/>
        </w:rPr>
        <w:t>· · ·</w:t>
      </w:r>
    </w:p>
    <w:p>
      <w:r>
        <w:rPr>
          <w:b/>
          <w:color w:val="E65000"/>
        </w:rPr>
        <w:t xml:space="preserve">3. </w:t>
      </w:r>
      <w:r>
        <w:rPr>
          <w:b/>
          <w:sz w:val="22"/>
        </w:rPr>
        <w:t>Tribunal Ambiental levanta parcialmente medida cautelar contra Quiborax y autoriza operación acotada en el Salar de Surire</w:t>
      </w:r>
      <w:r>
        <w:rPr>
          <w:color w:val="CC7700"/>
          <w:sz w:val="18"/>
        </w:rPr>
        <w:t xml:space="preserve">  [⭐ Destacada]</w:t>
      </w:r>
    </w:p>
    <w:p>
      <w:pPr>
        <w:spacing w:before="0"/>
      </w:pPr>
      <w:r>
        <w:rPr>
          <w:color w:val="0056B3"/>
          <w:sz w:val="18"/>
        </w:rPr>
        <w:t>https://www.df.cl/regiones/arica-y-parinacota/empresas/tribunal-ambiental-levanta-parcialmente-medida-cautelar-contra-quiborax-y</w:t>
      </w:r>
    </w:p>
    <w:p>
      <w:pPr>
        <w:spacing w:before="20"/>
        <w:ind w:left="360"/>
      </w:pPr>
      <w:r>
        <w:rPr>
          <w:color w:val="222222"/>
          <w:sz w:val="20"/>
        </w:rPr>
        <w:t>La medida permite a Quiborax retomar faenas limitadas bajo estrictas condiciones ambientales entre mayo y noviembre y con foco en zonas fuera de mayor sensibilidad del salar.</w:t>
      </w:r>
    </w:p>
    <w:p>
      <w:pPr>
        <w:spacing w:before="20"/>
        <w:ind w:left="360"/>
      </w:pPr>
      <w:r>
        <w:rPr>
          <w:color w:val="222222"/>
          <w:sz w:val="20"/>
        </w:rPr>
        <w:t>Publicado: Jueves 23 de abril de 2026 a las 09:00 hrs.</w:t>
      </w:r>
    </w:p>
    <w:p>
      <w:pPr>
        <w:spacing w:before="20"/>
        <w:ind w:left="360"/>
      </w:pPr>
      <w:r>
        <w:rPr>
          <w:color w:val="222222"/>
          <w:sz w:val="20"/>
        </w:rPr>
        <w:t>El Primer Tribunal Ambiental resolvió alzar parcialmente la medida cautelar que mantenía paralizadas las operaciones de Quiboraxen el Salar de Surire, autorizando unareanudación acotada de actividadesen sectores específicos del yacimiento. En concreto, la decisión permite a la compañíaretomar operaciones en 12 polígonosdefinidos dentro del salar, mientras se mantiene la prohibición en áreas consideradas ambientalmente más sensibles. La medida se adopta en el marco del litigio en curso por eventuales impactos sobre el ecosistema del salar.</w:t>
      </w:r>
    </w:p>
    <w:p>
      <w:pPr>
        <w:spacing w:before="20"/>
        <w:ind w:left="360"/>
      </w:pPr>
      <w:r>
        <w:rPr>
          <w:color w:val="222222"/>
          <w:sz w:val="20"/>
        </w:rPr>
        <w:t>La resolución autoriza la nivelación de áreas intervenidas durante 2024 y 2025, así como el retiro y transporte de ulexita acopiada en un sector situado fuera del Monumento Natural Salar de Surire, todo ello sujeto a las condiciones ambientales ya fijadas previamente por el tribunal.</w:t>
      </w:r>
    </w:p>
    <w:p>
      <w:pPr>
        <w:spacing w:before="20"/>
        <w:ind w:left="360"/>
      </w:pPr>
      <w:r>
        <w:rPr>
          <w:color w:val="222222"/>
          <w:sz w:val="20"/>
        </w:rPr>
        <w:t>Además de esas labores, eltribunal aprobó unrégimen restringido de explotaciónsolicitado por la empresa, aunque con modificaciones respecto de lo pedido originalmente. La autorización considera actividadessoloentre mayo y noviembrede 2026, en12 polígonosubicados fuera de las zonas de mayor sensibilidad ambiental, con unmáximo total de320 mil toneladasy un tope mensual de55 mil toneladas.</w:t>
      </w:r>
    </w:p>
    <w:p>
      <w:pPr>
        <w:spacing w:before="20"/>
        <w:ind w:left="360"/>
      </w:pPr>
      <w:r>
        <w:rPr>
          <w:color w:val="222222"/>
          <w:sz w:val="20"/>
        </w:rPr>
        <w:t>Como parte de las exigencias, la resolución mantiene la restricción deno superar los 60 centímetros de profundidad de extracción y prohíbe expresamente alumbrar (extraer) aguas subterráneas. Antes de iniciar faenas, Quiborax deberá presentar en un plazo de 10 días hábiles un plan de trabajo actualizado para aprobación del tribunal, incorporando condiciones técnicas, ambientales y de resguardo, además de un esquema de reportabilidad mensual.</w:t>
      </w:r>
    </w:p>
    <w:p>
      <w:pPr>
        <w:spacing w:before="20"/>
        <w:ind w:left="360"/>
      </w:pPr>
      <w:r>
        <w:rPr>
          <w:color w:val="222222"/>
          <w:sz w:val="20"/>
        </w:rPr>
        <w:t>La empresa también deberá entregar una delimitación precisa de los polígonos de explotación, caracterización topográfica y de variables ambientales, antecedentes sobre fauna y avifauna, identificación de impactos y riesgos y el detalle técnico del procedimiento de nivelación posterior a la extracción.</w:t>
      </w:r>
    </w:p>
    <w:p>
      <w:pPr>
        <w:spacing w:before="20"/>
        <w:ind w:left="360"/>
      </w:pPr>
      <w:r>
        <w:rPr>
          <w:color w:val="222222"/>
          <w:sz w:val="20"/>
        </w:rPr>
        <w:t>La fiscalización del cumplimiento de estas condiciones quedará a cargo de Sernageomin, Conaf y la Dirección Regional de Vialidad de Arica y Parinacota, organismos que deberán supervisar tanto la medida cautelar aún vigente como el nuevo régimen restringido autorizado por el tribunal.</w:t>
      </w:r>
    </w:p>
    <w:p>
      <w:pPr>
        <w:spacing w:before="20"/>
        <w:ind w:left="360"/>
      </w:pPr>
      <w:r>
        <w:rPr>
          <w:color w:val="222222"/>
          <w:sz w:val="20"/>
        </w:rPr>
        <w:t>El tribunal estableció que el levantamiento parcial se basa en antecedentes técnicos que permitirían acotar los riesgos ambientales en las zonas habilitadas, sin afectar de forma directa sectores críticos del sistema.</w:t>
      </w:r>
    </w:p>
    <w:p>
      <w:pPr>
        <w:spacing w:before="20"/>
        <w:ind w:left="360"/>
      </w:pPr>
      <w:r>
        <w:rPr>
          <w:color w:val="222222"/>
          <w:sz w:val="20"/>
        </w:rPr>
        <w:t>Respecto deltransporte de material entre el Salar de Surire y la Planta El Águila, que implica tránsito por las rutas A-95 y A-295, el tribunal ordenó que Quiborax presente una propuesta de plan de conservación para labores de humectación en sectores críticos del camino. Ese plan deberá ser aprobado por la Dirección Regional de Vialidad. Mientras ello no ocurra, la empresa no podrá ejecutar intervenciones en dichas rutas.</w:t>
      </w:r>
    </w:p>
    <w:p>
      <w:pPr>
        <w:spacing w:before="20"/>
        <w:ind w:left="360"/>
      </w:pPr>
      <w:r>
        <w:rPr>
          <w:color w:val="222222"/>
          <w:sz w:val="20"/>
        </w:rPr>
        <w:t>La decisión no fue unánime. Según informó el tribunal,la ministra Sandra Álvarez Torres votó en contradel alzamiento parcial y estuvo por mantener íntegramente la cautelar, al estimar que las medidas propuestas por la demandada no serían suficientes para prevenir adecuadamente los riesgos ambientales asociados a la continuidad de la explotación mecanizada en el salar.</w:t>
      </w:r>
    </w:p>
    <w:p>
      <w:pPr>
        <w:spacing w:before="20"/>
        <w:ind w:left="360"/>
      </w:pPr>
      <w:r>
        <w:rPr>
          <w:color w:val="222222"/>
          <w:sz w:val="20"/>
        </w:rPr>
        <w:t>Días antes de esta resolución, en la audiencia de revisión de la cautelar, elConsejo de Defensa del Estado (CDE)había insistido en que cualquier flexibilización podía afectar el equilibrio integral del ecosistema y los procesos reproductivos de aves presentes en el salar, mientras la empresa buscaba reactivar parcialmente actividades en zonas específicas.</w:t>
      </w:r>
    </w:p>
    <w:p>
      <w:pPr>
        <w:spacing w:before="20"/>
        <w:ind w:left="360"/>
      </w:pPr>
      <w:r>
        <w:rPr>
          <w:color w:val="222222"/>
          <w:sz w:val="20"/>
        </w:rPr>
        <w:t>El abogado del organismo, Agustín Tello, advirtió que “la protección del salar no puede ser fragmentada territorialmente, porque cualquier actividad extractiva realizada incluso en la zona desafectada, puede producir un impacto en totalidad de la unidad ecosistémica”.</w:t>
      </w:r>
    </w:p>
    <w:p>
      <w:pPr>
        <w:spacing w:before="20"/>
        <w:ind w:left="360"/>
      </w:pPr>
      <w:r>
        <w:rPr>
          <w:color w:val="222222"/>
          <w:sz w:val="20"/>
        </w:rPr>
        <w:t>El representante agregó que “el alzamiento necesita un cambio efectivo de las circunstancias de hechos que fundaron esa protección. Y esa situación, a nuestro juicio, no ha cambiado porque si se revisa la solicitud de la parte demandada, lo cierto es que en general la solicitud se basa en el mal estado financiero de la compañía, que no es otra cosa que consecuencia de su propio actuar”.</w:t>
      </w:r>
    </w:p>
    <w:p>
      <w:pPr>
        <w:spacing w:before="20"/>
        <w:ind w:left="360"/>
      </w:pPr>
      <w:r>
        <w:rPr>
          <w:color w:val="222222"/>
          <w:sz w:val="20"/>
        </w:rPr>
        <w:t>El Salar de Surireubicado en el altiplano de la Región de Arica y Parinacotacorresponde a un ecosistema altoandino de alta fragilidad, donde habitan especies protegidas, lo que ha sido uno de los principales focos de la controversia judicial.</w:t>
      </w:r>
    </w:p>
    <w:p>
      <w:pPr>
        <w:spacing w:before="20"/>
        <w:ind w:left="360"/>
      </w:pPr>
      <w:r>
        <w:rPr>
          <w:color w:val="222222"/>
          <w:sz w:val="20"/>
        </w:rPr>
        <w:t>En este contexto, el CDE presentó en julio de 2024 una demanda contra Quiborax ante el Primer Tribunal Ambiental de Antofagasta, acusando un daño “continuo, acumulativo, permanente e irreparable” producto de operaciones mineras bajo el método de explotación a rajo abierto. Entre los impactos, el organismo apunta a la alteración de componentes esenciales del salar, pérdida de servicios ecosistémicos y afectación a la biodiversidad, incluyendo la pérdida de hábitat para tres de las seis especies de flamencos existentes en el mundo.</w:t>
      </w:r>
    </w:p>
    <w:p>
      <w:pPr>
        <w:spacing w:before="20"/>
        <w:ind w:left="360"/>
      </w:pPr>
      <w:r>
        <w:rPr>
          <w:color w:val="222222"/>
          <w:sz w:val="20"/>
        </w:rPr>
        <w:t>La resolución del tribunal no pone fin al proceso, que continuará su tramitación para determinar eventuales responsabilidades ambientales y definir el futuro definitivo de la operación en la zona.</w:t>
      </w:r>
    </w:p>
    <w:p>
      <w:pPr>
        <w:spacing w:before="40" w:after="120"/>
      </w:pPr>
      <w:r>
        <w:rPr>
          <w:color w:val="CCCCCC"/>
        </w:rPr>
        <w:t>· · ·</w:t>
      </w:r>
    </w:p>
    <w:p>
      <w:r>
        <w:rPr>
          <w:b/>
          <w:color w:val="E65000"/>
        </w:rPr>
        <w:t xml:space="preserve">4. </w:t>
      </w:r>
      <w:r>
        <w:rPr>
          <w:b/>
          <w:sz w:val="22"/>
        </w:rPr>
        <w:t>Condenan a dueño de Maderas Jaime Venturelli a presidio menor en su grado mínimo, sustituido por libertad vigilada intensiva</w:t>
      </w:r>
    </w:p>
    <w:p>
      <w:pPr>
        <w:spacing w:before="0"/>
      </w:pPr>
      <w:r>
        <w:rPr>
          <w:color w:val="0056B3"/>
          <w:sz w:val="18"/>
        </w:rPr>
        <w:t>https://www.df.cl/regiones/la-araucania/empresas/tribunal-de-temuco-sentencio-a-duenos-de-maderas-venturelli-por-insolvencia</w:t>
      </w:r>
    </w:p>
    <w:p>
      <w:pPr>
        <w:spacing w:before="20"/>
        <w:ind w:left="360"/>
      </w:pPr>
      <w:r>
        <w:rPr>
          <w:color w:val="222222"/>
          <w:sz w:val="20"/>
        </w:rPr>
        <w:t>La justicia acreditó el vaciamiento patrimonial de la empresa a través de ventas ficticias y sobreendeudamiento planificado. BancoEstado, como acreedor, valoró el fallo como un precedente que delimita la insolvencia como mecanismo de elusión.</w:t>
      </w:r>
    </w:p>
    <w:p>
      <w:pPr>
        <w:spacing w:before="20"/>
        <w:ind w:left="360"/>
      </w:pPr>
      <w:r>
        <w:rPr>
          <w:color w:val="222222"/>
          <w:sz w:val="20"/>
        </w:rPr>
        <w:t>Publicado: Jueves 23 de abril de 2026 a las 08:40 hrs.</w:t>
      </w:r>
    </w:p>
    <w:p>
      <w:pPr>
        <w:spacing w:before="20"/>
        <w:ind w:left="360"/>
      </w:pPr>
      <w:r>
        <w:rPr>
          <w:color w:val="222222"/>
          <w:sz w:val="20"/>
        </w:rPr>
        <w:t>A presidio menor en su grado mínimo por los delitos de provocación o agravación de la insolvencia, fue sentenciado el empresario madereroJaime Armando Venturelli González.La sanción impartida por el Tribunal de Juicio Oral en lo Penal de Temuco certifica el esquema dedefraudación superior a los $ 5 mil millones,tras la quiebra de Maderas Jaime Venturelli y Cía. Ltda., hecho que afectó a 500 trabajadores, al Fisco y a una decena de acreedores.</w:t>
      </w:r>
    </w:p>
    <w:p>
      <w:pPr>
        <w:spacing w:before="20"/>
        <w:ind w:left="360"/>
      </w:pPr>
      <w:r>
        <w:rPr>
          <w:color w:val="222222"/>
          <w:sz w:val="20"/>
        </w:rPr>
        <w:t>El tribunal condenó también, y bajo la misma pena, aPablo Andrés Venturelli Gallegos,hijo del empresario temuquense, por sucooperación en la provocación o agravación de la insolvencia.</w:t>
      </w:r>
    </w:p>
    <w:p>
      <w:pPr>
        <w:spacing w:before="20"/>
        <w:ind w:left="360"/>
      </w:pPr>
      <w:r>
        <w:rPr>
          <w:color w:val="222222"/>
          <w:sz w:val="20"/>
        </w:rPr>
        <w:t>Las condenas del líder empresarial y su hijo responden, en el caso del padre, a tres penas de 541 días cada una, que serán sustituidas porlibertad vigilada intensiva durante los 1.623 díasque implican las sanciones originales. En el caso de Venturelli Gallegos, se trata de dos penas, de 100 días cada una, que deberá cumplir conremisión condicional por un año.</w:t>
      </w:r>
    </w:p>
    <w:p>
      <w:pPr>
        <w:spacing w:before="120"/>
        <w:ind w:left="360"/>
      </w:pPr>
      <w:r>
        <w:rPr>
          <w:b/>
          <w:color w:val="E65000"/>
          <w:sz w:val="26"/>
        </w:rPr>
        <w:t xml:space="preserve"> </w:t>
      </w:r>
    </w:p>
    <w:p>
      <w:pPr>
        <w:spacing w:before="20"/>
        <w:ind w:left="360"/>
      </w:pPr>
      <w:r>
        <w:rPr>
          <w:color w:val="222222"/>
          <w:sz w:val="20"/>
        </w:rPr>
        <w:t>Tras esta resolución judicial, laabogada querellante Javiera Venegas, en representación de BancoEstado, dijo a DF Regionesque "la cuantía de la pena está regulada en base a las normas legales, pero lo que creemos más importante es el trasfondo que hay detrásde la condena misma, más allá de la cuantía propiamente tal".</w:t>
      </w:r>
    </w:p>
    <w:p>
      <w:pPr>
        <w:spacing w:before="20"/>
        <w:ind w:left="360"/>
      </w:pPr>
      <w:r>
        <w:rPr>
          <w:color w:val="222222"/>
          <w:sz w:val="20"/>
        </w:rPr>
        <w:t>En esa línea y desde la mirada del delito financiero y el impacto para los acreedores afectados, la decisión del tribunal"no es una sentencia más dentro del siempre complejo escenario de las crisis empresariales", sino que el fallo entrega una "señal clara —y necesaria— respecto de loslímites entre el riesgo propio de la actividad económica y el uso fraudulento de la insolvencia como mecanismo de elusión de responsabilidades".</w:t>
      </w:r>
    </w:p>
    <w:p>
      <w:pPr>
        <w:spacing w:before="20"/>
        <w:ind w:left="360"/>
      </w:pPr>
      <w:r>
        <w:rPr>
          <w:color w:val="222222"/>
          <w:sz w:val="20"/>
        </w:rPr>
        <w:t>La abogada recordó que el derecho penal "no sanciona la insolvencia en sí misma, sino su provocación o agravación fraudulenta".</w:t>
      </w:r>
    </w:p>
    <w:p>
      <w:pPr>
        <w:spacing w:before="20"/>
        <w:ind w:left="360"/>
      </w:pPr>
      <w:r>
        <w:rPr>
          <w:color w:val="222222"/>
          <w:sz w:val="20"/>
        </w:rPr>
        <w:t>Ante los antecedentes económicos, la representante de BancoEstado subrayó que "tras el veredicto de hoy podemos decir que el llamado “Caso Venturelli” se proyecta como unprecedente relevante en materia de criminalidad económica".Venegas fue categórica al advertir que "el sistema concursal no puede transformarse en un refugio para vaciar activos, perjudicar acreedores y desentenderse de obligaciones laborales".</w:t>
      </w:r>
    </w:p>
    <w:p>
      <w:pPr>
        <w:spacing w:before="20"/>
        <w:ind w:left="360"/>
      </w:pPr>
      <w:r>
        <w:rPr>
          <w:color w:val="222222"/>
          <w:sz w:val="20"/>
        </w:rPr>
        <w:t>El tribunal, integrado por los magistrados Priscilla Frantzen, Roberto Herrera y Wilfred Ziehlmann, logró establecer que laquiebra de la compañía, que tuvo una liquidación forzosa en noviembre de 2019,fue agravada intencionalmente entre septiembre y octubre de ese mismo año.</w:t>
      </w:r>
    </w:p>
    <w:p>
      <w:pPr>
        <w:spacing w:before="20"/>
        <w:ind w:left="360"/>
      </w:pPr>
      <w:r>
        <w:rPr>
          <w:color w:val="222222"/>
          <w:sz w:val="20"/>
        </w:rPr>
        <w:t>El principal motor de la descapitalización fue la enajenación de maquinaria pesada esencial para los procesos productivos, avaluada en más de $ 2.870 millones. Estos activos fueron vendidos a un plazo de 120 días a "Comercializadora y Distribuidora Sorellanza Limitada", una sociedad relacionada y creada semanas antes, por los hijos de Venturelli, con un capital de apenas $ 10 millones.</w:t>
      </w:r>
    </w:p>
    <w:p>
      <w:pPr>
        <w:spacing w:before="20"/>
        <w:ind w:left="360"/>
      </w:pPr>
      <w:r>
        <w:rPr>
          <w:color w:val="222222"/>
          <w:sz w:val="20"/>
        </w:rPr>
        <w:t>Sobre esta maniobra, la abogada querellante detalló que"los hechos que fueron establecidos son particularmente ilustrativos: la venta de activos esenciales -maquinaria por más de $ 2.800 millones a una sociedad de reciente creación, vinculada familiarmente y con un capital social significativamente inferior".</w:t>
      </w:r>
    </w:p>
    <w:p>
      <w:pPr>
        <w:spacing w:before="20"/>
        <w:ind w:left="360"/>
      </w:pPr>
      <w:r>
        <w:rPr>
          <w:color w:val="222222"/>
          <w:sz w:val="20"/>
        </w:rPr>
        <w:t>A este traspaso se sumó "la absorción de una empresa relacionada con un cuantioso pasivo, sin contrapartida en activos, y el retiro de utilidades en montos elevados y no habituales en los meses previos a la liquidación".</w:t>
      </w:r>
    </w:p>
    <w:p>
      <w:pPr>
        <w:spacing w:before="20"/>
        <w:ind w:left="360"/>
      </w:pPr>
      <w:r>
        <w:rPr>
          <w:color w:val="222222"/>
          <w:sz w:val="20"/>
        </w:rPr>
        <w:t>Esta absorción artificial significó el traspaso de las deudas previsionales y laborales de cerca de 100 trabajadores hacia la empresa que ya se encontraba al borde de la quiebra. Asimismo,el esquema generó un perjuicio fiscal directo estimado en $ 495 millones, derivado de impuestos y multas impagaspor las facturas de dicha venta de maquinaria.</w:t>
      </w:r>
    </w:p>
    <w:p>
      <w:pPr>
        <w:spacing w:before="20"/>
        <w:ind w:left="360"/>
      </w:pPr>
      <w:r>
        <w:rPr>
          <w:color w:val="222222"/>
          <w:sz w:val="20"/>
        </w:rPr>
        <w:t>En este escenario, elMinisterio Público, perició los movimientos financieros de la compañía de Venturelli por más de $17 mil millones,antecedentes que permitieron al fiscal Carlos Cornejo solicitar la pena de cinco años de reclusión, que fue ratificada por la justicia temuquense.</w:t>
      </w:r>
    </w:p>
    <w:p>
      <w:pPr>
        <w:spacing w:before="40" w:after="120"/>
      </w:pPr>
      <w:r>
        <w:rPr>
          <w:color w:val="CCCCCC"/>
        </w:rPr>
        <w:t>· · ·</w:t>
      </w:r>
    </w:p>
    <w:p>
      <w:r>
        <w:rPr>
          <w:b/>
          <w:color w:val="E65000"/>
        </w:rPr>
        <w:t xml:space="preserve">5. </w:t>
      </w:r>
      <w:r>
        <w:rPr>
          <w:b/>
          <w:sz w:val="22"/>
        </w:rPr>
        <w:t>Cirugía mayor al sistema ambiental: más atribuciones al SEA y límites a la judicialización</w:t>
      </w:r>
    </w:p>
    <w:p>
      <w:pPr>
        <w:spacing w:before="0"/>
      </w:pPr>
      <w:r>
        <w:rPr>
          <w:color w:val="0056B3"/>
          <w:sz w:val="18"/>
        </w:rPr>
        <w:t>https://www.df.cl/empresas/construccion/cirugia-mayor-al-sistema-ambiental-mas-atribuciones-al-sea-y-limites-a-la</w:t>
      </w:r>
    </w:p>
    <w:p>
      <w:pPr>
        <w:spacing w:before="20"/>
        <w:ind w:left="360"/>
      </w:pPr>
      <w:r>
        <w:rPr>
          <w:color w:val="222222"/>
          <w:sz w:val="20"/>
        </w:rPr>
        <w:t>Iniciativa propone compensar a titulares si se invalidan RCA, acotar impugnaciones y reducir adendas, lo que abre críticas por eventuales restricciones al acceso a la justicia.</w:t>
      </w:r>
    </w:p>
    <w:p>
      <w:pPr>
        <w:spacing w:before="20"/>
        <w:ind w:left="360"/>
      </w:pPr>
      <w:r>
        <w:rPr>
          <w:color w:val="222222"/>
          <w:sz w:val="20"/>
        </w:rPr>
        <w:t>Publicado: Jueves 23 de abril de 2026 a las 04:00 hrs.</w:t>
      </w:r>
    </w:p>
    <w:p>
      <w:pPr>
        <w:spacing w:before="20"/>
        <w:ind w:left="360"/>
      </w:pPr>
      <w:r>
        <w:rPr>
          <w:color w:val="222222"/>
          <w:sz w:val="20"/>
        </w:rPr>
        <w:t>Una serie de medidas pararacionalizar el procedimiento de evaluación ambiental y darle mayor agilidadinstaló sobre la mesa el gobierno enel proyecto de reactivación económica. Una de ellas es un mecanismo derestitución de gastos para titulares cuyas Resoluciones de Calificación Ambiental (RCA) sean anuladas judicialmente, el cual desató ronchas en las autoridades de la anterior administración.</w:t>
      </w:r>
    </w:p>
    <w:p>
      <w:pPr>
        <w:spacing w:before="20"/>
        <w:ind w:left="360"/>
      </w:pPr>
      <w:r>
        <w:rPr>
          <w:color w:val="222222"/>
          <w:sz w:val="20"/>
        </w:rPr>
        <w:t>Según el mensaje, “este derecho solo aplica a gastos directos y efectivos en que se haya incurrido en virtud de la ejecución del proyecto y que conste en antecedentes contables y documentales fehacientes”.</w:t>
      </w:r>
    </w:p>
    <w:p>
      <w:pPr>
        <w:spacing w:before="20"/>
        <w:ind w:left="360"/>
      </w:pPr>
      <w:r>
        <w:rPr>
          <w:color w:val="222222"/>
          <w:sz w:val="20"/>
        </w:rPr>
        <w:t>Junto con advertir que el procedimiento para otorgar las RCA demora, en promedio, entre 399 días para las Declaraciones de Impacto Ambiental (DIA) y 1.124 días para los Estudios de Impacto Ambiental (EIA), se indica que, en caso de que se deje sin efecto una RCA otorgada “bajo un procedimiento exigente y extenso”, corresponde restituir los gastos incurridos por el titular en forma posterior al otorgamiento de dicha RCA. “Esto permitirá que los titulares de proyectos puedan ejecutar las obras autorizadas sin necesidad de esperar años de litigación judicial, dado el riesgo que supone ejecutar obras estando pendientes los diversos medios de impugnación establecidos”, se dice.</w:t>
      </w:r>
    </w:p>
    <w:p>
      <w:pPr>
        <w:spacing w:before="20"/>
        <w:ind w:left="360"/>
      </w:pPr>
      <w:r>
        <w:rPr>
          <w:color w:val="222222"/>
          <w:sz w:val="20"/>
        </w:rPr>
        <w:t>Y se añade que la RCA solo podrá ser impugnada a través de los recursos administrativos y judiciales que emanan de la normativa ambiental por parte del responsable del proyecto y de quienes participaron del procedimiento de evaluación.</w:t>
      </w:r>
    </w:p>
    <w:p>
      <w:pPr>
        <w:spacing w:before="120"/>
        <w:ind w:left="360"/>
      </w:pPr>
      <w:r>
        <w:rPr>
          <w:b/>
          <w:color w:val="E65000"/>
          <w:sz w:val="26"/>
        </w:rPr>
        <w:t xml:space="preserve"> </w:t>
      </w:r>
    </w:p>
    <w:p>
      <w:pPr>
        <w:spacing w:before="20"/>
        <w:ind w:left="360"/>
      </w:pPr>
      <w:r>
        <w:rPr>
          <w:color w:val="222222"/>
          <w:sz w:val="20"/>
        </w:rPr>
        <w:t>Para la exministra del Medio Ambiente, Maisa Rojas, la idea “de manera indirecta es restringir el acceso a la justicia, pero también puede ser un desincentivo a entregar una RCA si no viene muy bien”. Es decir, explica, “puede haber un incentivo que el SEA se ponga muchísimo más quisquilloso o más riguroso en entregar una RCA”.</w:t>
      </w:r>
    </w:p>
    <w:p>
      <w:pPr>
        <w:spacing w:before="20"/>
        <w:ind w:left="360"/>
      </w:pPr>
      <w:r>
        <w:rPr>
          <w:color w:val="222222"/>
          <w:sz w:val="20"/>
        </w:rPr>
        <w:t>“En el fondo, está diciendo de que está indirectamente presionando al Poder Judicial de ‘si tú resuelves esta invalidación o este recurso le va a costar al Estado’. Entonces, hay en ese sentido como una presión y que creo que no va en el sentido de dar certeza. Y, por otro lado, podría llegar a tener el efecto contrario de que se haga cada vez más difícil la RCA”, dice. Rojas recalca que en general lo que le preocupa es se estaría retrocediendo en los principios del Tratado de Escazú.</w:t>
      </w:r>
    </w:p>
    <w:p>
      <w:pPr>
        <w:spacing w:before="20"/>
        <w:ind w:left="360"/>
      </w:pPr>
      <w:r>
        <w:rPr>
          <w:color w:val="222222"/>
          <w:sz w:val="20"/>
        </w:rPr>
        <w:t>El también exministro de la cartera de Medio Ambiente, Pablo Badenier, sostiene que “el gobierno debe desconocer que la defensa de las RCA reclamadas las lleva el Servicio de Evaluación Ambiental (SEA) tanto en instancias administrativas como judiciales”. “Lo hace con celo y en general con muy buenos resultados, por lo que proponer que se restituyan los gastos incurridos por un titular, en el caso que su RCA sea invalidada por acción judicial, es causarle al Estado una doble derrota, quizá pagar costas y además restituir los recursos del titular”. Y sentencia: “Esa propuesta es indefendible, no existe siquiera metodología alguna para estimar esos costos, puede generar incentivos perversos y en nada ayuda si el objetivo es destrabar o agilizar decisiones”.</w:t>
      </w:r>
    </w:p>
    <w:p>
      <w:pPr>
        <w:spacing w:before="20"/>
        <w:ind w:left="360"/>
      </w:pPr>
      <w:r>
        <w:rPr>
          <w:color w:val="222222"/>
          <w:sz w:val="20"/>
        </w:rPr>
        <w:t>Consultado, el director ejecutivo del SEA, Arturo Farías, descarta que la medida pueda ser una presión para el SEA. “De ninguna manera. Lo que vemos es que el SEA defiende cada una de sus RCA, lo cual demuestra que es un Servicio serio. La tasa de obtención de resultados positivos es muy alta y, por la misma razón,creo que se trata de transmitir la idea de la responsabilidad del Estado respecto a las decisiones que toma”, aseguró tras participar del Summit Futuro Sostenible organizado por El Mercurio.</w:t>
      </w:r>
    </w:p>
    <w:p>
      <w:pPr>
        <w:spacing w:before="20"/>
        <w:ind w:left="360"/>
      </w:pPr>
      <w:r>
        <w:rPr>
          <w:color w:val="222222"/>
          <w:sz w:val="20"/>
        </w:rPr>
        <w:t>Arturo Farías director del Servicio de Evaluación Ambiental.Maisa Rojas, exministra del Medio Ambiente. Pablo Badenier, exministro del Medio Ambiente. Foto: José Montenegro y Archivo</w:t>
      </w:r>
    </w:p>
    <w:p>
      <w:pPr>
        <w:spacing w:before="20"/>
        <w:ind w:left="360"/>
      </w:pPr>
      <w:r>
        <w:rPr>
          <w:color w:val="222222"/>
          <w:sz w:val="20"/>
        </w:rPr>
        <w:t>Pero hay más propuestas. Se plantea establecer un régimen especial voluntario -que podría llegar a ser obligatorio en caso de tener resultados positivos- en que se disminuyen el número de adendas admisibles en la evaluación, tanto para EIA como para DIA. En esa línea, se incluye un reforzamiento a las atribuciones del SEA para que pueda ejercer la rectoría técnica del proceso de evaluación ambiental, “asegurando que los pronunciamientos de organismos públicos con competencia ambiental sean siempre emitidos dentro del ámbito de sus competencias”.</w:t>
      </w:r>
    </w:p>
    <w:p>
      <w:pPr>
        <w:spacing w:before="20"/>
        <w:ind w:left="360"/>
      </w:pPr>
      <w:r>
        <w:rPr>
          <w:color w:val="222222"/>
          <w:sz w:val="20"/>
        </w:rPr>
        <w:t>El líder del SEA explica a DF que se ha naturalizado la iteración (preguntas y respuestas que se dan en el marco de la evaluación ambiental): “Debemos cambiar el paradigma, dejar de ver la iteración como algo normal, es la excepción. Lo normal es que un proyecto ingrese sólido y que ojalá el proyecto se pueda calificar en una sola instancia”.</w:t>
      </w:r>
    </w:p>
    <w:p>
      <w:pPr>
        <w:spacing w:before="20"/>
        <w:ind w:left="360"/>
      </w:pPr>
      <w:r>
        <w:rPr>
          <w:color w:val="222222"/>
          <w:sz w:val="20"/>
        </w:rPr>
        <w:t>“Lo que buscamos es quetodos los actores del sistema sientan de alguna u otra manera que tienen algún grado de responsabilidad. El titular entregar instrumentos a la evaluación ambiental que sean adecuados, transparentes, certeros. Y, por otro lado, a las autoridades del Estado también en aplicar el principio de celeridad, de conclusión, de economía procedimental”, dijo.</w:t>
      </w:r>
    </w:p>
    <w:p>
      <w:pPr>
        <w:spacing w:before="20"/>
        <w:ind w:left="360"/>
      </w:pPr>
      <w:r>
        <w:rPr>
          <w:color w:val="222222"/>
          <w:sz w:val="20"/>
        </w:rPr>
        <w:t>En su participación en el evento, Farías enfatizó en que no hay “ninguna dicotomía entre la inversión y el mundo ambiental”. “Hacer expedido el sistema no significa dejar de evaluar, significa dejar de rehacer, de volver a evaluar distintas veces, de que en definitiva podamos también utilizar las atribuciones del Servicio”. De hecho, apuntó a un “cambio de paradigma” y a un “punto de inflexión” respecto a cómo enfrentar el procedimiento ambiental.</w:t>
      </w:r>
    </w:p>
    <w:p>
      <w:pPr>
        <w:spacing w:before="20"/>
        <w:ind w:left="360"/>
      </w:pPr>
      <w:r>
        <w:rPr>
          <w:color w:val="222222"/>
          <w:sz w:val="20"/>
        </w:rPr>
        <w:t>En el texto se propone queel plazo para la invalidación administrativa sea de seis meses en lugar de dos años; eliminar el guarismo de capacidad instalada respecto de la generación de las centrales y plantas de energía eléctrica como requisito para ingresar al SEIA; y se establece que las modificaciones a proyectos con RCA favorable que se ejecuten en el área geográfica del proyecto original no requerirán una nueva evaluación ambiental, salvo que impliquen cambios sustantivos en la magnitud o duración de sus impactos. Se exime de este trámite a las mejoras tecnológicas, siempre que no generen un aumento significativo en las cargas ambientales.</w:t>
      </w:r>
    </w:p>
    <w:p>
      <w:pPr>
        <w:spacing w:before="20"/>
        <w:ind w:left="360"/>
      </w:pPr>
      <w:r>
        <w:rPr>
          <w:color w:val="222222"/>
          <w:sz w:val="20"/>
        </w:rPr>
        <w:t>Ante el diagnóstico que los tiempos de reclamación suelen incumplirse, se busca elevar estos plazos a rango legal. Y se establecen límites estrictos a las medidas cautelares que paralicen proyectos que cuenten con RCA favorable, fijando una vigencia de 30 días corridos prorrogables únicamente mediante resolución fundada del Tribunal Ambiental. “Para evitar suspensiones indefinidas, se consagra un plazo máximo de seis meses totales para cualquier medida cautelar”, se dice.</w:t>
      </w:r>
    </w:p>
    <w:p>
      <w:pPr>
        <w:spacing w:before="20"/>
        <w:ind w:left="360"/>
      </w:pPr>
      <w:r>
        <w:rPr>
          <w:color w:val="222222"/>
          <w:sz w:val="20"/>
        </w:rPr>
        <w:t>Y se refuerza la certeza jurídica al permitir que las resoluciones que concedan, denieguen o prorroguen estas cautelares sean apelables ante la Corte de Apelaciones respectiva, “garantizando un control jerárquico sobre las paralizaciones de los proyectos”.</w:t>
      </w:r>
    </w:p>
    <w:p>
      <w:pPr>
        <w:spacing w:before="20"/>
        <w:ind w:left="360"/>
      </w:pPr>
      <w:r>
        <w:rPr>
          <w:color w:val="222222"/>
          <w:sz w:val="20"/>
        </w:rPr>
        <w:t>Además, se contemplan ajustes al Servicio de Biodiversidad y Áreas Protegidas (SBAP) que ha tenido especial atención por parte del gobierno. Se incluye una modificación para extender la dictación de su normativa secundaria y se amplía en un año el plazo para la creación de todos los reglamentos asociados a la ley. Y, por otro lado, se establece un período de cinco años para que el Ministerio del Medio Ambiente dicte el decreto que oficialice los sitios prioritarios que se regirán bajo el nuevo marco legal.</w:t>
      </w:r>
    </w:p>
    <w:p>
      <w:pPr>
        <w:spacing w:before="40" w:after="120"/>
      </w:pPr>
      <w:r>
        <w:rPr>
          <w:color w:val="CCCCCC"/>
        </w:rPr>
        <w:t>· · ·</w:t>
      </w:r>
    </w:p>
    <w:p>
      <w:r>
        <w:rPr>
          <w:b/>
          <w:color w:val="E65000"/>
        </w:rPr>
        <w:t xml:space="preserve">6. </w:t>
      </w:r>
      <w:r>
        <w:rPr>
          <w:b/>
          <w:sz w:val="22"/>
        </w:rPr>
        <w:t>Hallazgos arqueológicos: Consejo de Monumentos tendría plazos cortos e intervenciones menores no requerirán permiso</w:t>
      </w:r>
    </w:p>
    <w:p>
      <w:pPr>
        <w:spacing w:before="0"/>
      </w:pPr>
      <w:r>
        <w:rPr>
          <w:color w:val="0056B3"/>
          <w:sz w:val="18"/>
        </w:rPr>
        <w:t>https://www.df.cl/empresas/construccion/hallazgos-arqueologicos-consejo-de-monumentos-tendria-plazos-cortos-e</w:t>
      </w:r>
    </w:p>
    <w:p>
      <w:pPr>
        <w:spacing w:before="20"/>
        <w:ind w:left="360"/>
      </w:pPr>
      <w:r>
        <w:rPr>
          <w:color w:val="222222"/>
          <w:sz w:val="20"/>
        </w:rPr>
        <w:t>Existen dudas acerca de las capacidades y recursos del servicio para cumplir los tiempos que propone la iniciativa legal.</w:t>
      </w:r>
    </w:p>
    <w:p>
      <w:pPr>
        <w:spacing w:before="20"/>
        <w:ind w:left="360"/>
      </w:pPr>
      <w:r>
        <w:rPr>
          <w:color w:val="222222"/>
          <w:sz w:val="20"/>
        </w:rPr>
        <w:t>Publicado: Jueves 23 de abril de 2026 a las 04:00 hrs.</w:t>
      </w:r>
    </w:p>
    <w:p>
      <w:pPr>
        <w:spacing w:before="20"/>
        <w:ind w:left="360"/>
      </w:pPr>
      <w:r>
        <w:rPr>
          <w:color w:val="222222"/>
          <w:sz w:val="20"/>
        </w:rPr>
        <w:t>La reforma también se dirige directamente a un servicio que ha sido apuntado como el emblema de la “permisología”: el Consejo de Monumentos Nacionales (CMN).</w:t>
      </w:r>
    </w:p>
    <w:p>
      <w:pPr>
        <w:spacing w:before="20"/>
        <w:ind w:left="360"/>
      </w:pPr>
      <w:r>
        <w:rPr>
          <w:color w:val="222222"/>
          <w:sz w:val="20"/>
        </w:rPr>
        <w:t>Eso se traduce en dos grandes cambios. El primero es la imposición de plazos fatales para esta institución, que ahora dispondrá de 20 días corridos para pronunciarse sobre un eventual hallazgo arqueológico en un proyecto y, si no hay respuesta, el interesado podrá continuar sus faenas.</w:t>
      </w:r>
    </w:p>
    <w:p>
      <w:pPr>
        <w:spacing w:before="20"/>
        <w:ind w:left="360"/>
      </w:pPr>
      <w:r>
        <w:rPr>
          <w:color w:val="222222"/>
          <w:sz w:val="20"/>
        </w:rPr>
        <w:t>De hecho, en vez de realizar la denuncia obligatoria a Carabineros, la persona -natural o jurídica- que detecta algún resto de potencial valor arqueológico debe adoptar las medidas necesarias para el resguardo. Así, el CMN tendrá cinco días hábiles para verificar el descubrimiento en terreno. Para la decisión final, el Ministerio de las Culturas deberá emitir un reglamento que fijará los criterios para determinar cuándo una intervención no requiere de autorización y eso es lo que puede demorar máximo 20 días.</w:t>
      </w:r>
    </w:p>
    <w:p>
      <w:pPr>
        <w:spacing w:before="20"/>
        <w:ind w:left="360"/>
      </w:pPr>
      <w:r>
        <w:rPr>
          <w:color w:val="222222"/>
          <w:sz w:val="20"/>
        </w:rPr>
        <w:t>Segundo, se introduce una figura llamada “intervenciones menores”, que permite que se ejecuten obras de bajo impacto mediante un aviso electrónico con aprobación automática, eliminando la necesidad de autorizaciones previas. Como resguardo, se introduce la obligación de que haya un profesional -arqueólogo o paleontólogo- presente en los proyectos y se establecen “multas severas” por la omisión de avisos o declaraciones falsas.</w:t>
      </w:r>
    </w:p>
    <w:p>
      <w:pPr>
        <w:spacing w:before="20"/>
        <w:ind w:left="360"/>
      </w:pPr>
      <w:r>
        <w:rPr>
          <w:color w:val="222222"/>
          <w:sz w:val="20"/>
        </w:rPr>
        <w:t>El socio de Echeverría Ihlarreborde Scagliotti, José Domingo Ihlarreborde, considera que el proyecto va en la dirección correcta, tratando de agilizar un servicio que ha tenido las mayores demoras en tramitación de permisos, con casos icónicos como el de Statkraft en Los Lagos.</w:t>
      </w:r>
    </w:p>
    <w:p>
      <w:pPr>
        <w:spacing w:before="20"/>
        <w:ind w:left="360"/>
      </w:pPr>
      <w:r>
        <w:rPr>
          <w:color w:val="222222"/>
          <w:sz w:val="20"/>
        </w:rPr>
        <w:t>No obstante, el abogado plantea dudas respecto a los plazos que impone antes de entregar lo que es, en estricto rigor, un silencio positivo para los proyectos. “Es un servicio que se demoraba meses o años en pronunciarse respecto a un permiso, que ahora lo haga en 20 días, no sé cuán realista es (...) no nos sirve de mucho establecer plazos perentorios si no vienen apoyados con más recursos y más personal, ya que hoy día hay una obligación tanto de visitar el sitio como de pronunciarse después respecto a las medidas que está proponiendo la empresa”, señala el especialista.</w:t>
      </w:r>
    </w:p>
    <w:p>
      <w:pPr>
        <w:spacing w:before="20"/>
        <w:ind w:left="360"/>
      </w:pPr>
      <w:r>
        <w:rPr>
          <w:color w:val="222222"/>
          <w:sz w:val="20"/>
        </w:rPr>
        <w:t>Con todo, sí ve con buenos ojos el reglamento que permitiría identificar qué trabajos requieren permisos y cuáles son intervenciones menores, ahorrando que algunos pasen el trámite innecesariamente.</w:t>
      </w:r>
    </w:p>
    <w:p>
      <w:pPr>
        <w:spacing w:before="20"/>
        <w:ind w:left="360"/>
      </w:pPr>
      <w:r>
        <w:rPr>
          <w:color w:val="222222"/>
          <w:sz w:val="20"/>
        </w:rPr>
        <w:t>La directora del área ambiental de Prieto Abogados, Romina Tobar, coincide en que las modificaciones apuntan a destrabar “uno de los cuellos de botella más relevantes para los proyectos de inversión”.</w:t>
      </w:r>
    </w:p>
    <w:p>
      <w:pPr>
        <w:spacing w:before="20"/>
        <w:ind w:left="360"/>
      </w:pPr>
      <w:r>
        <w:rPr>
          <w:color w:val="222222"/>
          <w:sz w:val="20"/>
        </w:rPr>
        <w:t>“Un aspecto clave a monitorear será la definición reglamentaria de lo que se entenderá por ‘intervenciones menores’, ya que de eso dependerá, en la práctica, el alcance real de esta agilización”, opina.</w:t>
      </w:r>
    </w:p>
    <w:p>
      <w:pPr>
        <w:spacing w:before="20"/>
        <w:ind w:left="360"/>
      </w:pPr>
      <w:r>
        <w:rPr>
          <w:color w:val="222222"/>
          <w:sz w:val="20"/>
        </w:rPr>
        <w:t>El economista del Instituto Libertad, Gustavo Díaz, también planteó que las mejoras van en línea a que los inversionistas tengan más certezas y menor riesgo, pero también hizo hincapié en que si son percibidas como un debilitamiento institucional o ambiental, “podrían generar mayor judicialización y riesgo reputacional”.</w:t>
      </w:r>
    </w:p>
    <w:p>
      <w:pPr>
        <w:spacing w:before="40" w:after="120"/>
      </w:pPr>
      <w:r>
        <w:rPr>
          <w:color w:val="CCCCCC"/>
        </w:rPr>
        <w:t>· · ·</w:t>
      </w:r>
    </w:p>
    <w:p>
      <w:r>
        <w:rPr>
          <w:b/>
          <w:color w:val="E65000"/>
        </w:rPr>
        <w:t xml:space="preserve">7. </w:t>
      </w:r>
      <w:r>
        <w:rPr>
          <w:b/>
          <w:sz w:val="22"/>
        </w:rPr>
        <w:t>Exención del IVA y cambios al DFL 2: las apuestas del gobierno para reactivar la industria de la construcción</w:t>
      </w:r>
    </w:p>
    <w:p>
      <w:pPr>
        <w:spacing w:before="0"/>
      </w:pPr>
      <w:r>
        <w:rPr>
          <w:color w:val="0056B3"/>
          <w:sz w:val="18"/>
        </w:rPr>
        <w:t>https://www.df.cl/empresas/construccion/exencion-del-iva-y-cambios-al-dfl-2-las-apuestas-del-gobierno-para</w:t>
      </w:r>
    </w:p>
    <w:p>
      <w:pPr>
        <w:spacing w:before="20"/>
        <w:ind w:left="360"/>
      </w:pPr>
      <w:r>
        <w:rPr>
          <w:color w:val="222222"/>
          <w:sz w:val="20"/>
        </w:rPr>
        <w:t>Publicado: Jueves 23 de abril de 2026 a las 04:00 hrs.</w:t>
      </w:r>
    </w:p>
    <w:p>
      <w:pPr>
        <w:spacing w:before="20"/>
        <w:ind w:left="360"/>
      </w:pPr>
      <w:r>
        <w:rPr>
          <w:color w:val="222222"/>
          <w:sz w:val="20"/>
        </w:rPr>
        <w:t>Como ya lo han señalado en reiteradas ocasiones, la crisis que atraviesa el sector de la construcción se ha instalado como una de las principales preocupaciones del Ejecutivo, al punto de quedar incorporada en el proyecto de ley de reactivación.</w:t>
      </w:r>
    </w:p>
    <w:p>
      <w:pPr>
        <w:spacing w:before="20"/>
        <w:ind w:left="360"/>
      </w:pPr>
      <w:r>
        <w:rPr>
          <w:color w:val="222222"/>
          <w:sz w:val="20"/>
        </w:rPr>
        <w:t>En el documento, el gobierno advirtió que tanto el número de viviendas como la superficie autorizada para edificación han registrado una caída sostenida desde 2019, hasta alcanzar en 2025 su nivel más bajo desde 2008. Este deterioro, explicaron, ha tenido efectos significativos, entre ellos la pérdida de cerca de 180 mil empleos y la quiebra de múltiples empresas, en un contexto marcado por un déficit habitacional que ya supera las 800 mil viviendas.</w:t>
      </w:r>
    </w:p>
    <w:p>
      <w:pPr>
        <w:spacing w:before="20"/>
        <w:ind w:left="360"/>
      </w:pPr>
      <w:r>
        <w:rPr>
          <w:color w:val="222222"/>
          <w:sz w:val="20"/>
        </w:rPr>
        <w:t>A partir de este diagnóstico, la iniciativa contempla dos medidas orientadas a reactivar el sector, con foco en ajustes al IVA de la vivienda y al régimen del DFL 2.</w:t>
      </w:r>
    </w:p>
    <w:p>
      <w:pPr>
        <w:spacing w:before="20"/>
        <w:ind w:left="360"/>
      </w:pPr>
      <w:r>
        <w:rPr>
          <w:color w:val="222222"/>
          <w:sz w:val="20"/>
        </w:rPr>
        <w:t>Con el objetivo de reactivar el sector inmobiliario mediante la disminución del precio de las viviendas, el proyecto de ley introduce una exención temporal del IVA por 12 meses para la venta de ciertos inmuebles.</w:t>
      </w:r>
    </w:p>
    <w:p>
      <w:pPr>
        <w:spacing w:before="20"/>
        <w:ind w:left="360"/>
      </w:pPr>
      <w:r>
        <w:rPr>
          <w:color w:val="222222"/>
          <w:sz w:val="20"/>
        </w:rPr>
        <w:t>La medida se aplicará a viviendas que cuenten con recepción definitiva previa a la publicación de la ley, siempre que la compraventa se concrete dentro de su período de vigencia. Asimismo, también podrán acogerse aquellas operaciones cuya promesa de compraventa haya sido suscrita durante ese lapso. El proyecto también incorpora un efecto retroactivo, que permite la devolución del IVA en operaciones realizadas desde el ingreso de la iniciativa.</w:t>
      </w:r>
    </w:p>
    <w:p>
      <w:pPr>
        <w:spacing w:before="20"/>
        <w:ind w:left="360"/>
      </w:pPr>
      <w:r>
        <w:rPr>
          <w:color w:val="222222"/>
          <w:sz w:val="20"/>
        </w:rPr>
        <w:t>El doctor en planificación y economía urbana de la London School of Economics (LSE), Ignacio Aravena, explicó que, hoy, cuando una inmobiliaria desarrolla un proyecto, paga IVA en distintos componentes de la construcción -como materiales y mano de obra-, costos que finalmente se incorporan al valor total del proyecto y terminan siendo asumidos por el comprador en el precio final de la vivienda.</w:t>
      </w:r>
    </w:p>
    <w:p>
      <w:pPr>
        <w:spacing w:before="20"/>
        <w:ind w:left="360"/>
      </w:pPr>
      <w:r>
        <w:rPr>
          <w:color w:val="222222"/>
          <w:sz w:val="20"/>
        </w:rPr>
        <w:t>Precisamente ese componente es el que se elimina con la medida, lo que permitirá reducir el valor final de las propiedades, con impacto directo en el pie y en los dividendos mensuales.</w:t>
      </w:r>
    </w:p>
    <w:p>
      <w:pPr>
        <w:spacing w:before="20"/>
        <w:ind w:left="360"/>
      </w:pPr>
      <w:r>
        <w:rPr>
          <w:color w:val="222222"/>
          <w:sz w:val="20"/>
        </w:rPr>
        <w:t>Además, recalcó que, en términos prácticos, el impacto de esta disposición se concentrará en viviendas nuevas, es decir, en inmuebles recién construidos que se venden por primera vez. Otro punto relevante del proyecto, y que busca justamente evitar que las inmobiliarias absorban el costo de esta exención, es que se mantiene la posibilidad de utilizar como crédito fiscal el IVA pagado durante la construcción.</w:t>
      </w:r>
    </w:p>
    <w:p>
      <w:pPr>
        <w:spacing w:before="20"/>
        <w:ind w:left="360"/>
      </w:pPr>
      <w:r>
        <w:rPr>
          <w:color w:val="222222"/>
          <w:sz w:val="20"/>
        </w:rPr>
        <w:t>En la práctica, Aravena explicó que esto otorga flexibilidad a las empresas para decidir cómo absorber ese costo, ya sea incorporándolo al valor del proyecto o trasladándolo a otras iniciativas en desarrollo.</w:t>
      </w:r>
    </w:p>
    <w:p>
      <w:pPr>
        <w:spacing w:before="20"/>
        <w:ind w:left="360"/>
      </w:pPr>
      <w:r>
        <w:rPr>
          <w:color w:val="222222"/>
          <w:sz w:val="20"/>
        </w:rPr>
        <w:t>Con todo, Aravena advirtió que la rebaja en el precio final no será uniforme, “ya que depende de factores como el valor del terreno, la estructura de costos del proyecto y la urgencia de la inmobiliaria por vender”.</w:t>
      </w:r>
    </w:p>
    <w:p>
      <w:pPr>
        <w:spacing w:before="20"/>
        <w:ind w:left="360"/>
      </w:pPr>
      <w:r>
        <w:rPr>
          <w:color w:val="222222"/>
          <w:sz w:val="20"/>
        </w:rPr>
        <w:t>A modo de referencia, indicó que en una vivienda de UF 3.000, con un IVA hipotético de 10%, el valor neto podría reducirse hasta UF 2.700. El descuento efectivo dependerá de cuánto de ese beneficio sea traspasado al comprador.</w:t>
      </w:r>
    </w:p>
    <w:p>
      <w:pPr>
        <w:spacing w:before="20"/>
        <w:ind w:left="360"/>
      </w:pPr>
      <w:r>
        <w:rPr>
          <w:color w:val="222222"/>
          <w:sz w:val="20"/>
        </w:rPr>
        <w:t>Con foco en los inversionistas inmobiliarios, el proyecto también introduce un nuevo tratamiento tributario para las rentas provenientes del arriendo de viviendas acogidas al régimen del Decreto con Fuerza de Ley N°2 (DFL 2) -propiedades de hasta 140 metros cuadrados (m2) que cumplen ciertos requisitos-.</w:t>
      </w:r>
    </w:p>
    <w:p>
      <w:pPr>
        <w:spacing w:before="20"/>
        <w:ind w:left="360"/>
      </w:pPr>
      <w:r>
        <w:rPr>
          <w:color w:val="222222"/>
          <w:sz w:val="20"/>
        </w:rPr>
        <w:t>Actualmente, las personas naturales pueden acceder a beneficios tributarios por hasta dos viviendas bajo este régimen, que incluyen rebajas en contribuciones, ventajas en materia de herencia y un tratamiento favorable para los ingresos por arriendo.</w:t>
      </w:r>
    </w:p>
    <w:p>
      <w:pPr>
        <w:spacing w:before="20"/>
        <w:ind w:left="360"/>
      </w:pPr>
      <w:r>
        <w:rPr>
          <w:color w:val="222222"/>
          <w:sz w:val="20"/>
        </w:rPr>
        <w:t>Sin embargo, a partir de la tercera propiedad, esos ingresos pasan a tributar bajo el régimen general, es decir, se incorporan a la base del Impuesto Global Complementario.</w:t>
      </w:r>
    </w:p>
    <w:p>
      <w:pPr>
        <w:spacing w:before="20"/>
        <w:ind w:left="360"/>
      </w:pPr>
      <w:r>
        <w:rPr>
          <w:color w:val="222222"/>
          <w:sz w:val="20"/>
        </w:rPr>
        <w:t>La propuesta legislativa modifica este esquema. Ahora, las rentas de arriendo obtenidas desde la tercera vivienda en adelante estarán afectas a un impuesto único del 5%, tanto para personas naturales como para personas jurídicas.</w:t>
      </w:r>
    </w:p>
    <w:p>
      <w:pPr>
        <w:spacing w:before="20"/>
        <w:ind w:left="360"/>
      </w:pPr>
      <w:r>
        <w:rPr>
          <w:color w:val="222222"/>
          <w:sz w:val="20"/>
        </w:rPr>
        <w:t>Eso sí, el beneficio tendrá un alcance más acotado en términos de tamaño de las propiedades, ya que solo aplicará a viviendas de hasta 90 m2, reduciendo el límite actual de 140 m2. Para las dos primeras viviendas, en tanto, se mantienen intactos los beneficios vigentes.</w:t>
      </w:r>
    </w:p>
    <w:p>
      <w:pPr>
        <w:spacing w:before="20"/>
        <w:ind w:left="360"/>
      </w:pPr>
      <w:r>
        <w:rPr>
          <w:color w:val="222222"/>
          <w:sz w:val="20"/>
        </w:rPr>
        <w:t>El director del Centro de Estudios Inmobiliarios de la ESE Business School y vicerrector académico de la Universidad de los Andes, José Miguel Simian, explicó que hoy, cuando un inversionista supera las dos propiedades, los ingresos por arriendo se suman a su renta total y tributan según el tramo correspondiente.</w:t>
      </w:r>
    </w:p>
    <w:p>
      <w:pPr>
        <w:spacing w:before="20"/>
        <w:ind w:left="360"/>
      </w:pPr>
      <w:r>
        <w:rPr>
          <w:color w:val="222222"/>
          <w:sz w:val="20"/>
        </w:rPr>
        <w:t>“Con este cambio, quienes tengan más de dos viviendas y las destinen a arriendo pagarán un impuesto fijo de 5%, lo que simplifica el sistema y reduce la carga tributaria en muchos casos”, señaló.</w:t>
      </w:r>
    </w:p>
    <w:p>
      <w:pPr>
        <w:spacing w:before="20"/>
        <w:ind w:left="360"/>
      </w:pPr>
      <w:r>
        <w:rPr>
          <w:color w:val="222222"/>
          <w:sz w:val="20"/>
        </w:rPr>
        <w:t>A juicio del experto, la medida constituye un incentivo relevante para el mercado; siendo un “estímulo al uso de la vivienda como vehículo de ahorro e inversión y puede contribuir a reducir el stock disponible, que hoy se encuentra en niveles muy elevados”.</w:t>
      </w:r>
    </w:p>
    <w:p>
      <w:pPr>
        <w:spacing w:before="20"/>
        <w:ind w:left="360"/>
      </w:pPr>
      <w:r>
        <w:rPr>
          <w:color w:val="222222"/>
          <w:sz w:val="20"/>
        </w:rPr>
        <w:t>Desde el Ejecutivo, en tanto, se ha estimado que esta modificación tendrá un impacto fiscal acotado, con una disminución permanente de ingresos equivalente a 0,005% del PIB por año.</w:t>
      </w:r>
    </w:p>
    <w:p>
      <w:pPr>
        <w:spacing w:before="40" w:after="120"/>
      </w:pPr>
      <w:r>
        <w:rPr>
          <w:color w:val="CCCCCC"/>
        </w:rPr>
        <w:t>· · ·</w:t>
      </w:r>
    </w:p>
    <w:p>
      <w:r>
        <w:rPr>
          <w:b/>
          <w:color w:val="E65000"/>
        </w:rPr>
        <w:t xml:space="preserve">8. </w:t>
      </w:r>
      <w:r>
        <w:rPr>
          <w:b/>
          <w:sz w:val="22"/>
        </w:rPr>
        <w:t>CEO de Empresas Gasco admite alza de 10% en gas licuado por guerra en Medio Oriente y descarta desabastecimiento</w:t>
      </w:r>
    </w:p>
    <w:p>
      <w:pPr>
        <w:spacing w:before="0"/>
      </w:pPr>
      <w:r>
        <w:rPr>
          <w:color w:val="0056B3"/>
          <w:sz w:val="18"/>
        </w:rPr>
        <w:t>https://www.df.cl/empresas/energia/ceo-de-empresas-gasco-admite-alza-de-10-en-gas-licuado-por-guerra-en-medio</w:t>
      </w:r>
    </w:p>
    <w:p>
      <w:pPr>
        <w:spacing w:before="20"/>
        <w:ind w:left="360"/>
      </w:pPr>
      <w:r>
        <w:rPr>
          <w:color w:val="222222"/>
          <w:sz w:val="20"/>
        </w:rPr>
        <w:t>Cristián Aguirre asegura a DF que es muy difícil prever lo que sucederá, pero plantea algunos puntos en el análisis.</w:t>
      </w:r>
    </w:p>
    <w:p>
      <w:pPr>
        <w:spacing w:before="20"/>
        <w:ind w:left="360"/>
      </w:pPr>
      <w:r>
        <w:rPr>
          <w:color w:val="222222"/>
          <w:sz w:val="20"/>
        </w:rPr>
        <w:t>Publicado: Jueves 23 de abril de 2026 a las 04:00 hrs.</w:t>
      </w:r>
    </w:p>
    <w:p>
      <w:pPr>
        <w:spacing w:before="20"/>
        <w:ind w:left="360"/>
      </w:pPr>
      <w:r>
        <w:rPr>
          <w:color w:val="222222"/>
          <w:sz w:val="20"/>
        </w:rPr>
        <w:t>Gerente general de Empresas Gasco, Cristián Aguirre.</w:t>
      </w:r>
    </w:p>
    <w:p>
      <w:pPr>
        <w:spacing w:before="20"/>
        <w:ind w:left="360"/>
      </w:pPr>
      <w:r>
        <w:rPr>
          <w:color w:val="222222"/>
          <w:sz w:val="20"/>
        </w:rPr>
        <w:t>El sector energético local está bajo tensión por el conflicto en Medio Oriente. En medio del alza histórica de los combustibles, también se ha resentido el Gas Licuado de Petróleo (GLP), donde Gasco es el principal proveedor en Chile. “Tanto en los distintos formatos de cilindros como en gas granel el alza ha sido en promedio de un 10%”, reconoce a DF el gerente general de Empresas Gasco, Cristián Aguirre.</w:t>
      </w:r>
    </w:p>
    <w:p>
      <w:pPr>
        <w:spacing w:before="20"/>
        <w:ind w:left="360"/>
      </w:pPr>
      <w:r>
        <w:rPr>
          <w:color w:val="222222"/>
          <w:sz w:val="20"/>
        </w:rPr>
        <w:t>Chile es un importador de hidrocarburos, por lo que los precios de todos estos últimos están afectos tanto a la variación del tipo de cambio como de los índices internacionales. En el caso del GLP, el mercado chileno importa en su mayoría desde Estados Unidos.</w:t>
      </w:r>
    </w:p>
    <w:p>
      <w:pPr>
        <w:spacing w:before="20"/>
        <w:ind w:left="360"/>
      </w:pPr>
      <w:r>
        <w:rPr>
          <w:color w:val="222222"/>
          <w:sz w:val="20"/>
        </w:rPr>
        <w:t>Aguirre explica que, aunque el conflicto internacional está situado en otros límites geográficos, economías como India, China, Japón o Corea del Sur -que sí se abastecen de hidrocarburos que transitan por el Estrecho de Ormuz- se ven obligadas a buscar alternativas. Esto, presiona la demanda del transporte marítimo que abastece a Chile y aumenta el costo, haciendo que -por una parte- el precio a nivel local se vea afectado.</w:t>
      </w:r>
    </w:p>
    <w:p>
      <w:pPr>
        <w:spacing w:before="20"/>
        <w:ind w:left="360"/>
      </w:pPr>
      <w:r>
        <w:rPr>
          <w:color w:val="222222"/>
          <w:sz w:val="20"/>
        </w:rPr>
        <w:t>El ejecutivo sostiene que el GLP ya sufrió un alza en medio del aumento del tipo de cambio, lo que de todas formas no ha sido un impacto significativo si se compara con las variaciones de la bencina, el kerosene o el diésel.</w:t>
      </w:r>
    </w:p>
    <w:p>
      <w:pPr>
        <w:spacing w:before="20"/>
        <w:ind w:left="360"/>
      </w:pPr>
      <w:r>
        <w:rPr>
          <w:color w:val="222222"/>
          <w:sz w:val="20"/>
        </w:rPr>
        <w:t>La duda es si esta alza podría mantenerse o seguir escalando en medio de un escenario marcado por la incertidumbre. Aguirre admite que es muy difícil prever lo que sucederá, teniendo en cuenta que las conversaciones y bloqueos van y vienen. Eso sí, plantea algunos puntos en el análisis.</w:t>
      </w:r>
    </w:p>
    <w:p>
      <w:pPr>
        <w:spacing w:before="20"/>
        <w:ind w:left="360"/>
      </w:pPr>
      <w:r>
        <w:rPr>
          <w:color w:val="222222"/>
          <w:sz w:val="20"/>
        </w:rPr>
        <w:t>Mientras se extienda este conflicto, sostiene que podrían entrar a jugar otras variables que son independientes del tipo de cambio y los costos del transporte marítimo, “como los stocks de gas licuado desde donde nosotros nos abastecemos”.</w:t>
      </w:r>
    </w:p>
    <w:p>
      <w:pPr>
        <w:spacing w:before="20"/>
        <w:ind w:left="360"/>
      </w:pPr>
      <w:r>
        <w:rPr>
          <w:color w:val="222222"/>
          <w:sz w:val="20"/>
        </w:rPr>
        <w:t>“Hasta el minuto los stocks de Estados Unidos como tal, como país que nos exporta gas y el cual nosotros importamos, están en una condición súper buena. No vemos una condición de peligro de un shock de desabastecimiento o un problema que pueda generar un quiebre en la cadena logística de nuestro país”, dice.</w:t>
      </w:r>
    </w:p>
    <w:p>
      <w:pPr>
        <w:spacing w:before="20"/>
        <w:ind w:left="360"/>
      </w:pPr>
      <w:r>
        <w:rPr>
          <w:color w:val="222222"/>
          <w:sz w:val="20"/>
        </w:rPr>
        <w:t>Otra variable que podría gatillarse en el mediano plazo si esto persiste, por ejemplo, es el encarecimiento del paso por el Canal de Panamá.</w:t>
      </w:r>
    </w:p>
    <w:p>
      <w:pPr>
        <w:spacing w:before="20"/>
        <w:ind w:left="360"/>
      </w:pPr>
      <w:r>
        <w:rPr>
          <w:color w:val="222222"/>
          <w:sz w:val="20"/>
        </w:rPr>
        <w:t>Pese a todo, sentencia: “No hay riesgo de que Chile corra peligro de un desabastecimiento, de un quiebre de stock de gas licuado”.</w:t>
      </w:r>
    </w:p>
    <w:p>
      <w:pPr>
        <w:spacing w:before="20"/>
        <w:ind w:left="360"/>
      </w:pPr>
      <w:r>
        <w:rPr>
          <w:color w:val="222222"/>
          <w:sz w:val="20"/>
        </w:rPr>
        <w:t>- Pero de extenderse el conflicto, ¿llegará un minuto en que no se pueda resistir?</w:t>
      </w:r>
    </w:p>
    <w:p>
      <w:pPr>
        <w:spacing w:before="20"/>
        <w:ind w:left="360"/>
      </w:pPr>
      <w:r>
        <w:rPr>
          <w:color w:val="222222"/>
          <w:sz w:val="20"/>
        </w:rPr>
        <w:t>- Hoy no estamos en ese caso, porque lo que nos preocupa, los inventarios y los stocks de los mercados que traemos gas licuado, están súper bien. Y las empresas que tienen contratos a largo plazo, no vamos a tener problemas y a lo más vas a tener una afectación por tipo de cambio o por algunas alzas en el transporte marítimo o de pasos para que transiten los gaseros. Pero no vemos un problema. Ni quiebre de abastecimiento ni alzas que después sean, por decir así, incontrolables.</w:t>
      </w:r>
    </w:p>
    <w:p>
      <w:pPr>
        <w:spacing w:before="20"/>
        <w:ind w:left="360"/>
      </w:pPr>
      <w:r>
        <w:rPr>
          <w:color w:val="222222"/>
          <w:sz w:val="20"/>
        </w:rPr>
        <w:t>- ¿En cuánto han aumentado sus costos por efecto de este conflicto?</w:t>
      </w:r>
    </w:p>
    <w:p>
      <w:pPr>
        <w:spacing w:before="20"/>
        <w:ind w:left="360"/>
      </w:pPr>
      <w:r>
        <w:rPr>
          <w:color w:val="222222"/>
          <w:sz w:val="20"/>
        </w:rPr>
        <w:t>Va a depender, pero solo un costo relevante que es transversal para todas las industrias es el de fletes. Hoy se habla que esta alza del petróleo podría tener una afectación entre un 20% y un 25% de aumento en los costos referido al componente logístico por el transporte.</w:t>
      </w:r>
    </w:p>
    <w:p>
      <w:pPr>
        <w:spacing w:before="20"/>
        <w:ind w:left="360"/>
      </w:pPr>
      <w:r>
        <w:rPr>
          <w:color w:val="222222"/>
          <w:sz w:val="20"/>
        </w:rPr>
        <w:t>Un hecho que cala hondo en Empresas Gasco es el accidente ocurrido en febrero en Renca donde se vio involucrado un camión de la firma que transportaba gas propano, dejando 15 víctimas fatales y dos heridos graves.</w:t>
      </w:r>
    </w:p>
    <w:p>
      <w:pPr>
        <w:spacing w:before="20"/>
        <w:ind w:left="360"/>
      </w:pPr>
      <w:r>
        <w:rPr>
          <w:color w:val="222222"/>
          <w:sz w:val="20"/>
        </w:rPr>
        <w:t>Una de las aristas del caso es una investigación penal que lidera el fiscal Francisco Bravo. Además, hay cuatro querellas que apuntan a que habría una eventual responsabilidad penal de Gasco, lo que –según conocedores- en la firma descartarían al estar confiados en que el modelo de prevención de delitos levantó el riesgo y se tomaron medidas.</w:t>
      </w:r>
    </w:p>
    <w:p>
      <w:pPr>
        <w:spacing w:before="20"/>
        <w:ind w:left="360"/>
      </w:pPr>
      <w:r>
        <w:rPr>
          <w:color w:val="222222"/>
          <w:sz w:val="20"/>
        </w:rPr>
        <w:t>En paralelo, hay una mesa para establecer las compensaciones. Ahí la empresa trabaja con el Ministerio Público para presentar en un plazo acotado una propuesta compensatoria a las familias afectadas. Una vez que concluyan las diligencias de las autoridades, ahí la firma analizaría eventuales acciones judiciales.</w:t>
      </w:r>
    </w:p>
    <w:p>
      <w:pPr>
        <w:spacing w:before="40" w:after="120"/>
      </w:pPr>
      <w:r>
        <w:rPr>
          <w:color w:val="CCCCCC"/>
        </w:rPr>
        <w:t>· · ·</w:t>
      </w:r>
    </w:p>
    <w:p>
      <w:r>
        <w:rPr>
          <w:b/>
          <w:color w:val="E65000"/>
        </w:rPr>
        <w:t xml:space="preserve">9. </w:t>
      </w:r>
      <w:r>
        <w:rPr>
          <w:b/>
          <w:sz w:val="22"/>
        </w:rPr>
        <w:t>Pequeñas relocalizaciones de salmoneras se eximirían de pasar por evaluación ambiental</w:t>
      </w:r>
    </w:p>
    <w:p>
      <w:pPr>
        <w:spacing w:before="0"/>
      </w:pPr>
      <w:r>
        <w:rPr>
          <w:color w:val="0056B3"/>
          <w:sz w:val="18"/>
        </w:rPr>
        <w:t>https://www.df.cl/empresas/industria/pequenas-relocalizaciones-de-salmoneras-se-eximirian-de-pasar-por</w:t>
      </w:r>
    </w:p>
    <w:p>
      <w:pPr>
        <w:spacing w:before="20"/>
        <w:ind w:left="360"/>
      </w:pPr>
      <w:r>
        <w:rPr>
          <w:color w:val="222222"/>
          <w:sz w:val="20"/>
        </w:rPr>
        <w:t>El megaproyecto del gobierno, tal como se había prometido, incluye un apartado destinado a medidas para impulsar la actividad acuícola.</w:t>
      </w:r>
    </w:p>
    <w:p>
      <w:pPr>
        <w:spacing w:before="20"/>
        <w:ind w:left="360"/>
      </w:pPr>
      <w:r>
        <w:rPr>
          <w:color w:val="222222"/>
          <w:sz w:val="20"/>
        </w:rPr>
        <w:t>Publicado: Jueves 23 de abril de 2026 a las 04:00 hrs.</w:t>
      </w:r>
    </w:p>
    <w:p>
      <w:pPr>
        <w:spacing w:before="20"/>
        <w:ind w:left="360"/>
      </w:pPr>
      <w:r>
        <w:rPr>
          <w:color w:val="222222"/>
          <w:sz w:val="20"/>
        </w:rPr>
        <w:t>La megarreforma del gobierno de Kast también trajo los prometidos cambios para el sector acuícola. “Chile es el segundo productor de salmón del mundo. Sin embargo, en los últimos años hemos perdido participación debido a diversas problemáticas que enfrenta la industria”, enunció el Ejecutivo.</w:t>
      </w:r>
    </w:p>
    <w:p>
      <w:pPr>
        <w:spacing w:before="20"/>
        <w:ind w:left="360"/>
      </w:pPr>
      <w:r>
        <w:rPr>
          <w:color w:val="222222"/>
          <w:sz w:val="20"/>
        </w:rPr>
        <w:t>Así, listó medidas que buscan recuperar la competitividad de la industria. El primer foco, como ya se había adelantado, está en destrabar las micro-relocalizaciones de concesiones acuícolas, es decir, trasladar una concesión ya otorgada a un sector cercano con condiciones más favorables.</w:t>
      </w:r>
    </w:p>
    <w:p>
      <w:pPr>
        <w:spacing w:before="20"/>
        <w:ind w:left="360"/>
      </w:pPr>
      <w:r>
        <w:rPr>
          <w:color w:val="222222"/>
          <w:sz w:val="20"/>
        </w:rPr>
        <w:t>Actualmente, la norma exige que toda relocalización ingrese al Sistema de Evaluación de Impacto Ambiental (SEIA). El gobierno dijo que, en contraste, en otros sectores productivos -incluso otros cultivos acuícolas-, solo ingresan al SEIA las modificaciones que constituyen un “cambio de consideración”, mientras que los demás casos se tramitan con una consulta de pertinencia.</w:t>
      </w:r>
    </w:p>
    <w:p>
      <w:pPr>
        <w:spacing w:before="20"/>
        <w:ind w:left="360"/>
      </w:pPr>
      <w:r>
        <w:rPr>
          <w:color w:val="222222"/>
          <w:sz w:val="20"/>
        </w:rPr>
        <w:t>Ese trato diferenciado, plantea el gobierno, es una pérdida de productividad para la salmonicultura. Así, se propone eliminar la obligatoriedad de que toda relocalización ingrese al SEIA y eximir “explícitamente” a las micro-relocalizaciones de ese procedimiento. El Ejecutivo argumentó que, desde el inicio de la norma en 2010, solo dos de 1.060 solicitudes de relocalización han sido exitosas, “pese al bajo impacto medioambiental que generan”.</w:t>
      </w:r>
    </w:p>
    <w:p>
      <w:pPr>
        <w:spacing w:before="20"/>
        <w:ind w:left="360"/>
      </w:pPr>
      <w:r>
        <w:rPr>
          <w:color w:val="222222"/>
          <w:sz w:val="20"/>
        </w:rPr>
        <w:t>En otros temas, el megaproyecto busca sustituir la caducidad de concesiones por no uso por el cobro de una patente incrementada y propone “agilizar la elaboración de informes de banco natural e informes ambientales”.</w:t>
      </w:r>
    </w:p>
    <w:p>
      <w:pPr>
        <w:spacing w:before="20"/>
        <w:ind w:left="360"/>
      </w:pPr>
      <w:r>
        <w:rPr>
          <w:color w:val="222222"/>
          <w:sz w:val="20"/>
        </w:rPr>
        <w:t>Respecto a lo último, el gobierno explicó que hoy los informes son financiados por los titulares de proyectos y licitados por el Sernapesca, pero que su realización depende de la disponibilidad presupuestaria definida y administrada por la Dipres, la cual está “desacoplada de los recursos que transfieren los titulares por vía de Tesorería”, lo que genera atochamientos. Por eso, sugiere crear un trámite más ágil mediante una cuenta extrapresupuestaria en Sernapesca que encargue los informes directamente a los expertos del registro ya existente.</w:t>
      </w:r>
    </w:p>
    <w:p>
      <w:pPr>
        <w:spacing w:before="20"/>
        <w:ind w:left="360"/>
      </w:pPr>
      <w:r>
        <w:rPr>
          <w:color w:val="222222"/>
          <w:sz w:val="20"/>
        </w:rPr>
        <w:t>Los gremios salmoneros celebraron las medidas. “Consideramos positivo que el proyecto de ley exija a las autoridades coordinarse respecto de los requerimientos a los parámetros ambientales de la acuicultura, y no establecer exigencias por cada uno de ellos, lo que ha sido una demanda histórica de nuestro sector”, dijo el presidente de SalmonChile, Patricio Melero.</w:t>
      </w:r>
    </w:p>
    <w:p>
      <w:pPr>
        <w:spacing w:before="20"/>
        <w:ind w:left="360"/>
      </w:pPr>
      <w:r>
        <w:rPr>
          <w:color w:val="222222"/>
          <w:sz w:val="20"/>
        </w:rPr>
        <w:t>La timonel del Consejo del Salmón, Loreto Seguel, añadió que se trata de acciones de fácil implementación y cuantificó que “podrían significar en un aumento de entre 4% y 8% en la actividad, con un impacto significativo en empleo, encadenamientos productivos y desarrollo regional”.</w:t>
      </w:r>
    </w:p>
    <w:p>
      <w:pPr>
        <w:spacing w:before="40" w:after="120"/>
      </w:pPr>
      <w:r>
        <w:rPr>
          <w:color w:val="CCCCCC"/>
        </w:rPr>
        <w:t>· · ·</w:t>
      </w:r>
    </w:p>
    <w:p>
      <w:r>
        <w:rPr>
          <w:b/>
          <w:color w:val="E65000"/>
        </w:rPr>
        <w:t xml:space="preserve">10. </w:t>
      </w:r>
      <w:r>
        <w:rPr>
          <w:b/>
          <w:sz w:val="22"/>
        </w:rPr>
        <w:t>Entel despide a Juan Hurtado Vicuña y vicepresidente lo destaca como “líder indiscutido” con “visión de largo plazo admirable”</w:t>
      </w:r>
    </w:p>
    <w:p>
      <w:pPr>
        <w:spacing w:before="0"/>
      </w:pPr>
      <w:r>
        <w:rPr>
          <w:color w:val="0056B3"/>
          <w:sz w:val="18"/>
        </w:rPr>
        <w:t>https://www.df.cl/empresas/juntas-de-accionistas/entel-despide-a-juan-hurtado-vicuna-y-vicepresidente-lo-destaca-como-lider</w:t>
      </w:r>
    </w:p>
    <w:p>
      <w:pPr>
        <w:spacing w:before="20"/>
        <w:ind w:left="360"/>
      </w:pPr>
      <w:r>
        <w:rPr>
          <w:color w:val="222222"/>
          <w:sz w:val="20"/>
        </w:rPr>
        <w:t>Directivo concluyó su período de más de tres décadas en la compañía. En su junta de accionistas, la telco también anunció inversiones por US$ 575 millones en los mercados de Chile y Perú.</w:t>
      </w:r>
    </w:p>
    <w:p>
      <w:pPr>
        <w:spacing w:before="20"/>
        <w:ind w:left="360"/>
      </w:pPr>
      <w:r>
        <w:rPr>
          <w:color w:val="222222"/>
          <w:sz w:val="20"/>
        </w:rPr>
        <w:t>Publicado: Jueves 23 de abril de 2026 a las 04:00 hrs.</w:t>
      </w:r>
    </w:p>
    <w:p>
      <w:pPr>
        <w:spacing w:before="20"/>
        <w:ind w:left="360"/>
      </w:pPr>
      <w:r>
        <w:rPr>
          <w:color w:val="222222"/>
          <w:sz w:val="20"/>
        </w:rPr>
        <w:t>La voz cantante en la junta la llevó el vicepresidente Luis Felipe Gazitúa.</w:t>
      </w:r>
    </w:p>
    <w:p>
      <w:pPr>
        <w:spacing w:before="20"/>
        <w:ind w:left="360"/>
      </w:pPr>
      <w:r>
        <w:rPr>
          <w:color w:val="222222"/>
          <w:sz w:val="20"/>
        </w:rPr>
        <w:t>Este miércoles secerró un capítulo en la historia de la empresa de telecomunicaciones Entel. Luego de más de tres décadas en su directorio, buena parte de ese tiempo presidiéndolo,Juan Hurtado Vicuña no se presentó como candidato a la mesa directiva de la compañía y, de paso, oficializó dar un paso al costado en el negocio. Esto, en el marco de su junta de accionistas 2026.</w:t>
      </w:r>
    </w:p>
    <w:p>
      <w:pPr>
        <w:spacing w:before="20"/>
        <w:ind w:left="360"/>
      </w:pPr>
      <w:r>
        <w:rPr>
          <w:color w:val="222222"/>
          <w:sz w:val="20"/>
        </w:rPr>
        <w:t>En sus palabras a los asistentes, Luis Felipe Gazitúa, vicepresidente del directorio, ilustró la transformación que ha vivido Entel durante los últimos 33 años con Hurtado a su cabeza: “Los ingresos se han multiplicado 25 veces y de tener un solo cliente, hoy contamos con más de 20 millones entre Chile y Perú”, afirmó.</w:t>
      </w:r>
    </w:p>
    <w:p>
      <w:pPr>
        <w:spacing w:before="20"/>
        <w:ind w:left="360"/>
      </w:pPr>
      <w:r>
        <w:rPr>
          <w:color w:val="222222"/>
          <w:sz w:val="20"/>
        </w:rPr>
        <w:t>El puesto del ahora exdirectivo fue tomado por su hija, la arquitecta María Ignacia Hurtado. En paralelo, también dejaron sus cargos en el directorio Juan José Mac-Auliffe y Carla Brusoni. Ambos, respectivamente, fueron reemplazados por Cristian Arnolds e Ignacio Ossa; y conformarán la mesa por los próximos tres años junto a Richard Büchi, Luis Felipe Gazitúa, Bernardo Matte, Enrique Gundermann, Luz Granier y Carlos Hurtado Rourke. Los cargos de presidente y vicepresidente quedan aún por definir.</w:t>
      </w:r>
    </w:p>
    <w:p>
      <w:pPr>
        <w:spacing w:before="120"/>
        <w:ind w:left="360"/>
      </w:pPr>
      <w:r>
        <w:rPr>
          <w:b/>
          <w:color w:val="E65000"/>
          <w:sz w:val="26"/>
        </w:rPr>
        <w:t xml:space="preserve"> </w:t>
      </w:r>
    </w:p>
    <w:p>
      <w:pPr>
        <w:spacing w:before="20"/>
        <w:ind w:left="360"/>
      </w:pPr>
      <w:r>
        <w:rPr>
          <w:color w:val="222222"/>
          <w:sz w:val="20"/>
        </w:rPr>
        <w:t>Pese a que Hurtado Vicuña no asistió de manera presencial a la junta (se conectó de manera telemática), Gazitúa le expresó un especial reconocimiento en sus palabras. Con emoción, afirmó queEntel y su posición como “líder indiscutido” es fruto del trabajo de ejecutivos y colaboradores “los que han podido hacer su tarea bajo ese liderazgo silencioso pero claro, apoyador, comprometido y de una visión de largo plazo admirable que ha caracterizado a Juan”.</w:t>
      </w:r>
    </w:p>
    <w:p>
      <w:pPr>
        <w:spacing w:before="20"/>
        <w:ind w:left="360"/>
      </w:pPr>
      <w:r>
        <w:rPr>
          <w:color w:val="222222"/>
          <w:sz w:val="20"/>
        </w:rPr>
        <w:t>Hacia el final, volvió a agradecer encarecidamente su compromiso, estímulo permanente, fuerza, entusiasmo, confianza y amistad del directivo.</w:t>
      </w:r>
    </w:p>
    <w:p>
      <w:pPr>
        <w:spacing w:before="20"/>
        <w:ind w:left="360"/>
      </w:pPr>
      <w:r>
        <w:rPr>
          <w:color w:val="222222"/>
          <w:sz w:val="20"/>
        </w:rPr>
        <w:t>“Te deseamos lo mejor en esto, en este nuevo paso en tu vida. Sabemos que son muchos los que te aprecian”, finalizó.</w:t>
      </w:r>
    </w:p>
    <w:p>
      <w:pPr>
        <w:spacing w:before="20"/>
        <w:ind w:left="360"/>
      </w:pPr>
      <w:r>
        <w:rPr>
          <w:color w:val="222222"/>
          <w:sz w:val="20"/>
        </w:rPr>
        <w:t>Entel anunció inversiones por US$ 575 millones para este 2026, que irán enfocadasal mercado móvil, despliegue de 5G y la expansión del negocio del hogar (fijo). Un 66% de ese monto irá destinado a Chile y otro 34% a Perú.</w:t>
      </w:r>
    </w:p>
    <w:p>
      <w:pPr>
        <w:spacing w:before="20"/>
        <w:ind w:left="360"/>
      </w:pPr>
      <w:r>
        <w:rPr>
          <w:color w:val="222222"/>
          <w:sz w:val="20"/>
        </w:rPr>
        <w:t>Luego de la instancia,el gerente general de la compañía, Antonio Büchi, fue consultado por el gobierno de José Antonio Kast y las medidas anuciadas en materia de impuestos corporativos, a lo que afirmó que “le compete a otras personas opinar más expertas que yo“, y que “lo más importante para nosotros es la actitud del gobierno en general sobre cómo abordar un sector”.</w:t>
      </w:r>
    </w:p>
    <w:p>
      <w:pPr>
        <w:spacing w:before="20"/>
        <w:ind w:left="360"/>
      </w:pPr>
      <w:r>
        <w:rPr>
          <w:color w:val="222222"/>
          <w:sz w:val="20"/>
        </w:rPr>
        <w:t>En esta línea, expresó que esperan “una actitud distinta” y “un cambio demindset” dentro del Estado, para que este facilite e impulse la libre competencia y el derecho de propiedad. Sobre la subsecretaria entrante en materia de telecomunicaciones, agregó que están “muy complacidos” con que “haya tomado un enfoque más facilitador”.</w:t>
      </w:r>
    </w:p>
    <w:p>
      <w:pPr>
        <w:spacing w:before="20"/>
        <w:ind w:left="360"/>
      </w:pPr>
      <w:r>
        <w:rPr>
          <w:color w:val="222222"/>
          <w:sz w:val="20"/>
        </w:rPr>
        <w:t>En cuanto a la contingencia internacional, Büchi precisó que la industria de las telecomunicaciones es un gran consumidor de energía, por lo que esperan un impacto en los precios.</w:t>
      </w:r>
    </w:p>
    <w:p>
      <w:pPr>
        <w:spacing w:before="20"/>
        <w:ind w:left="360"/>
      </w:pPr>
      <w:r>
        <w:rPr>
          <w:color w:val="222222"/>
          <w:sz w:val="20"/>
        </w:rPr>
        <w:t>“No es de gran escala, pero hay que hacerse cargo”, afirmó. Agregó que la industria ha atravesado “varios vaivenes económicos” en los últimos años, y el servicio “es muy potente, porque es demasiado básico para las personas, por lo tanto, normalmente no está tan expuesta al ciclo económico”.</w:t>
      </w:r>
    </w:p>
    <w:p>
      <w:pPr>
        <w:spacing w:before="40" w:after="120"/>
      </w:pPr>
      <w:r>
        <w:rPr>
          <w:color w:val="CCCCCC"/>
        </w:rPr>
        <w:t>· · ·</w:t>
      </w:r>
    </w:p>
    <w:p>
      <w:r>
        <w:rPr>
          <w:b/>
          <w:color w:val="E65000"/>
        </w:rPr>
        <w:t xml:space="preserve">11. </w:t>
      </w:r>
      <w:r>
        <w:rPr>
          <w:b/>
          <w:sz w:val="22"/>
        </w:rPr>
        <w:t>Isapres cierran 2025 con ganancias tras fuerte caída en el gasto por licencias médicas, pero mantienen déficit operacional</w:t>
      </w:r>
    </w:p>
    <w:p>
      <w:pPr>
        <w:spacing w:before="0"/>
      </w:pPr>
      <w:r>
        <w:rPr>
          <w:color w:val="0056B3"/>
          <w:sz w:val="18"/>
        </w:rPr>
        <w:t>https://www.df.cl/empresas/salud/isapres-cierran-2025-con-ganancias-tras-fuerte-caida-en-el-gasto-por</w:t>
      </w:r>
    </w:p>
    <w:p>
      <w:pPr>
        <w:spacing w:before="20"/>
        <w:ind w:left="360"/>
      </w:pPr>
      <w:r>
        <w:rPr>
          <w:color w:val="222222"/>
          <w:sz w:val="20"/>
        </w:rPr>
        <w:t>Las utilidades por $ 15.361 millones del sistema se vieron impulsadas por ingresos no operacionales, mientras que la operación principal siguó en números rojos.</w:t>
      </w:r>
    </w:p>
    <w:p>
      <w:pPr>
        <w:spacing w:before="20"/>
        <w:ind w:left="360"/>
      </w:pPr>
      <w:r>
        <w:rPr>
          <w:color w:val="222222"/>
          <w:sz w:val="20"/>
        </w:rPr>
        <w:t>Publicado: Jueves 23 de abril de 2026 a las 04:00 hrs.</w:t>
      </w:r>
    </w:p>
    <w:p>
      <w:pPr>
        <w:spacing w:before="20"/>
        <w:ind w:left="360"/>
      </w:pPr>
      <w:r>
        <w:rPr>
          <w:color w:val="222222"/>
          <w:sz w:val="20"/>
        </w:rPr>
        <w:t>El sistema Isapre cerró 2025 con utilidades por $15.361 millones, revirtiendo las pérdidas de $99.754 millones registradas en 2024. Sin embargo, según consignó la Superintendencia de Salud, de la mejora de los números "no se puede concluir que el sistema haya resuelto los problemas relacionados con su situación financiera estructural".</w:t>
      </w:r>
    </w:p>
    <w:p>
      <w:pPr>
        <w:spacing w:before="20"/>
        <w:ind w:left="360"/>
      </w:pPr>
      <w:r>
        <w:rPr>
          <w:color w:val="222222"/>
          <w:sz w:val="20"/>
        </w:rPr>
        <w:t>Así, de acuerdo a lo explicado por el ente regulador y fiscalizador del sistema, en 2025 el resultado operacional del conjunto de las isapres -que mide cuánto ingresa por cotizaciones versus cuánto se gasta en pagar prestaciones médicas, licencias y gastos de administración y ventas-fue negativo en $ 24.593 millones, es decir: el sistema gastó más en su operación cotidiana de lo que recaudó por cotizaciones.</w:t>
      </w:r>
    </w:p>
    <w:p>
      <w:pPr>
        <w:spacing w:before="20"/>
        <w:ind w:left="360"/>
      </w:pPr>
      <w:r>
        <w:rPr>
          <w:color w:val="222222"/>
          <w:sz w:val="20"/>
        </w:rPr>
        <w:t>Dicha pérdida, no obstante, fue un 87,4% menor que la registrada en 2024, cuando alcanzó -$ 195.509 millones.</w:t>
      </w:r>
    </w:p>
    <w:p>
      <w:pPr>
        <w:spacing w:before="20"/>
        <w:ind w:left="360"/>
      </w:pPr>
      <w:r>
        <w:rPr>
          <w:color w:val="222222"/>
          <w:sz w:val="20"/>
        </w:rPr>
        <w:t>"Entonces, ¿de dónde provienen los $15.361 millones?" pregunta para luego explicar la Superintendencia en su comunicado. "La respuesta está en el resultado no operacional, que en contabilidad registra ingresos y egresos que no forman parte del resultado operacional: ingresos financieros - entre ellos, los intereses generados por la garantía que las isapres deben mantener para cubrir deudas con eneficiarios y prestadores -, otras ganancias o pérdidas, y otros ítems de esa naturaleza".</w:t>
      </w:r>
    </w:p>
    <w:p>
      <w:pPr>
        <w:spacing w:before="20"/>
        <w:ind w:left="360"/>
      </w:pPr>
      <w:r>
        <w:rPr>
          <w:color w:val="222222"/>
          <w:sz w:val="20"/>
        </w:rPr>
        <w:t>Así,en 2025, ese componente alcanzó $39.177 millones (por debajo de los $60.468 millones de 2024), cifra que superó la pérdida operacional y generó el resultado final del ejercicio. O sea, el resultado final se explicó, según el ente, por la reducción de la pérdida operacional, debido a que los ingresos crecieron más que los costos.</w:t>
      </w:r>
    </w:p>
    <w:p>
      <w:pPr>
        <w:spacing w:before="20"/>
        <w:ind w:left="360"/>
      </w:pPr>
      <w:r>
        <w:rPr>
          <w:color w:val="222222"/>
          <w:sz w:val="20"/>
        </w:rPr>
        <w:t>En esa línea, el órgano detalló que las cotizaciones aumentaron 11,2% nominal respecto a diciembre de 2024 -por el alza del precio base en el proceso de adecuación de 2025-, mientras que en los costos las prestaciones de salud aumentaron 8% y los gastos de administración y ventas crecieron 6,9%. Sin embargo,el costo en Subsidios por Incapacidad Laboral -el pago de licencias médicas- registró una baja de 13,6%, pasando de $832.474 millones en 2024 a $ 719.518 millones en 2025, lo que compensó parcialmente el alza de los otros costos, de modo que el crecimiento total quedó por debajo del incremento de ingresos.</w:t>
      </w:r>
    </w:p>
    <w:p>
      <w:pPr>
        <w:spacing w:before="20"/>
        <w:ind w:left="360"/>
      </w:pPr>
      <w:r>
        <w:rPr>
          <w:color w:val="222222"/>
          <w:sz w:val="20"/>
        </w:rPr>
        <w:t>Se trata de la primera reducción nominal del costo en licencias médicas desde al menos 2012. La Superintendencia advirtió que, pese a la mejora de 2025, el sistema mantiene un problema estructural: desde 2012, las cotizaciones han crecido 156%, mientras el costo en prestaciones subió 162,6% y el gasto en licencias médicas avanzó 180,4%.</w:t>
      </w:r>
    </w:p>
    <w:p>
      <w:pPr>
        <w:spacing w:before="40" w:after="120"/>
      </w:pPr>
      <w:r>
        <w:rPr>
          <w:color w:val="CCCCCC"/>
        </w:rPr>
        <w:t>· · ·</w:t>
      </w:r>
    </w:p>
    <w:p/>
    <w:p>
      <w:pPr>
        <w:pStyle w:val="Heading1"/>
      </w:pPr>
      <w:r>
        <w:rPr>
          <w:color w:val="E65000"/>
        </w:rPr>
        <w:t>🔹 Economía</w:t>
      </w:r>
    </w:p>
    <w:p>
      <w:r>
        <w:rPr>
          <w:b/>
          <w:color w:val="E65000"/>
        </w:rPr>
        <w:t xml:space="preserve">1. </w:t>
      </w:r>
      <w:r>
        <w:rPr>
          <w:b/>
          <w:sz w:val="22"/>
        </w:rPr>
        <w:t>Diputado Pier Karlezi (PNL): “Para ganarse al PDG ceden en cosas que no tienen ni pies ni cabeza y el ministro de la Segpres cierra un acuerdo con ellos”</w:t>
      </w:r>
      <w:r>
        <w:rPr>
          <w:color w:val="CC7700"/>
          <w:sz w:val="18"/>
        </w:rPr>
        <w:t xml:space="preserve">  [⭐ Destacada]</w:t>
      </w:r>
    </w:p>
    <w:p>
      <w:pPr>
        <w:spacing w:before="0"/>
      </w:pPr>
      <w:r>
        <w:rPr>
          <w:color w:val="0056B3"/>
          <w:sz w:val="18"/>
        </w:rPr>
        <w:t>https://www.df.cl/economia-y-politica/congreso/diputado-pier-karlezi-pnl-para-ganarse-al-pdg-ceden-en-cosas-que-no</w:t>
      </w:r>
    </w:p>
    <w:p>
      <w:pPr>
        <w:spacing w:before="20"/>
        <w:ind w:left="360"/>
      </w:pPr>
      <w:r>
        <w:rPr>
          <w:color w:val="222222"/>
          <w:sz w:val="20"/>
        </w:rPr>
        <w:t>Además, el legislador expresa su convicción de que si José García Ruminot “no tiene intención de hacer que las cosas pasen, es poco lo que se puede conversar con él”.</w:t>
      </w:r>
    </w:p>
    <w:p>
      <w:pPr>
        <w:spacing w:before="20"/>
        <w:ind w:left="360"/>
      </w:pPr>
      <w:r>
        <w:rPr>
          <w:color w:val="222222"/>
          <w:sz w:val="20"/>
        </w:rPr>
        <w:t>Publicado: Jueves 23 de abril de 2026 a las 11:00 hrs.</w:t>
      </w:r>
    </w:p>
    <w:p>
      <w:pPr>
        <w:spacing w:before="20"/>
        <w:ind w:left="360"/>
      </w:pPr>
      <w:r>
        <w:rPr>
          <w:color w:val="222222"/>
          <w:sz w:val="20"/>
        </w:rPr>
        <w:t>Karlezi es el representante del Partido Nacional Libertario (PNL) en la Comisión de Hacienda. (Foto: Aton Chile)</w:t>
      </w:r>
    </w:p>
    <w:p>
      <w:pPr>
        <w:spacing w:before="20"/>
        <w:ind w:left="360"/>
      </w:pPr>
      <w:r>
        <w:rPr>
          <w:color w:val="222222"/>
          <w:sz w:val="20"/>
        </w:rPr>
        <w:t>Eldiputado Pier Karlezi es el representante del Partido Nacional Libertario (PNL) en la Comisión de Hacienday quien ha levantado la voz por la molestia en invade a su bancada, ante el hecho de que el gobierno haya llegado a un acuerdo con el Partido de la Gente (PDG) para asegurar sus votos en la idea de legislar del proyecto misceláneo; pero no haya considerado las peticiones del PNL.</w:t>
      </w:r>
    </w:p>
    <w:p>
      <w:pPr>
        <w:spacing w:before="20"/>
        <w:ind w:left="360"/>
      </w:pPr>
      <w:r>
        <w:rPr>
          <w:color w:val="222222"/>
          <w:sz w:val="20"/>
        </w:rPr>
        <w:t>Por esta y otras razones, en esta conversación conDiario Financiero, Karlezi también expresa su profunda molestia con el ministro de la Segpres, José García Ruminot, a quien prefieren no tener como interlocutor. Pese a todo, está optimistas de que sus propuestas para mejorar el proyecto misceláneo serán escuchadas.</w:t>
      </w:r>
    </w:p>
    <w:p>
      <w:pPr>
        <w:spacing w:before="20"/>
        <w:ind w:left="360"/>
      </w:pPr>
      <w:r>
        <w:rPr>
          <w:color w:val="222222"/>
          <w:sz w:val="20"/>
        </w:rPr>
        <w:t>-Originalmente el presidente del partido había planteado que sería difícil para ustedes aprobar un proyecto misceláneo, porque resultaba incoherente ya que fueron al Tribunal Constitucional por el del expresidente Boric, por eso pedía que se dividiera. ¿Qué cambió?</w:t>
      </w:r>
    </w:p>
    <w:p>
      <w:pPr>
        <w:spacing w:before="20"/>
        <w:ind w:left="360"/>
      </w:pPr>
      <w:r>
        <w:rPr>
          <w:color w:val="222222"/>
          <w:sz w:val="20"/>
        </w:rPr>
        <w:t>-Cambió que nosotros no conocíamos el proyecto completo. Siempre dijimos, en todas las reuniones, que si todo iba enfocado a lo que es una reconstrucción económica y para el progreso de Chile estaba bien. La idea matriz cumple con todo, por lo tanto, no vemos la necesidad de pedir la separación del proyecto. Todas las normas que están incluidas van en la misma dirección.</w:t>
      </w:r>
    </w:p>
    <w:p>
      <w:pPr>
        <w:spacing w:before="20"/>
        <w:ind w:left="360"/>
      </w:pPr>
      <w:r>
        <w:rPr>
          <w:color w:val="222222"/>
          <w:sz w:val="20"/>
        </w:rPr>
        <w:t>-¿Aun cuando tendrá que pasar por las comisiones de Medio Ambiente y Trabajo, justamente porque hay medidas que van en esas líneas?</w:t>
      </w:r>
    </w:p>
    <w:p>
      <w:pPr>
        <w:spacing w:before="20"/>
        <w:ind w:left="360"/>
      </w:pPr>
      <w:r>
        <w:rPr>
          <w:color w:val="222222"/>
          <w:sz w:val="20"/>
        </w:rPr>
        <w:t>-El tema va todo a una comisión madre que es la de Hacienda, va a pasar por otras comisiones, pero esa fue una decisión de la mesa, porque perfectamente el proyecto podría haber sido tratado sólo en la Comisión de Hacienda. Pero bueno, las cosas no se dieron de esa manera.</w:t>
      </w:r>
    </w:p>
    <w:p>
      <w:pPr>
        <w:spacing w:before="20"/>
        <w:ind w:left="360"/>
      </w:pPr>
      <w:r>
        <w:rPr>
          <w:color w:val="222222"/>
          <w:sz w:val="20"/>
        </w:rPr>
        <w:t>-¿Diría que el proyecto completo está sujeto a una sola matriz?</w:t>
      </w:r>
    </w:p>
    <w:p>
      <w:pPr>
        <w:spacing w:before="20"/>
        <w:ind w:left="360"/>
      </w:pPr>
      <w:r>
        <w:rPr>
          <w:color w:val="222222"/>
          <w:sz w:val="20"/>
        </w:rPr>
        <w:t>-Sí. Ya leí el proyecto completo anoche, me quedé estudiándolo hasta muy tarde, y considero que hay algunos puntos donde se puede mejorar; pero sí, va todo en la misma línea. Por lo tanto, no hay normas que estén enfocadas en reconstrucción económica y otras que sean 100% seguridad y que no influyan en nada económico, porque de ser así no podrían estar en el mismo proyecto. Ese caso no se da.</w:t>
      </w:r>
    </w:p>
    <w:p>
      <w:pPr>
        <w:spacing w:before="120"/>
        <w:ind w:left="360"/>
      </w:pPr>
      <w:r>
        <w:rPr>
          <w:b/>
          <w:color w:val="E65000"/>
          <w:sz w:val="26"/>
        </w:rPr>
        <w:t xml:space="preserve"> </w:t>
      </w:r>
    </w:p>
    <w:p>
      <w:pPr>
        <w:spacing w:before="20"/>
        <w:ind w:left="360"/>
      </w:pPr>
      <w:r>
        <w:rPr>
          <w:color w:val="222222"/>
          <w:sz w:val="20"/>
        </w:rPr>
        <w:t>-Entonces, ¿por qué la molestia de libertarios, porque no se consideraron sus peticiones como sí se hizo con el PDG?</w:t>
      </w:r>
    </w:p>
    <w:p>
      <w:pPr>
        <w:spacing w:before="20"/>
        <w:ind w:left="360"/>
      </w:pPr>
      <w:r>
        <w:rPr>
          <w:color w:val="222222"/>
          <w:sz w:val="20"/>
        </w:rPr>
        <w:t>-Nosotros expresamos nuestra molestia, no por egoísmo, sino porque en constantes reuniones, pedimos una serie de cosas y siempre se nos negó. Nos decían que no es el momento, que no se puede. Y para ganarse al Partido de la Gente ceden en cosas que no tienen ni pies ni cabeza; nadie sabe siquiera cuánto cuestan; no tienen informe financiero; y, el ministro de la Segpres cierra un acuerdo con ellos, asegurándole un descuento de IVA que puede ser incluso igual de caro que la  eliminación de las contribuciones a la primera vivienda. Es bastante poco serio de parte del Ejecutivo ceder a las peticiones, que pueden ser muy atendibles…Pero a nosotros no se nos ha escuchado.</w:t>
      </w:r>
    </w:p>
    <w:p>
      <w:pPr>
        <w:spacing w:before="20"/>
        <w:ind w:left="360"/>
      </w:pPr>
      <w:r>
        <w:rPr>
          <w:color w:val="222222"/>
          <w:sz w:val="20"/>
        </w:rPr>
        <w:t>-Nosotros no hemos quitado el apoyo al proyecto, para que quede súper claro. Fuimos súper claros, estamos por la idea de legislar -y ese ha sido el discurso desde el inicio-, vamos a analizar el proyecto en las comisiones, como corresponde; y, vamos a seguir empujando nuestras ideas con fuerza y esperamos que se escuchen, porque contribuyen a mejorar este proyecto.</w:t>
      </w:r>
    </w:p>
    <w:p>
      <w:pPr>
        <w:spacing w:before="20"/>
        <w:ind w:left="360"/>
      </w:pPr>
      <w:r>
        <w:rPr>
          <w:color w:val="222222"/>
          <w:sz w:val="20"/>
        </w:rPr>
        <w:t>-Queremos medidas para el agro, estamos pidiendo la eliminación de las contribuciones del mundo agrícola, por lo menos de forma transitoria. Este proyecto tiene varias medidas transitorias para distintas industrias y no hay ninguna para el agro, que está fuertemente afectado. Estamos pidiendo la eliminación del impuesto a los combustibles, aunque sea a largo plazo; la eliminación de las contribuciones a todas las primeras viviendas, sin hacer distinción de edad, que es lo que prometió José Antonio Kast en su programa de gobierno; una rebaja tributaria, no al 15% como queríamos nosotros, sino al 20, que podría quedar perfectamente más competitivo y bajo el promedio de la OCDE.</w:t>
      </w:r>
    </w:p>
    <w:p>
      <w:pPr>
        <w:spacing w:before="20"/>
        <w:ind w:left="360"/>
      </w:pPr>
      <w:r>
        <w:rPr>
          <w:color w:val="222222"/>
          <w:sz w:val="20"/>
        </w:rPr>
        <w:t>-¿Tienen un informe financiero o una proyección de cuánto costarían esas propuestas?</w:t>
      </w:r>
    </w:p>
    <w:p>
      <w:pPr>
        <w:spacing w:before="20"/>
        <w:ind w:left="360"/>
      </w:pPr>
      <w:r>
        <w:rPr>
          <w:color w:val="222222"/>
          <w:sz w:val="20"/>
        </w:rPr>
        <w:t>-Lo que creo es que la proyección de crecimiento del gobierno está muy baja, apuntar a un 4% es poco. Todo esto lo abordamos en el programa de gobierno de Johannes Kaiser y está todo escrito en nuestros informes financieros.  Nosotros estamos apuntando que el país no crezca un 4%, que lo haga por lo menos a un 6%.</w:t>
      </w:r>
    </w:p>
    <w:p>
      <w:pPr>
        <w:spacing w:before="20"/>
        <w:ind w:left="360"/>
      </w:pPr>
      <w:r>
        <w:rPr>
          <w:color w:val="222222"/>
          <w:sz w:val="20"/>
        </w:rPr>
        <w:t>-Los expertos dicen que en los próximos dos años al menos vamos a crecer, si es que, a un 2%.</w:t>
      </w:r>
    </w:p>
    <w:p>
      <w:pPr>
        <w:spacing w:before="20"/>
        <w:ind w:left="360"/>
      </w:pPr>
      <w:r>
        <w:rPr>
          <w:color w:val="222222"/>
          <w:sz w:val="20"/>
        </w:rPr>
        <w:t>-Los mismos expertos decían que con la reforma de Arenas, Chile iba a recaudar bastante más. Y el error fue macabro. Entonces yo no sé qué tan expertos son.</w:t>
      </w:r>
    </w:p>
    <w:p>
      <w:pPr>
        <w:spacing w:before="20"/>
        <w:ind w:left="360"/>
      </w:pPr>
      <w:r>
        <w:rPr>
          <w:color w:val="222222"/>
          <w:sz w:val="20"/>
        </w:rPr>
        <w:t>-Insisto, en ¿cuál es la proyección del costo de sus propuestas?</w:t>
      </w:r>
    </w:p>
    <w:p>
      <w:pPr>
        <w:spacing w:before="20"/>
        <w:ind w:left="360"/>
      </w:pPr>
      <w:r>
        <w:rPr>
          <w:color w:val="222222"/>
          <w:sz w:val="20"/>
        </w:rPr>
        <w:t>-Tenemos una medida que es la principal, las reales medidas de reducción de gasto permanente del Estado. No vienen en el proyecto.</w:t>
      </w:r>
    </w:p>
    <w:p>
      <w:pPr>
        <w:spacing w:before="20"/>
        <w:ind w:left="360"/>
      </w:pPr>
      <w:r>
        <w:rPr>
          <w:color w:val="222222"/>
          <w:sz w:val="20"/>
        </w:rPr>
        <w:t>-En el Estado gasto del Estado y el gasto de las municipalidades, por supuesto que tienen que ser mayores.</w:t>
      </w:r>
    </w:p>
    <w:p>
      <w:pPr>
        <w:spacing w:before="20"/>
        <w:ind w:left="360"/>
      </w:pPr>
      <w:r>
        <w:rPr>
          <w:color w:val="222222"/>
          <w:sz w:val="20"/>
        </w:rPr>
        <w:t>-¿Y con eso cubrir lo que ustedes proponen y las demás medidas acordadas con el PDG?</w:t>
      </w:r>
    </w:p>
    <w:p>
      <w:pPr>
        <w:spacing w:before="20"/>
        <w:ind w:left="360"/>
      </w:pPr>
      <w:r>
        <w:rPr>
          <w:color w:val="222222"/>
          <w:sz w:val="20"/>
        </w:rPr>
        <w:t>-En un inicio sí, porque aquí se habla de compensación a municipalidades permanentemente; pero de lo que no se habla nunca es del efectivo ahorro, por parte del Estado. Por qué el Estado sigue creciendo, por qué tiene 1 millón de personas trabajando, por qué ha crecido de forma exponencial durante los últimos 15 años, sin tener beneficios reales para la gente.</w:t>
      </w:r>
    </w:p>
    <w:p>
      <w:pPr>
        <w:spacing w:before="20"/>
        <w:ind w:left="360"/>
      </w:pPr>
      <w:r>
        <w:rPr>
          <w:color w:val="222222"/>
          <w:sz w:val="20"/>
        </w:rPr>
        <w:t>-¿Han calculado en cuánto está sobrecargado el Estado?</w:t>
      </w:r>
    </w:p>
    <w:p>
      <w:pPr>
        <w:spacing w:before="20"/>
        <w:ind w:left="360"/>
      </w:pPr>
      <w:r>
        <w:rPr>
          <w:color w:val="222222"/>
          <w:sz w:val="20"/>
        </w:rPr>
        <w:t>-El mismo Estado ha hecho ese cálculo permanentemente, a través de la Dirección de Presupuesto, a través de distintas comisiones, y eso sorprendente que nadie haga nada con la cantidad de programas que están pésimamente evaluados y que son una caja de retiro de plata permanente del Estado.</w:t>
      </w:r>
    </w:p>
    <w:p>
      <w:pPr>
        <w:spacing w:before="20"/>
        <w:ind w:left="360"/>
      </w:pPr>
      <w:r>
        <w:rPr>
          <w:color w:val="222222"/>
          <w:sz w:val="20"/>
        </w:rPr>
        <w:t>-Si no son escuchados, ¿cuál será la postura del Partido Nacional Libertario?</w:t>
      </w:r>
    </w:p>
    <w:p>
      <w:pPr>
        <w:spacing w:before="20"/>
        <w:ind w:left="360"/>
      </w:pPr>
      <w:r>
        <w:rPr>
          <w:color w:val="222222"/>
          <w:sz w:val="20"/>
        </w:rPr>
        <w:t>-Tenemos la sensación de que vamos a ser escuchados. No nos gusta hacer política, ficción, pero nosotros vamos a empujar con fuerza estas ideas y tienen bastante más apoyo que sólo el Partido Nacional Libertario.</w:t>
      </w:r>
    </w:p>
    <w:p>
      <w:pPr>
        <w:spacing w:before="20"/>
        <w:ind w:left="360"/>
      </w:pPr>
      <w:r>
        <w:rPr>
          <w:color w:val="222222"/>
          <w:sz w:val="20"/>
        </w:rPr>
        <w:t>-¿No sienten que, quizás, cedieron muy rápido al apoyo del proyecto, en vez de hacerse querer un poquito, considerando que no son parte del gobierno como ustedes mismos señalan.</w:t>
      </w:r>
    </w:p>
    <w:p>
      <w:pPr>
        <w:spacing w:before="20"/>
        <w:ind w:left="360"/>
      </w:pPr>
      <w:r>
        <w:rPr>
          <w:color w:val="222222"/>
          <w:sz w:val="20"/>
        </w:rPr>
        <w:t>-A ver, esa es la diferencia de nosotros con otros partidos. Nosotros no estamos jugando a la política, no estamos haciendo política para la tele, no estamos levantando un candidato presidencial. Nosotros estamos pensando en Chile y entendemos que Chile necesita crecer y que estas medidas van en la dirección correcta; aunque, como siempre hemos dicho, pueden ser mejoradas. Peroestar jugando a la política con pequeñeces, como lo hacen algunos partidos para lograr pequeños triunfos personales, para estar pavimentando una candidatura presidencial, a nosotros no nos parece.</w:t>
      </w:r>
    </w:p>
    <w:p>
      <w:pPr>
        <w:spacing w:before="20"/>
        <w:ind w:left="360"/>
      </w:pPr>
      <w:r>
        <w:rPr>
          <w:color w:val="222222"/>
          <w:sz w:val="20"/>
        </w:rPr>
        <w:t>-¿Tienen concertada alguna reunión con el ministro de Hacienda o con José García, justamente para plantearles esta situación y tratar de avanzar en una solución?</w:t>
      </w:r>
    </w:p>
    <w:p>
      <w:pPr>
        <w:spacing w:before="20"/>
        <w:ind w:left="360"/>
      </w:pPr>
      <w:r>
        <w:rPr>
          <w:color w:val="222222"/>
          <w:sz w:val="20"/>
        </w:rPr>
        <w:t>-La verdad es que las actitudes que ha tenido el ministro José García últimamente, especialmente en este tema y en el tema del estado de excepción constitucional en la Macrozona Sur, nos deja re pocas ganas de conversar con él. No sé qué tan provechosa pueda ser una conversación con él, con el ministro Quiroz sí nos vamos a juntar prontamente.</w:t>
      </w:r>
    </w:p>
    <w:p>
      <w:pPr>
        <w:spacing w:before="20"/>
        <w:ind w:left="360"/>
      </w:pPr>
      <w:r>
        <w:rPr>
          <w:color w:val="222222"/>
          <w:sz w:val="20"/>
        </w:rPr>
        <w:t>-¿Por qué le quedan pocas ganas de hablar con el titular de la Segpres?</w:t>
      </w:r>
    </w:p>
    <w:p>
      <w:pPr>
        <w:spacing w:before="20"/>
        <w:ind w:left="360"/>
      </w:pPr>
      <w:r>
        <w:rPr>
          <w:color w:val="222222"/>
          <w:sz w:val="20"/>
        </w:rPr>
        <w:t>-Nosotros fuimos súper claros la vez pasada, cuando votamos a favor de la renovación de la prórroga del estado de excepción constitucional en la Macrozona Sur y le exigimos que, por lo menos el decreto con el que iba a entrar en la segunda renovación fuera algo distinto. Pero nos siguen presentando el mismo decreto de hace cuatro años.Si el ministro no tiene intención de hacer que las cosas pasen y funcionen en Chile, la verdad es que poco lo que se puede conversar con él.Preferimos conversar con otros ministros que tienen más actitud.</w:t>
      </w:r>
    </w:p>
    <w:p>
      <w:pPr>
        <w:spacing w:before="20"/>
        <w:ind w:left="360"/>
      </w:pPr>
      <w:r>
        <w:rPr>
          <w:color w:val="222222"/>
          <w:sz w:val="20"/>
        </w:rPr>
        <w:t>-Pero eso es resorte del Gobierno, no decisión de ministro.</w:t>
      </w:r>
    </w:p>
    <w:p>
      <w:pPr>
        <w:spacing w:before="20"/>
        <w:ind w:left="360"/>
      </w:pPr>
      <w:r>
        <w:rPr>
          <w:color w:val="222222"/>
          <w:sz w:val="20"/>
        </w:rPr>
        <w:t>-Sí, pero el que lleva la relación con el Congreso es él</w:t>
      </w:r>
    </w:p>
    <w:p>
      <w:pPr>
        <w:spacing w:before="20"/>
        <w:ind w:left="360"/>
      </w:pPr>
      <w:r>
        <w:rPr>
          <w:color w:val="222222"/>
          <w:sz w:val="20"/>
        </w:rPr>
        <w:t>-Insisto, no es él quien decide cómo se aborda la situación en la Macrozona Sur.</w:t>
      </w:r>
    </w:p>
    <w:p>
      <w:pPr>
        <w:spacing w:before="20"/>
        <w:ind w:left="360"/>
      </w:pPr>
      <w:r>
        <w:rPr>
          <w:color w:val="222222"/>
          <w:sz w:val="20"/>
        </w:rPr>
        <w:t>-El que lleva la relación con el Congreso es él, nosotros se lo exigimos a él y no nos dio ninguna respuesta.</w:t>
      </w:r>
    </w:p>
    <w:p>
      <w:pPr>
        <w:spacing w:before="40" w:after="120"/>
      </w:pPr>
      <w:r>
        <w:rPr>
          <w:color w:val="CCCCCC"/>
        </w:rPr>
        <w:t>· · ·</w:t>
      </w:r>
    </w:p>
    <w:p>
      <w:r>
        <w:rPr>
          <w:b/>
          <w:color w:val="E65000"/>
        </w:rPr>
        <w:t xml:space="preserve">2. </w:t>
      </w:r>
      <w:r>
        <w:rPr>
          <w:b/>
          <w:sz w:val="22"/>
        </w:rPr>
        <w:t>Operadores financieros no ven cambios en la tasa del Banco Central la próxima semana y ratifican expectativa de un alto IPC en abril</w:t>
      </w:r>
      <w:r>
        <w:rPr>
          <w:color w:val="CC7700"/>
          <w:sz w:val="18"/>
        </w:rPr>
        <w:t xml:space="preserve">  [⭐ Destacada]</w:t>
      </w:r>
    </w:p>
    <w:p>
      <w:pPr>
        <w:spacing w:before="0"/>
      </w:pPr>
      <w:r>
        <w:rPr>
          <w:color w:val="0056B3"/>
          <w:sz w:val="18"/>
        </w:rPr>
        <w:t>https://www.df.cl/economia-y-politica/macro/operadores-financieros-no-ven-cambios-en-la-tasa-del-banco-central-la</w:t>
      </w:r>
    </w:p>
    <w:p>
      <w:pPr>
        <w:spacing w:before="20"/>
        <w:ind w:left="360"/>
      </w:pPr>
      <w:r>
        <w:rPr>
          <w:color w:val="222222"/>
          <w:sz w:val="20"/>
        </w:rPr>
        <w:t>La Encuesta a Operadores Financieros (EOF) indicó que los analistas siguen esperando que la inflación tenga una variación mensual de 1,6% este mes, pero que en mayo se modere con un alza de 0,3%.</w:t>
      </w:r>
    </w:p>
    <w:p>
      <w:pPr>
        <w:spacing w:before="20"/>
        <w:ind w:left="360"/>
      </w:pPr>
      <w:r>
        <w:rPr>
          <w:color w:val="222222"/>
          <w:sz w:val="20"/>
        </w:rPr>
        <w:t>Publicado: Jueves 23 de abril de 2026 a las 09:04 hrs.</w:t>
      </w:r>
    </w:p>
    <w:p>
      <w:pPr>
        <w:spacing w:before="20"/>
        <w:ind w:left="360"/>
      </w:pPr>
      <w:r>
        <w:rPr>
          <w:color w:val="222222"/>
          <w:sz w:val="20"/>
        </w:rPr>
        <w:t>A la espera de la Reunión de Política Monetaria del Banco Central de la próxima semana,los analistas de mercado mantienen su expectativa de que no haya cambios en la tasa.</w:t>
      </w:r>
    </w:p>
    <w:p>
      <w:pPr>
        <w:spacing w:before="20"/>
        <w:ind w:left="360"/>
      </w:pPr>
      <w:r>
        <w:rPr>
          <w:color w:val="222222"/>
          <w:sz w:val="20"/>
        </w:rPr>
        <w:t>De acuerdo a los resultados de la Encuesta de Operadores Financieros (EOF) del ente rector, publicada este jueves, la estimación del mercado es que la tasa de política monetaria (TPM) no tenga movimientos en la próxima reunión y se mantenga en su nivel 4,5%.</w:t>
      </w:r>
    </w:p>
    <w:p>
      <w:pPr>
        <w:spacing w:before="20"/>
        <w:ind w:left="360"/>
      </w:pPr>
      <w:r>
        <w:rPr>
          <w:color w:val="222222"/>
          <w:sz w:val="20"/>
        </w:rPr>
        <w:t>Además,consultados por los próximos 12 y 24 meses, los especialistas siguen viendo que se mantendrá sin cambios.</w:t>
      </w:r>
    </w:p>
    <w:p>
      <w:pPr>
        <w:spacing w:before="20"/>
        <w:ind w:left="360"/>
      </w:pPr>
      <w:r>
        <w:rPr>
          <w:color w:val="222222"/>
          <w:sz w:val="20"/>
        </w:rPr>
        <w:t>La encuesta también consultó acerca de las expectativas de inflación. Para el Índice de Precios al Consumidor (IPC) de abril,los analistas siguen esperando que se posicione en 1,6% mensual y en mayo se modere con un alza de 0,3%.</w:t>
      </w:r>
    </w:p>
    <w:p>
      <w:pPr>
        <w:spacing w:before="20"/>
        <w:ind w:left="360"/>
      </w:pPr>
      <w:r>
        <w:rPr>
          <w:color w:val="222222"/>
          <w:sz w:val="20"/>
        </w:rPr>
        <w:t>Incluso, para junio los operadores estiman que los precios tengan una caída mensual de 0,3%.</w:t>
      </w:r>
    </w:p>
    <w:p>
      <w:pPr>
        <w:spacing w:before="20"/>
        <w:ind w:left="360"/>
      </w:pPr>
      <w:r>
        <w:rPr>
          <w:color w:val="222222"/>
          <w:sz w:val="20"/>
        </w:rPr>
        <w:t>En un año, consideran que la inflación estará en 4% y en 24 meses en 3,2%.</w:t>
      </w:r>
    </w:p>
    <w:p>
      <w:pPr>
        <w:spacing w:before="20"/>
        <w:ind w:left="360"/>
      </w:pPr>
      <w:r>
        <w:rPr>
          <w:color w:val="222222"/>
          <w:sz w:val="20"/>
        </w:rPr>
        <w:t>En tanto, en el caso del tipo de cambio, esperan que el dólar alcance los $ 890 en los próximos siete días y baje a $ 880 en los próximos 28.</w:t>
      </w:r>
    </w:p>
    <w:p>
      <w:pPr>
        <w:spacing w:before="40" w:after="120"/>
      </w:pPr>
      <w:r>
        <w:rPr>
          <w:color w:val="CCCCCC"/>
        </w:rPr>
        <w:t>· · ·</w:t>
      </w:r>
    </w:p>
    <w:p>
      <w:r>
        <w:rPr>
          <w:b/>
          <w:color w:val="E65000"/>
        </w:rPr>
        <w:t xml:space="preserve">3. </w:t>
      </w:r>
      <w:r>
        <w:rPr>
          <w:b/>
          <w:sz w:val="22"/>
        </w:rPr>
        <w:t>China prohíbe las importaciones de aves de corral de Chile debido a la gripe aviar</w:t>
      </w:r>
      <w:r>
        <w:rPr>
          <w:color w:val="CC7700"/>
          <w:sz w:val="18"/>
        </w:rPr>
        <w:t xml:space="preserve">  [⭐ Destacada]</w:t>
      </w:r>
    </w:p>
    <w:p>
      <w:pPr>
        <w:spacing w:before="0"/>
      </w:pPr>
      <w:r>
        <w:rPr>
          <w:color w:val="0056B3"/>
          <w:sz w:val="18"/>
        </w:rPr>
        <w:t>https://www.df.cl/economia-y-politica/actualidad/china-prohibe-las-importaciones-de-aves-de-corral-de-chile-debido-a-la</w:t>
      </w:r>
    </w:p>
    <w:p>
      <w:pPr>
        <w:spacing w:before="20"/>
        <w:ind w:left="360"/>
      </w:pPr>
      <w:r>
        <w:rPr>
          <w:color w:val="222222"/>
          <w:sz w:val="20"/>
        </w:rPr>
        <w:t>La prohibición, con efecto inmediato, afecta a todas las aves de corral y productos relacionados procedentes de Chile.</w:t>
      </w:r>
    </w:p>
    <w:p>
      <w:pPr>
        <w:spacing w:before="20"/>
        <w:ind w:left="360"/>
      </w:pPr>
      <w:r>
        <w:rPr>
          <w:color w:val="222222"/>
          <w:sz w:val="20"/>
        </w:rPr>
        <w:t>Por:ReutersPublicado: Jueves 23 de abril de 2026 a las 06:41 hrs.</w:t>
      </w:r>
    </w:p>
    <w:p>
      <w:pPr>
        <w:spacing w:before="20"/>
        <w:ind w:left="360"/>
      </w:pPr>
      <w:r>
        <w:rPr>
          <w:color w:val="222222"/>
          <w:sz w:val="20"/>
        </w:rPr>
        <w:t>Publicado: Jueves 23 de abril de 2026 a las 06:41 hrs.</w:t>
      </w:r>
    </w:p>
    <w:p>
      <w:pPr>
        <w:spacing w:before="20"/>
        <w:ind w:left="360"/>
      </w:pPr>
      <w:r>
        <w:rPr>
          <w:color w:val="222222"/>
          <w:sz w:val="20"/>
        </w:rPr>
        <w:t>La autoridad china justificó la medida alegando la necesidad de proteger su industria ganadera y la bioseguridad. (Foto: Bloomberg)</w:t>
      </w:r>
    </w:p>
    <w:p>
      <w:pPr>
        <w:spacing w:before="20"/>
        <w:ind w:left="360"/>
      </w:pPr>
      <w:r>
        <w:rPr>
          <w:color w:val="222222"/>
          <w:sz w:val="20"/>
        </w:rPr>
        <w:t>China prohibió las importaciones de aves de corral procedentes de Chile debido a un reciente brote de gripe aviar en el país, dijo la autoridad aduanera china en un comunicado.</w:t>
      </w:r>
    </w:p>
    <w:p>
      <w:pPr>
        <w:spacing w:before="20"/>
        <w:ind w:left="360"/>
      </w:pPr>
      <w:r>
        <w:rPr>
          <w:color w:val="222222"/>
          <w:sz w:val="20"/>
        </w:rPr>
        <w:t>La prohibición,con efecto inmediato, afecta a todas las aves de corral y productos relacionados procedentes de Chile, dijo el Gobierno, alegando la necesidad de proteger su industria ganadera y la bioseguridad.</w:t>
      </w:r>
    </w:p>
    <w:p>
      <w:pPr>
        <w:spacing w:before="20"/>
        <w:ind w:left="360"/>
      </w:pPr>
      <w:r>
        <w:rPr>
          <w:color w:val="222222"/>
          <w:sz w:val="20"/>
        </w:rPr>
        <w:t>Cualquier producto avícola chileno ilegal que se encuentre en la fronteraserá destruido por las autoridades aduaneras, agregó la agencia.</w:t>
      </w:r>
    </w:p>
    <w:p>
      <w:pPr>
        <w:spacing w:before="120"/>
        <w:ind w:left="360"/>
      </w:pPr>
      <w:r>
        <w:rPr>
          <w:b/>
          <w:color w:val="E65000"/>
          <w:sz w:val="26"/>
        </w:rPr>
        <w:t xml:space="preserve"> </w:t>
      </w:r>
    </w:p>
    <w:p>
      <w:pPr>
        <w:spacing w:before="20"/>
        <w:ind w:left="360"/>
      </w:pPr>
      <w:r>
        <w:rPr>
          <w:color w:val="222222"/>
          <w:sz w:val="20"/>
        </w:rPr>
        <w:t>China ya había suspendido anteriormente las exportaciones procedentes de Chile debido a la gripe aviar. El país reanudó el comercio con el país sudamericano a finales de 2024 tras una suspensión de 18 meses a causa de la gripe aviar.</w:t>
      </w:r>
    </w:p>
    <w:p>
      <w:pPr>
        <w:spacing w:before="20"/>
        <w:ind w:left="360"/>
      </w:pPr>
      <w:r>
        <w:rPr>
          <w:color w:val="222222"/>
          <w:sz w:val="20"/>
        </w:rPr>
        <w:t>Antes de la pausa,China era el tercer mercado avícola más importante de Chile, con unas exportaciones en 2022 que alcanzaron unas 29.000 toneladas, lo que constituía el 15% de las exportaciones avícolas de Chile.</w:t>
      </w:r>
    </w:p>
    <w:p>
      <w:pPr>
        <w:spacing w:before="20"/>
        <w:ind w:left="360"/>
      </w:pPr>
      <w:r>
        <w:rPr>
          <w:color w:val="222222"/>
          <w:sz w:val="20"/>
        </w:rPr>
        <w:t>China ha endurecido recientemente los controles fronterizos tras notificar un brote de fiebre aftosa en 219 reses en su región noroccidental a finales de marzo.</w:t>
      </w:r>
    </w:p>
    <w:p>
      <w:pPr>
        <w:spacing w:before="40" w:after="120"/>
      </w:pPr>
      <w:r>
        <w:rPr>
          <w:color w:val="CCCCCC"/>
        </w:rPr>
        <w:t>· · ·</w:t>
      </w:r>
    </w:p>
    <w:p>
      <w:r>
        <w:rPr>
          <w:b/>
          <w:color w:val="E65000"/>
        </w:rPr>
        <w:t xml:space="preserve">4. </w:t>
      </w:r>
      <w:r>
        <w:rPr>
          <w:b/>
          <w:sz w:val="22"/>
        </w:rPr>
        <w:t>Kast pone la creación de empleo como prioridad uno al exponer los ejes del plan de reconstrucción</w:t>
      </w:r>
    </w:p>
    <w:p>
      <w:pPr>
        <w:spacing w:before="0"/>
      </w:pPr>
      <w:r>
        <w:rPr>
          <w:color w:val="0056B3"/>
          <w:sz w:val="18"/>
        </w:rPr>
        <w:t>https://www.df.cl/economia-y-politica/pais/kast-pone-la-creacion-de-empleo-como-prioridad-uno-al-exponer-los-ejes-del</w:t>
      </w:r>
    </w:p>
    <w:p>
      <w:pPr>
        <w:spacing w:before="20"/>
        <w:ind w:left="360"/>
      </w:pPr>
      <w:r>
        <w:rPr>
          <w:color w:val="222222"/>
          <w:sz w:val="20"/>
        </w:rPr>
        <w:t>El mandatario dijo que “las decisiones no son por el aplauso fácil, hay que hablar con la verdad y eso se había olvidado en Chile; y no rendirse a las encuestas”.</w:t>
      </w:r>
    </w:p>
    <w:p>
      <w:pPr>
        <w:spacing w:before="20"/>
        <w:ind w:left="360"/>
      </w:pPr>
      <w:r>
        <w:rPr>
          <w:color w:val="222222"/>
          <w:sz w:val="20"/>
        </w:rPr>
        <w:t>Publicado: Jueves 23 de abril de 2026 a las 04:00 hrs.</w:t>
      </w:r>
    </w:p>
    <w:p>
      <w:pPr>
        <w:spacing w:before="20"/>
        <w:ind w:left="360"/>
      </w:pPr>
      <w:r>
        <w:rPr>
          <w:color w:val="222222"/>
          <w:sz w:val="20"/>
        </w:rPr>
        <w:t>Recargado llegó la mañana de este miércoles el Presidente José Antonio Kast a exponer al seminario de BTG Pactual Latam Focus 2026. Minutos antes había firmado, junto al ministros de Estado, el proyecto de ley para la reconstrucción nacional y el desarrollo económico y social.</w:t>
      </w:r>
    </w:p>
    <w:p>
      <w:pPr>
        <w:spacing w:before="20"/>
        <w:ind w:left="360"/>
      </w:pPr>
      <w:r>
        <w:rPr>
          <w:color w:val="222222"/>
          <w:sz w:val="20"/>
        </w:rPr>
        <w:t>Ante un salón que congregó a unas 900 personas, el mandatario afirmó que la “prioridad uno es dar empleo y el resto es música como decía el expresidente Ricardo Lagos”.</w:t>
      </w:r>
    </w:p>
    <w:p>
      <w:pPr>
        <w:spacing w:before="20"/>
        <w:ind w:left="360"/>
      </w:pPr>
      <w:r>
        <w:rPr>
          <w:color w:val="222222"/>
          <w:sz w:val="20"/>
        </w:rPr>
        <w:t>Junto con lo anterior, destacó que Chile puede crecer más de un 2% y describió la lógica de la iniciativa legal, lo que incluye como uno de los ejes fundamentales: “Recuperar la competitividad tributaria”, por lo que se reducirá el impuesto corporativo y se buscará avanzar en la invariabilidad tributaria.</w:t>
      </w:r>
    </w:p>
    <w:p>
      <w:pPr>
        <w:spacing w:before="20"/>
        <w:ind w:left="360"/>
      </w:pPr>
      <w:r>
        <w:rPr>
          <w:color w:val="222222"/>
          <w:sz w:val="20"/>
        </w:rPr>
        <w:t>“En los últimos años hemos tenido siete reformas tributarias. Nadie quiere invertir y no saber lo que tiene que pagar”, agregó al tiempo que invitó a los presentes: “Decídanse a invertir acá”.</w:t>
      </w:r>
    </w:p>
    <w:p>
      <w:pPr>
        <w:spacing w:before="20"/>
        <w:ind w:left="360"/>
      </w:pPr>
      <w:r>
        <w:rPr>
          <w:color w:val="222222"/>
          <w:sz w:val="20"/>
        </w:rPr>
        <w:t>Kast también mencionó la importancia de la “reconstrucción fiscal”. Aquí, aseguró: “Planteamos no un ajuste ideológico, sino que estructural para buscar una mejor calidad de vida de todos . Si no controlamos el gasto social, no vamos a poder financiar en el futuro los derechos sociales”.</w:t>
      </w:r>
    </w:p>
    <w:p>
      <w:pPr>
        <w:spacing w:before="20"/>
        <w:ind w:left="360"/>
      </w:pPr>
      <w:r>
        <w:rPr>
          <w:color w:val="222222"/>
          <w:sz w:val="20"/>
        </w:rPr>
        <w:t>El Presidente también instó al Parlamento a dialogar y a la oposición a no cerrarse a la discusión antes de conocer el detalle de las medidas. “Esperamos un debate con altura de miras y no eslogans”, sostuvo.</w:t>
      </w:r>
    </w:p>
    <w:p>
      <w:pPr>
        <w:spacing w:before="20"/>
        <w:ind w:left="360"/>
      </w:pPr>
      <w:r>
        <w:rPr>
          <w:color w:val="222222"/>
          <w:sz w:val="20"/>
        </w:rPr>
        <w:t>A su juicio, “la conversación pública hoy está llena de ruidos y opiniones que se ven como certezas de aquellas personas que nos llevaron a la situación actual con crecimiento estancado en 2% y desempleo de 800 mil personas”.</w:t>
      </w:r>
    </w:p>
    <w:p>
      <w:pPr>
        <w:spacing w:before="20"/>
        <w:ind w:left="360"/>
      </w:pPr>
      <w:r>
        <w:rPr>
          <w:color w:val="222222"/>
          <w:sz w:val="20"/>
        </w:rPr>
        <w:t>Kast expresó que “sé que hay gente inquieta y nerviosa, porque ven que nosotros tomamos decisiones como alza de combustibles”. Y aunque reconoció que “era evidente el golpe en la ciudadanía”, también dijo que “las decisiones no son por el aplauso fácil, hay que hablar con la verdad y eso se había olvidado en Chile; y no rendirse a las encuestas”.</w:t>
      </w:r>
    </w:p>
    <w:p>
      <w:pPr>
        <w:spacing w:before="20"/>
        <w:ind w:left="360"/>
      </w:pPr>
      <w:r>
        <w:rPr>
          <w:color w:val="222222"/>
          <w:sz w:val="20"/>
        </w:rPr>
        <w:t>Haciéndose eco del mensaje que acompañó la presentación del proyecto misceláneo, el Presidente recordó que “hace 12 años se prometió una reforma tributaria que iba a recaudar más y dar el salto al desarrollo e, incluso, el ministro de Hacienda de la época decía ‘júzguenme por los resultados’ y esa foto de una portada la tengo enmarcada”.</w:t>
      </w:r>
    </w:p>
    <w:p>
      <w:pPr>
        <w:spacing w:before="20"/>
        <w:ind w:left="360"/>
      </w:pPr>
      <w:r>
        <w:rPr>
          <w:color w:val="222222"/>
          <w:sz w:val="20"/>
        </w:rPr>
        <w:t>El Ejecutivo puso la reforma tributaria de 2014 en el centro de su crítica visión de lo ocurrido con el país en los últimos años. “Chile extravió la senda del progreso cuando se instaló la ilusión de que el Estado podía generar riqueza por sí mismo, expandiendo el gasto y la regulación mientras se desalentaba la inversión privada”, se lee en el texto.</w:t>
      </w:r>
    </w:p>
    <w:p>
      <w:pPr>
        <w:spacing w:before="20"/>
        <w:ind w:left="360"/>
      </w:pPr>
      <w:r>
        <w:rPr>
          <w:color w:val="222222"/>
          <w:sz w:val="20"/>
        </w:rPr>
        <w:t>Mientras el país subió el impuesto corporativo de 20% a 27%, cuando el promedio de la Organización para la Cooperación y el Desarrollo Económicos (“OCDE”) es 24%, agregó el mensaje que Chile “se hizo menos atractivo para invertir”.</w:t>
      </w:r>
    </w:p>
    <w:p>
      <w:pPr>
        <w:spacing w:before="20"/>
        <w:ind w:left="360"/>
      </w:pPr>
      <w:r>
        <w:rPr>
          <w:color w:val="222222"/>
          <w:sz w:val="20"/>
        </w:rPr>
        <w:t>“A esto se sumó una maraña regulatoria, más conocida como “permisología”, que, lejos de garantizar estándares de calidad o proteger a la ciudadanía, derivó en procesos ineficientes, elevando costos, retrasando proyectos y cerrando oportunidades de empleo y vivienda”, añadió.</w:t>
      </w:r>
    </w:p>
    <w:p>
      <w:pPr>
        <w:spacing w:before="20"/>
        <w:ind w:left="360"/>
      </w:pPr>
      <w:r>
        <w:rPr>
          <w:color w:val="222222"/>
          <w:sz w:val="20"/>
        </w:rPr>
        <w:t>En suma, se busca “más crecimiento, más inversión, más empleo formal y de calidad, para que los chilenos puedan gozar de los frutos de su trabajo”.</w:t>
      </w:r>
    </w:p>
    <w:p>
      <w:pPr>
        <w:spacing w:before="20"/>
        <w:ind w:left="360"/>
      </w:pPr>
      <w:r>
        <w:rPr>
          <w:color w:val="222222"/>
          <w:sz w:val="20"/>
        </w:rPr>
        <w:t>Para abordar este diagnóstico, el proyecto planteó la necesidad de avanzar en cuatro tipo de reconstrucción: física (por incendios), económica, institucional y fiscal.</w:t>
      </w:r>
    </w:p>
    <w:p>
      <w:pPr>
        <w:spacing w:before="20"/>
        <w:ind w:left="360"/>
      </w:pPr>
      <w:r>
        <w:rPr>
          <w:color w:val="222222"/>
          <w:sz w:val="20"/>
        </w:rPr>
        <w:t>En esta línea, el mensaje reforzó las metas del gobierno en pos de llegar a crecer 4% al cierre de la administración, con un desempleo de 6,5% y balance fiscal.</w:t>
      </w:r>
    </w:p>
    <w:p>
      <w:pPr>
        <w:spacing w:before="20"/>
        <w:ind w:left="360"/>
      </w:pPr>
      <w:r>
        <w:rPr>
          <w:color w:val="222222"/>
          <w:sz w:val="20"/>
        </w:rPr>
        <w:t>“Recuperar el crecimiento económico y abrir oportunidades de desarrollo es un deber con las familias chilenas, porque de ellos depende la recuperación de la confianza en el futuro y la posibilidad de acceder a un trabajo digno, a una vivienda propia y a una educación de calidad”, señaló el mensaje.</w:t>
      </w:r>
    </w:p>
    <w:p>
      <w:pPr>
        <w:spacing w:before="20"/>
        <w:ind w:left="360"/>
      </w:pPr>
      <w:r>
        <w:rPr>
          <w:color w:val="222222"/>
          <w:sz w:val="20"/>
        </w:rPr>
        <w:t>El Presidente Kast se dio espacio este miércoles para abordar la polémica que se generó a partir del almuerzo que sostuvo en la sede de gobierno con 60 excompañeros de universidad.</w:t>
      </w:r>
    </w:p>
    <w:p>
      <w:pPr>
        <w:spacing w:before="20"/>
        <w:ind w:left="360"/>
      </w:pPr>
      <w:r>
        <w:rPr>
          <w:color w:val="222222"/>
          <w:sz w:val="20"/>
        </w:rPr>
        <w:t>Y su aliado fue el humor. Al mencionar que se está realizando una auditoría en todo el Estado, explicó que tuvo una reunión con auditores en La Moneda”. Aquí se detuvo, pero luego acotó: “No con mis amigos”.</w:t>
      </w:r>
    </w:p>
    <w:p>
      <w:pPr>
        <w:spacing w:before="40" w:after="120"/>
      </w:pPr>
      <w:r>
        <w:rPr>
          <w:color w:val="CCCCCC"/>
        </w:rPr>
        <w:t>· · ·</w:t>
      </w:r>
    </w:p>
    <w:p>
      <w:r>
        <w:rPr>
          <w:b/>
          <w:color w:val="E65000"/>
        </w:rPr>
        <w:t xml:space="preserve">5. </w:t>
      </w:r>
      <w:r>
        <w:rPr>
          <w:b/>
          <w:sz w:val="22"/>
        </w:rPr>
        <w:t>Quiroz defiende proyecto, espera despacharlo en junio y la oposición plantea dudas del informe financiero</w:t>
      </w:r>
    </w:p>
    <w:p>
      <w:pPr>
        <w:spacing w:before="0"/>
      </w:pPr>
      <w:r>
        <w:rPr>
          <w:color w:val="0056B3"/>
          <w:sz w:val="18"/>
        </w:rPr>
        <w:t>https://www.df.cl/economia-y-politica/pais/quiroz-defiende-proyecto-espera-despacharlo-en-junio-y-la-oposicion</w:t>
      </w:r>
    </w:p>
    <w:p>
      <w:pPr>
        <w:spacing w:before="20"/>
        <w:ind w:left="360"/>
      </w:pPr>
      <w:r>
        <w:rPr>
          <w:color w:val="222222"/>
          <w:sz w:val="20"/>
        </w:rPr>
        <w:t>En una extensa sesión, la comisión de Hacienda de la Cámara sometió a un intenso examen al ministro, quien a su vez desestimó cuestionamientos a la invariabilidad tributaria.</w:t>
      </w:r>
    </w:p>
    <w:p>
      <w:pPr>
        <w:spacing w:before="20"/>
        <w:ind w:left="360"/>
      </w:pPr>
      <w:r>
        <w:rPr>
          <w:color w:val="222222"/>
          <w:sz w:val="20"/>
        </w:rPr>
        <w:t>Por:R. Carrasco y C. RivasPublicado: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El ministro de Hacienda, Jorge Quiroz, llegó a la comisión de Hacienda junto a todo su equipo de asesores. Foto: Aton.</w:t>
      </w:r>
    </w:p>
    <w:p>
      <w:pPr>
        <w:spacing w:before="20"/>
        <w:ind w:left="360"/>
      </w:pPr>
      <w:r>
        <w:rPr>
          <w:color w:val="222222"/>
          <w:sz w:val="20"/>
        </w:rPr>
        <w:t>Por tres horas y media se extendió la sesión de la comisión de Hacienda de la Cámara de Diputados, en la cual este miércoles se inició la discusión del proyecto de ley de reconstrucción y reactivación del gobierno. El debate, en el cual expuso el ministro de Hacienda, Jorge Quiroz, estuvo marcado por algunas tensiones entre parlamentarios de gobierno y oposición.</w:t>
      </w:r>
    </w:p>
    <w:p>
      <w:pPr>
        <w:spacing w:before="20"/>
        <w:ind w:left="360"/>
      </w:pPr>
      <w:r>
        <w:rPr>
          <w:color w:val="222222"/>
          <w:sz w:val="20"/>
        </w:rPr>
        <w:t>Antes de comenzar las exposiciones el diputado socialista, Daniel Manouchehri, solicitó que “se puedan abstener de participar los ministros o parlamentarios si los puede beneficiar alguna norma en que tengan interés personal” y adelantó que “vamos a presentar una indicación para que todos los beneficios a los más ricos no apliquen en parlamentarios o ministros de Estado que llevan esta discusión”.</w:t>
      </w:r>
    </w:p>
    <w:p>
      <w:pPr>
        <w:spacing w:before="20"/>
        <w:ind w:left="360"/>
      </w:pPr>
      <w:r>
        <w:rPr>
          <w:color w:val="222222"/>
          <w:sz w:val="20"/>
        </w:rPr>
        <w:t>A lo anterior, sumó que hará reserva de constitucionalidad a la norma de invariabilidad tributaria de 25 años que forma parte del proyecto.</w:t>
      </w:r>
    </w:p>
    <w:p>
      <w:pPr>
        <w:spacing w:before="20"/>
        <w:ind w:left="360"/>
      </w:pPr>
      <w:r>
        <w:rPr>
          <w:color w:val="222222"/>
          <w:sz w:val="20"/>
        </w:rPr>
        <w:t>El diputado del Partido Nacional Libertario, Pier Karlezi, le respondió señalando que “entonces nadie en Chile que haya vivido del Estado podría revisar ninguna ley. Le pido al diputado Manouchehri que mantengamos la discusión seria y técnica, pero tratar de decir que el Ejecutivo mediante sus ministros o integrantes no están habilitados para debatir lo encuentro una falta a la democracia y la igualdad ante la ley”.</w:t>
      </w:r>
    </w:p>
    <w:p>
      <w:pPr>
        <w:spacing w:before="20"/>
        <w:ind w:left="360"/>
      </w:pPr>
      <w:r>
        <w:rPr>
          <w:color w:val="222222"/>
          <w:sz w:val="20"/>
        </w:rPr>
        <w:t>Luego el diputado Boris Barrera (PC) indicó que “es justo y transparente saber si esta ley beneficia al ministro, al Presidente o los demás ministros”.</w:t>
      </w:r>
    </w:p>
    <w:p>
      <w:pPr>
        <w:spacing w:before="20"/>
        <w:ind w:left="360"/>
      </w:pPr>
      <w:r>
        <w:rPr>
          <w:color w:val="222222"/>
          <w:sz w:val="20"/>
        </w:rPr>
        <w:t>Pero la secretaría de la comisión recordó que no hay nada que obligue a algún parlamentario incumbentes en alguna materia a no votar o abstenerse, por lo se trata de una recomendación y decisión voluntaria.</w:t>
      </w:r>
    </w:p>
    <w:p>
      <w:pPr>
        <w:spacing w:before="20"/>
        <w:ind w:left="360"/>
      </w:pPr>
      <w:r>
        <w:rPr>
          <w:color w:val="222222"/>
          <w:sz w:val="20"/>
        </w:rPr>
        <w:t>Después de una primera exposición general de Quiroz a través de la cual defendió el proyecto, la oposición intentó no darle la palabra al coordinador de Políticas Tributarias del Ministerio de Hacienda, Sebastián Vallebona, pero -luego de confirmarse que estaba invitado- pudo hablar y se dedicó a explicar diversas medidas tributarias del proyecto. En la comisión también estuvieron presentes el subsecretario de Hacienda, Juan Pablo Rodríguez, y el director de Presupuestos, José Pablo Gómez.</w:t>
      </w:r>
    </w:p>
    <w:p>
      <w:pPr>
        <w:spacing w:before="20"/>
        <w:ind w:left="360"/>
      </w:pPr>
      <w:r>
        <w:rPr>
          <w:color w:val="222222"/>
          <w:sz w:val="20"/>
        </w:rPr>
        <w:t>Al momento de explicar la invariabilidad tributaria, Quiroz respondió a los cuestionamientos de algunos sectores: “Quiero aclarar que no es fijar las tasas de impuestos de aquí a los próximos 25 años, jamás haríamos eso, sería inconstitucional. Lo que hacemos acá es que las inversiones que se hagan en este período con los impuestos que hay ahora y con este estatuto, esas inversiones tengan esa protección a futuro, pero si mañana otro gobierno cambia los impuestos, tendrán que ver las nuevas reglas (...) porque si no está esa seguridad no habrá inversiones”.</w:t>
      </w:r>
    </w:p>
    <w:p>
      <w:pPr>
        <w:spacing w:before="20"/>
        <w:ind w:left="360"/>
      </w:pPr>
      <w:r>
        <w:rPr>
          <w:color w:val="222222"/>
          <w:sz w:val="20"/>
        </w:rPr>
        <w:t>Argumentando a favor de la norma, añadió que “se hace cargo de los problemas de crecimiento en Chile, de la complejidad tributaria, de las trabas regulatorias y contención del gasto, pero no proponemos ninguna medida loca”.</w:t>
      </w:r>
    </w:p>
    <w:p>
      <w:pPr>
        <w:spacing w:before="20"/>
        <w:ind w:left="360"/>
      </w:pPr>
      <w:r>
        <w:rPr>
          <w:color w:val="222222"/>
          <w:sz w:val="20"/>
        </w:rPr>
        <w:t>Más temprano, y en conferencia de prensa en el Hall El Pensador de la Cámara, el ministro había transparentado sus aspiraciones de avance de la iniciativa, explicando que quiere que esté despachada de la Cámara el 20 de mayo y que en junio esté en condiciones de ser promulgada.</w:t>
      </w:r>
    </w:p>
    <w:p>
      <w:pPr>
        <w:spacing w:before="20"/>
        <w:ind w:left="360"/>
      </w:pPr>
      <w:r>
        <w:rPr>
          <w:color w:val="222222"/>
          <w:sz w:val="20"/>
        </w:rPr>
        <w:t>“Es fundamental iniciar la segunda mitad del año con este proyecto aprobado y con el país poniéndose en marcha”, dijo.</w:t>
      </w:r>
    </w:p>
    <w:p>
      <w:pPr>
        <w:spacing w:before="20"/>
        <w:ind w:left="360"/>
      </w:pPr>
      <w:r>
        <w:rPr>
          <w:color w:val="222222"/>
          <w:sz w:val="20"/>
        </w:rPr>
        <w:t>Consultado acerca de cómo conversa que al año 2031 aún los ingresos serán menores al costo del plan con el recorte de gasto en los ministerios y su objetivo de equilibrio fiscal, Quiroz se limitó a responder: “Conversa perfectamente, porque el ajuste supera largamente el déficit”.</w:t>
      </w:r>
    </w:p>
    <w:p>
      <w:pPr>
        <w:spacing w:before="20"/>
        <w:ind w:left="360"/>
      </w:pPr>
      <w:r>
        <w:rPr>
          <w:color w:val="222222"/>
          <w:sz w:val="20"/>
        </w:rPr>
        <w:t>En la misma sesión, el titular de la Dipres precisó que el ajuste ya va en US$ 1.762 millones, de los US$ 3 mil millones que programaron.</w:t>
      </w:r>
    </w:p>
    <w:p>
      <w:pPr>
        <w:spacing w:before="20"/>
        <w:ind w:left="360"/>
      </w:pPr>
      <w:r>
        <w:rPr>
          <w:color w:val="222222"/>
          <w:sz w:val="20"/>
        </w:rPr>
        <w:t>De todas maneras, las críticas persistieron. El diputado Jorge Brito (FA) afirmó que “este informe financiero tiene una base errada, porque considera en el cálculo el recorte de gasto de 3% que está realizando el gobierno. Por eso, solicito uno nuevo”.</w:t>
      </w:r>
    </w:p>
    <w:p>
      <w:pPr>
        <w:spacing w:before="20"/>
        <w:ind w:left="360"/>
      </w:pPr>
      <w:r>
        <w:rPr>
          <w:color w:val="222222"/>
          <w:sz w:val="20"/>
        </w:rPr>
        <w:t>A su turno, Barrera emplazó a Quiroz a que señalara “cuál es la idea matriz del proyecto. Esta es una ley miscelánea” y solicitó que se cree una mesa técnica con asesores de Hacienda y los parlamentarios “para transparentar de dónde sacan datos y estimaciones”.</w:t>
      </w:r>
    </w:p>
    <w:p>
      <w:pPr>
        <w:spacing w:before="20"/>
        <w:ind w:left="360"/>
      </w:pPr>
      <w:r>
        <w:rPr>
          <w:color w:val="222222"/>
          <w:sz w:val="20"/>
        </w:rPr>
        <w:t>El diputado Carlos Bianchi (IND-PPD) calificó el proyecto como una combinación de “reconstrucción, reactivación y medidas tributarias” y que “sería interesante saber cuál es la idea matriz y ver la posibilidad de votar por separado algunos artículos. Hay una sobreestimación de la recaudación de ingresos y del crecimiento del país”.</w:t>
      </w:r>
    </w:p>
    <w:p>
      <w:pPr>
        <w:spacing w:before="20"/>
        <w:ind w:left="360"/>
      </w:pPr>
      <w:r>
        <w:rPr>
          <w:color w:val="222222"/>
          <w:sz w:val="20"/>
        </w:rPr>
        <w:t>Mientras, el diputado Jaime Coloma (UDI) adelantó que va a proponer una indicación para que “todas las autoridades (ministros y parlamentarios) no puedan hacer uso de esta exención tributaria de contribuciones mientras ejercen el cargo”.</w:t>
      </w:r>
    </w:p>
    <w:p>
      <w:pPr>
        <w:spacing w:before="20"/>
        <w:ind w:left="360"/>
      </w:pPr>
      <w:r>
        <w:rPr>
          <w:color w:val="222222"/>
          <w:sz w:val="20"/>
        </w:rPr>
        <w:t>El diputado Fernando Ugarte (Republicanos) planteó al ministro que “si la tasa de impuesto corporativo de las empresas en la OCDE es de 23% ¿por qué no vamos un paso más allá y lo bajamos a 21%?”.</w:t>
      </w:r>
    </w:p>
    <w:p>
      <w:pPr>
        <w:spacing w:before="20"/>
        <w:ind w:left="360"/>
      </w:pPr>
      <w:r>
        <w:rPr>
          <w:color w:val="222222"/>
          <w:sz w:val="20"/>
        </w:rPr>
        <w:t>El Ejecutivo ingresó finalmente a la Cámara de Diputados el proyecto de reactivación económica, luego que abrochara los votos del PDG para avanzar en la idea de legislar. Sin embargo, no será del todo fácil para el gobierno, ya que la oposición se prepara para ejercer sus facultades fiscalizadoras, lo que eventualmente podría desacelerar la tramitación de la iniciativa, que ingresó con urgencia suma, lo que implica que cada cámara debería tomarse 15 días para despachar la propuesta. Se acordó que la iniciativa pasará por las comisiones de Hacienda, Medioambiente y Trabajo, por contener artículos que atañen a esos temas. Algo a lo que ya se había resignado parte del oficialismo, dado que era un anhelo transversal de la oposición y podría contribuir a calmar los ánimos del sector.</w:t>
      </w:r>
    </w:p>
    <w:p>
      <w:pPr>
        <w:spacing w:before="20"/>
        <w:ind w:left="360"/>
      </w:pPr>
      <w:r>
        <w:rPr>
          <w:color w:val="222222"/>
          <w:sz w:val="20"/>
        </w:rPr>
        <w:t>Luego representantes de la oposición anunciaron la reserva de constitucionalidad. Fueron los diputados Patricio Pinilla (DC), Matías Fernández (FA), Luis Cuello (PC), Jorge Brito (FA) y Daniel Manouchehri (PS) quienes por distintos aspectos del proyecto adelantaron que impugnarán el texto ante el TC.</w:t>
      </w:r>
    </w:p>
    <w:p>
      <w:pPr>
        <w:spacing w:before="40" w:after="120"/>
      </w:pPr>
      <w:r>
        <w:rPr>
          <w:color w:val="CCCCCC"/>
        </w:rPr>
        <w:t>· · ·</w:t>
      </w:r>
    </w:p>
    <w:p>
      <w:r>
        <w:rPr>
          <w:b/>
          <w:color w:val="E65000"/>
        </w:rPr>
        <w:t xml:space="preserve">6. </w:t>
      </w:r>
      <w:r>
        <w:rPr>
          <w:b/>
          <w:sz w:val="22"/>
        </w:rPr>
        <w:t>Cálculos sin recorte de gasto: recién en 2035 mayor PIB compensaría menores ingresos por baja de impuestos que impulsa el gobierno</w:t>
      </w:r>
    </w:p>
    <w:p>
      <w:pPr>
        <w:spacing w:before="0"/>
      </w:pPr>
      <w:r>
        <w:rPr>
          <w:color w:val="0056B3"/>
          <w:sz w:val="18"/>
        </w:rPr>
        <w:t>https://www.df.cl/economia-y-politica/macro/calculos-sin-recorte-de-gasto-recien-en-2031-mayor-pib-compensaria-menores</w:t>
      </w:r>
    </w:p>
    <w:p>
      <w:pPr>
        <w:spacing w:before="20"/>
        <w:ind w:left="360"/>
      </w:pPr>
      <w:r>
        <w:rPr>
          <w:color w:val="222222"/>
          <w:sz w:val="20"/>
        </w:rPr>
        <w:t>El informe financiero de la iniciativa establece que el 2035 las medidas pro actividad e inversión recaudarán más que la pérdida de ingresos tributarios. El director de Dipres explicó que ya se han recortado US$ 1.762 millones en lo que va del año.</w:t>
      </w:r>
    </w:p>
    <w:p>
      <w:pPr>
        <w:spacing w:before="20"/>
        <w:ind w:left="360"/>
      </w:pPr>
      <w:r>
        <w:rPr>
          <w:color w:val="222222"/>
          <w:sz w:val="20"/>
        </w:rPr>
        <w:t>Publicado: Jueves 23 de abril de 2026 a las 04:00 hrs.</w:t>
      </w:r>
    </w:p>
    <w:p>
      <w:pPr>
        <w:spacing w:before="20"/>
        <w:ind w:left="360"/>
      </w:pPr>
      <w:r>
        <w:rPr>
          <w:color w:val="222222"/>
          <w:sz w:val="20"/>
        </w:rPr>
        <w:t>“El texto fue firmado por el Presidente Kast en una ceremonia en La Moneda a las 7:30 de la mañana de este miércoles”</w:t>
      </w:r>
    </w:p>
    <w:p>
      <w:pPr>
        <w:spacing w:before="20"/>
        <w:ind w:left="360"/>
      </w:pPr>
      <w:r>
        <w:rPr>
          <w:color w:val="222222"/>
          <w:sz w:val="20"/>
        </w:rPr>
        <w:t>Los ejes principales delproyecto de reactivación y reconstrucción nacionaleran conocidos antes de que este miércolesel Presidente José Antonio Kast lo firmaray despachara al Congreso.</w:t>
      </w:r>
    </w:p>
    <w:p>
      <w:pPr>
        <w:spacing w:before="20"/>
        <w:ind w:left="360"/>
      </w:pPr>
      <w:r>
        <w:rPr>
          <w:color w:val="222222"/>
          <w:sz w:val="20"/>
        </w:rPr>
        <w:t>Lo que sí era desconocido y que promete encender la discusión técnica y parlamentaria era el informe financiero de la iniciativa, elaborado por la Dirección de Presupuestos (Dipres) y que aterriza los principales efectos del megaproyecto, en términos degasto, menores ingresos y mayor recaudación para el Fisco.</w:t>
      </w:r>
    </w:p>
    <w:p>
      <w:pPr>
        <w:spacing w:before="20"/>
        <w:ind w:left="360"/>
      </w:pPr>
      <w:r>
        <w:rPr>
          <w:color w:val="222222"/>
          <w:sz w:val="20"/>
        </w:rPr>
        <w:t>El documento, que no incluye el recorte de gasto previsto por el Ejecutivo para este año -de unos US$ 3.000 millones y que el director de Dipres, José Pablo Gómez, informó que lleva US$ 1.762 millones a la fecha- calcula quesin contar el impacto de las medidas que incentivan el crecimiento económico, el saldo es negativo en el neto para las finanzas públicas desde el primer año (2026) hasta el 2050, con un déficit que oscila entre US$ 944 millones en el primer año (0,22% del PIB) a US$ 3.124 millones en el año 25 (o sea, 2050), lo que representa un 0,43% del Producto.</w:t>
      </w:r>
    </w:p>
    <w:p>
      <w:pPr>
        <w:spacing w:before="20"/>
        <w:ind w:left="360"/>
      </w:pPr>
      <w:r>
        <w:rPr>
          <w:color w:val="222222"/>
          <w:sz w:val="20"/>
        </w:rPr>
        <w:t>¿Lo más caro en el primer año? El crédito tributario para el empleo, con US$ 752 millones (0,19% del PIB), así como la exención por un año de IVA a las viviendas (US$ 476 millones, o 0,12% del Producto).</w:t>
      </w:r>
    </w:p>
    <w:p>
      <w:pPr>
        <w:spacing w:before="120"/>
        <w:ind w:left="360"/>
      </w:pPr>
      <w:r>
        <w:rPr>
          <w:b/>
          <w:color w:val="E65000"/>
          <w:sz w:val="26"/>
        </w:rPr>
        <w:t xml:space="preserve"> </w:t>
      </w:r>
    </w:p>
    <w:p>
      <w:pPr>
        <w:spacing w:before="20"/>
        <w:ind w:left="360"/>
      </w:pPr>
      <w:r>
        <w:rPr>
          <w:color w:val="222222"/>
          <w:sz w:val="20"/>
        </w:rPr>
        <w:t>¿Y en el largo plazo?  La rebaja del impuesto corporativo, con US$ 3.204 millones, así como la reintegración del sistema tributario, quele resta US$ 842 millones al Fisco a 2050. Ambas implican menores ingresos equivalentes a 0,44% y 0,12% del PIB, respectivamente.</w:t>
      </w:r>
    </w:p>
    <w:p>
      <w:pPr>
        <w:spacing w:before="20"/>
        <w:ind w:left="360"/>
      </w:pPr>
      <w:r>
        <w:rPr>
          <w:color w:val="222222"/>
          <w:sz w:val="20"/>
        </w:rPr>
        <w:t>Al agregársele el efecto de un mayor crecimiento económico a través de un conjunto de medidas del proyecto,el saldo negativo se va moderando para alcanzar un neto positivo -o sea, mayor recaudación de impuestos que reducción de ingresos- a partir del año 10, en 2035.</w:t>
      </w:r>
    </w:p>
    <w:p>
      <w:pPr>
        <w:spacing w:before="20"/>
        <w:ind w:left="360"/>
      </w:pPr>
      <w:r>
        <w:rPr>
          <w:color w:val="222222"/>
          <w:sz w:val="20"/>
        </w:rPr>
        <w:t>Mirando todo en un horizonte de corto plazo -para 2030-, las medidas con efecto en un mayor gasto implicarán desembolsos por US$ 81 millones para el Fisco (0,02% del PIB); las medidas tributarias reducirán la recaudación en US$ 3.347 millones (0,73% del PIB); y los artículos que implicarían un mayor crecimiento agregarían US$ 1.873 millones (0,5% del PIB), con lo que el saldo neto sería deficitario por US$ 1.392 millones en dicho año (0,2% del PIB).</w:t>
      </w:r>
    </w:p>
    <w:p>
      <w:pPr>
        <w:spacing w:before="20"/>
        <w:ind w:left="360"/>
      </w:pPr>
      <w:r>
        <w:rPr>
          <w:color w:val="222222"/>
          <w:sz w:val="20"/>
        </w:rPr>
        <w:t>De hecho,en 2031 el efecto neto continuaría siendo deficitario para las arcas públicas, pero acotándose a US$ 880 millones (0,08% del PIB).</w:t>
      </w:r>
    </w:p>
    <w:p>
      <w:pPr>
        <w:spacing w:before="20"/>
        <w:ind w:left="360"/>
      </w:pPr>
      <w:r>
        <w:rPr>
          <w:color w:val="222222"/>
          <w:sz w:val="20"/>
        </w:rPr>
        <w:t>Según el panorama de la Dipres, el efecto se diluye recién en el año 2035, cuando las medidas recaudatorias gracias al impulso al crecimiento superan las que reducen la recolección para el Fisco, con un saldo neto favorable de US$ 1.359 millones, un 0,26% del PIB.</w:t>
      </w:r>
    </w:p>
    <w:p>
      <w:pPr>
        <w:spacing w:before="20"/>
        <w:ind w:left="360"/>
      </w:pPr>
      <w:r>
        <w:rPr>
          <w:color w:val="222222"/>
          <w:sz w:val="20"/>
        </w:rPr>
        <w:t>Además del efecto dual -que reduce ingresos fiscales, pero a la vez también los incrementan debido al efecto positivo sobre crecimiento e inversión- como la reintegración, el crédito al empleo y la rebaja del impuesto corporativo,el proyecto también contempla una serie de ventanas transitorias para aumentar la recaudación de corto plazo, así como medidas de contención del gasto.</w:t>
      </w:r>
    </w:p>
    <w:p>
      <w:pPr>
        <w:spacing w:before="20"/>
        <w:ind w:left="360"/>
      </w:pPr>
      <w:r>
        <w:rPr>
          <w:color w:val="222222"/>
          <w:sz w:val="20"/>
        </w:rPr>
        <w:t>Aquí, destaca la moratoria de dos años para el ingreso de nuevas instituciones a la gratuidad en la educación superior, que genera menores gastos por US$ 320 millones al Fisco; la eliminación de la franquicia tributaria del Sence) por US$ 300 millones; y el aumento de cupos de incentivo al retiro desde 2.200 funcionarios a 6.000, que permitirá un ahorro de US$ 120 millones en régimen.</w:t>
      </w:r>
    </w:p>
    <w:p>
      <w:pPr>
        <w:spacing w:before="20"/>
        <w:ind w:left="360"/>
      </w:pPr>
      <w:r>
        <w:rPr>
          <w:color w:val="222222"/>
          <w:sz w:val="20"/>
        </w:rPr>
        <w:t>También, el endurecimiento de sanciones a funcionarios públicos por el mal uso de licencias médicas, que equivale a un ahorro de US$ 50 millones al año en régimen; los US$ 100 millones al año que se recaudará vía el mayor control al contrabando de cigarros; los US$ 290 millones que se recaudarán en dos años por la reducción transitoria del impuesto a las donaciones; US$ 300 millones a recolectar por la ventana transitoria para declarar y repatriar capitales durante dos años; y los US$ 770 millones con el impuesto sustitutivo de un 10% a los saldos registrados en el Fondo de Utilidades Reinvertidas (FUR), el Saldo Total de Utilidades Tributables (STUT) y los retiros en exceso del Fondo de Utilidades Tributables (FUT) pendientes de tributación.</w:t>
      </w:r>
    </w:p>
    <w:p>
      <w:pPr>
        <w:spacing w:before="20"/>
        <w:ind w:left="360"/>
      </w:pPr>
      <w:r>
        <w:rPr>
          <w:color w:val="222222"/>
          <w:sz w:val="20"/>
        </w:rPr>
        <w:t>La economista y socia líder de Tax &amp; Legal de Deloitte, Vanesa Lanciotti, expone que al revisar los números del informe financiero, el mensaje de fondo “es claro: este proyecto no se paga solo en el corto plazo. Incluso considerando el crecimiento que proyecta el propio gobierno, el Estado enfrenta déficits durante varios años. Hay un costo fiscal hoy y el beneficio aparece más adelante. El efecto compensatorio del crecimiento es lento y exigente. Durante algunos de los años clave del ajuste, el escenario que permite dar vuelta el balance requiere crecer a tasas superiores al 3%, algo que Chile no ha logrado de forma sostenida en la última década”.</w:t>
      </w:r>
    </w:p>
    <w:p>
      <w:pPr>
        <w:spacing w:before="20"/>
        <w:ind w:left="360"/>
      </w:pPr>
      <w:r>
        <w:rPr>
          <w:color w:val="222222"/>
          <w:sz w:val="20"/>
        </w:rPr>
        <w:t>Con el déficit fiscal que se genera,  el excoordinador económico de la campaña de Jeannette Jara, Luis Eduardo Escobar, cree que se pone en duda el crecimiento proyectado que vendría a reducir el déficit cuando esté por terminar el próximo gobierno: “Tal como hemos dicho desde la campaña, no tienen cómo cuadrar el círculo. Como dijo George Bush (padre) por la rebaja tributaria de Ronald Reagan, esto es economía vudú”.</w:t>
      </w:r>
    </w:p>
    <w:p>
      <w:pPr>
        <w:spacing w:before="20"/>
        <w:ind w:left="360"/>
      </w:pPr>
      <w:r>
        <w:rPr>
          <w:color w:val="222222"/>
          <w:sz w:val="20"/>
        </w:rPr>
        <w:t>El decano de Economía, Negocios y Gobierno de la U. San Sebastián, Alejandro Weber, recalca que “no podemos alcanzar todos los objetivos al mismo tiempo y la prioridad ahora es crecer”.</w:t>
      </w:r>
    </w:p>
    <w:p>
      <w:pPr>
        <w:spacing w:before="20"/>
        <w:ind w:left="360"/>
      </w:pPr>
      <w:r>
        <w:rPr>
          <w:color w:val="222222"/>
          <w:sz w:val="20"/>
        </w:rPr>
        <w:t>“El informe financiero es conservador, como tiene que ser, y la recuperación recaudatoria podría ser más rápida. Por ejemplo, en promedio, el proyecto estima un mayor crecimiento de la economía de 0,6 punto promedio por año como efecto del conjunto de medidas, lo que podría ser mayor, especialmente por el efecto agregado de la reducción de la tasa corporativa, la invariabilidad tributaria y la disminución de los plazos de los permisos para la inversión”, dice el exsubsecretario de Hacienda.</w:t>
      </w:r>
    </w:p>
    <w:p>
      <w:pPr>
        <w:spacing w:before="20"/>
        <w:ind w:left="360"/>
      </w:pPr>
      <w:r>
        <w:rPr>
          <w:color w:val="222222"/>
          <w:sz w:val="20"/>
        </w:rPr>
        <w:t>Que el proyecto implique un costo fiscal en los primeros años no invalida su racionalidad económica, expone el exsubdirector de Presupuestos, Mauricio Villena: “Evaluarlo únicamente por su recaudación de corto plazo es incompleto:la pregunta relevante es si esas medidas, junto con el resto del paquete, logran recuperar dinamismo económico y ampliar la base tributaria en el tiempo”, dice el decano de la Facultad de Administración y Economía de la U. Diego Portales.</w:t>
      </w:r>
    </w:p>
    <w:p>
      <w:pPr>
        <w:spacing w:before="20"/>
        <w:ind w:left="360"/>
      </w:pPr>
      <w:r>
        <w:rPr>
          <w:color w:val="222222"/>
          <w:sz w:val="20"/>
        </w:rPr>
        <w:t>El director de Riesgo Financiero de PwC Chile, Patricio Jaramillo, expone que el proyecto combina rebajas tributarias permanentes con mecanismos de compensación que son transitorios o “inciertos”, y además descansa en supuestos macroeconómicos “exigentes”, como una respuesta relevante de la inversión y una elasticidad ingresos-PIB elevada: “Desde una perspectiva fiscal, esto genera un descalce temporal importante”, expone.</w:t>
      </w:r>
    </w:p>
    <w:p>
      <w:pPr>
        <w:spacing w:before="20"/>
        <w:ind w:left="360"/>
      </w:pPr>
      <w:r>
        <w:rPr>
          <w:color w:val="222222"/>
          <w:sz w:val="20"/>
        </w:rPr>
        <w:t>Una visión similar entrega la socia de Tax &amp; Legal de PwC Chile, Loreto Pelegrí: “Una parte significativa del financiamiento inicial depende de decisiones voluntarias de los contribuyentes, por naturaleza inciertas y difíciles de asegurar ex-ante, lo que ya ha ocurrido en el pasado.Si la recaudación por regularizaciones resulta sustancialmente inferior a lo previsto, el proyecto deja expuesta las finanzas públicas a un déficit adicional en el corto plazo, justo cuando entran en régimen rebajas tributarias permanentes y nuevos gastos tributarios”.</w:t>
      </w:r>
    </w:p>
    <w:p>
      <w:pPr>
        <w:spacing w:before="20"/>
        <w:ind w:left="360"/>
      </w:pPr>
      <w:r>
        <w:rPr>
          <w:color w:val="222222"/>
          <w:sz w:val="20"/>
        </w:rPr>
        <w:t>El economista senior del Observatorio del Contexto Económico de la U. Diego Portales (OCEC UDP), Juan Ortiz, sostiene que la aprobación del proyecto podría ir por dos vías, en caso de confirmarse la estrecha situación fiscal: “Primero: lograr medidas compensatorias para permitir en lo posible que el proyecto sea fiscalmente neutro, y segundo: estimar el impacto positivo del mismo no solo en el PIB, a través de la inversión, sinosu efecto en el mercado laboral principalmente por la reducción de impuesto corporativo, la permisología y la invariabilidad tributaria”.</w:t>
      </w:r>
    </w:p>
    <w:p>
      <w:pPr>
        <w:spacing w:before="20"/>
        <w:ind w:left="360"/>
      </w:pPr>
      <w:r>
        <w:rPr>
          <w:color w:val="222222"/>
          <w:sz w:val="20"/>
        </w:rPr>
        <w:t>Preliminarmente, la economista senior de LyD, Macarena García, considera que el proyecto “trae un estrés adicional en las cuentas fiscales para los primeros años y que posteriormente el impacto es positivo aumentando la recaudación. Sin embargo, este informe financiero no considera el actual recorte de US$4.000 millones anunciado u otros que puedan venir más adelante”.</w:t>
      </w:r>
    </w:p>
    <w:p>
      <w:pPr>
        <w:spacing w:before="40" w:after="120"/>
      </w:pPr>
      <w:r>
        <w:rPr>
          <w:color w:val="CCCCCC"/>
        </w:rPr>
        <w:t>· · ·</w:t>
      </w:r>
    </w:p>
    <w:p>
      <w:r>
        <w:rPr>
          <w:b/>
          <w:color w:val="E65000"/>
        </w:rPr>
        <w:t xml:space="preserve">7. </w:t>
      </w:r>
      <w:r>
        <w:rPr>
          <w:b/>
          <w:sz w:val="22"/>
        </w:rPr>
        <w:t>Primera foto a efecto de medidas: mejor clima de inversión en el corto plazo y alza en cifras hacia fines de la década</w:t>
      </w:r>
    </w:p>
    <w:p>
      <w:pPr>
        <w:spacing w:before="0"/>
      </w:pPr>
      <w:r>
        <w:rPr>
          <w:color w:val="0056B3"/>
          <w:sz w:val="18"/>
        </w:rPr>
        <w:t>https://www.df.cl/economia-y-politica/macro/primera-foto-a-efecto-de-medidas-mejor-clima-de-inversion-en-el-corto</w:t>
      </w:r>
    </w:p>
    <w:p>
      <w:pPr>
        <w:spacing w:before="20"/>
        <w:ind w:left="360"/>
      </w:pPr>
      <w:r>
        <w:rPr>
          <w:color w:val="222222"/>
          <w:sz w:val="20"/>
        </w:rPr>
        <w:t>Economistas estiman que iniciativas como la invariabilidad tributaria y reducción de tiempos en permisos sectoriales podrían mejorar la confianza empresarial.</w:t>
      </w:r>
    </w:p>
    <w:p>
      <w:pPr>
        <w:spacing w:before="20"/>
        <w:ind w:left="360"/>
      </w:pPr>
      <w:r>
        <w:rPr>
          <w:color w:val="222222"/>
          <w:sz w:val="20"/>
        </w:rPr>
        <w:t>Por:A. SANTILLÁN Y F. ARANCIBIAPublicado: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Un efecto positivo esperan los analistas de las medidas para incentivar la inversión que incluyó el proyecto de ley misceláneo de reconstrucción y reactivación económica que envió el gobierno al Congreso este miércoles. Sin embargo, no se trataría de un impacto del todo inmediato.</w:t>
      </w:r>
    </w:p>
    <w:p>
      <w:pPr>
        <w:spacing w:before="20"/>
        <w:ind w:left="360"/>
      </w:pPr>
      <w:r>
        <w:rPr>
          <w:color w:val="222222"/>
          <w:sz w:val="20"/>
        </w:rPr>
        <w:t>La mirada favorable se sustentó en la confirmación de iniciativas que ya se habían anunciado por parte de las autoridades, como reducción del impuesto corporativo desde 27% a 23%, una disminución en los tiempos de tramitación de los permisos sectoriales y la reintegración del sistema tributario.</w:t>
      </w:r>
    </w:p>
    <w:p>
      <w:pPr>
        <w:spacing w:before="20"/>
        <w:ind w:left="360"/>
      </w:pPr>
      <w:r>
        <w:rPr>
          <w:color w:val="222222"/>
          <w:sz w:val="20"/>
        </w:rPr>
        <w:t>A estas se suma la invariabilidad tributaria -lo que alguna vez fue el DL 600 que nació en 1974 y fue derogado en 2016-, que estará vigente desde el 1 de enero de 2027 y establecería que tanto inversionistas locales como extranjeros tendrán una carga total máxima de impuestos a la renta por 25 años, siempre y cuando el monto supere el mínimo de inversión requerido de US$ 50 millones.</w:t>
      </w:r>
    </w:p>
    <w:p>
      <w:pPr>
        <w:spacing w:before="20"/>
        <w:ind w:left="360"/>
      </w:pPr>
      <w:r>
        <w:rPr>
          <w:color w:val="222222"/>
          <w:sz w:val="20"/>
        </w:rPr>
        <w:t>Mientras los inversionistas extranjeros podrán optar a una tasa máxima de 35% –excluyendo el royalty minero–, la tasa máxima para los locales corresponderá a la determinada por las normas vigentes al momento de suscribir el contrato de inversión.</w:t>
      </w:r>
    </w:p>
    <w:p>
      <w:pPr>
        <w:spacing w:before="20"/>
        <w:ind w:left="360"/>
      </w:pPr>
      <w:r>
        <w:rPr>
          <w:color w:val="222222"/>
          <w:sz w:val="20"/>
        </w:rPr>
        <w:t>No obstante, el efecto de estas medidas no se observaría hasta dentro de algunos años.</w:t>
      </w:r>
    </w:p>
    <w:p>
      <w:pPr>
        <w:spacing w:before="20"/>
        <w:ind w:left="360"/>
      </w:pPr>
      <w:r>
        <w:rPr>
          <w:color w:val="222222"/>
          <w:sz w:val="20"/>
        </w:rPr>
        <w:t>El economista de Rojas y Asociados, Patricio Rojas, indicó que durante 2026 el impacto sería acotado, ya que considera “bastante optimista” que las disposiciones propuestas “vean la luz” en los próximos tres a seis meses.</w:t>
      </w:r>
    </w:p>
    <w:p>
      <w:pPr>
        <w:spacing w:before="20"/>
        <w:ind w:left="360"/>
      </w:pPr>
      <w:r>
        <w:rPr>
          <w:color w:val="222222"/>
          <w:sz w:val="20"/>
        </w:rPr>
        <w:t>“Los efectos en materia de inversión debiesen ser significativos, pero probablemente van a tomar algunos años y, probablemente, hacia los últimos años de esta década recién se va a empezar a ver el impacto en proyectos más grandes, llámese mineros o de infraestructura”, señaló.</w:t>
      </w:r>
    </w:p>
    <w:p>
      <w:pPr>
        <w:spacing w:before="20"/>
        <w:ind w:left="360"/>
      </w:pPr>
      <w:r>
        <w:rPr>
          <w:color w:val="222222"/>
          <w:sz w:val="20"/>
        </w:rPr>
        <w:t>La economista jefe de Prudential AGF, Carolina Grünwald, indicó que entregar certezas a los inversionistas “es esencial” y que las medidas tributarias apuntan finalmente a incentivar la reinversión de utilidades, lo que también generaría más crecimiento y más empleo.</w:t>
      </w:r>
    </w:p>
    <w:p>
      <w:pPr>
        <w:spacing w:before="20"/>
        <w:ind w:left="360"/>
      </w:pPr>
      <w:r>
        <w:rPr>
          <w:color w:val="222222"/>
          <w:sz w:val="20"/>
        </w:rPr>
        <w:t>Con todo, sostuvo que los resultados podrían comenzar a verse el año 2027.</w:t>
      </w:r>
    </w:p>
    <w:p>
      <w:pPr>
        <w:spacing w:before="20"/>
        <w:ind w:left="360"/>
      </w:pPr>
      <w:r>
        <w:rPr>
          <w:color w:val="222222"/>
          <w:sz w:val="20"/>
        </w:rPr>
        <w:t>“Creo que esto, de aprobarse, no se va a ver de forma rápida en las cifras de inversión, puesto que estas son decisiones que toman tiempo y, luego, la ejecución también toma tiempo. Se está sembrando para poder cosechar más hacia mediano plazo”, explicó.</w:t>
      </w:r>
    </w:p>
    <w:p>
      <w:pPr>
        <w:spacing w:before="20"/>
        <w:ind w:left="360"/>
      </w:pPr>
      <w:r>
        <w:rPr>
          <w:color w:val="222222"/>
          <w:sz w:val="20"/>
        </w:rPr>
        <w:t>El economista jefe de Itaú para la región, Andrés Pérez, indicó que las medidas “apuntan en la dirección correcta” para encauzar una recuperación duradera de la inversión privada en el país al reducir el costo del capital facilitando la entrega de permisos y disminuyendo los impuestos corporativos.</w:t>
      </w:r>
    </w:p>
    <w:p>
      <w:pPr>
        <w:spacing w:before="20"/>
        <w:ind w:left="360"/>
      </w:pPr>
      <w:r>
        <w:rPr>
          <w:color w:val="222222"/>
          <w:sz w:val="20"/>
        </w:rPr>
        <w:t>En esta línea, destacó que en el corto plazo, y con una rápida aprobación legislativa, permitirían sostener la mejora en la confianza empresarial, impactada por los efectos del conflicto bélico en Medio Oriente.</w:t>
      </w:r>
    </w:p>
    <w:p>
      <w:pPr>
        <w:spacing w:before="20"/>
        <w:ind w:left="360"/>
      </w:pPr>
      <w:r>
        <w:rPr>
          <w:color w:val="222222"/>
          <w:sz w:val="20"/>
        </w:rPr>
        <w:t>El efecto a corto plazo es algo en lo que Rojas también coincidió.</w:t>
      </w:r>
    </w:p>
    <w:p>
      <w:pPr>
        <w:spacing w:before="20"/>
        <w:ind w:left="360"/>
      </w:pPr>
      <w:r>
        <w:rPr>
          <w:color w:val="222222"/>
          <w:sz w:val="20"/>
        </w:rPr>
        <w:t>“En lo inmediato, claramente tiene un impacto, mejora el clima de inversión. El hecho de que la permisología se reduzca sobre todo en tiempo y entregue más certeza, eso va a traer la iniciación más temprana de los proyectos”, afirmó.</w:t>
      </w:r>
    </w:p>
    <w:p>
      <w:pPr>
        <w:spacing w:before="20"/>
        <w:ind w:left="360"/>
      </w:pPr>
      <w:r>
        <w:rPr>
          <w:color w:val="222222"/>
          <w:sz w:val="20"/>
        </w:rPr>
        <w:t>Pérez precisó que tras crecer 7% en 2025, su proyección actualmente para el crecimiento de la formación bruta de capital fijo es entre 4%-5% este año, la que podría ser mayor si la inversión se propaga a sectores distintos a la minería y energía.</w:t>
      </w:r>
    </w:p>
    <w:p>
      <w:pPr>
        <w:spacing w:before="20"/>
        <w:ind w:left="360"/>
      </w:pPr>
      <w:r>
        <w:rPr>
          <w:color w:val="222222"/>
          <w:sz w:val="20"/>
        </w:rPr>
        <w:t>“En paralelo, avanzar en medidas administrativas que reduzcan la permisología podrían dar un impulso mayor, permitiendo dinamizar las perspectivas de crecimiento hacia finales de año y el próximo”, afirmó.</w:t>
      </w:r>
    </w:p>
    <w:p>
      <w:pPr>
        <w:spacing w:before="20"/>
        <w:ind w:left="360"/>
      </w:pPr>
      <w:r>
        <w:rPr>
          <w:color w:val="222222"/>
          <w:sz w:val="20"/>
        </w:rPr>
        <w:t>Rojas señaló que actualmente la tasa de formación bruta es de 24% del Producto Interno Bruto (PIB) y que se debe llegar a niveles cercanos al 28% para poder aspirar a tener tasas de crecimiento de 3%.</w:t>
      </w:r>
    </w:p>
    <w:p>
      <w:pPr>
        <w:spacing w:before="20"/>
        <w:ind w:left="360"/>
      </w:pPr>
      <w:r>
        <w:rPr>
          <w:color w:val="222222"/>
          <w:sz w:val="20"/>
        </w:rPr>
        <w:t>“Cuando la inversión empiece a crecer, ahí vamos a tener los efectos en crecimiento y los efectos sobre la recaudación fiscal y el aumento para compensar la menor recaudación de este proyecto alcanza el régimen después de 2030. Estamos hablando de niveles del año 2032 a 2035, al menos”, explicó.</w:t>
      </w:r>
    </w:p>
    <w:p>
      <w:pPr>
        <w:spacing w:before="20"/>
        <w:ind w:left="360"/>
      </w:pPr>
      <w:r>
        <w:rPr>
          <w:color w:val="222222"/>
          <w:sz w:val="20"/>
        </w:rPr>
        <w:t>Grünwald precisó que es difícil saber el impacto en PIB de las medidas, ya que hay muchas variables.</w:t>
      </w:r>
    </w:p>
    <w:p>
      <w:pPr>
        <w:spacing w:before="20"/>
        <w:ind w:left="360"/>
      </w:pPr>
      <w:r>
        <w:rPr>
          <w:color w:val="222222"/>
          <w:sz w:val="20"/>
        </w:rPr>
        <w:t>“Sabemos que la inversión bajó en Chile luego de la reforma de 2014, que es lo que se busca revertir, por ejemplo”, señaló, junto con agregar que existe evidencia de que la reducción gradual del impuesto corporativo en Chile de cuatro puntos porcentuales podría incrementar el PIB entre 0,5% y 1,3%, vía precisamente un aumento de la inversión.</w:t>
      </w:r>
    </w:p>
    <w:p>
      <w:pPr>
        <w:spacing w:before="40" w:after="120"/>
      </w:pPr>
      <w:r>
        <w:rPr>
          <w:color w:val="CCCCCC"/>
        </w:rPr>
        <w:t>· · ·</w:t>
      </w:r>
    </w:p>
    <w:p>
      <w:r>
        <w:rPr>
          <w:b/>
          <w:color w:val="E65000"/>
        </w:rPr>
        <w:t xml:space="preserve">8. </w:t>
      </w:r>
      <w:r>
        <w:rPr>
          <w:b/>
          <w:sz w:val="22"/>
        </w:rPr>
        <w:t>Gobierno abre debate por crédito tributario al empleo y apuesta por cambios en licencias en el sector público</w:t>
      </w:r>
    </w:p>
    <w:p>
      <w:pPr>
        <w:spacing w:before="0"/>
      </w:pPr>
      <w:r>
        <w:rPr>
          <w:color w:val="0056B3"/>
          <w:sz w:val="18"/>
        </w:rPr>
        <w:t>https://www.df.cl/economia-y-politica/laboral-personas/gobierno-abre-debate-por-credito-tributario-al-empleo-y-apuesta-por-cambios</w:t>
      </w:r>
    </w:p>
    <w:p>
      <w:pPr>
        <w:spacing w:before="20"/>
        <w:ind w:left="360"/>
      </w:pPr>
      <w:r>
        <w:rPr>
          <w:color w:val="222222"/>
          <w:sz w:val="20"/>
        </w:rPr>
        <w:t>Para los expertos la medida tendrá un acotado efecto. Sobre la franquicia, piden avanzar en una nueva herramienta.</w:t>
      </w:r>
    </w:p>
    <w:p>
      <w:pPr>
        <w:spacing w:before="20"/>
        <w:ind w:left="360"/>
      </w:pPr>
      <w:r>
        <w:rPr>
          <w:color w:val="222222"/>
          <w:sz w:val="20"/>
        </w:rPr>
        <w:t>Publicado: Jueves 23 de abril de 2026 a las 04:00 hrs.</w:t>
      </w:r>
    </w:p>
    <w:p>
      <w:pPr>
        <w:spacing w:before="20"/>
        <w:ind w:left="360"/>
      </w:pPr>
      <w:r>
        <w:rPr>
          <w:color w:val="222222"/>
          <w:sz w:val="20"/>
        </w:rPr>
        <w:t>Una serie de medidas relacionadas con el ámbito laboral incluyó el proyecto de reconstrucción que el Ejecutivo envió este miércoles al Congreso. Al anuncio de crédito tributario para el empleo y la eliminación de la franquicia tributaria Sence, sumó sanciones a los funcionarios públicos que hagan mal uso de las licencias médicas y una ampliación del incentivo al retiro.</w:t>
      </w:r>
    </w:p>
    <w:p>
      <w:pPr>
        <w:spacing w:before="20"/>
        <w:ind w:left="360"/>
      </w:pPr>
      <w:r>
        <w:rPr>
          <w:color w:val="222222"/>
          <w:sz w:val="20"/>
        </w:rPr>
        <w:t>La primera, detalla el texto de la iniciativa, beneficiaría “principalmente a las PYME” y apunta a proteger “la estabilidad del empleo formal frente al aumento del costo de contratación, evitando que las empresas despidan personas por no tener la capacidad de pagar sus sueldos”.</w:t>
      </w:r>
    </w:p>
    <w:p>
      <w:pPr>
        <w:spacing w:before="20"/>
        <w:ind w:left="360"/>
      </w:pPr>
      <w:r>
        <w:rPr>
          <w:color w:val="222222"/>
          <w:sz w:val="20"/>
        </w:rPr>
        <w:t>Y precisa que “fomenta la contratación formal de más de 800 mil personas que actualmente se encuentran desempleadas, al reducir el costo de su contratación tanto para PYME como para grandes empresas”.</w:t>
      </w:r>
    </w:p>
    <w:p>
      <w:pPr>
        <w:spacing w:before="20"/>
        <w:ind w:left="360"/>
      </w:pPr>
      <w:r>
        <w:rPr>
          <w:color w:val="222222"/>
          <w:sz w:val="20"/>
        </w:rPr>
        <w:t>Su implementación, según el informe financiero, en el primer año al Fisco le costaría $ 668.573 millones (US$ 752 millones), cifra que subirá a $ 1.541.502 millones (US$ 1.735 millones) en el segundo año e irá decreciendo en forma paulatina.</w:t>
      </w:r>
    </w:p>
    <w:p>
      <w:pPr>
        <w:spacing w:before="20"/>
        <w:ind w:left="360"/>
      </w:pPr>
      <w:r>
        <w:rPr>
          <w:color w:val="222222"/>
          <w:sz w:val="20"/>
        </w:rPr>
        <w:t>Soledad Hormazábal, directora de evidencia en Pivotes.Fidel Bennett, exasesor del Ministerio del Trabajo. José Esteban Garay, gerente general de la OTIC de la CChC. Fotos: José Montenegro y Archivo.</w:t>
      </w:r>
    </w:p>
    <w:p>
      <w:pPr>
        <w:spacing w:before="20"/>
        <w:ind w:left="360"/>
      </w:pPr>
      <w:r>
        <w:rPr>
          <w:color w:val="222222"/>
          <w:sz w:val="20"/>
        </w:rPr>
        <w:t>Justamente por su costo, la fórmula no convence del todo.</w:t>
      </w:r>
    </w:p>
    <w:p>
      <w:pPr>
        <w:spacing w:before="20"/>
        <w:ind w:left="360"/>
      </w:pPr>
      <w:r>
        <w:rPr>
          <w:color w:val="222222"/>
          <w:sz w:val="20"/>
        </w:rPr>
        <w:t>El economista y exjefe de políticas de empleo del ministerio del Trabajo y socio del Estudio La Firma, Fidel Bennett, reiteró que se trata de una medida cara y con bajo impacto. “El Ejecutivo, con el cambio de nombre, hace el reconocimiento de que es una medida de retención laboral y no de contratación. Y cuando tienes la misión de reducir la tasa de desocupación, se propone llegar a 6,5% en 2030, lo mejor sería utilizar un instrumento que contrate, que pase personas desde la desocupación a la ocupación”, dijo.</w:t>
      </w:r>
    </w:p>
    <w:p>
      <w:pPr>
        <w:spacing w:before="20"/>
        <w:ind w:left="360"/>
      </w:pPr>
      <w:r>
        <w:rPr>
          <w:color w:val="222222"/>
          <w:sz w:val="20"/>
        </w:rPr>
        <w:t>A su juicio, el gobierno subestima el costo real de la medida en materia de recaudación en al menos en US$ 500 millones.</w:t>
      </w:r>
    </w:p>
    <w:p>
      <w:pPr>
        <w:spacing w:before="20"/>
        <w:ind w:left="360"/>
      </w:pPr>
      <w:r>
        <w:rPr>
          <w:color w:val="222222"/>
          <w:sz w:val="20"/>
        </w:rPr>
        <w:t>La directora de evidencia en Pivotes, Soledad Hormazábal, planteó que pese a que el proyecto podría reactivar el mercado laboral, “es muy caro. Involucra muchísimos recursos públicos comparado con otras alternativas, como el Subsidio Unificado al Empleo, que se puede ampliar por esa cantidad de recursos y es un instrumento que está comprobado que tiene un efecto significativo sobre el trabajo”.</w:t>
      </w:r>
    </w:p>
    <w:p>
      <w:pPr>
        <w:spacing w:before="20"/>
        <w:ind w:left="360"/>
      </w:pPr>
      <w:r>
        <w:rPr>
          <w:color w:val="222222"/>
          <w:sz w:val="20"/>
        </w:rPr>
        <w:t>Para ella el proyecto “mantiene puestos de trabajo, eso es positivo, y también debiese ayudar en el margen a la contratación de nuevos trabajadores, porque en el fondo le va a costar a la empresa menos contratar. Pero claro, es un modelo menos óptimo, es más incierto el efecto que tendrá”, agregó Hormazábal.</w:t>
      </w:r>
    </w:p>
    <w:p>
      <w:pPr>
        <w:spacing w:before="20"/>
        <w:ind w:left="360"/>
      </w:pPr>
      <w:r>
        <w:rPr>
          <w:color w:val="222222"/>
          <w:sz w:val="20"/>
        </w:rPr>
        <w:t>Otro tema que sigue generando reacciones, es la decisión del ministro de Hacienda, Jorge Quiroz, de eliminar la franquicia tributaria, figura que permite a las empresas descontar del impuesto a la renta gastos destinados al aprendizaje de su dotación.</w:t>
      </w:r>
    </w:p>
    <w:p>
      <w:pPr>
        <w:spacing w:before="20"/>
        <w:ind w:left="360"/>
      </w:pPr>
      <w:r>
        <w:rPr>
          <w:color w:val="222222"/>
          <w:sz w:val="20"/>
        </w:rPr>
        <w:t>Este incentivo cuesta $ 300 mil millones al año, “sin que exista evidencia concluyente de que produzca un impacto significativo en mejoras en capacitación”, dice el proyecto.</w:t>
      </w:r>
    </w:p>
    <w:p>
      <w:pPr>
        <w:spacing w:before="20"/>
        <w:ind w:left="360"/>
      </w:pPr>
      <w:r>
        <w:rPr>
          <w:color w:val="222222"/>
          <w:sz w:val="20"/>
        </w:rPr>
        <w:t>Para el gerente general de la OTIC de la Cámara Chilena de la Construcción, José Esteban Garay, no es óptimo avanzar en esta línea dado el escenario en donde la reconversión y la formación laboral son claves. “Cualquier agenda de cambio debiera partir por diseñar un nuevo instrumento antes de avanzar en su eliminación. Como OTIC CChC, estamos disponibles para contribuir a ese proceso con nuestra experiencia”, dijo.</w:t>
      </w:r>
    </w:p>
    <w:p>
      <w:pPr>
        <w:spacing w:before="20"/>
        <w:ind w:left="360"/>
      </w:pPr>
      <w:r>
        <w:rPr>
          <w:color w:val="222222"/>
          <w:sz w:val="20"/>
        </w:rPr>
        <w:t>En materia de licencias, el proyecto establece que toda persona que ejerza funciones en la administración del Estado y que incurra en el uso indebido, falsificación o incumplimiento del reposo de una licencia médica, será sancionada con la destitución, despido o el cese inmediato de su cargo, dependiendo del régimen aplicable, por constituir una vulneración grave al principio de probidad.</w:t>
      </w:r>
    </w:p>
    <w:p>
      <w:pPr>
        <w:spacing w:before="20"/>
        <w:ind w:left="360"/>
      </w:pPr>
      <w:r>
        <w:rPr>
          <w:color w:val="222222"/>
          <w:sz w:val="20"/>
        </w:rPr>
        <w:t>Una medida que permitiría reducir el gasto en suplencias y reemplazos en un 10%, e implicará un menor gasto fiscal de $ 44.891 millones anuales. Para el año 2026, suponiendo que entra en vigencia a partir de septiembre, el efecto sería de $14.964 millones</w:t>
      </w:r>
    </w:p>
    <w:p>
      <w:pPr>
        <w:spacing w:before="20"/>
        <w:ind w:left="360"/>
      </w:pPr>
      <w:r>
        <w:rPr>
          <w:color w:val="222222"/>
          <w:sz w:val="20"/>
        </w:rPr>
        <w:t>Con relación al incentivo al retiro, el texto propone incrementar el cupo máximo de beneficiarios del incentivo al retiro establecido en la Ley Nº 20.948, elevando el guarismo de 2.200 a 6.000 cupos, facultando a la Dipres a asignar estos nuevos cupos de incentivo al retiro para el año 2026 de forma preferente a quienes ya integran el listado de seleccionados, siguiendo el procedimiento establecido en la Ley Nº 20.948.</w:t>
      </w:r>
    </w:p>
    <w:p>
      <w:pPr>
        <w:spacing w:before="40" w:after="120"/>
      </w:pPr>
      <w:r>
        <w:rPr>
          <w:color w:val="CCCCCC"/>
        </w:rPr>
        <w:t>· · ·</w:t>
      </w:r>
    </w:p>
    <w:p/>
    <w:p>
      <w:pPr>
        <w:pStyle w:val="Heading1"/>
      </w:pPr>
      <w:r>
        <w:rPr>
          <w:color w:val="E65000"/>
        </w:rPr>
        <w:t>🔹 Internacional</w:t>
      </w:r>
    </w:p>
    <w:p>
      <w:r>
        <w:rPr>
          <w:b/>
          <w:color w:val="E65000"/>
        </w:rPr>
        <w:t xml:space="preserve">1. </w:t>
      </w:r>
      <w:r>
        <w:rPr>
          <w:b/>
          <w:sz w:val="22"/>
        </w:rPr>
        <w:t>Mercosur discutirá la reintegración de Venezuela al bloque económico</w:t>
      </w:r>
      <w:r>
        <w:rPr>
          <w:color w:val="CC7700"/>
          <w:sz w:val="18"/>
        </w:rPr>
        <w:t xml:space="preserve">  [⭐ Destacada]</w:t>
      </w:r>
    </w:p>
    <w:p>
      <w:pPr>
        <w:spacing w:before="0"/>
      </w:pPr>
      <w:r>
        <w:rPr>
          <w:color w:val="0056B3"/>
          <w:sz w:val="18"/>
        </w:rPr>
        <w:t>https://www.df.cl/internacional/politica/mercosur-discutira-la-reintegracion-de-venezuela-al-bloque-economico</w:t>
      </w:r>
    </w:p>
    <w:p>
      <w:pPr>
        <w:spacing w:before="20"/>
        <w:ind w:left="360"/>
      </w:pPr>
      <w:r>
        <w:rPr>
          <w:color w:val="222222"/>
          <w:sz w:val="20"/>
        </w:rPr>
        <w:t>La evaluación se da en paralelo a los intentos de Colombia por incorporarse como miembro de la instancia multilateral.</w:t>
      </w:r>
    </w:p>
    <w:p>
      <w:pPr>
        <w:spacing w:before="20"/>
        <w:ind w:left="360"/>
      </w:pPr>
      <w:r>
        <w:rPr>
          <w:color w:val="222222"/>
          <w:sz w:val="20"/>
        </w:rPr>
        <w:t>Por:BloombergPublicado: Jueves 23 de abril de 2026 a las 11:31 hrs.</w:t>
      </w:r>
    </w:p>
    <w:p>
      <w:pPr>
        <w:spacing w:before="20"/>
        <w:ind w:left="360"/>
      </w:pPr>
      <w:r>
        <w:rPr>
          <w:color w:val="222222"/>
          <w:sz w:val="20"/>
        </w:rPr>
        <w:t>Publicado: Jueves 23 de abril de 2026 a las 11:31 hrs.</w:t>
      </w:r>
    </w:p>
    <w:p>
      <w:pPr>
        <w:spacing w:before="20"/>
        <w:ind w:left="360"/>
      </w:pPr>
      <w:r>
        <w:rPr>
          <w:color w:val="222222"/>
          <w:sz w:val="20"/>
        </w:rPr>
        <w:t>Mercosur se prepara para debatir el posible regreso de Venezuela al bloque sudamericano, una señal del acercamiento regional hacia Caracas tras la salida de Nicolás Maduro del poder este año.</w:t>
      </w:r>
    </w:p>
    <w:p>
      <w:pPr>
        <w:spacing w:before="20"/>
        <w:ind w:left="360"/>
      </w:pPr>
      <w:r>
        <w:rPr>
          <w:color w:val="222222"/>
          <w:sz w:val="20"/>
        </w:rPr>
        <w:t>El vicepresidente de Brasil, Geraldo Alckmin, dijo queel grupo podría revisar la suspensión de Venezuela, ya que el país atraviesa un “momento diferente”. Esto sugiere un cambio en la dinámica regional tras años de aislamiento. “Venezuela se incorporó al Mercosur, fue suspendida y, al entrar en un momento distinto, eso será rediscutido”, señaló Alckmin a periodistas en Brasilia.</w:t>
      </w:r>
    </w:p>
    <w:p>
      <w:pPr>
        <w:spacing w:before="20"/>
        <w:ind w:left="360"/>
      </w:pPr>
      <w:r>
        <w:rPr>
          <w:color w:val="222222"/>
          <w:sz w:val="20"/>
        </w:rPr>
        <w:t>El acercamiento de Venezuela a instituciones occidentales ha cobrado impulso desde que Delcy Rodríguez asumió como presidenta interina y avanzó en recomponer vínculos con EEUU.El Fondo Monetario Internacional indicó la semana pasada que retomará el contacto formal, lo que abre la puerta a un eventual acceso a financiamiento multilateral.</w:t>
      </w:r>
    </w:p>
    <w:p>
      <w:pPr>
        <w:spacing w:before="120"/>
        <w:ind w:left="360"/>
      </w:pPr>
      <w:r>
        <w:rPr>
          <w:b/>
          <w:color w:val="E65000"/>
          <w:sz w:val="26"/>
        </w:rPr>
        <w:t xml:space="preserve"> </w:t>
      </w:r>
    </w:p>
    <w:p>
      <w:pPr>
        <w:spacing w:before="20"/>
        <w:ind w:left="360"/>
      </w:pPr>
      <w:r>
        <w:rPr>
          <w:color w:val="222222"/>
          <w:sz w:val="20"/>
        </w:rPr>
        <w:t>Venezuela fue suspendida del Mercosur en 2017 por incumplir la cláusula democrática y compromisos económicos.Su reincorporación requeriría el consenso de los Estados miembros y una evaluación de si cumple nuevamente esos estándares.</w:t>
      </w:r>
    </w:p>
    <w:p>
      <w:pPr>
        <w:spacing w:before="20"/>
        <w:ind w:left="360"/>
      </w:pPr>
      <w:r>
        <w:rPr>
          <w:color w:val="222222"/>
          <w:sz w:val="20"/>
        </w:rPr>
        <w:t>El Mercosur avanza en una reconfiguración más amplia, que incluye la implementación provisional de un acuerdo comercial largamente demorado con la Unión Europea a partir del 1 de mayo.Brasil estima que el acuerdo podría aumentar sus exportaciones al bloque europeo en torno a 13%.</w:t>
      </w:r>
    </w:p>
    <w:p>
      <w:pPr>
        <w:spacing w:before="20"/>
        <w:ind w:left="360"/>
      </w:pPr>
      <w:r>
        <w:rPr>
          <w:color w:val="222222"/>
          <w:sz w:val="20"/>
        </w:rPr>
        <w:t>Alckmin, quien también fue ministro de Industria y Comercio de Brasil, destacó que la expansión forma parte de la agenda estratégica del Mercosur.Bolivia está adoptando las normas legales y comerciales del bloque tras ser aceptada como miembro pleno en 2024, mientras que Colombia busca incorporarse como miembro pleno.Mercosur tiene como miembros fundadores a Brasil, Argentina, Paraguay y Uruguay.</w:t>
      </w:r>
    </w:p>
    <w:p>
      <w:pPr>
        <w:spacing w:before="20"/>
        <w:ind w:left="360"/>
      </w:pPr>
      <w:r>
        <w:rPr>
          <w:color w:val="222222"/>
          <w:sz w:val="20"/>
        </w:rPr>
        <w:t>“Es muy importante profundizar la integración latinoamericana”, afirmó Alckmin, al señalar que el comercio intrarregional representa menos del 30% del total, frente a cerca de 50% en América del Norte, casi 60% en Europa y cerca de 70% en el sudeste asiático.</w:t>
      </w:r>
    </w:p>
    <w:p>
      <w:pPr>
        <w:spacing w:before="40" w:after="120"/>
      </w:pPr>
      <w:r>
        <w:rPr>
          <w:color w:val="CCCCCC"/>
        </w:rPr>
        <w:t>· · ·</w:t>
      </w:r>
    </w:p>
    <w:p>
      <w:r>
        <w:rPr>
          <w:b/>
          <w:color w:val="E65000"/>
        </w:rPr>
        <w:t xml:space="preserve">2. </w:t>
      </w:r>
      <w:r>
        <w:rPr>
          <w:b/>
          <w:sz w:val="22"/>
        </w:rPr>
        <w:t>Real Plaza anuncia la construcción de un nuevo centro comercial en la ciudad peruana de Trujillo</w:t>
      </w:r>
      <w:r>
        <w:rPr>
          <w:color w:val="CC7700"/>
          <w:sz w:val="18"/>
        </w:rPr>
        <w:t xml:space="preserve">  [⭐ Destacada]</w:t>
      </w:r>
    </w:p>
    <w:p>
      <w:pPr>
        <w:spacing w:before="0"/>
      </w:pPr>
      <w:r>
        <w:rPr>
          <w:color w:val="0056B3"/>
          <w:sz w:val="18"/>
        </w:rPr>
        <w:t>https://www.df.cl/df-sud/multilatinas/real-plaza-anuncia-la-construccion-de-un-nuevo-centro-comercial-en-la</w:t>
      </w:r>
    </w:p>
    <w:p>
      <w:pPr>
        <w:spacing w:before="20"/>
        <w:ind w:left="360"/>
      </w:pPr>
      <w:r>
        <w:rPr>
          <w:color w:val="222222"/>
          <w:sz w:val="20"/>
        </w:rPr>
        <w:t>El proyecto contará con más de 83.000 metros cuadrados de área comercial, lo que representa un incremento de aproximadamente 57% frente al espacio que ocupaba el complejo anterior.</w:t>
      </w:r>
    </w:p>
    <w:p>
      <w:pPr>
        <w:spacing w:before="20"/>
        <w:ind w:left="360"/>
      </w:pPr>
      <w:r>
        <w:rPr>
          <w:color w:val="222222"/>
          <w:sz w:val="20"/>
        </w:rPr>
        <w:t>Publicado: Jueves 23 de abril de 2026 a las 11:30 hrs.</w:t>
      </w:r>
    </w:p>
    <w:p>
      <w:pPr>
        <w:spacing w:before="20"/>
        <w:ind w:left="360"/>
      </w:pPr>
      <w:r>
        <w:rPr>
          <w:color w:val="222222"/>
          <w:sz w:val="20"/>
        </w:rPr>
        <w:t>La cadena decentros comerciales peruana Real Plaza,perteneciente al Grupo Intercorp,anunció la construcción de un nuevo mall en la ciudad de Trujillo a partir de una inversión por 500 millones de soles peruanos(US$ 146 millones), considerada como una de las más grandes realizadas por la firma en la nación andina.</w:t>
      </w:r>
    </w:p>
    <w:p>
      <w:pPr>
        <w:spacing w:before="20"/>
        <w:ind w:left="360"/>
      </w:pPr>
      <w:r>
        <w:rPr>
          <w:color w:val="222222"/>
          <w:sz w:val="20"/>
        </w:rPr>
        <w:t>Según informó la empresa a través de un comunicado,el nuevo centro comercial contará con más de 83.000 metros cuadrados de área comercial,lo que representa un incremento de aproximadamente 57% frente al espacio que ocupaba el complejo anterior.</w:t>
      </w:r>
    </w:p>
    <w:p>
      <w:pPr>
        <w:spacing w:before="20"/>
        <w:ind w:left="360"/>
      </w:pPr>
      <w:r>
        <w:rPr>
          <w:color w:val="222222"/>
          <w:sz w:val="20"/>
        </w:rPr>
        <w:t>Asimismo,la construcción incorporará un segundo nivel, seis tiendas ancla de gran formato, más de 115 marcas y más de 1.500 estacionamientos</w:t>
      </w:r>
    </w:p>
    <w:p>
      <w:pPr>
        <w:spacing w:before="20"/>
        <w:ind w:left="360"/>
      </w:pPr>
      <w:r>
        <w:rPr>
          <w:color w:val="222222"/>
          <w:sz w:val="20"/>
        </w:rPr>
        <w:t>De acuerdo con la firma,el plazo estimado de construcción será de dos años, una vez concluidas las etapas de diseño y la obtención de permisos.A su vez, señalaron que su desarrollo implicará la creación de 12.000 empleos directos e indirectos.</w:t>
      </w:r>
    </w:p>
    <w:p>
      <w:pPr>
        <w:spacing w:before="20"/>
        <w:ind w:left="360"/>
      </w:pPr>
      <w:r>
        <w:rPr>
          <w:color w:val="222222"/>
          <w:sz w:val="20"/>
        </w:rPr>
        <w:t>Hernán Malpartida, vicepresidente de Asuntos Corporativos de Real Plaza, afirmó a medios nacionales que “con el nuevoReal Plaza Trujillo,buscamos contribuir a una nueva etapa para la ciudad, con un fuerte compromiso con la comunidad y su desarrollo.Este proyecto es el más grande en el que nos hemos embarcado y apunta a ofrecer a Trujillo el centro comercial más moderno del país”.</w:t>
      </w:r>
    </w:p>
    <w:p>
      <w:pPr>
        <w:spacing w:before="20"/>
        <w:ind w:left="360"/>
      </w:pPr>
      <w:r>
        <w:rPr>
          <w:color w:val="222222"/>
          <w:sz w:val="20"/>
        </w:rPr>
        <w:t>También contempla nuevo boulevard gastronómico,una variedad de restaurantes con terrazas abiertas, zonas de servicios financieros y una moderna clínica que contará con un ingreso independiente.</w:t>
      </w:r>
    </w:p>
    <w:p>
      <w:pPr>
        <w:spacing w:before="120"/>
        <w:ind w:left="360"/>
      </w:pPr>
      <w:r>
        <w:rPr>
          <w:b/>
          <w:color w:val="E65000"/>
          <w:sz w:val="26"/>
        </w:rPr>
        <w:t xml:space="preserve"> </w:t>
      </w:r>
    </w:p>
    <w:p>
      <w:pPr>
        <w:spacing w:before="20"/>
        <w:ind w:left="360"/>
      </w:pPr>
      <w:r>
        <w:rPr>
          <w:color w:val="222222"/>
          <w:sz w:val="20"/>
        </w:rPr>
        <w:t>El proyecto llega tras el colapso del techo del anterior Real Plaza Trujillo, ocurrido el 21 febrero de 2025, que cobró la vida de seis personas y dejó más de 80 heridas.</w:t>
      </w:r>
    </w:p>
    <w:p>
      <w:pPr>
        <w:spacing w:before="20"/>
        <w:ind w:left="360"/>
      </w:pPr>
      <w:r>
        <w:rPr>
          <w:color w:val="222222"/>
          <w:sz w:val="20"/>
        </w:rPr>
        <w:t>En ese entonces, el Instituto Nacional de Defensa de la Competencia y de la Protección de la Propiedad Intelectual (Indecopi) informó laimposición de unamulta coercitiva de 100 UIT(535.000 soles, US$ 151.600) a la compañía,por “no acreditar de manera oportuna y total el cumplimiento de las medidas cautelares dictadas para proteger a los consumidores afectados” en el accidente de febrero último.</w:t>
      </w:r>
    </w:p>
    <w:p>
      <w:pPr>
        <w:spacing w:before="20"/>
        <w:ind w:left="360"/>
      </w:pPr>
      <w:r>
        <w:rPr>
          <w:color w:val="222222"/>
          <w:sz w:val="20"/>
        </w:rPr>
        <w:t>Tras la tragedia, la Comisión de la Oficina Regional del Indecopi en La Libertaddeterminó el cierre temporal del establecimiento,la cobertura de gastos médicos de las víctimas, el pago de gastos de sepelio de los fallecidos y la identificación de posibles afectados indirectos.</w:t>
      </w:r>
    </w:p>
    <w:p>
      <w:pPr>
        <w:spacing w:before="20"/>
        <w:ind w:left="360"/>
      </w:pPr>
      <w:r>
        <w:rPr>
          <w:color w:val="222222"/>
          <w:sz w:val="20"/>
        </w:rPr>
        <w:t>En febrero de este año, el regualdor peruano ratificó la sanción en contra del centro comercial ydeterminó que el incidente se produjo por deficiencias en la construcción,por el uso de materiales distintos a los previstos en el diseño estructural y a diferencias entre la construcción y el diseño original aprobado por las autoridades municipales.</w:t>
      </w:r>
    </w:p>
    <w:p>
      <w:pPr>
        <w:spacing w:before="20"/>
        <w:ind w:left="360"/>
      </w:pPr>
      <w:r>
        <w:rPr>
          <w:color w:val="222222"/>
          <w:sz w:val="20"/>
        </w:rPr>
        <w:t>De acuerdo con lo informado en dicha instancia,las fallas pudieron haber sido identificadas con anterioridad a través de mantenimientos preventivos o correctivos.Asimismo, el organismo indicó que la estructura tenía nueve años de antigüedad y que en ese tiempo solo se hicieron trabajos de limpieza y pintura.</w:t>
      </w:r>
    </w:p>
    <w:p>
      <w:pPr>
        <w:spacing w:before="40" w:after="120"/>
      </w:pPr>
      <w:r>
        <w:rPr>
          <w:color w:val="CCCCCC"/>
        </w:rPr>
        <w:t>· · ·</w:t>
      </w:r>
    </w:p>
    <w:p>
      <w:r>
        <w:rPr>
          <w:b/>
          <w:color w:val="E65000"/>
        </w:rPr>
        <w:t xml:space="preserve">3. </w:t>
      </w:r>
      <w:r>
        <w:rPr>
          <w:b/>
          <w:sz w:val="22"/>
        </w:rPr>
        <w:t>El embajador Brandon Judd felicita a su par Andrés Ergas por su designación en Washington: "Estoy listo para que su gestión sea exitosa"</w:t>
      </w:r>
      <w:r>
        <w:rPr>
          <w:color w:val="CC7700"/>
          <w:sz w:val="18"/>
        </w:rPr>
        <w:t xml:space="preserve">  [⭐ Destacada]</w:t>
      </w:r>
    </w:p>
    <w:p>
      <w:pPr>
        <w:spacing w:before="0"/>
      </w:pPr>
      <w:r>
        <w:rPr>
          <w:color w:val="0056B3"/>
          <w:sz w:val="18"/>
        </w:rPr>
        <w:t>https://www.df.cl/internacional/politica/el-embajador-brandon-judd-felicita-a-su-par-andres-ergas-por-su-designacion</w:t>
      </w:r>
    </w:p>
    <w:p>
      <w:pPr>
        <w:spacing w:before="20"/>
        <w:ind w:left="360"/>
      </w:pPr>
      <w:r>
        <w:rPr>
          <w:color w:val="222222"/>
          <w:sz w:val="20"/>
        </w:rPr>
        <w:t>Judd expresó sus buenos deseos a Ergas en una publicación en sus redes sociales.</w:t>
      </w:r>
    </w:p>
    <w:p>
      <w:pPr>
        <w:spacing w:before="20"/>
        <w:ind w:left="360"/>
      </w:pPr>
      <w:r>
        <w:rPr>
          <w:color w:val="222222"/>
          <w:sz w:val="20"/>
        </w:rPr>
        <w:t>Por:Fernanda ArancibiaPublicado: Jueves 23 de abril de 2026 a las 11:01 hrs.</w:t>
      </w:r>
    </w:p>
    <w:p>
      <w:pPr>
        <w:spacing w:before="20"/>
        <w:ind w:left="360"/>
      </w:pPr>
      <w:r>
        <w:rPr>
          <w:color w:val="222222"/>
          <w:sz w:val="20"/>
        </w:rPr>
        <w:t>Publicado: Jueves 23 de abril de 2026 a las 11:01 hrs.</w:t>
      </w:r>
    </w:p>
    <w:p>
      <w:pPr>
        <w:spacing w:before="20"/>
        <w:ind w:left="360"/>
      </w:pPr>
      <w:r>
        <w:rPr>
          <w:color w:val="222222"/>
          <w:sz w:val="20"/>
        </w:rPr>
        <w:t>El actualembajador de los Estados Unidos, Brandon Judd,publicó este jueves en su cuenta oficial de X susfelicitaciones a Andrés Ergas, quien será el nuevo embajador de Chile en Washington, y expresó su disposición a apoyar su llegada a Washington.</w:t>
      </w:r>
    </w:p>
    <w:p>
      <w:pPr>
        <w:spacing w:before="20"/>
        <w:ind w:left="360"/>
      </w:pPr>
      <w:r>
        <w:rPr>
          <w:color w:val="222222"/>
          <w:sz w:val="20"/>
        </w:rPr>
        <w:t>“Estoy listo para hacer todo lo que esté a mi alcance para que su gestión en Washington sea exitosa”, señaló Judd en la publicación. “Trabajemos juntos, a ambos lados de la línea del Ecuador, para mantener sólida esta relación por otros 200 años”.</w:t>
      </w:r>
    </w:p>
    <w:p>
      <w:pPr>
        <w:spacing w:before="20"/>
        <w:ind w:left="360"/>
      </w:pPr>
      <w:r>
        <w:rPr>
          <w:color w:val="222222"/>
          <w:sz w:val="20"/>
        </w:rPr>
        <w:t>Felicitaciones a Andrés Ergas por su designación como embajador ante los Estados Unidos. Estoy listo para hacer todo lo que esté a mi alcance para que su gestión en Washington sea exitosa. Trabajemos juntos, a ambos lados de la línea del Ecuador, para mantener sólida esta…pic.twitter.com/thRKun17ef— U.S. Ambassador to Chile (@USAmbCL)April 23, 2026</w:t>
      </w:r>
    </w:p>
    <w:p>
      <w:pPr>
        <w:spacing w:before="20"/>
        <w:ind w:left="360"/>
      </w:pPr>
      <w:r>
        <w:rPr>
          <w:color w:val="222222"/>
          <w:sz w:val="20"/>
        </w:rPr>
        <w:t>Felicitaciones a Andrés Ergas por su designación como embajador ante los Estados Unidos. Estoy listo para hacer todo lo que esté a mi alcance para que su gestión en Washington sea exitosa. Trabajemos juntos, a ambos lados de la línea del Ecuador, para mantener sólida esta…pic.twitter.com/thRKun17ef</w:t>
      </w:r>
    </w:p>
    <w:p>
      <w:pPr>
        <w:spacing w:before="20"/>
        <w:ind w:left="360"/>
      </w:pPr>
      <w:r>
        <w:rPr>
          <w:color w:val="222222"/>
          <w:sz w:val="20"/>
        </w:rPr>
        <w:t>Andrés Ergas Heymann, empresario de 59 años, fue designado comoembajador de Chile en Estados Unidospor el presidente José Antonio Kast con el objetivo de atraer inversiones y profundizar el comercio internacional.</w:t>
      </w:r>
    </w:p>
    <w:p>
      <w:pPr>
        <w:spacing w:before="20"/>
        <w:ind w:left="360"/>
      </w:pPr>
      <w:r>
        <w:rPr>
          <w:color w:val="222222"/>
          <w:sz w:val="20"/>
        </w:rPr>
        <w:t>Ergas se ha establecido como un empresario con un amplio desempeño en distintos rubros, como elsector financiero, turístico, de vestuario, automotriz e inmobiliario, este último especialmente en Estados Unidos, lo que le ha facilitado construir relaciones con empresarios norteamericanos.</w:t>
      </w:r>
    </w:p>
    <w:p>
      <w:pPr>
        <w:spacing w:before="20"/>
        <w:ind w:left="360"/>
      </w:pPr>
      <w:r>
        <w:rPr>
          <w:color w:val="222222"/>
          <w:sz w:val="20"/>
        </w:rPr>
        <w:t>En los años 90, fundó Finersa, institución financiera dedicada al factoring y el leasing y también formó parte de los directorios de Banco de Chile desde 2017, Nomads of the Seas, su empresa de exploraciones de lujo en la Patagonia, Todo Moda, BMW Chile y la Inmobiliaria Paidahue, entre otros.</w:t>
      </w:r>
    </w:p>
    <w:p>
      <w:pPr>
        <w:spacing w:before="40" w:after="120"/>
      </w:pPr>
      <w:r>
        <w:rPr>
          <w:color w:val="CCCCCC"/>
        </w:rPr>
        <w:t>· · ·</w:t>
      </w:r>
    </w:p>
    <w:p>
      <w:r>
        <w:rPr>
          <w:b/>
          <w:color w:val="E65000"/>
        </w:rPr>
        <w:t xml:space="preserve">4. </w:t>
      </w:r>
      <w:r>
        <w:rPr>
          <w:b/>
          <w:sz w:val="22"/>
        </w:rPr>
        <w:t>Trump ordena disparar y matar a cualquier embarcación que intente poner minas en Ormuz</w:t>
      </w:r>
    </w:p>
    <w:p>
      <w:pPr>
        <w:spacing w:before="0"/>
      </w:pPr>
      <w:r>
        <w:rPr>
          <w:color w:val="0056B3"/>
          <w:sz w:val="18"/>
        </w:rPr>
        <w:t>https://www.df.cl/internacional/politica/trump-ordena-disparar-y-matar-a-cualquier-embarcacion-que-intente-poner</w:t>
      </w:r>
    </w:p>
    <w:p>
      <w:pPr>
        <w:spacing w:before="20"/>
        <w:ind w:left="360"/>
      </w:pPr>
      <w:r>
        <w:rPr>
          <w:color w:val="222222"/>
          <w:sz w:val="20"/>
        </w:rPr>
        <w:t>Además de la advertencia a las lanchas iraníes, el mandatario informó que triplicará la actividad de “barreminas” en la zona. El petróleo sube en torno 1% con el Brent operando en US$ 102,6.</w:t>
      </w:r>
    </w:p>
    <w:p>
      <w:pPr>
        <w:spacing w:before="20"/>
        <w:ind w:left="360"/>
      </w:pPr>
      <w:r>
        <w:rPr>
          <w:color w:val="222222"/>
          <w:sz w:val="20"/>
        </w:rPr>
        <w:t>Por:Francisca GuerreroPublicado: Jueves 23 de abril de 2026 a las 09:10 hrs.</w:t>
      </w:r>
    </w:p>
    <w:p>
      <w:pPr>
        <w:spacing w:before="20"/>
        <w:ind w:left="360"/>
      </w:pPr>
      <w:r>
        <w:rPr>
          <w:color w:val="222222"/>
          <w:sz w:val="20"/>
        </w:rPr>
        <w:t>Publicado: Jueves 23 de abril de 2026 a las 09:10 hrs.</w:t>
      </w:r>
    </w:p>
    <w:p>
      <w:pPr>
        <w:spacing w:before="20"/>
        <w:ind w:left="360"/>
      </w:pPr>
      <w:r>
        <w:rPr>
          <w:color w:val="222222"/>
          <w:sz w:val="20"/>
        </w:rPr>
        <w:t>Las tensiones continúan escalando en el estrecho de Ormuz, a pesar de la tregua indefinida vigente entre Estados Unidos e Irán. La mañana de este jueves, el Presidente de Estados Unidos, Donald Trump, elevó el tono de sus amenazas, luego de que Irán atacara a tres buques en la jornada del miércoles.</w:t>
      </w:r>
    </w:p>
    <w:p>
      <w:pPr>
        <w:spacing w:before="20"/>
        <w:ind w:left="360"/>
      </w:pPr>
      <w:r>
        <w:rPr>
          <w:color w:val="222222"/>
          <w:sz w:val="20"/>
        </w:rPr>
        <w:t>“He ordenado a la Armada de Estados Unidos que dispare y mate a cualquier embarcación, por pequeñas que sean (¡sus buques navales están TODOS, los 159, en el fondo del mar!), que esté colocando minas en las aguas del estrecho de Ormuz. No debe haber vacilación",escribió el mandatario en Truth Social, en un advertencia dirigida, principalmente, a las lanchas que circulan en torno a la vía marítima.</w:t>
      </w:r>
    </w:p>
    <w:p>
      <w:pPr>
        <w:spacing w:before="20"/>
        <w:ind w:left="360"/>
      </w:pPr>
      <w:r>
        <w:rPr>
          <w:color w:val="222222"/>
          <w:sz w:val="20"/>
        </w:rPr>
        <w:t>"Adicionalmente,nuestros 'barreminas' están despejando el estrecho en este momento. Por la presente ordeno que esa actividad continúe, pero a un nivel triplicado", informó el mandatario.</w:t>
      </w:r>
    </w:p>
    <w:p>
      <w:pPr>
        <w:spacing w:before="120"/>
        <w:ind w:left="360"/>
      </w:pPr>
      <w:r>
        <w:rPr>
          <w:b/>
          <w:color w:val="E65000"/>
          <w:sz w:val="26"/>
        </w:rPr>
        <w:t xml:space="preserve"> </w:t>
      </w:r>
    </w:p>
    <w:p>
      <w:pPr>
        <w:spacing w:before="20"/>
        <w:ind w:left="360"/>
      </w:pPr>
      <w:r>
        <w:rPr>
          <w:color w:val="222222"/>
          <w:sz w:val="20"/>
        </w:rPr>
        <w:t>La declaración del líder republicano llega poco antes de que se cumplan dos meses de la guerra y en un momento deestacamiento total de las negociaciones entre Washington y Teherán.La jornada previa Washington afirmó que esperan una propuesta iraní para avanzar en el diálogo, mientras que la nación persa acusa violaciones al alto al fuego, marco en el que no ven viable retomar los contacto.</w:t>
      </w:r>
    </w:p>
    <w:p>
      <w:pPr>
        <w:spacing w:before="20"/>
        <w:ind w:left="360"/>
      </w:pPr>
      <w:r>
        <w:rPr>
          <w:color w:val="222222"/>
          <w:sz w:val="20"/>
        </w:rPr>
        <w:t>Esta jornada, eso sí,tendrá lugar en la capital estadounidense la segunda ronda de negociaciones entre Israel y el Líbano,quienes protagonizan otro frente del conflicto en Medio Oriente.</w:t>
      </w:r>
    </w:p>
    <w:p>
      <w:pPr>
        <w:spacing w:before="20"/>
        <w:ind w:left="360"/>
      </w:pPr>
      <w:r>
        <w:rPr>
          <w:color w:val="222222"/>
          <w:sz w:val="20"/>
        </w:rPr>
        <w:t>En este contexto, la mañana de este jueves el petróleo sube en torno a 1%, de manera que el Brent opera en US$102,6 y el WTI en US$ 93,86.</w:t>
      </w:r>
    </w:p>
    <w:p>
      <w:pPr>
        <w:spacing w:before="40" w:after="120"/>
      </w:pPr>
      <w:r>
        <w:rPr>
          <w:color w:val="CCCCCC"/>
        </w:rPr>
        <w:t>· · ·</w:t>
      </w:r>
    </w:p>
    <w:p>
      <w:r>
        <w:rPr>
          <w:b/>
          <w:color w:val="E65000"/>
        </w:rPr>
        <w:t xml:space="preserve">5. </w:t>
      </w:r>
      <w:r>
        <w:rPr>
          <w:b/>
          <w:sz w:val="22"/>
        </w:rPr>
        <w:t>Tesla aumenta su plan de inversión a US$ 25 mil millones en 2026 para impulsar la IA y la robótica</w:t>
      </w:r>
    </w:p>
    <w:p>
      <w:pPr>
        <w:spacing w:before="0"/>
      </w:pPr>
      <w:r>
        <w:rPr>
          <w:color w:val="0056B3"/>
          <w:sz w:val="18"/>
        </w:rPr>
        <w:t>https://www.df.cl/internacional/multinacionales/tesla-aumenta-su-plan-de-inversion-a-us-25-mil-millones-en-2026-para</w:t>
      </w:r>
    </w:p>
    <w:p>
      <w:pPr>
        <w:spacing w:before="20"/>
        <w:ind w:left="360"/>
      </w:pPr>
      <w:r>
        <w:rPr>
          <w:color w:val="222222"/>
          <w:sz w:val="20"/>
        </w:rPr>
        <w:t>Tesla anticipa miles de millones de dólares en gasto adicional este año para respaldar</w:t>
      </w:r>
    </w:p>
    <w:p>
      <w:pPr>
        <w:spacing w:before="20"/>
        <w:ind w:left="360"/>
      </w:pPr>
      <w:r>
        <w:rPr>
          <w:color w:val="222222"/>
          <w:sz w:val="20"/>
        </w:rPr>
        <w:t>las ambiciones de Elon Musk de transformar al pionero de vehículos eléctricos en una empresa de inteligencia artificial y robótica.</w:t>
      </w:r>
    </w:p>
    <w:p>
      <w:pPr>
        <w:spacing w:before="20"/>
        <w:ind w:left="360"/>
      </w:pPr>
      <w:r>
        <w:rPr>
          <w:color w:val="222222"/>
          <w:sz w:val="20"/>
        </w:rPr>
        <w:t>El gasto de capital en 2026 superará los US$ 25 mil millones, reveló la compañía junto con sus resultados el miércoles, aproximadamente tres veces el desembolso del año pasado.</w:t>
      </w:r>
    </w:p>
    <w:p>
      <w:pPr>
        <w:spacing w:before="20"/>
        <w:ind w:left="360"/>
      </w:pPr>
      <w:r>
        <w:rPr>
          <w:color w:val="222222"/>
          <w:sz w:val="20"/>
        </w:rPr>
        <w:t>La inversión planificada aumenta desde una proyección previa de alrededor de US$ 20 mil millones.</w:t>
      </w:r>
    </w:p>
    <w:p>
      <w:pPr>
        <w:spacing w:before="20"/>
        <w:ind w:left="360"/>
      </w:pPr>
      <w:r>
        <w:rPr>
          <w:color w:val="222222"/>
          <w:sz w:val="20"/>
        </w:rPr>
        <w:t>“Se debería esperar ver un aumento muy significativo en el gasto de capital”, dijo Musk en una conferencia telefónica con analistas</w:t>
      </w:r>
    </w:p>
    <w:p>
      <w:pPr>
        <w:spacing w:before="20"/>
        <w:ind w:left="360"/>
      </w:pPr>
      <w:r>
        <w:rPr>
          <w:color w:val="222222"/>
          <w:sz w:val="20"/>
        </w:rPr>
        <w:t>. Las acciones de Tesla borraron las ganancias posteriores al cierre tras los comentarios y cayeron hasta 3,6% antes del inicio de la negociación regular del jueves.</w:t>
      </w:r>
    </w:p>
    <w:p>
      <w:pPr>
        <w:spacing w:before="120"/>
        <w:ind w:left="360"/>
      </w:pPr>
      <w:r>
        <w:rPr>
          <w:b/>
          <w:color w:val="E65000"/>
          <w:sz w:val="26"/>
        </w:rPr>
        <w:t xml:space="preserve"> </w:t>
      </w:r>
    </w:p>
    <w:p>
      <w:pPr>
        <w:spacing w:before="20"/>
        <w:ind w:left="360"/>
      </w:pPr>
      <w:r>
        <w:rPr>
          <w:color w:val="222222"/>
          <w:sz w:val="20"/>
        </w:rPr>
        <w:t>Las inversiones se destinarán a</w:t>
      </w:r>
    </w:p>
    <w:p>
      <w:pPr>
        <w:spacing w:before="20"/>
        <w:ind w:left="360"/>
      </w:pPr>
      <w:r>
        <w:rPr>
          <w:color w:val="222222"/>
          <w:sz w:val="20"/>
        </w:rPr>
        <w:t>una expansión drástica de las operaciones de fábrica, incluida la producción de robots humanoides Optimus, iniciativas de IA y el Cybercab autónomo.</w:t>
      </w:r>
    </w:p>
    <w:p>
      <w:pPr>
        <w:spacing w:before="20"/>
        <w:ind w:left="360"/>
      </w:pPr>
      <w:r>
        <w:rPr>
          <w:color w:val="222222"/>
          <w:sz w:val="20"/>
        </w:rPr>
        <w:t>El negocio automotriz tradicional de Tesla ha disminuido en los últimos dos años, lo que ejerce mayor presión sobre el giro planificado hacia esas iniciativas futuristas.</w:t>
      </w:r>
    </w:p>
    <w:p>
      <w:pPr>
        <w:spacing w:before="20"/>
        <w:ind w:left="360"/>
      </w:pPr>
      <w:r>
        <w:rPr>
          <w:color w:val="222222"/>
          <w:sz w:val="20"/>
        </w:rPr>
        <w:t>El plan de gasto revisado muestra el</w:t>
      </w:r>
    </w:p>
    <w:p>
      <w:pPr>
        <w:spacing w:before="20"/>
        <w:ind w:left="360"/>
      </w:pPr>
      <w:r>
        <w:rPr>
          <w:color w:val="222222"/>
          <w:sz w:val="20"/>
        </w:rPr>
        <w:t>alto costo para que Tesla alcance sus objetivos, dijo Dec Mullarkey, director gerente en SLC Management. Es “aleccionador para la evaluación del potencial de flujo de caja libre para el año”.</w:t>
      </w:r>
    </w:p>
    <w:p>
      <w:pPr>
        <w:spacing w:before="20"/>
        <w:ind w:left="360"/>
      </w:pPr>
      <w:r>
        <w:rPr>
          <w:color w:val="222222"/>
          <w:sz w:val="20"/>
        </w:rPr>
        <w:t>El fabricante de automóviles</w:t>
      </w:r>
    </w:p>
    <w:p>
      <w:pPr>
        <w:spacing w:before="20"/>
        <w:ind w:left="360"/>
      </w:pPr>
      <w:r>
        <w:rPr>
          <w:color w:val="222222"/>
          <w:sz w:val="20"/>
        </w:rPr>
        <w:t>acordó este mes comprar una firma de hardware de IA no identificada por hasta US$ 2 mil millones</w:t>
      </w:r>
    </w:p>
    <w:p>
      <w:pPr>
        <w:spacing w:before="20"/>
        <w:ind w:left="360"/>
      </w:pPr>
      <w:r>
        <w:rPr>
          <w:color w:val="222222"/>
          <w:sz w:val="20"/>
        </w:rPr>
        <w:t>en acciones comunes de Tesla</w:t>
      </w:r>
    </w:p>
    <w:p>
      <w:pPr>
        <w:spacing w:before="20"/>
        <w:ind w:left="360"/>
      </w:pPr>
      <w:r>
        <w:rPr>
          <w:color w:val="222222"/>
          <w:sz w:val="20"/>
        </w:rPr>
        <w:t>y premios en acciones para ayudar a acelerar la transformación. Aproximadamente US$ 1,8 mil millones del precio están sujetos a ciertas condiciones e hitos de desempeño, dijo Tesla en su presentación regulatoria trimestral.</w:t>
      </w:r>
    </w:p>
    <w:p>
      <w:pPr>
        <w:spacing w:before="120"/>
        <w:ind w:left="360"/>
      </w:pPr>
      <w:r>
        <w:rPr>
          <w:b/>
          <w:color w:val="E65000"/>
          <w:sz w:val="26"/>
        </w:rPr>
        <w:t>Los resultados</w:t>
      </w:r>
    </w:p>
    <w:p>
      <w:pPr>
        <w:spacing w:before="20"/>
        <w:ind w:left="360"/>
      </w:pPr>
      <w:r>
        <w:rPr>
          <w:color w:val="222222"/>
          <w:sz w:val="20"/>
        </w:rPr>
        <w:t>En el primer trimestre,</w:t>
      </w:r>
    </w:p>
    <w:p>
      <w:pPr>
        <w:spacing w:before="20"/>
        <w:ind w:left="360"/>
      </w:pPr>
      <w:r>
        <w:rPr>
          <w:color w:val="222222"/>
          <w:sz w:val="20"/>
        </w:rPr>
        <w:t>las ganancias ajustadas subieron a US$ 0,41 por acción, dijo Tesla, superando el promedio de US$ 0,34 centavos de las estimaciones de analistas recopiladas por Bloomberg</w:t>
      </w:r>
    </w:p>
    <w:p>
      <w:pPr>
        <w:spacing w:before="20"/>
        <w:ind w:left="360"/>
      </w:pPr>
      <w:r>
        <w:rPr>
          <w:color w:val="222222"/>
          <w:sz w:val="20"/>
        </w:rPr>
        <w:t>. Eso marcó el segundo trimestre consecutivo de resultados mejores de lo esperado.</w:t>
      </w:r>
    </w:p>
    <w:p>
      <w:pPr>
        <w:spacing w:before="20"/>
        <w:ind w:left="360"/>
      </w:pPr>
      <w:r>
        <w:rPr>
          <w:color w:val="222222"/>
          <w:sz w:val="20"/>
        </w:rPr>
        <w:t>El reporte ofreció actualizaciones prometedoras sobre el negocio automotriz central de Tesla. La compañía reportó ver</w:t>
      </w:r>
    </w:p>
    <w:p>
      <w:pPr>
        <w:spacing w:before="20"/>
        <w:ind w:left="360"/>
      </w:pPr>
      <w:r>
        <w:rPr>
          <w:color w:val="222222"/>
          <w:sz w:val="20"/>
        </w:rPr>
        <w:t>“crecimiento continuo en la demanda”</w:t>
      </w:r>
    </w:p>
    <w:p>
      <w:pPr>
        <w:spacing w:before="20"/>
        <w:ind w:left="360"/>
      </w:pPr>
      <w:r>
        <w:rPr>
          <w:color w:val="222222"/>
          <w:sz w:val="20"/>
        </w:rPr>
        <w:t>de sus vehículos en partes de Asia y Sudamérica, junto con una recuperación en Norteamérica, Europa y Medio Oriente.</w:t>
      </w:r>
    </w:p>
    <w:p>
      <w:pPr>
        <w:spacing w:before="20"/>
        <w:ind w:left="360"/>
      </w:pPr>
      <w:r>
        <w:rPr>
          <w:color w:val="222222"/>
          <w:sz w:val="20"/>
        </w:rPr>
        <w:t>Los comentarios sorprendentemente optimistas llegaron semanas después de que el fabricante de automóviles reportara ventas de vehículos por debajo de lo esperado para iniciar el año. El primer trimestre fue el segundo peor para entregas de autos desde mediados de 2022, solo superado por el mismo período del año anterior, cuando Tesla pausó la producción de SUV Model Y y enfrentó un rechazo generalizado a las actividades políticas de Musk.</w:t>
      </w:r>
    </w:p>
    <w:p>
      <w:pPr>
        <w:spacing w:before="20"/>
        <w:ind w:left="360"/>
      </w:pPr>
      <w:r>
        <w:rPr>
          <w:color w:val="222222"/>
          <w:sz w:val="20"/>
        </w:rPr>
        <w:t>El informe</w:t>
      </w:r>
    </w:p>
    <w:p>
      <w:pPr>
        <w:spacing w:before="20"/>
        <w:ind w:left="360"/>
      </w:pPr>
      <w:r>
        <w:rPr>
          <w:color w:val="222222"/>
          <w:sz w:val="20"/>
        </w:rPr>
        <w:t>“confirma que, si bien el negocio heredado de vehículos eléctricos ya no crece rápidamente, es lo suficientemente estable como para financiar las fuertes inversiones de Tesla en robótica y tecnología de conducción autónoma”</w:t>
      </w:r>
    </w:p>
    <w:p>
      <w:pPr>
        <w:spacing w:before="20"/>
        <w:ind w:left="360"/>
      </w:pPr>
      <w:r>
        <w:rPr>
          <w:color w:val="222222"/>
          <w:sz w:val="20"/>
        </w:rPr>
        <w:t>, dijo Andrew Rocco, analista de Zacks Investment Research, en una nota.</w:t>
      </w:r>
    </w:p>
    <w:p>
      <w:pPr>
        <w:spacing w:before="20"/>
        <w:ind w:left="360"/>
      </w:pPr>
      <w:r>
        <w:rPr>
          <w:color w:val="222222"/>
          <w:sz w:val="20"/>
        </w:rPr>
        <w:t>Tesla apuntó al alza de los precios de la gasolina como un impulso para su negocio, al generar mayor interés de los clientes.</w:t>
      </w:r>
    </w:p>
    <w:p>
      <w:pPr>
        <w:spacing w:before="20"/>
        <w:ind w:left="360"/>
      </w:pPr>
      <w:r>
        <w:rPr>
          <w:color w:val="222222"/>
          <w:sz w:val="20"/>
        </w:rPr>
        <w:t>“Hemos visto un leve crecimiento en términos de entregas trimestre a trimestre en el frente del backlog de pedidos”, dijo el director financiero Vaibhav Taneja en la conferencia telefónica.</w:t>
      </w:r>
    </w:p>
    <w:p>
      <w:pPr>
        <w:spacing w:before="20"/>
        <w:ind w:left="360"/>
      </w:pPr>
      <w:r>
        <w:rPr>
          <w:color w:val="222222"/>
          <w:sz w:val="20"/>
        </w:rPr>
        <w:t>Tesla aumentará la producción de vehículos como parte de su plan de gasto de capital, dijo Musk. La compañía está “sentando las bases para lo que esperamos sea un aumento significativo en la producción de vehículos en el futuro”, dijo el director ejecutivo.</w:t>
      </w:r>
    </w:p>
    <w:p>
      <w:pPr>
        <w:spacing w:before="20"/>
        <w:ind w:left="360"/>
      </w:pPr>
      <w:r>
        <w:rPr>
          <w:color w:val="222222"/>
          <w:sz w:val="20"/>
        </w:rPr>
        <w:t>Sin embargo, en los primeros tres meses de 2026, Tesla gastó menos de US$ 2,5 mil millones —muy por debajo del desembolso que la compañía necesitará promediar por trimestre para alcanzar su proyección de gasto para el año—.</w:t>
      </w:r>
    </w:p>
    <w:p>
      <w:pPr>
        <w:spacing w:before="20"/>
        <w:ind w:left="360"/>
      </w:pPr>
      <w:r>
        <w:rPr>
          <w:color w:val="222222"/>
          <w:sz w:val="20"/>
        </w:rPr>
        <w:t>Esto contribuyó a que Tesla reportara US$ 1,4 mil millones en flujo de caja libre positivo para el trimestre, muy por encima de la expectativa de los analistas de que el fabricante de automóviles consumiría casi US$ 1,9 mil millones.</w:t>
      </w:r>
    </w:p>
    <w:p>
      <w:pPr>
        <w:spacing w:before="20"/>
        <w:ind w:left="360"/>
      </w:pPr>
      <w:r>
        <w:rPr>
          <w:color w:val="222222"/>
          <w:sz w:val="20"/>
        </w:rPr>
        <w:t>La división de energía de Tesla reportó ingresos de US$ 2,4 mil millones en el primer trimestre, una caída de 12% respecto de un año antes.</w:t>
      </w:r>
    </w:p>
    <w:p>
      <w:pPr>
        <w:spacing w:before="20"/>
        <w:ind w:left="360"/>
      </w:pPr>
      <w:r>
        <w:rPr>
          <w:color w:val="222222"/>
          <w:sz w:val="20"/>
        </w:rPr>
        <w:t>La compañía no entregó detalles sobre por qué el crecimiento se estancó en la unidad, que había sido un punto brillante durante los últimos años, más allá de que Taneja dijera que el negocio de almacenamiento de energía es “intrínsecamente irregular”. Tesla aún espera que los despliegues de energía este año aumenten respecto de 2025.</w:t>
      </w:r>
    </w:p>
    <w:p>
      <w:pPr>
        <w:spacing w:before="20"/>
        <w:ind w:left="360"/>
      </w:pPr>
      <w:r>
        <w:rPr>
          <w:color w:val="222222"/>
          <w:sz w:val="20"/>
        </w:rPr>
        <w:t>El fabricante de vehículos eléctricos reiteró los planes para su incipiente negocio de transporte bajo demanda que denomina Robotaxi, señalando que está en camino de expandirse a Phoenix, Miami, Orlando, Tampa y Las Vegas en la primera mitad de este año. Originalmente concebido como un servicio sin conductor, Robotaxi se lanzó con monitores de seguridad humanos a bordo en Austin el año pasado y se ha expandido lentamente desde entonces. También se lanzó este mes en Houston y Dallas.</w:t>
      </w:r>
    </w:p>
    <w:p>
      <w:pPr>
        <w:spacing w:before="20"/>
        <w:ind w:left="360"/>
      </w:pPr>
      <w:r>
        <w:rPr>
          <w:color w:val="222222"/>
          <w:sz w:val="20"/>
        </w:rPr>
        <w:t>Si bien la compañía no ha entregado detalles sobre el tamaño de las flotas, ni ha revelado cuántos vehículos operan sin un monitor de seguridad a bordo, el escalamiento sigue siendo lento, y Musk dijo que probablemente no verá ingresos materiales hasta al menos 2027.</w:t>
      </w:r>
    </w:p>
    <w:p>
      <w:pPr>
        <w:spacing w:before="20"/>
        <w:ind w:left="360"/>
      </w:pPr>
      <w:r>
        <w:rPr>
          <w:color w:val="222222"/>
          <w:sz w:val="20"/>
        </w:rPr>
        <w:t>Tesla dijo que sigue en camino de comenzar a fabricar productos clave, incluidos Cybercab, Semi y una versión actualizada de su sistema de almacenamiento de baterías Megapack.</w:t>
      </w:r>
    </w:p>
    <w:p>
      <w:pPr>
        <w:spacing w:before="20"/>
        <w:ind w:left="360"/>
      </w:pPr>
      <w:r>
        <w:rPr>
          <w:color w:val="222222"/>
          <w:sz w:val="20"/>
        </w:rPr>
        <w:t>El gasto necesario para respaldar la producción “incrementa la quema de caja en el corto plazo y el riesgo de ejecución, pero puede ser positivo para la acción en el largo plazo”, dijo Ivan Feinseth, director de inversiones en Tigress Financial Partners. “Los inversionistas pueden comenzar a verlo cada vez más como una plataforma de infraestructura de cómputo en IA y robótica, en lugar de solo un fabricante de automóviles".</w:t>
      </w:r>
    </w:p>
    <w:p>
      <w:pPr>
        <w:spacing w:before="40" w:after="120"/>
      </w:pPr>
      <w:r>
        <w:rPr>
          <w:color w:val="CCCCCC"/>
        </w:rPr>
        <w:t>· · ·</w:t>
      </w:r>
    </w:p>
    <w:p>
      <w:r>
        <w:rPr>
          <w:b/>
          <w:color w:val="E65000"/>
        </w:rPr>
        <w:t xml:space="preserve">6. </w:t>
      </w:r>
      <w:r>
        <w:rPr>
          <w:b/>
          <w:sz w:val="22"/>
        </w:rPr>
        <w:t>Crisis en el Pentágono: destituyen al secretario de la Marina estadounidense en medio del bloqueo a Irán</w:t>
      </w:r>
    </w:p>
    <w:p>
      <w:pPr>
        <w:spacing w:before="0"/>
      </w:pPr>
      <w:r>
        <w:rPr>
          <w:color w:val="0056B3"/>
          <w:sz w:val="18"/>
        </w:rPr>
        <w:t>https://www.df.cl/internacional/ft/crisis-en-el-pentagono-destituyen-al-secretario-de-la-marina</w:t>
      </w:r>
    </w:p>
    <w:p>
      <w:pPr>
        <w:spacing w:before="20"/>
        <w:ind w:left="360"/>
      </w:pPr>
      <w:r>
        <w:rPr>
          <w:color w:val="222222"/>
          <w:sz w:val="20"/>
        </w:rPr>
        <w:t>John Phelan fue apartado del cargo tras un enfrentamiento con el secretario de Defensa, Pete Hegseth.</w:t>
      </w:r>
    </w:p>
    <w:p>
      <w:pPr>
        <w:spacing w:before="20"/>
        <w:ind w:left="360"/>
      </w:pPr>
      <w:r>
        <w:rPr>
          <w:color w:val="222222"/>
          <w:sz w:val="20"/>
        </w:rPr>
        <w:t>Por:Equipo DFPublicado: Jueves 23 de abril de 2026 a las 08:19 hrs.</w:t>
      </w:r>
    </w:p>
    <w:p>
      <w:pPr>
        <w:spacing w:before="20"/>
        <w:ind w:left="360"/>
      </w:pPr>
      <w:r>
        <w:rPr>
          <w:color w:val="222222"/>
          <w:sz w:val="20"/>
        </w:rPr>
        <w:t>Publicado: Jueves 23 de abril de 2026 a las 08:19 hrs.</w:t>
      </w:r>
    </w:p>
    <w:p>
      <w:pPr>
        <w:spacing w:before="20"/>
        <w:ind w:left="360"/>
      </w:pPr>
      <w:r>
        <w:rPr>
          <w:color w:val="222222"/>
          <w:sz w:val="20"/>
        </w:rPr>
        <w:t>John Phelan es un financiero y donante político radicado en Palm Beach, Florida. (Foto: Reuters)</w:t>
      </w:r>
    </w:p>
    <w:p>
      <w:pPr>
        <w:spacing w:before="20"/>
        <w:ind w:left="360"/>
      </w:pPr>
      <w:r>
        <w:rPr>
          <w:color w:val="222222"/>
          <w:sz w:val="20"/>
        </w:rPr>
        <w:t>El secretario de la Marina estadounidense, John Phelan, fue destituido el miércoles en medio de la crisis de liderazgo que sacude al Pentágono,inmerso en el bloqueo del estrecho de Ormuz y la guerra contra Irán.</w:t>
      </w:r>
    </w:p>
    <w:p>
      <w:pPr>
        <w:spacing w:before="20"/>
        <w:ind w:left="360"/>
      </w:pPr>
      <w:r>
        <w:rPr>
          <w:color w:val="222222"/>
          <w:sz w:val="20"/>
        </w:rPr>
        <w:t>La repentina salida de Phelan de su cargo fue anunciada por Sean Parnell, portavoz del Departamento de Defensa, en un breve comunicado publicado en X, sin ofrecer ninguna explicación. "El secretario de la Marina, John C. Phelan, deja la administración con efecto inmediato", escribió Parnell.</w:t>
      </w:r>
    </w:p>
    <w:p>
      <w:pPr>
        <w:spacing w:before="20"/>
        <w:ind w:left="360"/>
      </w:pPr>
      <w:r>
        <w:rPr>
          <w:color w:val="222222"/>
          <w:sz w:val="20"/>
        </w:rPr>
        <w:t>La destitución de Phelan se produce cuandoPete Hegseth, secretario de Defensa del Presidente Donald Trump, ha intentado destituir a varios líderes del Pentágono considerados disidentes con la administración.</w:t>
      </w:r>
    </w:p>
    <w:p>
      <w:pPr>
        <w:spacing w:before="20"/>
        <w:ind w:left="360"/>
      </w:pPr>
      <w:r>
        <w:rPr>
          <w:color w:val="222222"/>
          <w:sz w:val="20"/>
        </w:rPr>
        <w:t>Un alto funcionario de la administración declaró el miércoles: "El Presidente Trump y el secretario Hegseth coincidieron en que se necesita un nuevo liderazgo en la Marina. El secretario Hegseth informó a John Phelan de esta noticia antes de que se hiciera pública".</w:t>
      </w:r>
    </w:p>
    <w:p>
      <w:pPr>
        <w:spacing w:before="20"/>
        <w:ind w:left="360"/>
      </w:pPr>
      <w:r>
        <w:rPr>
          <w:color w:val="222222"/>
          <w:sz w:val="20"/>
        </w:rPr>
        <w:t>Como máximo responsable civil de la Armada estadounidense, reportando directamente a Hegseth, Phelan había liderado un esfuerzo por reconstruir la capacidad de construcción naval militar de Estados Unidos y establecer una "Flota Dorada".</w:t>
      </w:r>
    </w:p>
    <w:p>
      <w:pPr>
        <w:spacing w:before="20"/>
        <w:ind w:left="360"/>
      </w:pPr>
      <w:r>
        <w:rPr>
          <w:color w:val="222222"/>
          <w:sz w:val="20"/>
        </w:rPr>
        <w:t>Una persona familiarizada con el asunto indicó queexistían tensiones con los altos mandos civiles del Pentágono, incluido Hegseth, en relación con el programa de construcción naval, así como con los nombramientos y ascensos de oficiales militares.</w:t>
      </w:r>
    </w:p>
    <w:p>
      <w:pPr>
        <w:spacing w:before="20"/>
        <w:ind w:left="360"/>
      </w:pPr>
      <w:r>
        <w:rPr>
          <w:color w:val="222222"/>
          <w:sz w:val="20"/>
        </w:rPr>
        <w:t>Esta salida se produce en medio de una de las misiones más trascendentales para las fuerzas navales estadounidenses en décadas:el bloqueo de los buques que transitan por los puertos iraníes a través del estrecho de Ormuz.</w:t>
      </w:r>
    </w:p>
    <w:p>
      <w:pPr>
        <w:spacing w:before="120"/>
        <w:ind w:left="360"/>
      </w:pPr>
      <w:r>
        <w:rPr>
          <w:b/>
          <w:color w:val="E65000"/>
          <w:sz w:val="26"/>
        </w:rPr>
        <w:t xml:space="preserve"> </w:t>
      </w:r>
    </w:p>
    <w:p>
      <w:pPr>
        <w:spacing w:before="20"/>
        <w:ind w:left="360"/>
      </w:pPr>
      <w:r>
        <w:rPr>
          <w:color w:val="222222"/>
          <w:sz w:val="20"/>
        </w:rPr>
        <w:t>Hay 21 buques de guerra estadounidenses en la región, con siete más en camino. Más de una docena de ellos participan en el bloqueo naval estadounidense de los puertos iraníes.</w:t>
      </w:r>
    </w:p>
    <w:p>
      <w:pPr>
        <w:spacing w:before="20"/>
        <w:ind w:left="360"/>
      </w:pPr>
      <w:r>
        <w:rPr>
          <w:color w:val="222222"/>
          <w:sz w:val="20"/>
        </w:rPr>
        <w:t>La salida de Phelan es el último episodio de los esfuerzos de Hegseth por reorganizar el Pentágono, que comenzaron al inicio del segundo mandato de Trump y se han convertido en un rasgo distintivo de su gestión.</w:t>
      </w:r>
    </w:p>
    <w:p>
      <w:pPr>
        <w:spacing w:before="20"/>
        <w:ind w:left="360"/>
      </w:pPr>
      <w:r>
        <w:rPr>
          <w:color w:val="222222"/>
          <w:sz w:val="20"/>
        </w:rPr>
        <w:t>Los cambios de liderazgo y las tensiones internas han continuado incluso mientras el ejército estadounidense se embarcaba en campañas militares cada vez más agresivas, desde la guerra con Irán iniciada a finales de febrero hasta la incursión en Venezuela en enero y los continuos ataques contra supuestos barcos narcotraficantes.</w:t>
      </w:r>
    </w:p>
    <w:p>
      <w:pPr>
        <w:spacing w:before="20"/>
        <w:ind w:left="360"/>
      </w:pPr>
      <w:r>
        <w:rPr>
          <w:color w:val="222222"/>
          <w:sz w:val="20"/>
        </w:rPr>
        <w:t>A principios de este mes, Hegseth forzó la salida de Randy George, jefe del Estado Mayor del Ejército, mientras Trump desplegaba miles de soldados en Oriente Medio para la guerra con Irán y para prepararse para el posible uso de fuerzas terrestres en el país.</w:t>
      </w:r>
    </w:p>
    <w:p>
      <w:pPr>
        <w:spacing w:before="20"/>
        <w:ind w:left="360"/>
      </w:pPr>
      <w:r>
        <w:rPr>
          <w:color w:val="222222"/>
          <w:sz w:val="20"/>
        </w:rPr>
        <w:t>Las tensiones entre Hegseth y Dan Driscoll, secretario del Ejército, se han hecho cada vez más patentes en la esfera pública.</w:t>
      </w:r>
    </w:p>
    <w:p>
      <w:pPr>
        <w:spacing w:before="20"/>
        <w:ind w:left="360"/>
      </w:pPr>
      <w:r>
        <w:rPr>
          <w:color w:val="222222"/>
          <w:sz w:val="20"/>
        </w:rPr>
        <w:t>Phelan, financiero y donante político con sede en Palm Beach, Florida, será reemplazado de forma interina por Hung Cao, subsecretario de la Marina. La Casa Blanca no respondió de inmediato a la solicitud de comentarios</w:t>
      </w:r>
    </w:p>
    <w:p>
      <w:pPr>
        <w:spacing w:before="40" w:after="120"/>
      </w:pPr>
      <w:r>
        <w:rPr>
          <w:color w:val="CCCCCC"/>
        </w:rPr>
        <w:t>· · ·</w:t>
      </w:r>
    </w:p>
    <w:p>
      <w:r>
        <w:rPr>
          <w:b/>
          <w:color w:val="E65000"/>
        </w:rPr>
        <w:t xml:space="preserve">7. </w:t>
      </w:r>
      <w:r>
        <w:rPr>
          <w:b/>
          <w:sz w:val="22"/>
        </w:rPr>
        <w:t>La ONU advierte que los efectos de la guerra en Medio Oriente empujarán de nuevo a la pobreza a más de 30 millones de personas</w:t>
      </w:r>
    </w:p>
    <w:p>
      <w:pPr>
        <w:spacing w:before="0"/>
      </w:pPr>
      <w:r>
        <w:rPr>
          <w:color w:val="0056B3"/>
          <w:sz w:val="18"/>
        </w:rPr>
        <w:t>https://www.df.cl/internacional/economia/la-onu-advierte-que-los-efectos-de-la-guerra-en-medio-oriente-empujaran-de</w:t>
      </w:r>
    </w:p>
    <w:p>
      <w:pPr>
        <w:spacing w:before="20"/>
        <w:ind w:left="360"/>
      </w:pPr>
      <w:r>
        <w:rPr>
          <w:color w:val="222222"/>
          <w:sz w:val="20"/>
        </w:rPr>
        <w:t>La escasez de fertilizantes —agravada por el bloqueo de los buques de carga en el estrecho de Ormuz— ya ha reducido la productividad agrícola.</w:t>
      </w:r>
    </w:p>
    <w:p>
      <w:pPr>
        <w:spacing w:before="20"/>
        <w:ind w:left="360"/>
      </w:pPr>
      <w:r>
        <w:rPr>
          <w:color w:val="222222"/>
          <w:sz w:val="20"/>
        </w:rPr>
        <w:t>Por:ReutersPublicado: Jueves 23 de abril de 2026 a las 07:57 hrs.</w:t>
      </w:r>
    </w:p>
    <w:p>
      <w:pPr>
        <w:spacing w:before="20"/>
        <w:ind w:left="360"/>
      </w:pPr>
      <w:r>
        <w:rPr>
          <w:color w:val="222222"/>
          <w:sz w:val="20"/>
        </w:rPr>
        <w:t>Publicado: Jueves 23 de abril de 2026 a las 07:57 hrs.</w:t>
      </w:r>
    </w:p>
    <w:p>
      <w:pPr>
        <w:spacing w:before="20"/>
        <w:ind w:left="360"/>
      </w:pPr>
      <w:r>
        <w:rPr>
          <w:color w:val="222222"/>
          <w:sz w:val="20"/>
        </w:rPr>
        <w:t>La escasez de fertilizantes y el bloqueo de Ormuz probablemente afectará al rendimiento de las cosechas a finales de este año. (Foto: Reuters)</w:t>
      </w:r>
    </w:p>
    <w:p>
      <w:pPr>
        <w:spacing w:before="20"/>
        <w:ind w:left="360"/>
      </w:pPr>
      <w:r>
        <w:rPr>
          <w:color w:val="222222"/>
          <w:sz w:val="20"/>
        </w:rPr>
        <w:t>Más de 30 millones de personas volverán a caer en la pobreza debido a las repercusiones de la guerra en Medio Oriente, entre ellas las interrupciones en el suministro de combustible y fertilizantes justo cuando los agricultores están sembrando, dijo el jueves el responsable de desarrollo de la ONU, Alexander De Croo.</w:t>
      </w:r>
    </w:p>
    <w:p>
      <w:pPr>
        <w:spacing w:before="20"/>
        <w:ind w:left="360"/>
      </w:pPr>
      <w:r>
        <w:rPr>
          <w:color w:val="222222"/>
          <w:sz w:val="20"/>
        </w:rPr>
        <w:t>La escasez de fertilizantes —agravada por el bloqueo de los buques de carga en el estrecho de Ormuz— ya ha reducido la productividad agrícola, según declaró a Reuters el administrador del Programa de las Naciones Unidas para el Desarrollo (PNUD). Esto probablemente afectará al rendimiento de las cosechas a finales de este año, añadió el ex primer ministro belga.</w:t>
      </w:r>
    </w:p>
    <w:p>
      <w:pPr>
        <w:spacing w:before="20"/>
        <w:ind w:left="360"/>
      </w:pPr>
      <w:r>
        <w:rPr>
          <w:color w:val="222222"/>
          <w:sz w:val="20"/>
        </w:rPr>
        <w:t>"La inseguridad alimentaria alcanzará su nivel máximo en unos meses, yno hay mucho que se pueda hacer al respecto", dijo, enumerando también otras consecuencias de la crisis, como la escasez de energía y la caída de las remesas. "Incluso si la guerra terminara mañana, esos efectos ya se están sintiendo y empujarán a más de 30 millones de personas a la pobreza", dijo.</w:t>
      </w:r>
    </w:p>
    <w:p>
      <w:pPr>
        <w:spacing w:before="20"/>
        <w:ind w:left="360"/>
      </w:pPr>
      <w:r>
        <w:rPr>
          <w:color w:val="222222"/>
          <w:sz w:val="20"/>
        </w:rPr>
        <w:t>Gran parte de los fertilizantes del mundo se producen en Oriente Medio, y un tercio de los suministros mundiales pasa por el estrecho de Ormuz, donde Irán y Estados Unidos se disputan el control.</w:t>
      </w:r>
    </w:p>
    <w:p>
      <w:pPr>
        <w:spacing w:before="120"/>
        <w:ind w:left="360"/>
      </w:pPr>
      <w:r>
        <w:rPr>
          <w:b/>
          <w:color w:val="E65000"/>
          <w:sz w:val="26"/>
        </w:rPr>
        <w:t xml:space="preserve"> </w:t>
      </w:r>
    </w:p>
    <w:p>
      <w:pPr>
        <w:spacing w:before="20"/>
        <w:ind w:left="360"/>
      </w:pPr>
      <w:r>
        <w:rPr>
          <w:color w:val="222222"/>
          <w:sz w:val="20"/>
        </w:rPr>
        <w:t>Este mes, el Banco Mundial, el Fondo Monetario Internacional y el Programa Mundial de Alimentos de la ONU advirtieron de quela guerra provocará un aumento de los precios de los alimentos, lo que supondrá una carga adicional para las poblaciones más vulnerables del mundo.</w:t>
      </w:r>
    </w:p>
    <w:p>
      <w:pPr>
        <w:spacing w:before="20"/>
        <w:ind w:left="360"/>
      </w:pPr>
      <w:r>
        <w:rPr>
          <w:color w:val="222222"/>
          <w:sz w:val="20"/>
        </w:rPr>
        <w:t>De Croo señaló quelas repercusiones de la crisis ya han acabado con entre el 0,5% y el 0,8% del PIB mundial. "Lo que lleva décadas construir, ocho semanas de guerra bastan para destruirlo", dijo.</w:t>
      </w:r>
    </w:p>
    <w:p>
      <w:pPr>
        <w:spacing w:before="20"/>
        <w:ind w:left="360"/>
      </w:pPr>
      <w:r>
        <w:rPr>
          <w:color w:val="222222"/>
          <w:sz w:val="20"/>
        </w:rPr>
        <w:t>La crisis también está poniendo a prueba los esfuerzos humanitarios, mientras la financiación se reduce y las necesidades aumentan en lugares que ya se enfrentan a graves emergencias, como Sudán, Gaza y Ucrania.</w:t>
      </w:r>
    </w:p>
    <w:p>
      <w:pPr>
        <w:spacing w:before="20"/>
        <w:ind w:left="360"/>
      </w:pPr>
      <w:r>
        <w:rPr>
          <w:color w:val="222222"/>
          <w:sz w:val="20"/>
        </w:rPr>
        <w:t>"Tendremos que decir a ciertas personas: lo sentimos mucho, pero no podemos ayudarlos", afirmó. "Las personas que sobrevivirían gracias a la ayuda no la recibirán y se verán empujadas a una situación de vulnerabilidad aún mayor".</w:t>
      </w:r>
    </w:p>
    <w:p>
      <w:pPr>
        <w:spacing w:before="40" w:after="120"/>
      </w:pPr>
      <w:r>
        <w:rPr>
          <w:color w:val="CCCCCC"/>
        </w:rPr>
        <w:t>· · ·</w:t>
      </w:r>
    </w:p>
    <w:p>
      <w:r>
        <w:rPr>
          <w:b/>
          <w:color w:val="E65000"/>
        </w:rPr>
        <w:t xml:space="preserve">8. </w:t>
      </w:r>
      <w:r>
        <w:rPr>
          <w:b/>
          <w:sz w:val="22"/>
        </w:rPr>
        <w:t>Irán confisca barcos en Ormuz tras la extensión de la tregua</w:t>
      </w:r>
    </w:p>
    <w:p>
      <w:pPr>
        <w:spacing w:before="0"/>
      </w:pPr>
      <w:r>
        <w:rPr>
          <w:color w:val="0056B3"/>
          <w:sz w:val="18"/>
        </w:rPr>
        <w:t>https://www.df.cl/internacional/politica/iran-confisca-barcos-en-ormuz-tras-la-extension-de-la-tregua</w:t>
      </w:r>
    </w:p>
    <w:p>
      <w:pPr>
        <w:spacing w:before="20"/>
        <w:ind w:left="360"/>
      </w:pPr>
      <w:r>
        <w:rPr>
          <w:color w:val="222222"/>
          <w:sz w:val="20"/>
        </w:rPr>
        <w:t>Por:Equipo DFPublicado: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Irán capturó dos barcos en el estrecho de Ormuz el miércoles, reforzando su control sobre esta vía marítima después de que el Presidente de Estados Unidos, Donald Trump, extendiera indefinidamente la tregua sin que hubiera señales de que se reanudaran las conversaciones de paz.</w:t>
      </w:r>
    </w:p>
    <w:p>
      <w:pPr>
        <w:spacing w:before="20"/>
        <w:ind w:left="360"/>
      </w:pPr>
      <w:r>
        <w:rPr>
          <w:color w:val="222222"/>
          <w:sz w:val="20"/>
        </w:rPr>
        <w:t>Washington mantuvo el bloqueo naval estadounidense al comercio marítimo de Irán, y el presidente del Parlamento iraní y principal negociador, Mohammad Baqer Qalibaf, afirmó que un alto el fuego total solo tendría sentido si se levantara el bloqueo. Reabrir el estrecho era imposible con una “violación tan flagrante del alto el fuego”, declaró Qalibaf en una publicación en X.</w:t>
      </w:r>
    </w:p>
    <w:p>
      <w:pPr>
        <w:spacing w:before="20"/>
        <w:ind w:left="360"/>
      </w:pPr>
      <w:r>
        <w:rPr>
          <w:color w:val="222222"/>
          <w:sz w:val="20"/>
        </w:rPr>
        <w:t>“Ustedes no lograron sus objetivos mediante la agresión militar, ni los lograrán mediante la intimidación. La única vía es el reconocimiento de los derechos del pueblo iraní”, declaró en su primera respuesta a la prórroga del alto el fuego de Trump.</w:t>
      </w:r>
    </w:p>
    <w:p>
      <w:pPr>
        <w:spacing w:before="20"/>
        <w:ind w:left="360"/>
      </w:pPr>
      <w:r>
        <w:rPr>
          <w:color w:val="222222"/>
          <w:sz w:val="20"/>
        </w:rPr>
        <w:t>Trump ha dado marcha atrás en sus recientes amenazas de bombardear infraestructuras críticas iraníes, pero se ha avanzado poco en la resolución de los problemas clave para poner fin a la guerra.</w:t>
      </w:r>
    </w:p>
    <w:p>
      <w:pPr>
        <w:spacing w:before="40" w:after="120"/>
      </w:pPr>
      <w:r>
        <w:rPr>
          <w:color w:val="CCCCCC"/>
        </w:rPr>
        <w:t>· · ·</w:t>
      </w:r>
    </w:p>
    <w:p/>
    <w:p>
      <w:pPr>
        <w:pStyle w:val="Heading1"/>
      </w:pPr>
      <w:r>
        <w:rPr>
          <w:color w:val="E65000"/>
        </w:rPr>
        <w:t>🔹 Innovación</w:t>
      </w:r>
    </w:p>
    <w:p>
      <w:r>
        <w:rPr>
          <w:b/>
          <w:color w:val="E65000"/>
        </w:rPr>
        <w:t xml:space="preserve">1. </w:t>
      </w:r>
      <w:r>
        <w:rPr>
          <w:b/>
          <w:sz w:val="22"/>
        </w:rPr>
        <w:t>Expertos y ANP alertan que artículo que suma una excepción a la Ley de Propiedad Intelectual afectará los derechos de autor de la prensa</w:t>
      </w:r>
      <w:r>
        <w:rPr>
          <w:color w:val="CC7700"/>
          <w:sz w:val="18"/>
        </w:rPr>
        <w:t xml:space="preserve">  [⭐ Destacada]</w:t>
      </w:r>
    </w:p>
    <w:p>
      <w:pPr>
        <w:spacing w:before="0"/>
      </w:pPr>
      <w:r>
        <w:rPr>
          <w:color w:val="0056B3"/>
          <w:sz w:val="18"/>
        </w:rPr>
        <w:t>https://www.df.cl/df-lab/innovacion-y-startups/expertos-y-anp-alertan-que-articulo-que-suma-una-excepcion-a-la-ley-de</w:t>
      </w:r>
    </w:p>
    <w:p>
      <w:pPr>
        <w:spacing w:before="20"/>
        <w:ind w:left="360"/>
      </w:pPr>
      <w:r>
        <w:rPr>
          <w:color w:val="222222"/>
          <w:sz w:val="20"/>
        </w:rPr>
        <w:t>El artículo 8° permitirá que terceros usen grandes volúmenes de datos -texto, sonido e imagen- sin pagar derechos de autor, siempre y cuando la actividad “no sea una explotación encubierta de las obras protegidas”.</w:t>
      </w:r>
    </w:p>
    <w:p>
      <w:pPr>
        <w:spacing w:before="20"/>
        <w:ind w:left="360"/>
      </w:pPr>
      <w:r>
        <w:rPr>
          <w:color w:val="222222"/>
          <w:sz w:val="20"/>
        </w:rPr>
        <w:t>Por:M. Zecchetto y A. RiveraPublicado: Jueves 23 de abril de 2026 a las 10:20 hrs.</w:t>
      </w:r>
    </w:p>
    <w:p>
      <w:pPr>
        <w:spacing w:before="20"/>
        <w:ind w:left="360"/>
      </w:pPr>
      <w:r>
        <w:rPr>
          <w:color w:val="222222"/>
          <w:sz w:val="20"/>
        </w:rPr>
        <w:t>Publicado: Jueves 23 de abril de 2026 a las 10:20 hrs.</w:t>
      </w:r>
    </w:p>
    <w:p>
      <w:pPr>
        <w:spacing w:before="20"/>
        <w:ind w:left="360"/>
      </w:pPr>
      <w:r>
        <w:rPr>
          <w:color w:val="222222"/>
          <w:sz w:val="20"/>
        </w:rPr>
        <w:t>La ley de Reconstrucción Nacional incorporó un artículo de IA que permitiría usar obras periodísticas sin pagar derechos.</w:t>
      </w:r>
    </w:p>
    <w:p>
      <w:pPr>
        <w:spacing w:before="20"/>
        <w:ind w:left="360"/>
      </w:pPr>
      <w:r>
        <w:rPr>
          <w:color w:val="222222"/>
          <w:sz w:val="20"/>
        </w:rPr>
        <w:t>El proyecto deLey de Reconstrucción Nacional y el Desarrollo Económico Social, sorprendió al proponer la incorporación de un nuevo artículo a laLey de Propiedad Intelectual. Se trata de una excepción que permitirá a tercerosusar grandes volúmenes de datos -texto, sonido o imagen- sin pagar derechos de autor o licenciamiento,siempre que dicha actividad no sea una “explotación encubierta de las obras protegidas”.</w:t>
      </w:r>
    </w:p>
    <w:p>
      <w:pPr>
        <w:spacing w:before="20"/>
        <w:ind w:left="360"/>
      </w:pPr>
      <w:r>
        <w:rPr>
          <w:color w:val="222222"/>
          <w:sz w:val="20"/>
        </w:rPr>
        <w:t>En el detalle, el artículo 8° incorpora a la Ley de Propiedad Intelectual el artículo 71 T que establece que es“lícito, sin remunerar ni obtener autorización del titular”la reproducción, adaptación, distribución o comunicación de “una obra lícitamente publicada”. Esta excepción se aplica exclusivamente cuando el uso tenga por objeto la extracción, clasificación o análisis estadístico de grandes volúmenes de datos (texto, sonido o imagen), siempre que dicha actividad no constituya una explotación encubierta de las obras protegidas.</w:t>
      </w:r>
    </w:p>
    <w:p>
      <w:pPr>
        <w:spacing w:before="20"/>
        <w:ind w:left="360"/>
      </w:pPr>
      <w:r>
        <w:rPr>
          <w:color w:val="222222"/>
          <w:sz w:val="20"/>
        </w:rPr>
        <w:t>Desde laAsociación Nacional de la Prensa(ANP) solicitaron al Ejecutivo retirar el artículo 8° porque vulnera los derechos de autor.</w:t>
      </w:r>
    </w:p>
    <w:p>
      <w:pPr>
        <w:spacing w:before="20"/>
        <w:ind w:left="360"/>
      </w:pPr>
      <w:r>
        <w:rPr>
          <w:color w:val="222222"/>
          <w:sz w:val="20"/>
        </w:rPr>
        <w:t>En una declaración de siete puntos, el gremio señaló, entre otros, que la normareproduce textualmente una disposición del proyecto de ley que regula los sistemas de inteligencia artificial, que ingresó el gobierno anterior, la que fue objetada, y posteriormente acotada a fines de investigación científica sin fines de lucro, y con un mecanismo de reserva de derechos (opt out). No obstante fue rechazada por la Cámara de Diputados en primer trámite constitucional por afectar el derecho de autor.</w:t>
      </w:r>
    </w:p>
    <w:p>
      <w:pPr>
        <w:spacing w:before="20"/>
        <w:ind w:left="360"/>
      </w:pPr>
      <w:r>
        <w:rPr>
          <w:color w:val="222222"/>
          <w:sz w:val="20"/>
        </w:rPr>
        <w:t>Si bien esta excepción facilitaría a las grandes tecnológicas el entrenamiento de sus modelos de inteligencia artificial,podría generar impactos en la protección de obras de contenido periodístico,al permitir su uso masivo, sin autorización ni pago previo, y poca claridad ante los límites de su utilización.</w:t>
      </w:r>
    </w:p>
    <w:p>
      <w:pPr>
        <w:spacing w:before="20"/>
        <w:ind w:left="360"/>
      </w:pPr>
      <w:r>
        <w:rPr>
          <w:color w:val="222222"/>
          <w:sz w:val="20"/>
        </w:rPr>
        <w:t>El socio principal de H&amp;CO Abogados y exsenador,Felipe Harboe, advirtió que este artículo presenta “serias deficiencias de redacción”, y que configura una “disminución de los niveles de protección del derecho de autor” para las creaciones de obras, incluidas las periodísticas.</w:t>
      </w:r>
    </w:p>
    <w:p>
      <w:pPr>
        <w:spacing w:before="20"/>
        <w:ind w:left="360"/>
      </w:pPr>
      <w:r>
        <w:rPr>
          <w:color w:val="222222"/>
          <w:sz w:val="20"/>
        </w:rPr>
        <w:t>Dijo que, de aprobarse en los términos propuestos, los medios de comunicaciónperderían capacidad de resguardo sobre sus contenidos, ya que las grandes tecnológicas podrían acceder masivamente a extraer datos, clasificarlos y analizarlos.</w:t>
      </w:r>
    </w:p>
    <w:p>
      <w:pPr>
        <w:spacing w:before="20"/>
        <w:ind w:left="360"/>
      </w:pPr>
      <w:r>
        <w:rPr>
          <w:color w:val="222222"/>
          <w:sz w:val="20"/>
        </w:rPr>
        <w:t>Harboe alertó que el límite impuesto por el artículo 8° no está bien definido, y que trasladaría al afectado la carga de probar judicialmente una eventual infracción.</w:t>
      </w:r>
    </w:p>
    <w:p>
      <w:pPr>
        <w:spacing w:before="20"/>
        <w:ind w:left="360"/>
      </w:pPr>
      <w:r>
        <w:rPr>
          <w:color w:val="222222"/>
          <w:sz w:val="20"/>
        </w:rPr>
        <w:t>Por otro lado, indicó que fortalecería la posición negociadora de firmas tecnológicas comoGoogle,por ejemplo, ante las demandas en curso por abuso de posición dominante en su contra. “Podrían argumentar que su actuar ahora es legal”, afirmó.</w:t>
      </w:r>
    </w:p>
    <w:p>
      <w:pPr>
        <w:spacing w:before="20"/>
        <w:ind w:left="360"/>
      </w:pPr>
      <w:r>
        <w:rPr>
          <w:color w:val="222222"/>
          <w:sz w:val="20"/>
        </w:rPr>
        <w:t>También señaló que se podrían“legalizar o normalizar” prácticas como la redirección y uso de contenidos periodísticos,afectando la visibilidad y repercusión del trabajo de los medios de comunicación.</w:t>
      </w:r>
    </w:p>
    <w:p>
      <w:pPr>
        <w:spacing w:before="20"/>
        <w:ind w:left="360"/>
      </w:pPr>
      <w:r>
        <w:rPr>
          <w:color w:val="222222"/>
          <w:sz w:val="20"/>
        </w:rPr>
        <w:t>Para corregir el artículo planteó, entre otros aspectos, que las obras periodísticas queden “expresamente excluidas de esta excepción”, salvo autorización mediante licencia, y que exista una “compensación equitativa obligatoria” por parte de las grandes tecnológicas.</w:t>
      </w:r>
    </w:p>
    <w:p>
      <w:pPr>
        <w:spacing w:before="120"/>
        <w:ind w:left="360"/>
      </w:pPr>
      <w:r>
        <w:rPr>
          <w:b/>
          <w:color w:val="E65000"/>
          <w:sz w:val="26"/>
        </w:rPr>
        <w:t xml:space="preserve"> </w:t>
      </w:r>
    </w:p>
    <w:p>
      <w:pPr>
        <w:spacing w:before="20"/>
        <w:ind w:left="360"/>
      </w:pPr>
      <w:r>
        <w:rPr>
          <w:color w:val="222222"/>
          <w:sz w:val="20"/>
        </w:rPr>
        <w:t>En tanto, el socio de Santa Cruz IP y exdirector del Instituto Nacional de Propiedad Industrial (Inapi),Maximiliano Santa Cruz,dijo que la redacción del artículo 8° es “particularmente amplia”, porque permite reproducir y analizar obras sin autorización ni pago, con “un límite difuso” basado en la “explotación encubierta”, lo queintroduce incertidumbre y rompe el equilibrio propio del sistema de propiedad intelectual.</w:t>
      </w:r>
    </w:p>
    <w:p>
      <w:pPr>
        <w:spacing w:before="20"/>
        <w:ind w:left="360"/>
      </w:pPr>
      <w:r>
        <w:rPr>
          <w:color w:val="222222"/>
          <w:sz w:val="20"/>
        </w:rPr>
        <w:t>Consultado si esta excepción aplicaría para medios de comunicación con muros de pago, dijo que “sí correría, de todas maneras”, aunque es más difícil porque tienen “capas de protección tecnológicas que impiden copiar y pegar textos”.</w:t>
      </w:r>
    </w:p>
    <w:p>
      <w:pPr>
        <w:spacing w:before="20"/>
        <w:ind w:left="360"/>
      </w:pPr>
      <w:r>
        <w:rPr>
          <w:color w:val="222222"/>
          <w:sz w:val="20"/>
        </w:rPr>
        <w:t>Añadió que una de las principales debilidades del proyecto es que no distingue entre usos con fines de investigación y usos comerciales,lo que amplía innecesariamente el alcance de la excepción.</w:t>
      </w:r>
    </w:p>
    <w:p>
      <w:pPr>
        <w:spacing w:before="20"/>
        <w:ind w:left="360"/>
      </w:pPr>
      <w:r>
        <w:rPr>
          <w:color w:val="222222"/>
          <w:sz w:val="20"/>
        </w:rPr>
        <w:t>A ello se suma la ausencia de un mecanismo de reserva de derechos (opt out), que permitiría a los titulares excluir sus obras de estos usos y recuperar la capacidad de control y negociación, especialmente en el caso de los medios de comunicación, cuyos contenidos son insumos de alto valor para el entrenamiento de modelos de IA.</w:t>
      </w:r>
    </w:p>
    <w:p>
      <w:pPr>
        <w:spacing w:before="20"/>
        <w:ind w:left="360"/>
      </w:pPr>
      <w:r>
        <w:rPr>
          <w:color w:val="222222"/>
          <w:sz w:val="20"/>
        </w:rPr>
        <w:t>“Si bien este artículo permitiría tomar los contenidos de un medio con muro de pago,no se está haciendo cargo de que es distinto vulnerar las medidas tecnológicas de protección que usa un medio para acceder a sus contenidos”, dijo.</w:t>
      </w:r>
    </w:p>
    <w:p>
      <w:pPr>
        <w:spacing w:before="20"/>
        <w:ind w:left="360"/>
      </w:pPr>
      <w:r>
        <w:rPr>
          <w:color w:val="222222"/>
          <w:sz w:val="20"/>
        </w:rPr>
        <w:t>Señaló que la ley de la Unión Europea, por ejemplo, distingue entre dos escenarios: uno para fines de investigación científica y otro para usos generales o comerciales; en este último, “se permite a los titulares reservar sus derechos (opt out). En ambos casos, el acceso a las obras debe ser lícito”.</w:t>
      </w:r>
    </w:p>
    <w:p>
      <w:pPr>
        <w:spacing w:before="20"/>
        <w:ind w:left="360"/>
      </w:pPr>
      <w:r>
        <w:rPr>
          <w:color w:val="222222"/>
          <w:sz w:val="20"/>
        </w:rPr>
        <w:t>En tanto, el socio de Porzio Ríos García,Cristóbal Porzio,si bien no descartó la eventual afectación de los contenidos periodísticos, destacó que el límite de “explotación encubierta” está “muy bien escrito”.</w:t>
      </w:r>
    </w:p>
    <w:p>
      <w:pPr>
        <w:spacing w:before="20"/>
        <w:ind w:left="360"/>
      </w:pPr>
      <w:r>
        <w:rPr>
          <w:color w:val="222222"/>
          <w:sz w:val="20"/>
        </w:rPr>
        <w:t>Planteó que si las plataformas tecnológicas llegaran a reproducir o reformular contenidos periodísticos de manera sustantiva,“estamos infringiendo la norma y la excepción no protege ese hecho”.</w:t>
      </w:r>
    </w:p>
    <w:p>
      <w:pPr>
        <w:spacing w:before="40" w:after="120"/>
      </w:pPr>
      <w:r>
        <w:rPr>
          <w:color w:val="CCCCCC"/>
        </w:rPr>
        <w:t>· · ·</w:t>
      </w:r>
    </w:p>
    <w:p/>
    <w:p>
      <w:pPr>
        <w:pStyle w:val="Heading1"/>
      </w:pPr>
      <w:r>
        <w:rPr>
          <w:color w:val="E65000"/>
        </w:rPr>
        <w:t>🔹 Opinión</w:t>
      </w:r>
    </w:p>
    <w:p>
      <w:r>
        <w:rPr>
          <w:b/>
          <w:color w:val="E65000"/>
        </w:rPr>
        <w:t xml:space="preserve">1. </w:t>
      </w:r>
      <w:r>
        <w:rPr>
          <w:b/>
          <w:sz w:val="22"/>
        </w:rPr>
        <w:t>Reconstrucción y crecimiento</w:t>
      </w:r>
      <w:r>
        <w:rPr>
          <w:color w:val="990000"/>
          <w:sz w:val="18"/>
        </w:rPr>
        <w:t xml:space="preserve">  [🔒 paywall]</w:t>
      </w:r>
    </w:p>
    <w:p>
      <w:pPr>
        <w:spacing w:before="0"/>
      </w:pPr>
      <w:r>
        <w:rPr>
          <w:color w:val="0056B3"/>
          <w:sz w:val="18"/>
        </w:rPr>
        <w:t>https://www.df.cl/opinion/editorial/p/1</w:t>
      </w:r>
    </w:p>
    <w:p>
      <w:pPr>
        <w:spacing w:before="40" w:after="120"/>
      </w:pPr>
      <w:r>
        <w:rPr>
          <w:color w:val="CCCCCC"/>
        </w:rPr>
        <w:t>· · ·</w:t>
      </w:r>
    </w:p>
    <w:p>
      <w:r>
        <w:rPr>
          <w:b/>
          <w:color w:val="E65000"/>
        </w:rPr>
        <w:t xml:space="preserve">2. </w:t>
      </w:r>
      <w:r>
        <w:rPr>
          <w:b/>
          <w:sz w:val="22"/>
        </w:rPr>
        <w:t>Reconstrucción y crecimiento</w:t>
      </w:r>
    </w:p>
    <w:p>
      <w:pPr>
        <w:spacing w:before="0"/>
      </w:pPr>
      <w:r>
        <w:rPr>
          <w:color w:val="0056B3"/>
          <w:sz w:val="18"/>
        </w:rPr>
        <w:t>https://www.df.cl/opinion/editorial/reconstruccion-y-crecimiento</w:t>
      </w:r>
    </w:p>
    <w:p>
      <w:pPr>
        <w:spacing w:before="20"/>
        <w:ind w:left="360"/>
      </w:pPr>
      <w:r>
        <w:rPr>
          <w:color w:val="222222"/>
          <w:sz w:val="20"/>
        </w:rPr>
        <w:t>Por:Equipo DFPublicado: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Tras tres semanas de espera, el gobierno ingresó el proyecto para la Reconstrucción Nacional y el Desarrollo Social, eje clave del programa con el que espera elevar el crecimiento a 4%, reducir la tasa de desempleo a 6,5% y alcanzar el equilibrio fiscal hacia el final de la actual administración. En un marco donde existe un diagnóstico transversalmente compartido sobre las principales brechas que enfrenta el país, y que se reflejan en un prolongado período de estancamiento, una inversión debilitada y una persistente alza del desempleo, la iniciativa propone un conjunto de medidas tributarias y administrativas para elevar la productividad y con ello el PIB tendencial de largo plazo.</w:t>
      </w:r>
    </w:p>
    <w:p>
      <w:pPr>
        <w:spacing w:before="20"/>
        <w:ind w:left="360"/>
      </w:pPr>
      <w:r>
        <w:rPr>
          <w:color w:val="222222"/>
          <w:sz w:val="20"/>
        </w:rPr>
        <w:t>En 203 páginas, el proyecto combina reconstrucción, con rebajas tributarias, incentivos a la inversión, apoyo al empleo formal y ajustes al gasto. Entre las iniciativas destacan la reducción del impuesto corporativo de 27% a 23%, la reintegración del sistema tributario, el crédito tributario para el empleo y ajustes en la institucionalidad ambiental. En materia sectorial, hay un especial impulso a la reactivación de la construcción y la acuicultura.</w:t>
      </w:r>
    </w:p>
    <w:p>
      <w:pPr>
        <w:spacing w:before="20"/>
        <w:ind w:left="360"/>
      </w:pPr>
      <w:r>
        <w:rPr>
          <w:color w:val="222222"/>
          <w:sz w:val="20"/>
        </w:rPr>
        <w:t>Con tales propuestas se busca abordar las consecuencias de un crecimiento promedio que no ha superado el 2% anual desde 2014, y que ha tenido como uno de sus efectos más negativos una tasa de desempleo que en la actualidad se ubica en 8,3%; además de hacer frente al costo social y económico derivado de los incendios forestales en Valparaíso, Biobío y Ñuble. Se trata de un cuadro donde la actual estrechez de las finanzas públicas pone límites para responder a las demandas de la ciudadanía en educación, salud, vivienda, previsión y seguridad, y donde el plan presentado no solo es necesario, sino urgente. Ello, además, en un cuadro donde la anterior reforma tributaria redujo la inversión desde 27% del PIB en 2013 a 23% en 2025.</w:t>
      </w:r>
    </w:p>
    <w:p>
      <w:pPr>
        <w:spacing w:before="20"/>
        <w:ind w:left="360"/>
      </w:pPr>
      <w:r>
        <w:rPr>
          <w:color w:val="222222"/>
          <w:sz w:val="20"/>
        </w:rPr>
        <w:t>Según, las estimaciones del Ejecutivo, la puesta en marcha del plan permitiría, hacia fines de la década, pasar de un crecimiento de 2% del PIB potencial a cerca de 3%.</w:t>
      </w:r>
    </w:p>
    <w:p>
      <w:pPr>
        <w:spacing w:before="20"/>
        <w:ind w:left="360"/>
      </w:pPr>
      <w:r>
        <w:rPr>
          <w:color w:val="222222"/>
          <w:sz w:val="20"/>
        </w:rPr>
        <w:t>Como contrapartida, el proyecto contempla medidas tributarias para compensar los menores ingresos del Fisco. De acuerdo con el informe financiero, en 2035 se lograría una recaudación fiscal que superaría el efecto de las rebajas de impuestos. En el intertanto, el impacto neto sería negativo.</w:t>
      </w:r>
    </w:p>
    <w:p>
      <w:pPr>
        <w:spacing w:before="20"/>
        <w:ind w:left="360"/>
      </w:pPr>
      <w:r>
        <w:rPr>
          <w:color w:val="222222"/>
          <w:sz w:val="20"/>
        </w:rPr>
        <w:t>Es previsible que este aspecto concentre una parte importante del debate, tanto por la magnitud del ajuste requerido como por la credibilidad de las compensaciones planteadas. Ello exigirá explicaciones técnicas precisas, especialmente en un contexto en que el gobierno aún debe definir, a través del Decreto de Política Fiscal, la trayectoria que permitirá alcanzar el equilibrio comprometido hacia 2030. Sin embargo, reducir la discusión a esos márgenes sería insuficiente frente a la envergadura del desafío. El proyecto pone sobre la mesa una respuesta integral a un deterioro que también lo es y, por lo mismo, su evaluación debe hacerse con una mirada que combine responsabilidad fiscal con una comprensión clara de la urgencia de reactivar el crecimiento y el empleo. Lo que está en juego es la capacidad de retomar una senda de desarrollo, lo que exige llevar adelante una deliberación fundada en la evidencia, ajena a simplificaciones.</w:t>
      </w:r>
    </w:p>
    <w:p>
      <w:pPr>
        <w:spacing w:before="40" w:after="120"/>
      </w:pPr>
      <w:r>
        <w:rPr>
          <w:color w:val="CCCCCC"/>
        </w:rPr>
        <w:t>· · ·</w:t>
      </w:r>
    </w:p>
    <w:p>
      <w:r>
        <w:rPr>
          <w:b/>
          <w:color w:val="E65000"/>
        </w:rPr>
        <w:t xml:space="preserve">3. </w:t>
      </w:r>
      <w:r>
        <w:rPr>
          <w:b/>
          <w:sz w:val="22"/>
        </w:rPr>
        <w:t>Menos burocracia para la PYME</w:t>
      </w:r>
    </w:p>
    <w:p>
      <w:pPr>
        <w:spacing w:before="0"/>
      </w:pPr>
      <w:r>
        <w:rPr>
          <w:color w:val="0056B3"/>
          <w:sz w:val="18"/>
        </w:rPr>
        <w:t>https://www.df.cl/opinion/cartas/menos-burocracia-para-la-pyme</w:t>
      </w:r>
    </w:p>
    <w:p>
      <w:pPr>
        <w:spacing w:before="20"/>
        <w:ind w:left="360"/>
      </w:pPr>
      <w:r>
        <w:rPr>
          <w:color w:val="222222"/>
          <w:sz w:val="20"/>
        </w:rPr>
        <w:t>Por:Equipo DFPublicado: Jueves 23 de abril de 2026 a las 04:05 hrs.</w:t>
      </w:r>
    </w:p>
    <w:p>
      <w:pPr>
        <w:spacing w:before="20"/>
        <w:ind w:left="360"/>
      </w:pPr>
      <w:r>
        <w:rPr>
          <w:color w:val="222222"/>
          <w:sz w:val="20"/>
        </w:rPr>
        <w:t>Publicado: Jueves 23 de abril de 2026 a las 04:05 hrs.</w:t>
      </w:r>
    </w:p>
    <w:p>
      <w:pPr>
        <w:spacing w:before="20"/>
        <w:ind w:left="360"/>
      </w:pPr>
      <w:r>
        <w:rPr>
          <w:color w:val="222222"/>
          <w:sz w:val="20"/>
        </w:rPr>
        <w:t>Las primeras medidas anunciadas por el Gobierno han puesto énfasis en reactivar la economía, simplificar procesos y destrabar la inversión. Para las PYME, esta agenda abre una expectativa legítima, respecto de que esta vez el alivio no se mida solo en cifras macroeconómicas, sino que sea una reducción real de la carga burocrática que hoy frena su desarrollo.En Chile, miles de PYME destinan tiempo y recursos excesivos a cumplir trámites, permisos, declaraciones y procesos administrativos que, lejos de facilitar el crecimiento, lo ralentizan.Si las medidas apuntan efectivamente a simplificar la relación entre Estado y empresas, el impacto puede ser más transformador que cualquier incentivo aislado. Reducir tiempos de espera, digitalizar procesos y eliminar duplicidades regulatorias puede marcar una diferencia concreta en productividad y competitividad. El desafío está en que esa simplificación no quede solo en reformas que beneficien a grandes actores con mayor capacidad de adaptación.</w:t>
      </w:r>
    </w:p>
    <w:p>
      <w:pPr>
        <w:spacing w:before="40" w:after="120"/>
      </w:pPr>
      <w:r>
        <w:rPr>
          <w:color w:val="CCCCCC"/>
        </w:rPr>
        <w:t>· · ·</w:t>
      </w:r>
    </w:p>
    <w:p>
      <w:r>
        <w:rPr>
          <w:b/>
          <w:color w:val="E65000"/>
        </w:rPr>
        <w:t xml:space="preserve">4. </w:t>
      </w:r>
      <w:r>
        <w:rPr>
          <w:b/>
          <w:sz w:val="22"/>
        </w:rPr>
        <w:t>Legislar con altura de miras</w:t>
      </w:r>
    </w:p>
    <w:p>
      <w:pPr>
        <w:spacing w:before="0"/>
      </w:pPr>
      <w:r>
        <w:rPr>
          <w:color w:val="0056B3"/>
          <w:sz w:val="18"/>
        </w:rPr>
        <w:t>https://www.df.cl/opinion/cartas/legislar-con-altura-de-miras</w:t>
      </w:r>
    </w:p>
    <w:p>
      <w:pPr>
        <w:spacing w:before="20"/>
        <w:ind w:left="360"/>
      </w:pPr>
      <w:r>
        <w:rPr>
          <w:color w:val="222222"/>
          <w:sz w:val="20"/>
        </w:rPr>
        <w:t>Por:Equipo DFPublicado: Jueves 23 de abril de 2026 a las 04:04 hrs.</w:t>
      </w:r>
    </w:p>
    <w:p>
      <w:pPr>
        <w:spacing w:before="20"/>
        <w:ind w:left="360"/>
      </w:pPr>
      <w:r>
        <w:rPr>
          <w:color w:val="222222"/>
          <w:sz w:val="20"/>
        </w:rPr>
        <w:t>Publicado: Jueves 23 de abril de 2026 a las 04:04 hrs.</w:t>
      </w:r>
    </w:p>
    <w:p>
      <w:pPr>
        <w:spacing w:before="20"/>
        <w:ind w:left="360"/>
      </w:pPr>
      <w:r>
        <w:rPr>
          <w:color w:val="222222"/>
          <w:sz w:val="20"/>
        </w:rPr>
        <w:t>Hoy, el país está detenido. Y esto es el resultado de malas políticas públicas de los últimos 15 años. Cuando un problema es tan grande, se necesitan medidas fuertes y rápidas. Eso es lo que busca el proyecto para la Reconstrucción y el Desarrollo Económico presentado por el gobierno. La iniciativa reúne muchas propuestas para que Chile vuelva a ser un buen lugar fértil para invertir y crecer. Esperemos que los políticos, sobre todo los de la oposición, la respalden. Y que cuando inicien el debate, que lo hagan con altura de miras, pensando en el bien del país y de cada proyecto que se quiere impulsar.</w:t>
      </w:r>
    </w:p>
    <w:p>
      <w:pPr>
        <w:spacing w:before="40" w:after="120"/>
      </w:pPr>
      <w:r>
        <w:rPr>
          <w:color w:val="CCCCCC"/>
        </w:rPr>
        <w:t>· · ·</w:t>
      </w:r>
    </w:p>
    <w:p>
      <w:r>
        <w:rPr>
          <w:b/>
          <w:color w:val="E65000"/>
        </w:rPr>
        <w:t xml:space="preserve">5. </w:t>
      </w:r>
      <w:r>
        <w:rPr>
          <w:b/>
          <w:sz w:val="22"/>
        </w:rPr>
        <w:t>Cobrar bien es clave</w:t>
      </w:r>
    </w:p>
    <w:p>
      <w:pPr>
        <w:spacing w:before="0"/>
      </w:pPr>
      <w:r>
        <w:rPr>
          <w:color w:val="0056B3"/>
          <w:sz w:val="18"/>
        </w:rPr>
        <w:t>https://www.df.cl/opinion/cartas/cobrar-bien-es-clave</w:t>
      </w:r>
    </w:p>
    <w:p>
      <w:pPr>
        <w:spacing w:before="20"/>
        <w:ind w:left="360"/>
      </w:pPr>
      <w:r>
        <w:rPr>
          <w:color w:val="222222"/>
          <w:sz w:val="20"/>
        </w:rPr>
        <w:t>Por:Equipo DFPublicado: Jueves 23 de abril de 2026 a las 04:03 hrs.</w:t>
      </w:r>
    </w:p>
    <w:p>
      <w:pPr>
        <w:spacing w:before="20"/>
        <w:ind w:left="360"/>
      </w:pPr>
      <w:r>
        <w:rPr>
          <w:color w:val="222222"/>
          <w:sz w:val="20"/>
        </w:rPr>
        <w:t>Publicado: Jueves 23 de abril de 2026 a las 04:03 hrs.</w:t>
      </w:r>
    </w:p>
    <w:p>
      <w:pPr>
        <w:spacing w:before="20"/>
        <w:ind w:left="360"/>
      </w:pPr>
      <w:r>
        <w:rPr>
          <w:color w:val="222222"/>
          <w:sz w:val="20"/>
        </w:rPr>
        <w:t>En el contexto del proyecto de reconstrucción anunciado por el gobierno y su impacto en las PYME, se vuelve aún más evidente la importancia de asegurar condiciones que resguarden su liquidez y sostenibilidad en el tiempo.El debate sobre financiamiento empresarial suele centrarse en el acceso al crédito, pero hay un factor igual de determinante y menos visible: la capacidad de cobrar a tiempo. Para las PYME la liquidez no es teórica, es supervivencia.Si bien la Ley de Pago a 30 Días fijó un estándar relevante, su aplicación sigue siendo desigual. En la práctica, los plazos se extienden y la cultura de pago aún no se alinea completamente con la normativa.En ese contexto, el reciente anuncio del Ministerio de Economía para fortalecer esta normativa y generar alivio tributario para las pequeñas y medianas empresas refuerza una señal positiva, al avanzar hacia una cultura de pago oportuno que permita sostener la liquidez empresarial.Más allá del marco legal, la diferencia está en la gestión, porque cuando la cobranza deja de ser administrativa y pasa a ser estratégica permite anticipar riesgos, ordenar procesos y sostener el flujo de caja.La liquidez no se juega solo en vender, sino en cerrar el ciclo y, en esto, cobrar bien es una verdadera ventaja competitiva.</w:t>
      </w:r>
    </w:p>
    <w:p>
      <w:pPr>
        <w:spacing w:before="20"/>
        <w:ind w:left="360"/>
      </w:pPr>
      <w:r>
        <w:rPr>
          <w:color w:val="222222"/>
          <w:sz w:val="20"/>
        </w:rPr>
        <w:t>Rafael Vial ValenzuelaAbogado, presidente directorio Vision Capital</w:t>
      </w:r>
    </w:p>
    <w:p>
      <w:pPr>
        <w:spacing w:before="40" w:after="120"/>
      </w:pPr>
      <w:r>
        <w:rPr>
          <w:color w:val="CCCCCC"/>
        </w:rPr>
        <w:t>· · ·</w:t>
      </w:r>
    </w:p>
    <w:p>
      <w:r>
        <w:rPr>
          <w:b/>
          <w:color w:val="E65000"/>
        </w:rPr>
        <w:t xml:space="preserve">6. </w:t>
      </w:r>
      <w:r>
        <w:rPr>
          <w:b/>
          <w:sz w:val="22"/>
        </w:rPr>
        <w:t>Colaboración contra el crimen organizado</w:t>
      </w:r>
    </w:p>
    <w:p>
      <w:pPr>
        <w:spacing w:before="0"/>
      </w:pPr>
      <w:r>
        <w:rPr>
          <w:color w:val="0056B3"/>
          <w:sz w:val="18"/>
        </w:rPr>
        <w:t>https://www.df.cl/opinion/cartas/colaboracion-contra-el-crimen-organizado</w:t>
      </w:r>
    </w:p>
    <w:p>
      <w:pPr>
        <w:spacing w:before="20"/>
        <w:ind w:left="360"/>
      </w:pPr>
      <w:r>
        <w:rPr>
          <w:color w:val="222222"/>
          <w:sz w:val="20"/>
        </w:rPr>
        <w:t>Por:Equipo DFPublicado: Jueves 23 de abril de 2026 a las 04:02 hrs.</w:t>
      </w:r>
    </w:p>
    <w:p>
      <w:pPr>
        <w:spacing w:before="20"/>
        <w:ind w:left="360"/>
      </w:pPr>
      <w:r>
        <w:rPr>
          <w:color w:val="222222"/>
          <w:sz w:val="20"/>
        </w:rPr>
        <w:t>Publicado: Jueves 23 de abril de 2026 a las 04:02 hrs.</w:t>
      </w:r>
    </w:p>
    <w:p>
      <w:pPr>
        <w:spacing w:before="20"/>
        <w:ind w:left="360"/>
      </w:pPr>
      <w:r>
        <w:rPr>
          <w:color w:val="222222"/>
          <w:sz w:val="20"/>
        </w:rPr>
        <w:t>Hace algunos días en el DF, el presidente de la Cámara de Diputadas y Diputados, Jorge Alessandri, se refirió al contrabando, una de las más importantes expresiones del crimen organizado en nuestro país. Se trata de un problema que no es nuevo e implica importantes ganancias para la actividad criminal, así como también una cuantiosa evasión del pago de impuestos, en un escenario nacional que presenta un importante déficit fiscal, y, al mismo tiempo, numerosas necesidades que atender por parte del Estado.En este escenario, es nuestro deber como diputados contribuir de manera decidida con nuestro apoyo al combate del crimen organizado, siendo una de las vías principales el resguardo de nuestras fronteras, carreteras, puertos aéreos y terrestres.El presidente de la Cámara se comprometió a trabajar para reforzar la labor de las instituciones y organismos que abordan diversas aristas de esa misión crecientemente relevante, por medio de medidas legislativas e instancias de coordinación. En mi calidad de diputado de la República me sumo a esta iniciativa y al necesario apoyo que esto implica a las capacidades humanas, tecnológicas y de infraestructura de Carabineros, PDI, Aduanas, Ministerio Público, SII, DGAC, SAG y unidades de las Fuerzas Armadas involucradas. Pongo a disposición mi experiencia en estos temas para fortalecer el sistema de seguridad pública del país y con ello el combate a la actividad delictual. Los chilenos cuentan con nuestro compromiso para poder vivir seguros y tranquilos.</w:t>
      </w:r>
    </w:p>
    <w:p>
      <w:pPr>
        <w:spacing w:before="20"/>
        <w:ind w:left="360"/>
      </w:pPr>
      <w:r>
        <w:rPr>
          <w:color w:val="222222"/>
          <w:sz w:val="20"/>
        </w:rPr>
        <w:t>Enrique Bassaletti RiessDiputado por el 8º Distrito RM</w:t>
      </w:r>
    </w:p>
    <w:p>
      <w:pPr>
        <w:spacing w:before="40" w:after="120"/>
      </w:pPr>
      <w:r>
        <w:rPr>
          <w:color w:val="CCCCCC"/>
        </w:rPr>
        <w:t>· · ·</w:t>
      </w:r>
    </w:p>
    <w:p>
      <w:r>
        <w:rPr>
          <w:b/>
          <w:color w:val="E65000"/>
        </w:rPr>
        <w:t xml:space="preserve">7. </w:t>
      </w:r>
      <w:r>
        <w:rPr>
          <w:b/>
          <w:sz w:val="22"/>
        </w:rPr>
        <w:t>Viabilidad económica de los taxis eléctricos</w:t>
      </w:r>
    </w:p>
    <w:p>
      <w:pPr>
        <w:spacing w:before="0"/>
      </w:pPr>
      <w:r>
        <w:rPr>
          <w:color w:val="0056B3"/>
          <w:sz w:val="18"/>
        </w:rPr>
        <w:t>https://www.df.cl/opinion/cartas/viabilidad-economica-de-los-taxis-electricos</w:t>
      </w:r>
    </w:p>
    <w:p>
      <w:pPr>
        <w:spacing w:before="20"/>
        <w:ind w:left="360"/>
      </w:pPr>
      <w:r>
        <w:rPr>
          <w:color w:val="222222"/>
          <w:sz w:val="20"/>
        </w:rPr>
        <w:t>Por:Equipo DFPublicado: Jueves 23 de abril de 2026 a las 04:01 hrs.</w:t>
      </w:r>
    </w:p>
    <w:p>
      <w:pPr>
        <w:spacing w:before="20"/>
        <w:ind w:left="360"/>
      </w:pPr>
      <w:r>
        <w:rPr>
          <w:color w:val="222222"/>
          <w:sz w:val="20"/>
        </w:rPr>
        <w:t>Publicado: Jueves 23 de abril de 2026 a las 04:01 hrs.</w:t>
      </w:r>
    </w:p>
    <w:p>
      <w:pPr>
        <w:spacing w:before="20"/>
        <w:ind w:left="360"/>
      </w:pPr>
      <w:r>
        <w:rPr>
          <w:color w:val="222222"/>
          <w:sz w:val="20"/>
        </w:rPr>
        <w:t>A propósito del anuncio de Banco Estado sobre tasas de financiamiento preferenciales para la electromovilidad, desde 0,82% para taxis, desde el Centro de Movilidad Sostenible consideramos relevante aportar evidencia concreta sobre la conveniencia económica de esta transición.Al comparar la operación de un taxi de combustión interna y un taxi eléctrico de tamaño y gama equivalente, considerando un recorrido promedio diario y gastos de operación y mantención reales, los resultados reflejan que si se incorporan en la cuota de crédito los costos de energía y mantención, un taxista podría pagar hasta un 32% menos al optar por uno eléctrico. Este ahorro representa aproximadamente $ 430.000 mensuales, lo que constituye una mejora significativa en los ingresos líquidos del conductor. El análisis incluye el costo de adquisición e instalación de un cargador domiciliario, reforzando así la viabilidad económica de la electromovilidad en este segmento. Estos resultados muestran que la electromovilidad es una alternativa ambientalmente sostenible y una oportunidad concreta de reducción de costos para quienes trabajan en el transporte público menor.</w:t>
      </w:r>
    </w:p>
    <w:p>
      <w:pPr>
        <w:spacing w:before="20"/>
        <w:ind w:left="360"/>
      </w:pPr>
      <w:r>
        <w:rPr>
          <w:color w:val="222222"/>
          <w:sz w:val="20"/>
        </w:rPr>
        <w:t>Sebastián GalarzaDirector Ejecutivo Centro de Movilidad Sostenible</w:t>
      </w:r>
    </w:p>
    <w:p>
      <w:pPr>
        <w:spacing w:before="40" w:after="120"/>
      </w:pPr>
      <w:r>
        <w:rPr>
          <w:color w:val="CCCCCC"/>
        </w:rPr>
        <w:t>· · ·</w:t>
      </w:r>
    </w:p>
    <w:p>
      <w:r>
        <w:rPr>
          <w:b/>
          <w:color w:val="E65000"/>
        </w:rPr>
        <w:t xml:space="preserve">8. </w:t>
      </w:r>
      <w:r>
        <w:rPr>
          <w:b/>
          <w:sz w:val="22"/>
        </w:rPr>
        <w:t>Más creatividad para el futuro</w:t>
      </w:r>
    </w:p>
    <w:p>
      <w:pPr>
        <w:spacing w:before="0"/>
      </w:pPr>
      <w:r>
        <w:rPr>
          <w:color w:val="0056B3"/>
          <w:sz w:val="18"/>
        </w:rPr>
        <w:t>https://www.df.cl/opinion/cartas/mas-creatividad-para-el-futuro</w:t>
      </w:r>
    </w:p>
    <w:p>
      <w:pPr>
        <w:spacing w:before="20"/>
        <w:ind w:left="360"/>
      </w:pPr>
      <w:r>
        <w:rPr>
          <w:color w:val="222222"/>
          <w:sz w:val="20"/>
        </w:rPr>
        <w:t>Por:Equipo DFPublicado: Jueves 23 de abril de 2026 a las 04:00 hrs.</w:t>
      </w:r>
    </w:p>
    <w:p>
      <w:pPr>
        <w:spacing w:before="20"/>
        <w:ind w:left="360"/>
      </w:pPr>
      <w:r>
        <w:rPr>
          <w:color w:val="222222"/>
          <w:sz w:val="20"/>
        </w:rPr>
        <w:t>Publicado: Jueves 23 de abril de 2026 a las 04:00 hrs.</w:t>
      </w:r>
    </w:p>
    <w:p>
      <w:pPr>
        <w:spacing w:before="20"/>
        <w:ind w:left="360"/>
      </w:pPr>
      <w:r>
        <w:rPr>
          <w:color w:val="222222"/>
          <w:sz w:val="20"/>
        </w:rPr>
        <w:t>El Día Internacional de la Innovación y la Creatividad invita a recordar que la creatividad no es un talento reservado para unos pocos, sino una capacidad profundamente humana que debiera cultivarse desde la infancia.Sin embargo, en un contexto marcado por la sobrecarga de información, la inmediatez y la presión por resultados, esta capacidad se silencia. No es que no seamos creativos, es que dejamos de crear. Si queremos formar personas capaces de enfrentar la incertidumbre, necesitamos ir más allá de la transmisión de contenidos y generar entornos educativos que promuevan la curiosidad, el pensamiento crítico y la imaginación. Espacios donde exista confianza para explorar, tiempo para preguntar y, sobre todo, donde el error sea comprendido como parte esencial del aprendizaje. Cuando estas condiciones se dan, la innovación surge de manera natural. Apostar por la creatividad es, en definitiva apostar por una sociedad más humana, resiliente y preparada para los desafíos del futuro.</w:t>
      </w:r>
    </w:p>
    <w:p>
      <w:pPr>
        <w:spacing w:before="40" w:after="120"/>
      </w:pPr>
      <w:r>
        <w:rPr>
          <w:color w:val="CCCCCC"/>
        </w:rPr>
        <w:t>· · ·</w:t>
      </w:r>
    </w:p>
    <w:p/>
    <w:p>
      <w:r>
        <w:br w:type="page"/>
      </w:r>
    </w:p>
    <w:p>
      <w:pPr>
        <w:jc w:val="center"/>
      </w:pPr>
      <w:r>
        <w:rPr>
          <w:color w:val="888888"/>
        </w:rPr>
        <w:t>Generado el 23/04/2026 a las 12:02</w:t>
        <w:br/>
        <w:t>Fuente: www.df.cl  |  Paywall: archive.today (Option 1 RemovePaywalls)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