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65000"/>
          <w:sz w:val="44"/>
        </w:rPr>
        <w:t>📰 Resumen Diario Financiero</w:t>
      </w:r>
    </w:p>
    <w:p>
      <w:pPr>
        <w:jc w:val="center"/>
      </w:pPr>
      <w:r>
        <w:rPr>
          <w:color w:val="555555"/>
        </w:rPr>
        <w:t>Edición Del Tuesday 28 De April De 2026</w:t>
      </w:r>
    </w:p>
    <w:p/>
    <w:p>
      <w:pPr>
        <w:jc w:val="center"/>
      </w:pPr>
      <w:r>
        <w:rPr>
          <w:color w:val="444444"/>
        </w:rPr>
        <w:t>Noticias: 25  |  Con contenido: 24  |  Via archive.today: 0</w:t>
      </w:r>
    </w:p>
    <w:p>
      <w:r>
        <w:rPr>
          <w:color w:val="E65000"/>
        </w:rPr>
        <w:t>────────────────────────────────────────────────────────────────────────────────</w:t>
      </w:r>
    </w:p>
    <w:p>
      <w:r>
        <w:br w:type="page"/>
      </w:r>
    </w:p>
    <w:p>
      <w:pPr>
        <w:pStyle w:val="Heading1"/>
      </w:pPr>
      <w:r>
        <w:rPr>
          <w:color w:val="E65000"/>
        </w:rPr>
        <w:t>🔹 Mercados</w:t>
      </w:r>
    </w:p>
    <w:p>
      <w:r>
        <w:rPr>
          <w:b/>
          <w:color w:val="E65000"/>
        </w:rPr>
        <w:t xml:space="preserve">1. </w:t>
      </w:r>
      <w:r>
        <w:rPr>
          <w:b/>
          <w:sz w:val="22"/>
        </w:rPr>
        <w:t>Dólar gira a una leve caída y pierde los $ 900 mientras agentes esperan respuesta de EEUU a propuesta de paz iraní</w:t>
      </w:r>
      <w:r>
        <w:rPr>
          <w:color w:val="CC7700"/>
          <w:sz w:val="18"/>
        </w:rPr>
        <w:t xml:space="preserve">  [⭐ Destacada]</w:t>
      </w:r>
    </w:p>
    <w:p>
      <w:pPr>
        <w:spacing w:before="0"/>
      </w:pPr>
      <w:r>
        <w:rPr>
          <w:color w:val="0056B3"/>
          <w:sz w:val="18"/>
        </w:rPr>
        <w:t>https://www.df.cl/mercados/bolsa-monedas/dolar-hoy-8ofo4</w:t>
      </w:r>
    </w:p>
    <w:p>
      <w:pPr>
        <w:spacing w:before="20"/>
        <w:ind w:left="360"/>
      </w:pPr>
      <w:r>
        <w:rPr>
          <w:color w:val="222222"/>
          <w:sz w:val="20"/>
        </w:rPr>
        <w:t>"Irán acaba de informarnos de que se encuentra en un 'estado de colapso'. Quieren que 'abramos el estrecho de Ormuz' lo antes posible, mientras tratan de resolver su situación de liderazgo (¡lo cual creo que lograrán!)", publicó Donald Trump esta mañana en su red Truth Social.</w:t>
      </w:r>
    </w:p>
    <w:p>
      <w:pPr>
        <w:spacing w:before="20"/>
        <w:ind w:left="360"/>
      </w:pPr>
      <w:r>
        <w:rPr>
          <w:color w:val="222222"/>
          <w:sz w:val="20"/>
        </w:rPr>
        <w:t>Publicado: Martes 28 de abril de 2026 a las 11:55 hrs.</w:t>
      </w:r>
    </w:p>
    <w:p>
      <w:pPr>
        <w:spacing w:before="20"/>
        <w:ind w:left="360"/>
      </w:pPr>
      <w:r>
        <w:rPr>
          <w:color w:val="222222"/>
          <w:sz w:val="20"/>
        </w:rPr>
        <w:t>El dólar no lograba afirmarse sobre $ 900 en la operación de este martes, mientras los participantes del mercado intentan descubrir qué tan biense habría recibidido en la Casa Blancala última propuesta de paz de Irán.</w:t>
      </w:r>
    </w:p>
    <w:p>
      <w:pPr>
        <w:spacing w:before="20"/>
        <w:ind w:left="360"/>
      </w:pPr>
      <w:r>
        <w:rPr>
          <w:color w:val="222222"/>
          <w:sz w:val="20"/>
        </w:rPr>
        <w:t>La paridad dólar-peso inició la sesión en $ 902, peroantes del mediodía cotizaba a $ 893,6 en las pantallas de Bloomberg, lo que representa una caída de $ 1,9 desde su último cierre.</w:t>
      </w:r>
    </w:p>
    <w:p>
      <w:pPr>
        <w:spacing w:before="20"/>
        <w:ind w:left="360"/>
      </w:pPr>
      <w:r>
        <w:rPr>
          <w:color w:val="222222"/>
          <w:sz w:val="20"/>
        </w:rPr>
        <w:t>Eldollar indexse moderaba a una subida de 0,1%, aunque las tasas de interés globales mantenían sus alzas.El barril de petróleo Brent superaba los US$ 110 por primera vez en tres semanas, moderándose sólo un poco luego de que Emiratos Árabes Unidosanunciara su salida de la OPEP.</w:t>
      </w:r>
    </w:p>
    <w:p>
      <w:pPr>
        <w:spacing w:before="20"/>
        <w:ind w:left="360"/>
      </w:pPr>
      <w:r>
        <w:rPr>
          <w:color w:val="222222"/>
          <w:sz w:val="20"/>
        </w:rPr>
        <w:t>El cobre Comex retrocedía 1,8% a US$ 5,97 la libra, mientras también se debilitaba el entusiasmo por la Inteligencia Artificial, tras reportes de que los últimos resultados de OpenAI fueron insuficientes, lo quedaba un golpe a la renta variable estadounidense.</w:t>
      </w:r>
    </w:p>
    <w:p>
      <w:pPr>
        <w:spacing w:before="20"/>
        <w:ind w:left="360"/>
      </w:pPr>
      <w:r>
        <w:rPr>
          <w:color w:val="222222"/>
          <w:sz w:val="20"/>
        </w:rPr>
        <w:t>El dólar global venía deempezar la semana a la baja, tras conocerse que Irán propuso reabrir el estrecho de Ormuz a cambio del fin de la guerra -que se apresta a cumplir dos meses- y del bloqueo naval de Washington, postergando las negociaciones nucleares. Pero las ventas de dólares se desvanecieron a la espera de la respuesta estadounidense.</w:t>
      </w:r>
    </w:p>
    <w:p>
      <w:pPr>
        <w:spacing w:before="20"/>
        <w:ind w:left="360"/>
      </w:pPr>
      <w:r>
        <w:rPr>
          <w:color w:val="222222"/>
          <w:sz w:val="20"/>
        </w:rPr>
        <w:t>"Irán acaba de informarnos de que se encuentra en un 'estado de colapso'.Quieren que 'abramos el estrecho de Ormuz' lo antes posible, mientras tratan de resolver su situación de liderazgo (¡lo cual creo que lograrán!)", publicóDonald Trumpesta mañana en su red Truth Social.</w:t>
      </w:r>
    </w:p>
    <w:p>
      <w:pPr>
        <w:spacing w:before="20"/>
        <w:ind w:left="360"/>
      </w:pPr>
      <w:r>
        <w:rPr>
          <w:color w:val="222222"/>
          <w:sz w:val="20"/>
        </w:rPr>
        <w:t>El Presidente de Estados Unidos abordará el asunto "muy pronto", dijo a la prensa este lunes la vocera de la Casa Blanca,Karoline Leavitt. "Sus líneas rojas con respecto a Irán han quedado muy, muy claras", entre ellas, impedir que Teherán fabrique un arma nuclear, señaló.</w:t>
      </w:r>
    </w:p>
    <w:p>
      <w:pPr>
        <w:spacing w:before="20"/>
        <w:ind w:left="360"/>
      </w:pPr>
      <w:r>
        <w:rPr>
          <w:color w:val="222222"/>
          <w:sz w:val="20"/>
        </w:rPr>
        <w:t>Citando fuentes anónimas, el New York Times reportó que Trump no está satisfecho con las propuestas iraníes, algo que posiblemente esté relacionado con la postergación de las tratativas nucleares.</w:t>
      </w:r>
    </w:p>
    <w:p>
      <w:pPr>
        <w:spacing w:before="20"/>
        <w:ind w:left="360"/>
      </w:pPr>
      <w:r>
        <w:rPr>
          <w:color w:val="222222"/>
          <w:sz w:val="20"/>
        </w:rPr>
        <w:t>El secretario de Estado de EEUU,Marco Rubio, dijo este lunes a Fox News que la propuesta es "mejor de lo que pensábamos que iban a presentar", pero también planteó: "Creo que aún hay dudas sobre si la persona que la presentó tenía la autoridad para presentar esa oferta".</w:t>
      </w:r>
    </w:p>
    <w:p>
      <w:pPr>
        <w:spacing w:before="20"/>
        <w:ind w:left="360"/>
      </w:pPr>
      <w:r>
        <w:rPr>
          <w:color w:val="222222"/>
          <w:sz w:val="20"/>
        </w:rPr>
        <w:t>Así avanza una semana que también estaría marcada por las reuniones de varios bancos centrales. El Banco de Japón mantuvo su tasa clave este lunes, como se esperaba, pero sorprendió la cantidad de consejeros dispuestos a subirla frente a la amenaza inflacionaria que deriva del conflicto en Medio Oriente.</w:t>
      </w:r>
    </w:p>
    <w:p>
      <w:pPr>
        <w:spacing w:before="20"/>
        <w:ind w:left="360"/>
      </w:pPr>
      <w:r>
        <w:rPr>
          <w:color w:val="222222"/>
          <w:sz w:val="20"/>
        </w:rPr>
        <w:t>El Banco Central de Chile publicará este martes a las 18:00 horas su comunicado de política monetaria, para el que no se esperan ver cambios sobre el tipo oficial.</w:t>
      </w:r>
    </w:p>
    <w:p>
      <w:pPr>
        <w:spacing w:before="20"/>
        <w:ind w:left="360"/>
      </w:pPr>
      <w:r>
        <w:rPr>
          <w:color w:val="222222"/>
          <w:sz w:val="20"/>
        </w:rPr>
        <w:t>Los operadores del mercado están previendo el riesgo de que el próximo movimiento del Central sea una subida de tasas, decisión que podría venir tan pronto como en la reunión de julio y, si no, en la de septiembre, según las cotizaciones de losswappromedio cámara nominales.</w:t>
      </w:r>
    </w:p>
    <w:p>
      <w:pPr>
        <w:spacing w:before="40" w:after="120"/>
      </w:pPr>
      <w:r>
        <w:rPr>
          <w:color w:val="CCCCCC"/>
        </w:rPr>
        <w:t>· · ·</w:t>
      </w:r>
    </w:p>
    <w:p>
      <w:r>
        <w:rPr>
          <w:b/>
          <w:color w:val="E65000"/>
        </w:rPr>
        <w:t xml:space="preserve">2. </w:t>
      </w:r>
      <w:r>
        <w:rPr>
          <w:b/>
          <w:sz w:val="22"/>
        </w:rPr>
        <w:t>Accionistas del Banco Santander Chile aprueban dividendo y eligen nuevo directorio: Juan Benavides se suma como director independiente</w:t>
      </w:r>
      <w:r>
        <w:rPr>
          <w:color w:val="CC7700"/>
          <w:sz w:val="18"/>
        </w:rPr>
        <w:t xml:space="preserve">  [⭐ Destacada]</w:t>
      </w:r>
    </w:p>
    <w:p>
      <w:pPr>
        <w:spacing w:before="0"/>
      </w:pPr>
      <w:r>
        <w:rPr>
          <w:color w:val="0056B3"/>
          <w:sz w:val="18"/>
        </w:rPr>
        <w:t>https://www.df.cl/mercados/banca-fintech/accionistas-del-banco-santander-chile-aprueban-dividendo-y-eligen-nuevo</w:t>
      </w:r>
    </w:p>
    <w:p>
      <w:pPr>
        <w:spacing w:before="20"/>
        <w:ind w:left="360"/>
      </w:pPr>
      <w:r>
        <w:rPr>
          <w:color w:val="222222"/>
          <w:sz w:val="20"/>
        </w:rPr>
        <w:t>“Estamos en condiciones de capturar las oportunidades de crecimiento que traigan los nuevos ciclos del país", dijo Andrés Trautmann, gerente general y country head de Santander Chile.</w:t>
      </w:r>
    </w:p>
    <w:p>
      <w:pPr>
        <w:spacing w:before="20"/>
        <w:ind w:left="360"/>
      </w:pPr>
      <w:r>
        <w:rPr>
          <w:color w:val="222222"/>
          <w:sz w:val="20"/>
        </w:rPr>
        <w:t>Publicado: Martes 28 de abril de 2026 a las 11:03 hrs.</w:t>
      </w:r>
    </w:p>
    <w:p>
      <w:pPr>
        <w:spacing w:before="20"/>
        <w:ind w:left="360"/>
      </w:pPr>
      <w:r>
        <w:rPr>
          <w:color w:val="222222"/>
          <w:sz w:val="20"/>
        </w:rPr>
        <w:t>El presidente del banco, Rodrigo Vergara, junto al gerente general, Andrés Trautmann, y el director jurídico, Cristián Florence.</w:t>
      </w:r>
    </w:p>
    <w:p>
      <w:pPr>
        <w:spacing w:before="20"/>
        <w:ind w:left="360"/>
      </w:pPr>
      <w:r>
        <w:rPr>
          <w:color w:val="222222"/>
          <w:sz w:val="20"/>
        </w:rPr>
        <w:t>Los accionistas del Banco Santander Chile aprobaron en junta ordinaria que se realizó este martes el nuevo directorio de la institución, que encabeza el economista y expresidente del Banco Central Rodrigo Vergara.</w:t>
      </w:r>
    </w:p>
    <w:p>
      <w:pPr>
        <w:spacing w:before="20"/>
        <w:ind w:left="360"/>
      </w:pPr>
      <w:r>
        <w:rPr>
          <w:color w:val="222222"/>
          <w:sz w:val="20"/>
        </w:rPr>
        <w:t>Además de Vergara, el directorio quedó integrado porOrlando Poblete, Félix de Vicente, Blanca Bustamante, José Francisco Doncel, Mónica López-Monis, Gloria Hutt, María Francisca Yáñez y Juan Benavides, este último en calidad de director independiente propuesto por los fondos de pensiones. En tanto, se designaron como directores suplentes a Alfonso Gómez y Juan Pedro Santa María, ambos en calidad de independientes.</w:t>
      </w:r>
    </w:p>
    <w:p>
      <w:pPr>
        <w:spacing w:before="20"/>
        <w:ind w:left="360"/>
      </w:pPr>
      <w:r>
        <w:rPr>
          <w:color w:val="222222"/>
          <w:sz w:val="20"/>
        </w:rPr>
        <w:t>Asimismo, la Junta aprobó la distribución de un dividendo definitivo de $3,353346317 por acción, equivalente al 60% de las utilidades del ejercicio, en línea con la política de dividendos de la entidad y su compromiso de generar valor sostenible para sus accionistas.</w:t>
      </w:r>
    </w:p>
    <w:p>
      <w:pPr>
        <w:spacing w:before="20"/>
        <w:ind w:left="360"/>
      </w:pPr>
      <w:r>
        <w:rPr>
          <w:color w:val="222222"/>
          <w:sz w:val="20"/>
        </w:rPr>
        <w:t>"Ls resultados del ejercicio anterior son consecuencia de una estrategia clara, ejecutada con disciplina y con una mirada de largo plazo”, dijo en un comunicadoAndrés Trautmann, gerente general y country head de Santander Chile.“Estos acuerdos reflejan la solidez financiera y del gobierno corporativo de Santander, lo que nos permite seguir construyendo un banco más digital, más eficiente y más centrado en el cliente, con una base sólida para seguir creciendo y generando valor en los próximos años, preocupados siempre de apoyar el progreso de las personas y las empresas”.</w:t>
      </w:r>
    </w:p>
    <w:p>
      <w:pPr>
        <w:spacing w:before="20"/>
        <w:ind w:left="360"/>
      </w:pPr>
      <w:r>
        <w:rPr>
          <w:color w:val="222222"/>
          <w:sz w:val="20"/>
        </w:rPr>
        <w:t>“Estamos en condiciones de capturar las oportunidades de crecimiento que traigan los nuevos ciclos del país y de acompañar ese crecimiento con responsabilidad, con cercanía al cliente y con una ejecución consistente”, agregó Trautmann.</w:t>
      </w:r>
    </w:p>
    <w:p>
      <w:pPr>
        <w:spacing w:before="40" w:after="120"/>
      </w:pPr>
      <w:r>
        <w:rPr>
          <w:color w:val="CCCCCC"/>
        </w:rPr>
        <w:t>· · ·</w:t>
      </w:r>
    </w:p>
    <w:p>
      <w:r>
        <w:rPr>
          <w:b/>
          <w:color w:val="E65000"/>
        </w:rPr>
        <w:t xml:space="preserve">3. </w:t>
      </w:r>
      <w:r>
        <w:rPr>
          <w:b/>
          <w:sz w:val="22"/>
        </w:rPr>
        <w:t>Fondo Pionero de Moneda Patria vende acciones de Watt's por $1.600 millones y baja del 11% de la propiedad</w:t>
      </w:r>
      <w:r>
        <w:rPr>
          <w:color w:val="CC7700"/>
          <w:sz w:val="18"/>
        </w:rPr>
        <w:t xml:space="preserve">  [⭐ Destacada]</w:t>
      </w:r>
    </w:p>
    <w:p>
      <w:pPr>
        <w:spacing w:before="0"/>
      </w:pPr>
      <w:r>
        <w:rPr>
          <w:color w:val="0056B3"/>
          <w:sz w:val="18"/>
        </w:rPr>
        <w:t>https://www.df.cl/mercados/fondos-de-inversion/fondo-pionero-de-moneda-patria-vende-acciones-de-watt-s-por-1-600-millones</w:t>
      </w:r>
    </w:p>
    <w:p>
      <w:pPr>
        <w:spacing w:before="20"/>
        <w:ind w:left="360"/>
      </w:pPr>
      <w:r>
        <w:rPr>
          <w:color w:val="222222"/>
          <w:sz w:val="20"/>
        </w:rPr>
        <w:t>La compañía avanza un 22,1% en la bolsa en lo que va de año.</w:t>
      </w:r>
    </w:p>
    <w:p>
      <w:pPr>
        <w:spacing w:before="20"/>
        <w:ind w:left="360"/>
      </w:pPr>
      <w:r>
        <w:rPr>
          <w:color w:val="222222"/>
          <w:sz w:val="20"/>
        </w:rPr>
        <w:t>Publicado: Martes 28 de abril de 2026 a las 10:12 hrs.</w:t>
      </w:r>
    </w:p>
    <w:p>
      <w:pPr>
        <w:spacing w:before="20"/>
        <w:ind w:left="360"/>
      </w:pPr>
      <w:r>
        <w:rPr>
          <w:color w:val="222222"/>
          <w:sz w:val="20"/>
        </w:rPr>
        <w:t>Nuevos movimientos en la Bolsa de Santiago protagonizó"Pionero",el fondo de inversión insignia de la gestoraMoneda Patria.Este lunes, el vehículo enfocado en acciones de baja y mediana capitalización bursátil,vendió al mercado parte de su posición en la compañía de la industria alimentaria Watt's.</w:t>
      </w:r>
    </w:p>
    <w:p>
      <w:pPr>
        <w:spacing w:before="20"/>
        <w:ind w:left="360"/>
      </w:pPr>
      <w:r>
        <w:rPr>
          <w:color w:val="222222"/>
          <w:sz w:val="20"/>
        </w:rPr>
        <w:t>En detalle, Pionero enajenó 1.600 millones de acciones de la empresa ligada a la familia Larraín, a un valor promedio de $ 800 por papel.En total, el fondo recaudó $ 1.598 millones mediante la operación.</w:t>
      </w:r>
    </w:p>
    <w:p>
      <w:pPr>
        <w:spacing w:before="20"/>
        <w:ind w:left="360"/>
      </w:pPr>
      <w:r>
        <w:rPr>
          <w:color w:val="222222"/>
          <w:sz w:val="20"/>
        </w:rPr>
        <w:t>La transacción representó un 0,64% de la propiedad de Watt's, lo que llevó al vehículo a reducir su participación en la compañía de 11,23% a un actual 10,59%.</w:t>
      </w:r>
    </w:p>
    <w:p>
      <w:pPr>
        <w:spacing w:before="20"/>
        <w:ind w:left="360"/>
      </w:pPr>
      <w:r>
        <w:rPr>
          <w:color w:val="222222"/>
          <w:sz w:val="20"/>
        </w:rPr>
        <w:t>En tanto, el fondo partió el año con un 11,9% de la empresa, de acuerdo a información de la Comisión para el Mercado Financiero (CMF). En lo que va de 2026, la acción de Watt's avanza 22,1% a $ 799,66, y se encumbra un total de 27,1% desde inicios del año pasado.</w:t>
      </w:r>
    </w:p>
    <w:p>
      <w:pPr>
        <w:spacing w:before="20"/>
        <w:ind w:left="360"/>
      </w:pPr>
      <w:r>
        <w:rPr>
          <w:color w:val="222222"/>
          <w:sz w:val="20"/>
        </w:rPr>
        <w:t>La venta de Pionero se da en medio de mixtos resultados de Watt's al cierre de 2025. A diciembre pasado, los ingresos consolidados de la compañía alcanzaron $ 633.500 millones, superando los $ 610.354 millones registrados en 2024.</w:t>
      </w:r>
    </w:p>
    <w:p>
      <w:pPr>
        <w:spacing w:before="20"/>
        <w:ind w:left="360"/>
      </w:pPr>
      <w:r>
        <w:rPr>
          <w:color w:val="222222"/>
          <w:sz w:val="20"/>
        </w:rPr>
        <w:t>"Este crecimiento estuvo explicado principalmente por una mayor estabilidad en los volúmenes y una gestión comercial focalizada en las principales categorías del portafolio", explicó el presidente de Watt's, Aníbal Larraín Cruzat, en la memoria de la empresa.</w:t>
      </w:r>
    </w:p>
    <w:p>
      <w:pPr>
        <w:spacing w:before="20"/>
        <w:ind w:left="360"/>
      </w:pPr>
      <w:r>
        <w:rPr>
          <w:color w:val="222222"/>
          <w:sz w:val="20"/>
        </w:rPr>
        <w:t>Por su parte, el resultado operacional totalizó $ 34.330 millones, inferior a los $ 35.424 millones obtenidos en el ejercicio anterior. De acuerdo con Larraín, la variación "refleja un entorno de mayores presiones de costos durante el ejercicio, parcialmente compensadas por iniciativas de eficiencia operacional".</w:t>
      </w:r>
    </w:p>
    <w:p>
      <w:pPr>
        <w:spacing w:before="20"/>
        <w:ind w:left="360"/>
      </w:pPr>
      <w:r>
        <w:rPr>
          <w:color w:val="222222"/>
          <w:sz w:val="20"/>
        </w:rPr>
        <w:t>Por otro lado, "las mayores dificultades que mostró la industria vitivinícola hicieron que el EBITDA total disminuyera de $ 51.089 millones a $ 50.107 millones", apuntó el presidente de Watt's.</w:t>
      </w:r>
    </w:p>
    <w:p>
      <w:pPr>
        <w:spacing w:before="20"/>
        <w:ind w:left="360"/>
      </w:pPr>
      <w:r>
        <w:rPr>
          <w:color w:val="222222"/>
          <w:sz w:val="20"/>
        </w:rPr>
        <w:t>De esta manera, las utilidades de la compañía en el ejercicio se anotaron en $ 21.613 millones, por debajo de los $ 25.236 obtenidos en 2024.</w:t>
      </w:r>
    </w:p>
    <w:p>
      <w:pPr>
        <w:spacing w:before="40" w:after="120"/>
      </w:pPr>
      <w:r>
        <w:rPr>
          <w:color w:val="CCCCCC"/>
        </w:rPr>
        <w:t>· · ·</w:t>
      </w:r>
    </w:p>
    <w:p>
      <w:r>
        <w:rPr>
          <w:b/>
          <w:color w:val="E65000"/>
        </w:rPr>
        <w:t xml:space="preserve">4. </w:t>
      </w:r>
      <w:r>
        <w:rPr>
          <w:b/>
          <w:sz w:val="22"/>
        </w:rPr>
        <w:t>IPSA abre en rojo y arriesga perder los 11.000 puntos frente a dudas de EEUU sobre propuesta de paz iraní</w:t>
      </w:r>
    </w:p>
    <w:p>
      <w:pPr>
        <w:spacing w:before="0"/>
      </w:pPr>
      <w:r>
        <w:rPr>
          <w:color w:val="0056B3"/>
          <w:sz w:val="18"/>
        </w:rPr>
        <w:t>https://www.df.cl/mercados/bolsa-monedas/bolsas-hoy-oxjdh</w:t>
      </w:r>
    </w:p>
    <w:p>
      <w:pPr>
        <w:spacing w:before="20"/>
        <w:ind w:left="360"/>
      </w:pPr>
      <w:r>
        <w:rPr>
          <w:color w:val="222222"/>
          <w:sz w:val="20"/>
        </w:rPr>
        <w:t>Donald Trump abordará el asunto "muy pronto", afirmó la vocera de la Casa Blanca, Karoline Leavitt. "Sus líneas rojas con respecto a Irán han quedado muy, muy claras", entre ellas, impedir que Teherán fabrique un arma nuclear, señaló a la prensa este lunes.</w:t>
      </w:r>
    </w:p>
    <w:p>
      <w:pPr>
        <w:spacing w:before="20"/>
        <w:ind w:left="360"/>
      </w:pPr>
      <w:r>
        <w:rPr>
          <w:color w:val="222222"/>
          <w:sz w:val="20"/>
        </w:rPr>
        <w:t>Publicado: Martes 28 de abril de 2026 a las 09:45 hrs.</w:t>
      </w:r>
    </w:p>
    <w:p>
      <w:pPr>
        <w:spacing w:before="20"/>
        <w:ind w:left="360"/>
      </w:pPr>
      <w:r>
        <w:rPr>
          <w:color w:val="222222"/>
          <w:sz w:val="20"/>
        </w:rPr>
        <w:t>Las bolsas caían este martes, frente a lasdudas de Estados Unidos respecto de la última propuesta de paz iraní, y mientras los sectores tecnológicos resienten además la noticia de que OpenAI no cumplió con las expectativas de resultados.</w:t>
      </w:r>
    </w:p>
    <w:p>
      <w:pPr>
        <w:spacing w:before="20"/>
        <w:ind w:left="360"/>
      </w:pPr>
      <w:r>
        <w:rPr>
          <w:color w:val="222222"/>
          <w:sz w:val="20"/>
        </w:rPr>
        <w:t>El S&amp;P IPSA caía 0,7% a 11.047,46 puntos, trashaber partido la semana en rojo. En Wall Street,el Nasdaq perdía 1,1% y el S&amp;P 500 bajaba 0,5%, aunque el Dow Jones subía 0,3%. En Europa, los índices también bajaban, aunque moderadamente.</w:t>
      </w:r>
    </w:p>
    <w:p>
      <w:pPr>
        <w:spacing w:before="20"/>
        <w:ind w:left="360"/>
      </w:pPr>
      <w:r>
        <w:rPr>
          <w:color w:val="222222"/>
          <w:sz w:val="20"/>
        </w:rPr>
        <w:t>OpenAI registró un crecimiento de ingresos y nuevos usuarios que están por debajo de sus metas internas, según un reportaje del Wall Street Journal, lo que estaría exacerbando las ventas de acciones tecnológicas, previo a que mañana miércoles se conozcan los resultados de Alphabet, Amazon, Meta y Microsoft.</w:t>
      </w:r>
    </w:p>
    <w:p>
      <w:pPr>
        <w:spacing w:before="20"/>
        <w:ind w:left="360"/>
      </w:pPr>
      <w:r>
        <w:rPr>
          <w:color w:val="222222"/>
          <w:sz w:val="20"/>
        </w:rPr>
        <w:t>Al cierre de Asia, el que más cayó fue el japonésNikkei (-1%), desde sus máximos históricos, seguido de cerca por la bolsa de Hong Kong. El Banco de Japón mantuvo su tasa clave, como se esperaba, pero sorprendió la cantidad de consejeros que votaron por subirla, ante los riesgos inflacionarios que emanan de la crisis en Medio Oriente.</w:t>
      </w:r>
    </w:p>
    <w:p>
      <w:pPr>
        <w:spacing w:before="20"/>
        <w:ind w:left="360"/>
      </w:pPr>
      <w:r>
        <w:rPr>
          <w:color w:val="222222"/>
          <w:sz w:val="20"/>
        </w:rPr>
        <w:t>En general los inversionistas están nerviosos por la falta de progreso diplomático entre EEUU e Irán.El petróleo Brent subía 2,5% a US$ 111 por barril, los costos de la deuda se encarecían yel dólar global se fortalecía, en medio de la espera de la respuesta de Washington a la última propuesta iraní.</w:t>
      </w:r>
    </w:p>
    <w:p>
      <w:pPr>
        <w:spacing w:before="20"/>
        <w:ind w:left="360"/>
      </w:pPr>
      <w:r>
        <w:rPr>
          <w:color w:val="222222"/>
          <w:sz w:val="20"/>
        </w:rPr>
        <w:t>Donald Trump abordará el asunto "muy pronto", afirmó la vocera de la Casa Blanca,Karoline Leavitt. "Sus líneas rojas con respecto a Irán han quedado muy, muy claras", entre ellas, impedir que Teherán fabrique un arma nuclear, señaló a la prensa este lunes.</w:t>
      </w:r>
    </w:p>
    <w:p>
      <w:pPr>
        <w:spacing w:before="20"/>
        <w:ind w:left="360"/>
      </w:pPr>
      <w:r>
        <w:rPr>
          <w:color w:val="222222"/>
          <w:sz w:val="20"/>
        </w:rPr>
        <w:t>Teherán propuso reabrir el estrecho de Ormuz a cambio del fin de la guerra y del bloqueo naval de Washington, postergando las negociaciones nucleares.Algo que no dejó satisfecho a Trump, según fuentes anónimas citadas por el New York Times, lo que posiblemente esté relacionado con la postergación de las tratativas nucleares.</w:t>
      </w:r>
    </w:p>
    <w:p>
      <w:pPr>
        <w:spacing w:before="20"/>
        <w:ind w:left="360"/>
      </w:pPr>
      <w:r>
        <w:rPr>
          <w:color w:val="222222"/>
          <w:sz w:val="20"/>
        </w:rPr>
        <w:t>El secretario de Estado de EEUU,Marco Rubio, dijo este lunes a Fox News que la propuesta es "mejor de lo que pensábamos que iban a presentar", pero también planteó: "Creo que aún hay dudas sobre si la persona que la presentó tenía la autoridad para presentar esa oferta".</w:t>
      </w:r>
    </w:p>
    <w:p>
      <w:pPr>
        <w:spacing w:before="40" w:after="120"/>
      </w:pPr>
      <w:r>
        <w:rPr>
          <w:color w:val="CCCCCC"/>
        </w:rPr>
        <w:t>· · ·</w:t>
      </w:r>
    </w:p>
    <w:p>
      <w:r>
        <w:rPr>
          <w:b/>
          <w:color w:val="E65000"/>
        </w:rPr>
        <w:t xml:space="preserve">5. </w:t>
      </w:r>
      <w:r>
        <w:rPr>
          <w:b/>
          <w:sz w:val="22"/>
        </w:rPr>
        <w:t>AFP encargan informe en derecho a Ferrada Nehme para revisar tarifas que cobrará el IPS como prestador de soporte</w:t>
      </w:r>
    </w:p>
    <w:p>
      <w:pPr>
        <w:spacing w:before="0"/>
      </w:pPr>
      <w:r>
        <w:rPr>
          <w:color w:val="0056B3"/>
          <w:sz w:val="18"/>
        </w:rPr>
        <w:t>https://www.df.cl/mercados/pensiones/afp-encargan-informe-en-derecho-a-ferrada-nehme-para-revisar-tarifas-que</w:t>
      </w:r>
    </w:p>
    <w:p>
      <w:pPr>
        <w:spacing w:before="20"/>
        <w:ind w:left="360"/>
      </w:pPr>
      <w:r>
        <w:rPr>
          <w:color w:val="222222"/>
          <w:sz w:val="20"/>
        </w:rPr>
        <w:t>Las administradoras solicitaron el estudio de manera previa al retiro del decreto tarifario desde la Contraloría por parte de la Subsecretaría de Previsión Social.</w:t>
      </w:r>
    </w:p>
    <w:p>
      <w:pPr>
        <w:spacing w:before="20"/>
        <w:ind w:left="360"/>
      </w:pPr>
      <w:r>
        <w:rPr>
          <w:color w:val="222222"/>
          <w:sz w:val="20"/>
        </w:rPr>
        <w:t>Por:Daniel Vizcarra G.Publicado: Martes 28 de abril de 2026 a las 04:00 hrs.</w:t>
      </w:r>
    </w:p>
    <w:p>
      <w:pPr>
        <w:spacing w:before="20"/>
        <w:ind w:left="360"/>
      </w:pPr>
      <w:r>
        <w:rPr>
          <w:color w:val="222222"/>
          <w:sz w:val="20"/>
        </w:rPr>
        <w:t>Publicado: Martes 28 de abril de 2026 a las 04:00 hrs.</w:t>
      </w:r>
    </w:p>
    <w:p>
      <w:pPr>
        <w:spacing w:before="20"/>
        <w:ind w:left="360"/>
      </w:pPr>
      <w:r>
        <w:rPr>
          <w:color w:val="222222"/>
          <w:sz w:val="20"/>
        </w:rPr>
        <w:t>La incorporación del Instituto de Previsión Social (IPS) como un prestador de actividades de soporte -en el marco de la reforma previsional- es uno de los temas que tienen en alerta a las AFP.</w:t>
      </w:r>
    </w:p>
    <w:p>
      <w:pPr>
        <w:spacing w:before="20"/>
        <w:ind w:left="360"/>
      </w:pPr>
      <w:r>
        <w:rPr>
          <w:color w:val="222222"/>
          <w:sz w:val="20"/>
        </w:rPr>
        <w:t>De acuerdo con la ley de reforma de pensiones, este servicio público dependiente del Ministerio del Trabajo y Previsión Social tendrá un rol destacado en el negocio previsional.</w:t>
      </w:r>
    </w:p>
    <w:p>
      <w:pPr>
        <w:spacing w:before="20"/>
        <w:ind w:left="360"/>
      </w:pPr>
      <w:r>
        <w:rPr>
          <w:color w:val="222222"/>
          <w:sz w:val="20"/>
        </w:rPr>
        <w:t>Si bien cualquier gestora podrá contratar al IPS, la medida está dirigida principalmente a aquellas que ingresarían al mercado, ya que se busca facilitar su acceso y aumentar la competencia.</w:t>
      </w:r>
    </w:p>
    <w:p>
      <w:pPr>
        <w:spacing w:before="20"/>
        <w:ind w:left="360"/>
      </w:pPr>
      <w:r>
        <w:rPr>
          <w:color w:val="222222"/>
          <w:sz w:val="20"/>
        </w:rPr>
        <w:t>En febrero, el gobierno del expresidente Boric envió a la Contraloría General de la República un decreto que definió las tarifas que el IPS pasaría a cobrar por sus servicios. Sin embargo, como reveló DF el martes de la semana pasada, este fue retirado por el actual Ejecutivo el 26 de marzo.</w:t>
      </w:r>
    </w:p>
    <w:p>
      <w:pPr>
        <w:spacing w:before="20"/>
        <w:ind w:left="360"/>
      </w:pPr>
      <w:r>
        <w:rPr>
          <w:color w:val="222222"/>
          <w:sz w:val="20"/>
        </w:rPr>
        <w:t>De todos modos, las AFP actuaron previo a esta decisión de la Subsecretaría de Previsión Social y, a través de su asociación gremial, encargaron al estudio jurídico Ferrada Nehme un informe en derecho.</w:t>
      </w:r>
    </w:p>
    <w:p>
      <w:pPr>
        <w:spacing w:before="20"/>
        <w:ind w:left="360"/>
      </w:pPr>
      <w:r>
        <w:rPr>
          <w:color w:val="222222"/>
          <w:sz w:val="20"/>
        </w:rPr>
        <w:t>De acuerdo con fuentes del sector, el mandato es analizar si los cálculos de las tarifas establecidas se realizaron con los elementos y metodologías correctas, ya que podría tener efectos anticompetitivos.</w:t>
      </w:r>
    </w:p>
    <w:p>
      <w:pPr>
        <w:spacing w:before="20"/>
        <w:ind w:left="360"/>
      </w:pPr>
      <w:r>
        <w:rPr>
          <w:color w:val="222222"/>
          <w:sz w:val="20"/>
        </w:rPr>
        <w:t>Precisamente, una de las especialidades más destacadas del estudio fundado por Nicole Nehme y Rodrigo Ferrada es lo relacionado al ámbito de la libre competencia y la regulación.</w:t>
      </w:r>
    </w:p>
    <w:p>
      <w:pPr>
        <w:spacing w:before="20"/>
        <w:ind w:left="360"/>
      </w:pPr>
      <w:r>
        <w:rPr>
          <w:color w:val="222222"/>
          <w:sz w:val="20"/>
        </w:rPr>
        <w:t>Según conocedores de este requerimiento, el informe todavía se encuentra en etapa de elaboración.</w:t>
      </w:r>
    </w:p>
    <w:p>
      <w:pPr>
        <w:spacing w:before="20"/>
        <w:ind w:left="360"/>
      </w:pPr>
      <w:r>
        <w:rPr>
          <w:color w:val="222222"/>
          <w:sz w:val="20"/>
        </w:rPr>
        <w:t>El decreto que contiene las tarifas que cobraría el IPS por sus servicios se basó en un informe técnico elaborado por las consultoras locales THM Group y Global Economistas Asociados, que concluyeron en diciembre del año pasado.</w:t>
      </w:r>
    </w:p>
    <w:p>
      <w:pPr>
        <w:spacing w:before="20"/>
        <w:ind w:left="360"/>
      </w:pPr>
      <w:r>
        <w:rPr>
          <w:color w:val="222222"/>
          <w:sz w:val="20"/>
        </w:rPr>
        <w:t>THM Group esta relacionada a los economistas Rodrigo Harrison, José Antonio Carrasco, Felipe González y Raimundo Atal. Todos ellos cuentan con postgrados en Estados Unidos, en universidades como Georgetown, Wisconsin-Madison, California-Berkeley o Columbia.</w:t>
      </w:r>
    </w:p>
    <w:p>
      <w:pPr>
        <w:spacing w:before="20"/>
        <w:ind w:left="360"/>
      </w:pPr>
      <w:r>
        <w:rPr>
          <w:color w:val="222222"/>
          <w:sz w:val="20"/>
        </w:rPr>
        <w:t>En tanto, Global está integrado por el exministro de Transportes, Andrés Gómez-Lobo, y el exsuperintendente de Servicios Sanitarios, Ronaldo Bruna. A ambos economistas se suma el abogado Pablo Rencoret, quien tuvo un paso por la división antimonopolios de la Fiscalía Nacional Económica (FNE). Los tres también cuentan con postgrados en el exterior, como en Georgetown, la University College of London y Stanford.</w:t>
      </w:r>
    </w:p>
    <w:p>
      <w:pPr>
        <w:spacing w:before="20"/>
        <w:ind w:left="360"/>
      </w:pPr>
      <w:r>
        <w:rPr>
          <w:color w:val="222222"/>
          <w:sz w:val="20"/>
        </w:rPr>
        <w:t>Uno de los apartados del informe técnico sostiene que las tarifas no deben ser inferiores a los costos de producción de sus servicios.</w:t>
      </w:r>
    </w:p>
    <w:p>
      <w:pPr>
        <w:spacing w:before="20"/>
        <w:ind w:left="360"/>
      </w:pPr>
      <w:r>
        <w:rPr>
          <w:color w:val="222222"/>
          <w:sz w:val="20"/>
        </w:rPr>
        <w:t>“El modelo se basa en la premisa de que el IPS no debe cobrar precios inferiores a los costos eficientes de producción de los servicios, en cumplimiento del principio de autofinanciamiento, y que dichos costos son aquellos que enfrentaría un operador eficiente en el mercado, en cumplimiento con el principio de neutralidad competitiva”, dice el documento.</w:t>
      </w:r>
    </w:p>
    <w:p>
      <w:pPr>
        <w:spacing w:before="20"/>
        <w:ind w:left="360"/>
      </w:pPr>
      <w:r>
        <w:rPr>
          <w:color w:val="222222"/>
          <w:sz w:val="20"/>
        </w:rPr>
        <w:t>El decreto retirado por el actual gobierno estableció siete macroprocesos que el IPS puede ofrecer como actor del negocio previsional: afiliación y cuentas; servicios de atención al cliente; recaudación y cobranzas; beneficios previsionales; procesos contables; apoyo y gestión; y gestión de riesgo.</w:t>
      </w:r>
    </w:p>
    <w:p>
      <w:pPr>
        <w:spacing w:before="20"/>
        <w:ind w:left="360"/>
      </w:pPr>
      <w:r>
        <w:rPr>
          <w:color w:val="222222"/>
          <w:sz w:val="20"/>
        </w:rPr>
        <w:t>Así, el acto administrativo señaló que para su prestación a las AFP, estos macroprocesos se agrupen en cuatro servicios a ofrecer, cuyo precio se diferenciará si la administradora que los requiere tiene menos o más de 1.260.000 afiliados.</w:t>
      </w:r>
    </w:p>
    <w:p>
      <w:pPr>
        <w:spacing w:before="20"/>
        <w:ind w:left="360"/>
      </w:pPr>
      <w:r>
        <w:rPr>
          <w:color w:val="222222"/>
          <w:sz w:val="20"/>
        </w:rPr>
        <w:t>El primero de ellos, el más costoso, es el servicio “completo”, que incluye todos los macroprocesos descritos. Tiene un costo mensual de UF 17.794 ($ 712 millones) para las AFP bajo el mencionado umbral de afiliados, mientras que para las que lo superan el precio será de UF 18.970 ($ 759 millones).</w:t>
      </w:r>
    </w:p>
    <w:p>
      <w:pPr>
        <w:spacing w:before="20"/>
        <w:ind w:left="360"/>
      </w:pPr>
      <w:r>
        <w:rPr>
          <w:color w:val="222222"/>
          <w:sz w:val="20"/>
        </w:rPr>
        <w:t>El otro grupo de mayor costo que el IPS podría ofrecer es el servicio de “soporte”, que incorpora todos los macroprocesos, pero no el de atención al cliente. Este tiene un valor mensual de UF 15.955 ($ 638 millones) para las administradoras que se encuentren en la parte baja de la barrera de afiliados. Para aquellas AFP que estén sobre ese límite, el precio que cobrará el IPS será de UF 16.683 ($ 667 millones).</w:t>
      </w:r>
    </w:p>
    <w:p>
      <w:pPr>
        <w:spacing w:before="20"/>
        <w:ind w:left="360"/>
      </w:pPr>
      <w:r>
        <w:rPr>
          <w:color w:val="222222"/>
          <w:sz w:val="20"/>
        </w:rPr>
        <w:t>Un tercer grupo es el de “atención”, con un costo mucho más bajo que los dos descritos con anterioridad. Este incluye la atención al cliente, apoyo y gestión, y la gestión de riesgo. El organismo cobrará una comisión que varía entre UF 6.792 ($ 272 millones) mensual y los UF 7.374 ($ 295 millones).</w:t>
      </w:r>
    </w:p>
    <w:p>
      <w:pPr>
        <w:spacing w:before="20"/>
        <w:ind w:left="360"/>
      </w:pPr>
      <w:r>
        <w:rPr>
          <w:color w:val="222222"/>
          <w:sz w:val="20"/>
        </w:rPr>
        <w:t>El último grupo es el “acotado”, que incorpora a todos los servicios, menos la afiliación y cuentas, aunque se ofrece realizar de manera parcial los macroprocesos de recaudación y de pago de beneficios. Este tendrá un valor de UF 15.015 ($ 601 millones) para las administradoras bajo los 1.260.000 afiliados, mientras que para las que superen esa cifra tendrá un valor de UF 15.962 ($ 639 millones).</w:t>
      </w:r>
    </w:p>
    <w:p>
      <w:pPr>
        <w:spacing w:before="20"/>
        <w:ind w:left="360"/>
      </w:pPr>
      <w:r>
        <w:rPr>
          <w:color w:val="222222"/>
          <w:sz w:val="20"/>
        </w:rPr>
        <w:t>“La definición de las tarifas busca asegurar que la provisión de estos servicios se realice en condiciones competitivamente neutrales, evitando que la participación del IPS distorsione la competencia o genere ventajas indebidas frente a eventuales oferentes privados”, señala el informe técnico elaborado por las consultoras.</w:t>
      </w:r>
    </w:p>
    <w:p>
      <w:pPr>
        <w:spacing w:before="40" w:after="120"/>
      </w:pPr>
      <w:r>
        <w:rPr>
          <w:color w:val="CCCCCC"/>
        </w:rPr>
        <w:t>· · ·</w:t>
      </w:r>
    </w:p>
    <w:p/>
    <w:p>
      <w:pPr>
        <w:pStyle w:val="Heading1"/>
      </w:pPr>
      <w:r>
        <w:rPr>
          <w:color w:val="E65000"/>
        </w:rPr>
        <w:t>🔹 Empresas</w:t>
      </w:r>
    </w:p>
    <w:p>
      <w:r>
        <w:rPr>
          <w:b/>
          <w:color w:val="E65000"/>
        </w:rPr>
        <w:t xml:space="preserve">1. </w:t>
      </w:r>
      <w:r>
        <w:rPr>
          <w:b/>
          <w:sz w:val="22"/>
        </w:rPr>
        <w:t>Gobierno define nueva mesa directiva de EFE y economista Jorge Claude asume presidencia</w:t>
      </w:r>
      <w:r>
        <w:rPr>
          <w:color w:val="CC7700"/>
          <w:sz w:val="18"/>
        </w:rPr>
        <w:t xml:space="preserve">  [⭐ Destacada]</w:t>
      </w:r>
    </w:p>
    <w:p>
      <w:pPr>
        <w:spacing w:before="0"/>
      </w:pPr>
      <w:r>
        <w:rPr>
          <w:color w:val="0056B3"/>
          <w:sz w:val="18"/>
        </w:rPr>
        <w:t>https://www.df.cl/empresas/actualidad/gobierno-define-nueva-mesa-directiva-de-efe-y-economista-jorge-claude-asume</w:t>
      </w:r>
    </w:p>
    <w:p>
      <w:pPr>
        <w:spacing w:before="20"/>
        <w:ind w:left="360"/>
      </w:pPr>
      <w:r>
        <w:rPr>
          <w:color w:val="222222"/>
          <w:sz w:val="20"/>
        </w:rPr>
        <w:t>El nuevo timonel del directorio tiene una vasta experiencia en la industria de seguros del país.</w:t>
      </w:r>
    </w:p>
    <w:p>
      <w:pPr>
        <w:spacing w:before="20"/>
        <w:ind w:left="360"/>
      </w:pPr>
      <w:r>
        <w:rPr>
          <w:color w:val="222222"/>
          <w:sz w:val="20"/>
        </w:rPr>
        <w:t>Publicado: Martes 28 de abril de 2026 a las 08:30 hrs.</w:t>
      </w:r>
    </w:p>
    <w:p>
      <w:pPr>
        <w:spacing w:before="20"/>
        <w:ind w:left="360"/>
      </w:pPr>
      <w:r>
        <w:rPr>
          <w:color w:val="222222"/>
          <w:sz w:val="20"/>
        </w:rPr>
        <w:t>El consejo directivo del Sistema de Empresas Públicas (SEP), a cargo del exministro Felipe Morandé,acordó designar a Jorge Claude Bourdel como nuevo presidente del directorio de la Empresa de los Ferrocarriles del Estado (EFE), en reemplazo de Eric Martin González, quien estuvo a la cabeza de la estatal desde mayo de 2022.</w:t>
      </w:r>
    </w:p>
    <w:p>
      <w:pPr>
        <w:spacing w:before="20"/>
        <w:ind w:left="360"/>
      </w:pPr>
      <w:r>
        <w:rPr>
          <w:color w:val="222222"/>
          <w:sz w:val="20"/>
        </w:rPr>
        <w:t>El nombramiento fue notificado a través de un hecho esencial emitido a la Comisión para el Mercado Financiero (CMF) y firmado por el actual gerente general del tren estatal, José Solorza.</w:t>
      </w:r>
    </w:p>
    <w:p>
      <w:pPr>
        <w:spacing w:before="20"/>
        <w:ind w:left="360"/>
      </w:pPr>
      <w:r>
        <w:rPr>
          <w:color w:val="222222"/>
          <w:sz w:val="20"/>
        </w:rPr>
        <w:t>Jorge Claude es ingeniero titulado en la Universidad de Chile y máster en Economía y Dirección de Empresas en la IESE Business School de la Universidad de Navarra. En su trayectoria profesional destacan cargos como presidente de la Federación Interamericana de Empresas de Seguros (Fides), director de Save Compañía de Seguros de Vida, vicepresidente ejecutivo de la Asociación de Aseguradores de Chile, entre otros.</w:t>
      </w:r>
    </w:p>
    <w:p>
      <w:pPr>
        <w:spacing w:before="20"/>
        <w:ind w:left="360"/>
      </w:pPr>
      <w:r>
        <w:rPr>
          <w:color w:val="222222"/>
          <w:sz w:val="20"/>
        </w:rPr>
        <w:t>De acuerdo con el documento enviado al regulador del mercado, el SEP también designó a los demás miembros del directorio,desde ahora compuesto por Paulina Henoch Inostroza, en reemplazo de Fidel Miranda; Catalina Palacios Parra, en relevo de Loreto Wahr; Víctor Germán Correa Díaz, en sustitución de Rafael Epstein; el arquitecto Pablo Allard Serrano, en sucesión de Mabel Leva; María Verónica Benedetti, en reemplazo de Juan Carrasco; y Franco Faccilongo Forno, quien releva a Beatriz Bonifetti.</w:t>
      </w:r>
    </w:p>
    <w:p>
      <w:pPr>
        <w:spacing w:before="40" w:after="120"/>
      </w:pPr>
      <w:r>
        <w:rPr>
          <w:color w:val="CCCCCC"/>
        </w:rPr>
        <w:t>· · ·</w:t>
      </w:r>
    </w:p>
    <w:p>
      <w:r>
        <w:rPr>
          <w:b/>
          <w:color w:val="E65000"/>
        </w:rPr>
        <w:t xml:space="preserve">2. </w:t>
      </w:r>
      <w:r>
        <w:rPr>
          <w:b/>
          <w:sz w:val="22"/>
        </w:rPr>
        <w:t>Anglo American sube levemente producción de cobre en primer trimestre y gestiona inflación de costos operativos por guerra en Medio Oriente</w:t>
      </w:r>
      <w:r>
        <w:rPr>
          <w:color w:val="CC7700"/>
          <w:sz w:val="18"/>
        </w:rPr>
        <w:t xml:space="preserve">  [⭐ Destacada]</w:t>
      </w:r>
    </w:p>
    <w:p>
      <w:pPr>
        <w:spacing w:before="0"/>
      </w:pPr>
      <w:r>
        <w:rPr>
          <w:color w:val="0056B3"/>
          <w:sz w:val="18"/>
        </w:rPr>
        <w:t>https://www.df.cl/empresas/mineria/anglo-american-sube-levemente-produccion-de-cobre-en-primer-trimestre-y</w:t>
      </w:r>
    </w:p>
    <w:p>
      <w:pPr>
        <w:spacing w:before="20"/>
        <w:ind w:left="360"/>
      </w:pPr>
      <w:r>
        <w:rPr>
          <w:color w:val="222222"/>
          <w:sz w:val="20"/>
        </w:rPr>
        <w:t>La producción del metal fue impulsada por las minas de Los Bronces y Collahuasi en Chile.</w:t>
      </w:r>
    </w:p>
    <w:p>
      <w:pPr>
        <w:spacing w:before="20"/>
        <w:ind w:left="360"/>
      </w:pPr>
      <w:r>
        <w:rPr>
          <w:color w:val="222222"/>
          <w:sz w:val="20"/>
        </w:rPr>
        <w:t>Por:ReutersPublicado: Martes 28 de abril de 2026 a las 06:20 hrs.</w:t>
      </w:r>
    </w:p>
    <w:p>
      <w:pPr>
        <w:spacing w:before="20"/>
        <w:ind w:left="360"/>
      </w:pPr>
      <w:r>
        <w:rPr>
          <w:color w:val="222222"/>
          <w:sz w:val="20"/>
        </w:rPr>
        <w:t>Publicado: Martes 28 de abril de 2026 a las 06:20 hrs.</w:t>
      </w:r>
    </w:p>
    <w:p>
      <w:pPr>
        <w:spacing w:before="20"/>
        <w:ind w:left="360"/>
      </w:pPr>
      <w:r>
        <w:rPr>
          <w:color w:val="222222"/>
          <w:sz w:val="20"/>
        </w:rPr>
        <w:t>La mina de cobre y molibdeno Los Bronces se encuentra a 65 kilómetros de Santiago y a 3.500 metros sobre el nivel del mar. (Foto: Reuters)</w:t>
      </w:r>
    </w:p>
    <w:p>
      <w:pPr>
        <w:spacing w:before="20"/>
        <w:ind w:left="360"/>
      </w:pPr>
      <w:r>
        <w:rPr>
          <w:color w:val="222222"/>
          <w:sz w:val="20"/>
        </w:rPr>
        <w:t>Anglo American anunció el martes un aumento del 1% en la producción de cobre del primer trimestre, impulsado por el incremento de la producción en sus minas deLos Bronces y Collahuasi en Chile, y mantuvo sus previsiones de producción anual.</w:t>
      </w:r>
    </w:p>
    <w:p>
      <w:pPr>
        <w:spacing w:before="20"/>
        <w:ind w:left="360"/>
      </w:pPr>
      <w:r>
        <w:rPr>
          <w:color w:val="222222"/>
          <w:sz w:val="20"/>
        </w:rPr>
        <w:t>Anglo,que acordó fusionarse con la canadiense Teck Resourcespara crearel quinto mayor productor de cobre del mundo, dijo quese desprenderá de sus activos no esenciales, incluidas sus operaciones de carbón y su unidad de diamantes De Beers, tal y como estaba previsto.</w:t>
      </w:r>
    </w:p>
    <w:p>
      <w:pPr>
        <w:spacing w:before="20"/>
        <w:ind w:left="360"/>
      </w:pPr>
      <w:r>
        <w:rPr>
          <w:color w:val="222222"/>
          <w:sz w:val="20"/>
        </w:rPr>
        <w:t>"Estamos avanzando en el proceso de venta de De Beers y seguimos evaluando nuevas medidas de reducción de costos y preservación de capital para minimizar el impacto de los difíciles mercados de diamantes", dijo el director ejecutivo, Duncan Wanblad, en un comunicado.</w:t>
      </w:r>
    </w:p>
    <w:p>
      <w:pPr>
        <w:spacing w:before="20"/>
        <w:ind w:left="360"/>
      </w:pPr>
      <w:r>
        <w:rPr>
          <w:color w:val="222222"/>
          <w:sz w:val="20"/>
        </w:rPr>
        <w:t>Anglo, que ha estadoracionalizando sus operaciones para volver a centrarse en el cobre desde que fracasó el intento de compra por parte de BHP en 2024, dijo que estaba gestionando activamente los posibles impactos adversos, como la inflación de los costos operativos derivada del conflicto en Medio Oriente.</w:t>
      </w:r>
    </w:p>
    <w:p>
      <w:pPr>
        <w:spacing w:before="20"/>
        <w:ind w:left="360"/>
      </w:pPr>
      <w:r>
        <w:rPr>
          <w:color w:val="222222"/>
          <w:sz w:val="20"/>
        </w:rPr>
        <w:t>La minera espera producir entre 700.000 y 760.000 toneladas de cobre durante el año. La empresa produjo 170.000 toneladas en el trimestre que finalizó el 31 de marzo, lo que supone un aumento de 1.000 toneladas con respecto al año anterior.</w:t>
      </w:r>
    </w:p>
    <w:p>
      <w:pPr>
        <w:spacing w:before="40" w:after="120"/>
      </w:pPr>
      <w:r>
        <w:rPr>
          <w:color w:val="CCCCCC"/>
        </w:rPr>
        <w:t>· · ·</w:t>
      </w:r>
    </w:p>
    <w:p>
      <w:r>
        <w:rPr>
          <w:b/>
          <w:color w:val="E65000"/>
        </w:rPr>
        <w:t xml:space="preserve">3. </w:t>
      </w:r>
      <w:r>
        <w:rPr>
          <w:b/>
          <w:sz w:val="22"/>
        </w:rPr>
        <w:t>Contraloría publica reglamento de Ley Uber e industria proyecta su implementación para el segundo semestre</w:t>
      </w:r>
      <w:r>
        <w:rPr>
          <w:color w:val="CC7700"/>
          <w:sz w:val="18"/>
        </w:rPr>
        <w:t xml:space="preserve">  [⭐ Destacada]</w:t>
      </w:r>
    </w:p>
    <w:p>
      <w:pPr>
        <w:spacing w:before="0"/>
      </w:pPr>
      <w:r>
        <w:rPr>
          <w:color w:val="0056B3"/>
          <w:sz w:val="18"/>
        </w:rPr>
        <w:t>https://www.df.cl/empresas/industria/contraloria-publica-reglamento-de-ley-uber-e-industria-proyecta-su</w:t>
      </w:r>
    </w:p>
    <w:p>
      <w:pPr>
        <w:spacing w:before="20"/>
        <w:ind w:left="360"/>
      </w:pPr>
      <w:r>
        <w:rPr>
          <w:color w:val="222222"/>
          <w:sz w:val="20"/>
        </w:rPr>
        <w:t>El respectivo escrito propone la creación de un software que tiene plazo hasta agosto para ser desarrollado por la empresa Arkhotech.</w:t>
      </w:r>
    </w:p>
    <w:p>
      <w:pPr>
        <w:spacing w:before="20"/>
        <w:ind w:left="360"/>
      </w:pPr>
      <w:r>
        <w:rPr>
          <w:color w:val="222222"/>
          <w:sz w:val="20"/>
        </w:rPr>
        <w:t>Publicado: Martes 28 de abril de 2026 a las 04:00 hrs.</w:t>
      </w:r>
    </w:p>
    <w:p>
      <w:pPr>
        <w:spacing w:before="20"/>
        <w:ind w:left="360"/>
      </w:pPr>
      <w:r>
        <w:rPr>
          <w:color w:val="222222"/>
          <w:sz w:val="20"/>
        </w:rPr>
        <w:t>Tiene la firma del actual ministro Louis de Grange; y la del presidente José Antonio Kast. El viernes de la semana pasada, el Ministerio de Transporte y Telecomunicaciones ingresó a Contraloría el esperado reglamento que pondrá en marcha la Ley 21.553, mejor conocida como “Ley Uber”. Este lunes, Contraloría hizo público su ingreso y adjuntó el documento redactado por la actual administración.</w:t>
      </w:r>
    </w:p>
    <w:p>
      <w:pPr>
        <w:spacing w:before="20"/>
        <w:ind w:left="360"/>
      </w:pPr>
      <w:r>
        <w:rPr>
          <w:color w:val="222222"/>
          <w:sz w:val="20"/>
        </w:rPr>
        <w:t>Tal como ya habían adelantado desde la cartera, el nuevo borrador eliminó el debatido requisito técnico de cilindrada mínima y aumentó la antigüedad máxima de los autos que conductores podrán inscribirse por primera vez en el Registro Electrónico (que administrará toda la información requerida por parte de la autoridad a las empresas y conductores) de uno a cinco años. La antigüedad máxima, en tanto, se fijó en 15 años.</w:t>
      </w:r>
    </w:p>
    <w:p>
      <w:pPr>
        <w:spacing w:before="20"/>
        <w:ind w:left="360"/>
      </w:pPr>
      <w:r>
        <w:rPr>
          <w:color w:val="222222"/>
          <w:sz w:val="20"/>
        </w:rPr>
        <w:t>¿Qué aspectos sí se mantuvieron del reglamento anterior propuesto por la cartera dirigida por el exministro Juan Carlos Muñoz? La obligatoriedad para que –luego de 12 meses de la entrada en vigencia de la ley– los conductores en las respectivas aplicaciones tengan que contar con una licencia de conductor profesional (Clase A), que hoy se le exige a los taxistas.</w:t>
      </w:r>
    </w:p>
    <w:p>
      <w:pPr>
        <w:spacing w:before="20"/>
        <w:ind w:left="360"/>
      </w:pPr>
      <w:r>
        <w:rPr>
          <w:color w:val="222222"/>
          <w:sz w:val="20"/>
        </w:rPr>
        <w:t>Consultadas las principales empresas de aplicación de transportes (EAT) –como Uber, Cabify y Didi– sobre los cambios efectuados, las firmas prefirieron no referirse al tema, pues aún se encuentran evaluando el escrito. No obstante, fuentes cercanas a las compañías, aseguraron a DF que aún queda un extenso camino por recorrer para que la ley –con su respectivo reglamento– comience a regir como tal.</w:t>
      </w:r>
    </w:p>
    <w:p>
      <w:pPr>
        <w:spacing w:before="20"/>
        <w:ind w:left="360"/>
      </w:pPr>
      <w:r>
        <w:rPr>
          <w:color w:val="222222"/>
          <w:sz w:val="20"/>
        </w:rPr>
        <w:t>Cabe recordar que el instructivo ingresado por la cartera de Transportes y Telecomunicaciones aún debe recibir visto bueno de parte de Contraloría y, a partir de ahí, el mismo Ministerio debe publicarlo. En el caso de la administración anterior, pese a que Contraloría ya había entregado su visto bueno al borrador, el ministro Juan Carlos Muñoz optó por no publicarlo.</w:t>
      </w:r>
    </w:p>
    <w:p>
      <w:pPr>
        <w:spacing w:before="20"/>
        <w:ind w:left="360"/>
      </w:pPr>
      <w:r>
        <w:rPr>
          <w:color w:val="222222"/>
          <w:sz w:val="20"/>
        </w:rPr>
        <w:t>Un jugador crucial en la implementación de la ley es el software que canalizará toda la información que empresas deben compartir con la autoridad, según lo mandata el mismo reglamento.</w:t>
      </w:r>
    </w:p>
    <w:p>
      <w:pPr>
        <w:spacing w:before="20"/>
        <w:ind w:left="360"/>
      </w:pPr>
      <w:r>
        <w:rPr>
          <w:color w:val="222222"/>
          <w:sz w:val="20"/>
        </w:rPr>
        <w:t>Su ejecución no ha estado exenta de trabas. Pese a que el servicio fue licitado por primera vez en 2024 –concurso que tuvo como ganador a Concordia Ediciones SpA, por un monto cercano a los $ 513 millones– lo pactado no se concretó, por lo que la autoridad tuvo que abrir otro concurso, adjudicado en febrero pasado a la empresa Arkhotech. El software final, según lo convenido con la empresa, debe estar listo de aquí a agosto próximo.</w:t>
      </w:r>
    </w:p>
    <w:p>
      <w:pPr>
        <w:spacing w:before="20"/>
        <w:ind w:left="360"/>
      </w:pPr>
      <w:r>
        <w:rPr>
          <w:color w:val="222222"/>
          <w:sz w:val="20"/>
        </w:rPr>
        <w:t>Recién ahí, explicaron fuentes ligadas a las firmas, las diferentes empresas podrán comenzar a trabajar en respectivas API -aplicaciones de software- para poder cumplir con la entrega de información que el Ministerio les mandata.</w:t>
      </w:r>
    </w:p>
    <w:p>
      <w:pPr>
        <w:spacing w:before="20"/>
        <w:ind w:left="360"/>
      </w:pPr>
      <w:r>
        <w:rPr>
          <w:color w:val="222222"/>
          <w:sz w:val="20"/>
        </w:rPr>
        <w:t>Según el reglamento y su escrito, las EAT deberán disponibilizar dos vías para entregar los diferentes datos exigidos: un servicio de transferencia de datos contra demanda y un servicio de transferencia de datos históricos.</w:t>
      </w:r>
    </w:p>
    <w:p>
      <w:pPr>
        <w:spacing w:before="20"/>
        <w:ind w:left="360"/>
      </w:pPr>
      <w:r>
        <w:rPr>
          <w:color w:val="222222"/>
          <w:sz w:val="20"/>
        </w:rPr>
        <w:t>Entre ambos, dice el escrito, se debe incluir información como patentes de los conductores, los estado de sus viajes, las fechas y horas de las consultas de los usuarios, las duraciones de los viajes, entre otros.</w:t>
      </w:r>
    </w:p>
    <w:p>
      <w:pPr>
        <w:spacing w:before="20"/>
        <w:ind w:left="360"/>
      </w:pPr>
      <w:r>
        <w:rPr>
          <w:color w:val="222222"/>
          <w:sz w:val="20"/>
        </w:rPr>
        <w:t>La construcción de estos sistemas no podrá comenzar, sin embargo, si es que el software adjudicado a la empresa Arkhotech no está listo. Fuentes cercanas a las firmas afirmaron que el proceso para montar estas API puede llevar meses.</w:t>
      </w:r>
    </w:p>
    <w:p>
      <w:pPr>
        <w:spacing w:before="40" w:after="120"/>
      </w:pPr>
      <w:r>
        <w:rPr>
          <w:color w:val="CCCCCC"/>
        </w:rPr>
        <w:t>· · ·</w:t>
      </w:r>
    </w:p>
    <w:p>
      <w:r>
        <w:rPr>
          <w:b/>
          <w:color w:val="E65000"/>
        </w:rPr>
        <w:t xml:space="preserve">4. </w:t>
      </w:r>
      <w:r>
        <w:rPr>
          <w:b/>
          <w:sz w:val="22"/>
        </w:rPr>
        <w:t>Concesionaria de Hospital Félix Bulnes vuelve a arremeter contra MOP y acusa seis años de operación bajo condiciones no pactadas</w:t>
      </w:r>
    </w:p>
    <w:p>
      <w:pPr>
        <w:spacing w:before="0"/>
      </w:pPr>
      <w:r>
        <w:rPr>
          <w:color w:val="0056B3"/>
          <w:sz w:val="18"/>
        </w:rPr>
        <w:t>https://www.df.cl/empresas/construccion/concesionaria-de-hospital-felix-bulnes-vuelve-a-arremeter-contra-mop-y</w:t>
      </w:r>
    </w:p>
    <w:p>
      <w:pPr>
        <w:spacing w:before="20"/>
        <w:ind w:left="360"/>
      </w:pPr>
      <w:r>
        <w:rPr>
          <w:color w:val="222222"/>
          <w:sz w:val="20"/>
        </w:rPr>
        <w:t>La sociedad reclama una compensación por cerca de US$ 16 millones. La ofensiva se suma al litigio iniciado en 2024, cuando exigió pagos por hasta US$ 107 millones.</w:t>
      </w:r>
    </w:p>
    <w:p>
      <w:pPr>
        <w:spacing w:before="20"/>
        <w:ind w:left="360"/>
      </w:pPr>
      <w:r>
        <w:rPr>
          <w:color w:val="222222"/>
          <w:sz w:val="20"/>
        </w:rPr>
        <w:t>Publicado: Martes 28 de abril de 2026 a las 04:00 hrs.</w:t>
      </w:r>
    </w:p>
    <w:p>
      <w:pPr>
        <w:spacing w:before="20"/>
        <w:ind w:left="360"/>
      </w:pPr>
      <w:r>
        <w:rPr>
          <w:color w:val="222222"/>
          <w:sz w:val="20"/>
        </w:rPr>
        <w:t>En mayo de 2024, la sociedad concesionaria a cargo del Hospital Félix Bulnes -ligada al gestor de fondos francés Meridian- inició una batalla contra el Ministerio de Obras Públicas (MOP), en la que pidió ser compensada por una suma que podría alcanzar hasta UF 2.409.452, equivalentes a cerca de US$ 107 millones.</w:t>
      </w:r>
    </w:p>
    <w:p>
      <w:pPr>
        <w:spacing w:before="20"/>
        <w:ind w:left="360"/>
      </w:pPr>
      <w:r>
        <w:rPr>
          <w:color w:val="222222"/>
          <w:sz w:val="20"/>
        </w:rPr>
        <w:t>A juicio de la firma, el hospital “ha operado de forma completamente distinta a la pactada bajo el contrato de concesión”, afectando los servicios concesionados tanto en volumen como en exigencias adicionales.</w:t>
      </w:r>
    </w:p>
    <w:p>
      <w:pPr>
        <w:spacing w:before="20"/>
        <w:ind w:left="360"/>
      </w:pPr>
      <w:r>
        <w:rPr>
          <w:color w:val="222222"/>
          <w:sz w:val="20"/>
        </w:rPr>
        <w:t>En concreto, en una discrepancia ingresada ese año ante el Panel Técnico de Concesiones, la sociedad sostuvo que desde 2020 -período en que asumió la operación del recinto- se han producido una serie de situaciones que alteran las condiciones originalmente pactadas en el contrato.</w:t>
      </w:r>
    </w:p>
    <w:p>
      <w:pPr>
        <w:spacing w:before="20"/>
        <w:ind w:left="360"/>
      </w:pPr>
      <w:r>
        <w:rPr>
          <w:color w:val="222222"/>
          <w:sz w:val="20"/>
        </w:rPr>
        <w:t>Frente a este escenario, el Panel Técnico propuso un mecanismo para recomponer parte de esos pagos. Sin embargo, la fórmula no dejó conforme a la concesionaria, que decidió escalar el caso a la Comisión Arbitral para exigir una compensación; proceso que sigue en curso.</w:t>
      </w:r>
    </w:p>
    <w:p>
      <w:pPr>
        <w:spacing w:before="20"/>
        <w:ind w:left="360"/>
      </w:pPr>
      <w:r>
        <w:rPr>
          <w:color w:val="222222"/>
          <w:sz w:val="20"/>
        </w:rPr>
        <w:t>A casi dos años de ese primer conflicto, la concesionaria volvió a abrir un nuevo frente contra la cartera liderada por Martín Arrau. Esta vez, la sociedad ingresó una nueva discrepancia en la que solicita una compensación por UF 351.431, equivalentes a cerca de US$ 16 millones, sobre la misma base de su reclamación anterior: que las afectaciones denunciadas en 2024 se mantuvieron entre abril de ese año y diciembre de 2025.</w:t>
      </w:r>
    </w:p>
    <w:p>
      <w:pPr>
        <w:spacing w:before="20"/>
        <w:ind w:left="360"/>
      </w:pPr>
      <w:r>
        <w:rPr>
          <w:color w:val="222222"/>
          <w:sz w:val="20"/>
        </w:rPr>
        <w:t>“De allí que la presente discrepancia está limitada materialmente por los daños y efectos negativos que se han provocado a la concesionaria por el período comprendido”, se desprende del escrito presentado por la firma.</w:t>
      </w:r>
    </w:p>
    <w:p>
      <w:pPr>
        <w:spacing w:before="20"/>
        <w:ind w:left="360"/>
      </w:pPr>
      <w:r>
        <w:rPr>
          <w:color w:val="222222"/>
          <w:sz w:val="20"/>
        </w:rPr>
        <w:t>La compañía ligada al fondo francés sostuvo que, desde el inicio de la etapa de explotación de la concesión, y por causas atribuibles al Fisco, al MOP y al Ministerio de Salud, el hospital ha operado bajo condiciones distintas a las previstas en el contrato, afectando -al igual que lo señalado en 2024- tanto el volumen de los servicios concesionados como el nivel de exigencia requerido para prestarlos.</w:t>
      </w:r>
    </w:p>
    <w:p>
      <w:pPr>
        <w:spacing w:before="20"/>
        <w:ind w:left="360"/>
      </w:pPr>
      <w:r>
        <w:rPr>
          <w:color w:val="222222"/>
          <w:sz w:val="20"/>
        </w:rPr>
        <w:t>Uno de los principales puntos que expuso la concesionaria es la habilitación permanente de camas y elementos de hospitalización en zonas no contempladas para ese uso.</w:t>
      </w:r>
    </w:p>
    <w:p>
      <w:pPr>
        <w:spacing w:before="20"/>
        <w:ind w:left="360"/>
      </w:pPr>
      <w:r>
        <w:rPr>
          <w:color w:val="222222"/>
          <w:sz w:val="20"/>
        </w:rPr>
        <w:t>En concreto, aseguró que en el hospital se han instalado de forma permanente 111 dispositivos utilizados como camas para hospitalización de pacientes en áreas de apoyo clínico. Según la firma, esto ha elevado de forma sostenida la demanda por servicios concesionados, sin que ese mayor uso esté contemplado en el contrato ni en el mecanismo de pagos.</w:t>
      </w:r>
    </w:p>
    <w:p>
      <w:pPr>
        <w:spacing w:before="20"/>
        <w:ind w:left="360"/>
      </w:pPr>
      <w:r>
        <w:rPr>
          <w:color w:val="222222"/>
          <w:sz w:val="20"/>
        </w:rPr>
        <w:t>Otro de los puntos que cuestionó la concesionaria es la imposición de exigencias adicionales en la prestación de seis servicios concesionados, lo que -según afirmó- la ha obligado a operar bajo condiciones más gravosas que las originalmente pactadas. A juicio de la firma, esto ha significado asumir cargas no previstas y costos adicionales fuera del marco contractual.</w:t>
      </w:r>
    </w:p>
    <w:p>
      <w:pPr>
        <w:spacing w:before="20"/>
        <w:ind w:left="360"/>
      </w:pPr>
      <w:r>
        <w:rPr>
          <w:color w:val="222222"/>
          <w:sz w:val="20"/>
        </w:rPr>
        <w:t>A ello suma la operación de servicios no contemplados en el contrato, como la denominada “Unidad de Pre-Alta”, que -según sostuvo- no está regulada en la concesión y que, pese a ello, comenzó a operar, generando costos efectivos sin reconocimiento en el esquema de pagos asociado a los días cama ocupados.</w:t>
      </w:r>
    </w:p>
    <w:p>
      <w:pPr>
        <w:spacing w:before="20"/>
        <w:ind w:left="360"/>
      </w:pPr>
      <w:r>
        <w:rPr>
          <w:color w:val="222222"/>
          <w:sz w:val="20"/>
        </w:rPr>
        <w:t>Este tipo de requerimientos, afirmó la concesionaria, ha afectado directamente la estructura económica del contrato, al imponer costos permanentes derivados de servicios que exceden el diseño original de la concesión.</w:t>
      </w:r>
    </w:p>
    <w:p>
      <w:pPr>
        <w:spacing w:before="20"/>
        <w:ind w:left="360"/>
      </w:pPr>
      <w:r>
        <w:rPr>
          <w:color w:val="222222"/>
          <w:sz w:val="20"/>
        </w:rPr>
        <w:t>En esa línea, la firma sostuvo que se produjo un quiebre del equilibrio económico del contrato, ya que la operación efectiva del hospital desde el inicio de la explotación se ha apartado de manera significativa de las condiciones originalmente pactadas.</w:t>
      </w:r>
    </w:p>
    <w:p>
      <w:pPr>
        <w:spacing w:before="20"/>
        <w:ind w:left="360"/>
      </w:pPr>
      <w:r>
        <w:rPr>
          <w:color w:val="222222"/>
          <w:sz w:val="20"/>
        </w:rPr>
        <w:t>“Tales transgresiones han implicado un escenario de sobrecarga estructural, no transitoria, que ha afectado de manera permanente la operación de la concesión con exigencias operativas fuera del Contrato de Concesión. Esta situación impide el cumplimiento de los principios de autofinanciamiento eficiente y equilibrio económico establecidos en el marco normativo de la Ley de Concesiones”, concluyó la sociedad.</w:t>
      </w:r>
    </w:p>
    <w:p>
      <w:pPr>
        <w:spacing w:before="40" w:after="120"/>
      </w:pPr>
      <w:r>
        <w:rPr>
          <w:color w:val="CCCCCC"/>
        </w:rPr>
        <w:t>· · ·</w:t>
      </w:r>
    </w:p>
    <w:p>
      <w:r>
        <w:rPr>
          <w:b/>
          <w:color w:val="E65000"/>
        </w:rPr>
        <w:t xml:space="preserve">5. </w:t>
      </w:r>
      <w:r>
        <w:rPr>
          <w:b/>
          <w:sz w:val="22"/>
        </w:rPr>
        <w:t>Codelco ingresa proyecto de US$ 12 millones para explorar potencial de recursos de litio en sus pertenencias en el Salar de Pedernales</w:t>
      </w:r>
    </w:p>
    <w:p>
      <w:pPr>
        <w:spacing w:before="0"/>
      </w:pPr>
      <w:r>
        <w:rPr>
          <w:color w:val="0056B3"/>
          <w:sz w:val="18"/>
        </w:rPr>
        <w:t>https://www.df.cl/empresas/mineria/codelco-ingresa-proyecto-de-us-12-millones-para-explorar-potencial-de</w:t>
      </w:r>
    </w:p>
    <w:p>
      <w:pPr>
        <w:spacing w:before="20"/>
        <w:ind w:left="360"/>
      </w:pPr>
      <w:r>
        <w:rPr>
          <w:color w:val="222222"/>
          <w:sz w:val="20"/>
        </w:rPr>
        <w:t>La estatal detalló que, para los programas de exploración, la iniciativa requerirá 114 pozos de sondeo.</w:t>
      </w:r>
    </w:p>
    <w:p>
      <w:pPr>
        <w:spacing w:before="20"/>
        <w:ind w:left="360"/>
      </w:pPr>
      <w:r>
        <w:rPr>
          <w:color w:val="222222"/>
          <w:sz w:val="20"/>
        </w:rPr>
        <w:t>Publicado: Martes 28 de abril de 2026 a las 04:00 hrs.</w:t>
      </w:r>
    </w:p>
    <w:p>
      <w:pPr>
        <w:spacing w:before="20"/>
        <w:ind w:left="360"/>
      </w:pPr>
      <w:r>
        <w:rPr>
          <w:color w:val="222222"/>
          <w:sz w:val="20"/>
        </w:rPr>
        <w:t>La estatal Codelco sigue ampliando su ruta hacia el litio. Así, tras la materialización de la empresa conjunta con SQM, Nova Andino Litio, la cuprera ingresó este lunes a evaluación ambiental un proyecto de US$ 12 millones con el que buscaráidentificar el potencial de los recursos del "oro blanco" que se encuentran en las propiedades mineras que posee en el Salar de Pedernales.</w:t>
      </w:r>
    </w:p>
    <w:p>
      <w:pPr>
        <w:spacing w:before="20"/>
        <w:ind w:left="360"/>
      </w:pPr>
      <w:r>
        <w:rPr>
          <w:color w:val="222222"/>
          <w:sz w:val="20"/>
        </w:rPr>
        <w:t>De acuerdo con la Declaración de Impacto Ambiental (DIA), la iniciativacontempla la ejecución de un programa de exploración minera de tres campañas, pruebas de bombeo y también de reinyección de salmuera en la laguna salina con el fin de validar la viabilidad técnica de este método. Para todo lo anterior,el programa considera la perforación de 114 pozos de sondeo.</w:t>
      </w:r>
    </w:p>
    <w:p>
      <w:pPr>
        <w:spacing w:before="40" w:after="120"/>
      </w:pPr>
      <w:r>
        <w:rPr>
          <w:color w:val="CCCCCC"/>
        </w:rPr>
        <w:t>· · ·</w:t>
      </w:r>
    </w:p>
    <w:p/>
    <w:p>
      <w:pPr>
        <w:pStyle w:val="Heading1"/>
      </w:pPr>
      <w:r>
        <w:rPr>
          <w:color w:val="E65000"/>
        </w:rPr>
        <w:t>🔹 Economía</w:t>
      </w:r>
    </w:p>
    <w:p>
      <w:r>
        <w:rPr>
          <w:b/>
          <w:color w:val="E65000"/>
        </w:rPr>
        <w:t xml:space="preserve">1. </w:t>
      </w:r>
      <w:r>
        <w:rPr>
          <w:b/>
          <w:sz w:val="22"/>
        </w:rPr>
        <w:t>Quiroz y la polémica por oficio Dipres: "Es una comunicación interna entre ministerios... como que alguien revise la carta de una pareja y empieza a dar opiniones"</w:t>
      </w:r>
      <w:r>
        <w:rPr>
          <w:color w:val="CC7700"/>
          <w:sz w:val="18"/>
        </w:rPr>
        <w:t xml:space="preserve">  [⭐ Destacada]</w:t>
      </w:r>
    </w:p>
    <w:p>
      <w:pPr>
        <w:spacing w:before="0"/>
      </w:pPr>
      <w:r>
        <w:rPr>
          <w:color w:val="0056B3"/>
          <w:sz w:val="18"/>
        </w:rPr>
        <w:t>https://www.df.cl/economia-y-politica/politica/quiroz-y-la-polemica-por-oficio-dipres-es-una-comunicacion-interna-entre</w:t>
      </w:r>
    </w:p>
    <w:p>
      <w:pPr>
        <w:spacing w:before="20"/>
        <w:ind w:left="360"/>
      </w:pPr>
      <w:r>
        <w:rPr>
          <w:color w:val="222222"/>
          <w:sz w:val="20"/>
        </w:rPr>
        <w:t>El ministro de Hacienda defendió su rol al mando de las finanzas públicas y las medidas adoptadas afirmando que “tengo el respaldo del Presidente… el ministerio de Hacienda siempre ha tenido poder y se trata aquí de habitar el cargo”.</w:t>
      </w:r>
    </w:p>
    <w:p>
      <w:pPr>
        <w:spacing w:before="20"/>
        <w:ind w:left="360"/>
      </w:pPr>
      <w:r>
        <w:rPr>
          <w:color w:val="222222"/>
          <w:sz w:val="20"/>
        </w:rPr>
        <w:t>Publicado: Martes 28 de abril de 2026 a las 10:26 hrs.</w:t>
      </w:r>
    </w:p>
    <w:p>
      <w:pPr>
        <w:spacing w:before="20"/>
        <w:ind w:left="360"/>
      </w:pPr>
      <w:r>
        <w:rPr>
          <w:color w:val="222222"/>
          <w:sz w:val="20"/>
        </w:rPr>
        <w:t>"El oficio (Dipres) ocupa las palabras, que no son las perfectas en términos de comunicaciones, porque no está diseñado para ser comunicado al público general", sostuvo este martes el ministro de Hacienda, Jorge Quiroz, para explicar la polémica generada porla instrucción emitida a los ministerios de descontinuar los programas públicos mal evaluados, donde luego debió salir a explicar la propia Dipres que se trataba de un error conceptual y la palabra adecuada era “reformular”, por ejemplo, el plan nacional de alimentación escolar.</w:t>
      </w:r>
    </w:p>
    <w:p>
      <w:pPr>
        <w:spacing w:before="20"/>
        <w:ind w:left="360"/>
      </w:pPr>
      <w:r>
        <w:rPr>
          <w:color w:val="222222"/>
          <w:sz w:val="20"/>
        </w:rPr>
        <w:t>En entrevista con Radio Infinita,lamentó la filtración del oficio y sostuvo que el documento en cuestión "es una comunicación interna entre ministerios. Esto es como un poquito que alguien venga y revise la carta de una pareja y empieza a dar opiniones”.</w:t>
      </w:r>
    </w:p>
    <w:p>
      <w:pPr>
        <w:spacing w:before="20"/>
        <w:ind w:left="360"/>
      </w:pPr>
      <w:r>
        <w:rPr>
          <w:color w:val="222222"/>
          <w:sz w:val="20"/>
        </w:rPr>
        <w:t>De todas formas, insistió en que está ocupando las mismas palabras de la Comisión Asesora para las Reformas Estructurales al Gasto Público de 2025 que lideraba el exministro de Hacienda Mario Marcel para indicar que“el programa es el que no debe continuar operando, no la política" pública que está establecidas por ley.</w:t>
      </w:r>
    </w:p>
    <w:p>
      <w:pPr>
        <w:spacing w:before="120"/>
        <w:ind w:left="360"/>
      </w:pPr>
      <w:r>
        <w:rPr>
          <w:b/>
          <w:color w:val="E65000"/>
          <w:sz w:val="26"/>
        </w:rPr>
        <w:t xml:space="preserve"> </w:t>
      </w:r>
    </w:p>
    <w:p>
      <w:pPr>
        <w:spacing w:before="20"/>
        <w:ind w:left="360"/>
      </w:pPr>
      <w:r>
        <w:rPr>
          <w:color w:val="222222"/>
          <w:sz w:val="20"/>
        </w:rPr>
        <w:t>El ministro también se refirió al proyecto de reconstrucción y reactivación presentado al congreso afirmando quepese a  las solicitudes del Frente Amplio y el PC de dividir el proyecto en los temas tributarios y los de reconstrucción, la decisión del Ejecutivo es mantener la norma como un solo texto.</w:t>
      </w:r>
    </w:p>
    <w:p>
      <w:pPr>
        <w:spacing w:before="20"/>
        <w:ind w:left="360"/>
      </w:pPr>
      <w:r>
        <w:rPr>
          <w:color w:val="222222"/>
          <w:sz w:val="20"/>
        </w:rPr>
        <w:t>Quiroz dijo que “no hay ninguna” posibilidad de dividir el texto “porque este es un todo concatenado, que reactiva en el corto plazo con las medidas de reconstrucción, para lo cual tiene medidas tributarias”.</w:t>
      </w:r>
    </w:p>
    <w:p>
      <w:pPr>
        <w:spacing w:before="20"/>
        <w:ind w:left="360"/>
      </w:pPr>
      <w:r>
        <w:rPr>
          <w:color w:val="222222"/>
          <w:sz w:val="20"/>
        </w:rPr>
        <w:t>Explicó que “todos lo que nos han dicho que esto es solo un tema de impuestos, también es un tema de permisos y de certezas en materia de la validez de los permisos que se otorgan para hacer las inversiones. Hay que entenderlo completo y no tenemos ninguna intención de dividirlo”; y planteó a la oposición que “si ellos quieren la parte de reconstrucción, votarán en la parte de la reconstrucción a favor y en la otra en contra y después contaremos los votos”.</w:t>
      </w:r>
    </w:p>
    <w:p>
      <w:pPr>
        <w:spacing w:before="20"/>
        <w:ind w:left="360"/>
      </w:pPr>
      <w:r>
        <w:rPr>
          <w:color w:val="222222"/>
          <w:sz w:val="20"/>
        </w:rPr>
        <w:t>El ministro también defendió el acuerdo con el PDG, para incorporar medidas de IVA a pañales y medicamentos, que garantizó los votos a favor en general de esa colectividad afirmando que “creo que es un gran paso y creo que vamos a hacer muchas cosas juntos”.</w:t>
      </w:r>
    </w:p>
    <w:p>
      <w:pPr>
        <w:spacing w:before="20"/>
        <w:ind w:left="360"/>
      </w:pPr>
      <w:r>
        <w:rPr>
          <w:color w:val="222222"/>
          <w:sz w:val="20"/>
        </w:rPr>
        <w:t>Respecto del impuesto a las empresas de menor tamaño, dijo que “este gobierno desde siempre ha dicho que el impuesto a las PYME del 12,5% se va a mantener, solo que no está en este proyecto”.</w:t>
      </w:r>
    </w:p>
    <w:p>
      <w:pPr>
        <w:spacing w:before="20"/>
        <w:ind w:left="360"/>
      </w:pPr>
      <w:r>
        <w:rPr>
          <w:color w:val="222222"/>
          <w:sz w:val="20"/>
        </w:rPr>
        <w:t>El titular de Hacienda reconoció que el proyecto es deficitario, asegurando que “el proyecto es extremadamente honesto y transparente. Detallamos precisamente en el informe regulatorio a través de qué mecanismo estimamos que este crecimiento va a ocurrir. Somos muy conservadores y en ningún caso decimos que esto no va a tener efecto en recaudación. Lo revelamos con plena transparencia.Hay un efecto recaudación en el año 2030 de del orden de US$1.200 millones”.</w:t>
      </w:r>
    </w:p>
    <w:p>
      <w:pPr>
        <w:spacing w:before="20"/>
        <w:ind w:left="360"/>
      </w:pPr>
      <w:r>
        <w:rPr>
          <w:color w:val="222222"/>
          <w:sz w:val="20"/>
        </w:rPr>
        <w:t>Y aclaró que“el objeto de este proyecto no es recaudar, es crecer” y respecto a las críticas por la falta de compensaciones por la rebaja de algunos tributos indicó que “se ha dicho muchas veces que hay que compensar cada aumento de impuesto con otro impuesto. Nosotros pensamos que no,que hay muchísima evidencia de gasto público no gastado” a lo que sumó “los esfuerzos fiscales que estamos haciendo de eliminar gasto superfluo, aumentar eficiencia y evitar el fraude social”.</w:t>
      </w:r>
    </w:p>
    <w:p>
      <w:pPr>
        <w:spacing w:before="20"/>
        <w:ind w:left="360"/>
      </w:pPr>
      <w:r>
        <w:rPr>
          <w:color w:val="222222"/>
          <w:sz w:val="20"/>
        </w:rPr>
        <w:t>Quiroz también se dio tiempo para valorar el trabajo que han estado realizando en conjunto con el ministro del Interior, Claudio Alvarado, y el titular de la Segpres, José García Ruminot. “La verdad es que nos hemos complementado extraordinariamente bien con los ministros García Ruminot y Alvarado. Trabajamos juntos, nos repartimos las tareas, estoy feliz trabajando con ellos y supongo que también están felices trabajando conmigo”.</w:t>
      </w:r>
    </w:p>
    <w:p>
      <w:pPr>
        <w:spacing w:before="20"/>
        <w:ind w:left="360"/>
      </w:pPr>
      <w:r>
        <w:rPr>
          <w:color w:val="222222"/>
          <w:sz w:val="20"/>
        </w:rPr>
        <w:t>Consultado por su parecer respecto de la proyección en la opinión pública como una figura más allá de Hacienda también de peso político con muchísimo poder indicó que“yo solo estoy buscando hacer mi trabajo. Tengo el respaldo del Presidente para hacerlo, estamos haciendo transformaciones relevantes y no me parece que la posición de excesivo poder o más poder sea un tema que esté en mi objetivo”.</w:t>
      </w:r>
    </w:p>
    <w:p>
      <w:pPr>
        <w:spacing w:before="20"/>
        <w:ind w:left="360"/>
      </w:pPr>
      <w:r>
        <w:rPr>
          <w:color w:val="222222"/>
          <w:sz w:val="20"/>
        </w:rPr>
        <w:t>Agregó que“el ministerio de Hacienda siempre ha tenido poder y se trata aquí de habitar el cargo, y cuando uno habita el cargo de ministro Hacienda en su plenitud termina ejerciendo el poder que va con el cargo”.</w:t>
      </w:r>
    </w:p>
    <w:p>
      <w:pPr>
        <w:spacing w:before="40" w:after="120"/>
      </w:pPr>
      <w:r>
        <w:rPr>
          <w:color w:val="CCCCCC"/>
        </w:rPr>
        <w:t>· · ·</w:t>
      </w:r>
    </w:p>
    <w:p>
      <w:r>
        <w:rPr>
          <w:b/>
          <w:color w:val="E65000"/>
        </w:rPr>
        <w:t xml:space="preserve">2. </w:t>
      </w:r>
      <w:r>
        <w:rPr>
          <w:b/>
          <w:sz w:val="22"/>
        </w:rPr>
        <w:t>Hacienda y diputados activan este martes mesa técnica de asesores por proyecto de reconstrucción</w:t>
      </w:r>
      <w:r>
        <w:rPr>
          <w:color w:val="CC7700"/>
          <w:sz w:val="18"/>
        </w:rPr>
        <w:t xml:space="preserve">  [⭐ Destacada]</w:t>
      </w:r>
    </w:p>
    <w:p>
      <w:pPr>
        <w:spacing w:before="0"/>
      </w:pPr>
      <w:r>
        <w:rPr>
          <w:color w:val="0056B3"/>
          <w:sz w:val="18"/>
        </w:rPr>
        <w:t>https://www.df.cl/economia-y-politica/df-tax/hacienda-y-diputados-activan-este-martes-mesa-tecnica-de-asesores-por</w:t>
      </w:r>
    </w:p>
    <w:p>
      <w:pPr>
        <w:spacing w:before="20"/>
        <w:ind w:left="360"/>
      </w:pPr>
      <w:r>
        <w:rPr>
          <w:color w:val="222222"/>
          <w:sz w:val="20"/>
        </w:rPr>
        <w:t>El Ejecutivo y los parlamentarios acordaron un grupo amplio de representantes para revisar el articulado y el informe financiero del texto.</w:t>
      </w:r>
    </w:p>
    <w:p>
      <w:pPr>
        <w:spacing w:before="20"/>
        <w:ind w:left="360"/>
      </w:pPr>
      <w:r>
        <w:rPr>
          <w:color w:val="222222"/>
          <w:sz w:val="20"/>
        </w:rPr>
        <w:t>Publicado: Martes 28 de abril de 2026 a las 04:00 hrs.</w:t>
      </w:r>
    </w:p>
    <w:p>
      <w:pPr>
        <w:spacing w:before="20"/>
        <w:ind w:left="360"/>
      </w:pPr>
      <w:r>
        <w:rPr>
          <w:color w:val="222222"/>
          <w:sz w:val="20"/>
        </w:rPr>
        <w:t>Un hito se marcará la jornada de este martes en el marco de la tramitación de la ley de reconstrucción y reactivación nacional, ingresada al Congreso por el gobierno la semana pasada.</w:t>
      </w:r>
    </w:p>
    <w:p>
      <w:pPr>
        <w:spacing w:before="20"/>
        <w:ind w:left="360"/>
      </w:pPr>
      <w:r>
        <w:rPr>
          <w:color w:val="222222"/>
          <w:sz w:val="20"/>
        </w:rPr>
        <w:t>A las 15 horas, en la sede del Ministerio de Hacienda se desarrollará la primera reunión del equipo de asesores de los parlamentarios de la comisión de Hacienda de la Cámara con representantes del Ejecutivo, dando forma al acuerdo alcanzado la semana pasada entre el ministro del ramo, Jorge Quiroz, y el presidente del grupo parlamentario, Agustín Romero.</w:t>
      </w:r>
    </w:p>
    <w:p>
      <w:pPr>
        <w:spacing w:before="20"/>
        <w:ind w:left="360"/>
      </w:pPr>
      <w:r>
        <w:rPr>
          <w:color w:val="222222"/>
          <w:sz w:val="20"/>
        </w:rPr>
        <w:t>Este lunes, las partes terminaron de cerrar el listado de asesores que representarán a los legisladores, en un grupo que estará abocado a revisar el articulado del proyecto y su informe financiero. Este último, objeto de polémica debido al impacto recaudatorio de las fuertes bajas de impuestos.</w:t>
      </w:r>
    </w:p>
    <w:p>
      <w:pPr>
        <w:spacing w:before="20"/>
        <w:ind w:left="360"/>
      </w:pPr>
      <w:r>
        <w:rPr>
          <w:color w:val="222222"/>
          <w:sz w:val="20"/>
        </w:rPr>
        <w:t>Así, los nombres definidos fueron Juan Eduardo Guzmán y Macarena García por el diputado Romero; Octavio Olguín por el legislador José Carlos Meza; Rafael Cruzat y Gerardo Montes por Fernando Ugarte; Carolina Fuensalida por Jaime Coloma; Claudia Hurtado en representación de la diputada Flor Weisse; Jorge Mera por Diego Schalper; José Ignacio Musalem y Rocío Cantuarias por Pier Karlezi; Alejandra Leiva por Juan Marcelo Valenzuela; Cristián Cataldo y Nicolás Bohme en representación de Boris Barrera; Jorge Berríos y Francisco Castillo por Carlos Bianchi; y el diputado Eduardo Durán se representará a sí mismo en la instancia.</w:t>
      </w:r>
    </w:p>
    <w:p>
      <w:pPr>
        <w:spacing w:before="20"/>
        <w:ind w:left="360"/>
      </w:pPr>
      <w:r>
        <w:rPr>
          <w:color w:val="222222"/>
          <w:sz w:val="20"/>
        </w:rPr>
        <w:t>Por Hacienda, participarán de la cita la coordinadora legislativa, Bárbara Bayolo; el coordinador de Política Tributaria, Sebastián Vallebona; el coordinador macroeconómico, Alejandro Guin-Po; el asesor legislativo de Quiroz, Felipe Donoso; y el subdirector de Racionalización y Función Pública de la Dirección de Presupuestos (Dipres), José Ignacio Llodrá. La comisión trabajará durante esta semana, aprovechando el receso distrital del Congreso.</w:t>
      </w:r>
    </w:p>
    <w:p>
      <w:pPr>
        <w:spacing w:before="40" w:after="120"/>
      </w:pPr>
      <w:r>
        <w:rPr>
          <w:color w:val="CCCCCC"/>
        </w:rPr>
        <w:t>· · ·</w:t>
      </w:r>
    </w:p>
    <w:p>
      <w:r>
        <w:rPr>
          <w:b/>
          <w:color w:val="E65000"/>
        </w:rPr>
        <w:t xml:space="preserve">3. </w:t>
      </w:r>
      <w:r>
        <w:rPr>
          <w:b/>
          <w:sz w:val="22"/>
        </w:rPr>
        <w:t>Ministro Rau defiende crédito tributario al empleo, pero se abre a discutir “instrumento óptimo” en el Congreso</w:t>
      </w:r>
      <w:r>
        <w:rPr>
          <w:color w:val="CC7700"/>
          <w:sz w:val="18"/>
        </w:rPr>
        <w:t xml:space="preserve">  [⭐ Destacada]</w:t>
      </w:r>
    </w:p>
    <w:p>
      <w:pPr>
        <w:spacing w:before="0"/>
      </w:pPr>
      <w:r>
        <w:rPr>
          <w:color w:val="0056B3"/>
          <w:sz w:val="18"/>
        </w:rPr>
        <w:t>https://www.df.cl/economia-y-politica/laboral-personas/ministro-rau-defiende-credito-tributario-al-empleo-pero-se-abre-a-discutir</w:t>
      </w:r>
    </w:p>
    <w:p>
      <w:pPr>
        <w:spacing w:before="20"/>
        <w:ind w:left="360"/>
      </w:pPr>
      <w:r>
        <w:rPr>
          <w:color w:val="222222"/>
          <w:sz w:val="20"/>
        </w:rPr>
        <w:t>“El Congreso es un espacio donde se puede tener una conversación sobre cuál es el instrumento óptimo”, destacó el secretario de Estado ante cuestionamientos a la medida. Y, en este contexto, valoró la liquidez que implica para las empresas.</w:t>
      </w:r>
    </w:p>
    <w:p>
      <w:pPr>
        <w:spacing w:before="20"/>
        <w:ind w:left="360"/>
      </w:pPr>
      <w:r>
        <w:rPr>
          <w:color w:val="222222"/>
          <w:sz w:val="20"/>
        </w:rPr>
        <w:t>Publicado: Martes 28 de abril de 2026 a las 04:00 hrs.</w:t>
      </w:r>
    </w:p>
    <w:p>
      <w:pPr>
        <w:spacing w:before="20"/>
        <w:ind w:left="360"/>
      </w:pPr>
      <w:r>
        <w:rPr>
          <w:color w:val="222222"/>
          <w:sz w:val="20"/>
        </w:rPr>
        <w:t>A casi una semana de la presentación delproyecto de reconstrucción y reactivación económica, la propuesta de crédito tributario al empleo ha sumado más de una mirada escéptica desde el mundo técnico en términos de lo costoso que resulta –son unos US$ 1.400 millones al año- versus su posible impacto en la generación de nuevos puestos de trabajo. Un contexto del que se hace cargo el ministro del Trabajo, Tomás Rau, poniendo en primer plano la preocupación por la situación del mercado laboral que considera “compleja”, incluida una tasa de desempleo que lleva 38 meses consecutivos sobre 8%.</w:t>
      </w:r>
    </w:p>
    <w:p>
      <w:pPr>
        <w:spacing w:before="20"/>
        <w:ind w:left="360"/>
      </w:pPr>
      <w:r>
        <w:rPr>
          <w:color w:val="222222"/>
          <w:sz w:val="20"/>
        </w:rPr>
        <w:t>“Nuestro compromiso como gobierno es tomar medidas para que la economía básicamente crezca más, haya más inversión y con esto se generen más empleos”, afirma junto con reconocer “que es legítimo que haya un debate técnico respecto a la medida (…) El Congreso también va a ser una instancia donde puede desarrollarse esa conversación”.</w:t>
      </w:r>
    </w:p>
    <w:p>
      <w:pPr>
        <w:spacing w:before="20"/>
        <w:ind w:left="360"/>
      </w:pPr>
      <w:r>
        <w:rPr>
          <w:color w:val="222222"/>
          <w:sz w:val="20"/>
        </w:rPr>
        <w:t>- ¿De quién fue la idea de avanzar en un crédito tributario al empleo? Surgió del Ministerio del Trabajo o de Hacienda?</w:t>
      </w:r>
    </w:p>
    <w:p>
      <w:pPr>
        <w:spacing w:before="20"/>
        <w:ind w:left="360"/>
      </w:pPr>
      <w:r>
        <w:rPr>
          <w:color w:val="222222"/>
          <w:sz w:val="20"/>
        </w:rPr>
        <w:t>- Somos un equipo, somos 24 ministros y trabajamos en pos de un objetivo común: el bien del país. Nosotros no venimos a administrar lo que hay, lo que hay no es bueno. Nosotros tenemos que hacer cambios, aunque sean arriesgados, pero si queremos obtener resultados distintos, tenemos que tomar acciones distintas. No es un misterio que parte de esta medida se anunció en campaña. Y obviamente se evaluaron distintas alternativas.</w:t>
      </w:r>
    </w:p>
    <w:p>
      <w:pPr>
        <w:spacing w:before="20"/>
        <w:ind w:left="360"/>
      </w:pPr>
      <w:r>
        <w:rPr>
          <w:color w:val="222222"/>
          <w:sz w:val="20"/>
        </w:rPr>
        <w:t>-¿Fue una idea trabajada en conjunto entonces, no de una cartera en particular?</w:t>
      </w:r>
    </w:p>
    <w:p>
      <w:pPr>
        <w:spacing w:before="20"/>
        <w:ind w:left="360"/>
      </w:pPr>
      <w:r>
        <w:rPr>
          <w:color w:val="222222"/>
          <w:sz w:val="20"/>
        </w:rPr>
        <w:t>- ¿Por qué se optó por un crédito tributario y no un subsidio al empleo?</w:t>
      </w:r>
    </w:p>
    <w:p>
      <w:pPr>
        <w:spacing w:before="20"/>
        <w:ind w:left="360"/>
      </w:pPr>
      <w:r>
        <w:rPr>
          <w:color w:val="222222"/>
          <w:sz w:val="20"/>
        </w:rPr>
        <w:t>Primero, ambos instrumentos apuntan en la misma dirección. Tanto un crédito tributario a la contratación como un subsidio directo intentan de alguna manera incentivar la contratación, bajando el costo laboral. Como economista laboral, probablemente tengo un sesgo académico hacia el subsidio a la contratación, porque es más directo, más simple de comunicar. Eso es así. Pero no hay que olvidar que este es un plan comprensivo, con múltiples medidas que apuntan a estimular la demanda, la inversión, el crecimiento y romper este letargo.</w:t>
      </w:r>
    </w:p>
    <w:p>
      <w:pPr>
        <w:spacing w:before="120"/>
        <w:ind w:left="360"/>
      </w:pPr>
      <w:r>
        <w:rPr>
          <w:b/>
          <w:color w:val="E65000"/>
          <w:sz w:val="26"/>
        </w:rPr>
        <w:t xml:space="preserve"> </w:t>
      </w:r>
    </w:p>
    <w:p>
      <w:pPr>
        <w:spacing w:before="20"/>
        <w:ind w:left="360"/>
      </w:pPr>
      <w:r>
        <w:rPr>
          <w:color w:val="222222"/>
          <w:sz w:val="20"/>
        </w:rPr>
        <w:t>- Al inicio se hablaba que el foco de la medida era formalizar empleos. Sin embargo, de acuerdo a lo que se presentó, para algunos actores se trata de una herramienta de retención de empleos, más que de creación...</w:t>
      </w:r>
    </w:p>
    <w:p>
      <w:pPr>
        <w:spacing w:before="20"/>
        <w:ind w:left="360"/>
      </w:pPr>
      <w:r>
        <w:rPr>
          <w:color w:val="222222"/>
          <w:sz w:val="20"/>
        </w:rPr>
        <w:t>- Vivimos en un mercado muy dinámico. En Chile se destruyen algo así como 2,5 millones de relaciones laborales al año, y se crean otros 2,6 millones y fracción. Digo esos números para relevar el dinamismo del mercado laboral. Acá no hay una bala de plata. En el fondo, toda política pública, sobre todo en temas de empleo, tiene efectos dependiendo un poco del contexto. Si el crecimiento no acompaña, es difícil que aumente la contratación.</w:t>
      </w:r>
    </w:p>
    <w:p>
      <w:pPr>
        <w:spacing w:before="20"/>
        <w:ind w:left="360"/>
      </w:pPr>
      <w:r>
        <w:rPr>
          <w:color w:val="222222"/>
          <w:sz w:val="20"/>
        </w:rPr>
        <w:t>- Entonces ¿es una política pública que tiene como foco más bien la protección de los puestos actuales más que la creación misma?</w:t>
      </w:r>
    </w:p>
    <w:p>
      <w:pPr>
        <w:spacing w:before="20"/>
        <w:ind w:left="360"/>
      </w:pPr>
      <w:r>
        <w:rPr>
          <w:color w:val="222222"/>
          <w:sz w:val="20"/>
        </w:rPr>
        <w:t>- Es una política que intenta reducir el costo laboral. Y eso obviamente puede manifestarse en distintas formas, puede causar nuevas contrataciones, puede ayudar a retener, la respuesta a eso ya es empírica. En Chile tenemos una tradición de subsidios. Hemos tenido algunos casos exitosos y otros no tan exitosos, y por eso es importante tener una conversación, tener un debate técnico. Yo soy muy abierto a tener ese tipo de conversaciones, pero no hay que perder de vista que estamos en una situación de alto desempleo, 8,3%, son 862.000 personas que no tienen trabajo, que buscan y no lo encuentran. Y detrás de cada uno de estos números, detrás de cada décima en la tasa de desempleo, porque al final la economía se mide en cifras, pero se vive en los hogares, hay más de 10.000 personas que están buscando trabajo. Entonces, dentro del Plan de Reconstrucción Nacional, esta es una de las medidas, pero debe entenderse como un paquete completo.</w:t>
      </w:r>
    </w:p>
    <w:p>
      <w:pPr>
        <w:spacing w:before="20"/>
        <w:ind w:left="360"/>
      </w:pPr>
      <w:r>
        <w:rPr>
          <w:color w:val="222222"/>
          <w:sz w:val="20"/>
        </w:rPr>
        <w:t>- Pero para algunos actores se trata de una medida costosa para el “acotado” impacto que tendría. De hecho, de acuerdo a exasesores del Ministerio del Trabajo de Gabriel Boric, este esquema crearía apenas entre 38 mil y 50 mil empleos. Y Sebastián Edwards, incluso, ha dicho que la evidencia sobre esta herramienta no es categórica. ¿Por qué se optó por un instrumento que, mirando el escenario, no tiene como foco la creación, sino más bien la retención?</w:t>
      </w:r>
    </w:p>
    <w:p>
      <w:pPr>
        <w:spacing w:before="20"/>
        <w:ind w:left="360"/>
      </w:pPr>
      <w:r>
        <w:rPr>
          <w:color w:val="222222"/>
          <w:sz w:val="20"/>
        </w:rPr>
        <w:t>- Hace 48 trimestres móviles había 710.000 desempleados. Hoy hay 862.000 desempleados. ¿Y quiénes estuvieron a cargo de esta cartera? ¿Qué pueden decir al respecto? Eso es lo primero que me gustaría decir.</w:t>
      </w:r>
    </w:p>
    <w:p>
      <w:pPr>
        <w:spacing w:before="20"/>
        <w:ind w:left="360"/>
      </w:pPr>
      <w:r>
        <w:rPr>
          <w:color w:val="222222"/>
          <w:sz w:val="20"/>
        </w:rPr>
        <w:t>En segundo lugar, efectivamente hay un debate legítimo. Acá no es solo una medida la que va a ayudar a generar empleo, es una serie de ellas. Por supuesto que uno podría concentrarse en un subsidio, por ejemplo, a las nuevas contrataciones, que es una medida más acotada, que es más barata también. Pero esta medida (el crédito) también, como ha dicho el ministro de Hacienda, es una inyección de liquidez sobre todo a las pequeñas y medianas empresas. Yo creo que el Congreso es un espacio donde se puede tener una conversación sobre cuál es el instrumento óptimo.</w:t>
      </w:r>
    </w:p>
    <w:p>
      <w:pPr>
        <w:spacing w:before="20"/>
        <w:ind w:left="360"/>
      </w:pPr>
      <w:r>
        <w:rPr>
          <w:color w:val="222222"/>
          <w:sz w:val="20"/>
        </w:rPr>
        <w:t>- Considerando el escenario de estrechez fiscal, ¿por qué se optó por implementar un esquema como el crédito para todas las empresas, lo que incluye a las grandes? ¿Por qué se decidió no focalizar en las más pequeñas?</w:t>
      </w:r>
    </w:p>
    <w:p>
      <w:pPr>
        <w:spacing w:before="20"/>
        <w:ind w:left="360"/>
      </w:pPr>
      <w:r>
        <w:rPr>
          <w:color w:val="222222"/>
          <w:sz w:val="20"/>
        </w:rPr>
        <w:t>- Esta es una medida que es parte de un paquete y va a inyectar liquidez a un grupo grande de empresas (...) Y respecto a su costo, también hay que entenderlo dentro del informe financiero. En el fondo acá no se trata de ver línea por línea, sino el global de lo que ocurre en cierta forma.</w:t>
      </w:r>
    </w:p>
    <w:p>
      <w:pPr>
        <w:spacing w:before="20"/>
        <w:ind w:left="360"/>
      </w:pPr>
      <w:r>
        <w:rPr>
          <w:color w:val="222222"/>
          <w:sz w:val="20"/>
        </w:rPr>
        <w:t>- ¿Hay simulaciones sobre cuánto será el beneficio para generar liquidez a las empresas versus mantener empleo?</w:t>
      </w:r>
    </w:p>
    <w:p>
      <w:pPr>
        <w:spacing w:before="20"/>
        <w:ind w:left="360"/>
      </w:pPr>
      <w:r>
        <w:rPr>
          <w:color w:val="222222"/>
          <w:sz w:val="20"/>
        </w:rPr>
        <w:t>- Es que realmente es caso a caso, dependerá de cuántos trabajadores la empresa tenga en el rango respectivo. El ministro de Hacienda lo ha expresado en una forma de a cuánto se podría reducir la tasa de impuesto que pagan las PYME, considerando esto, y entiendo que ha mencionado un cálculo que está en torno a 7,5%- 7,8%. Eso es otra manera de mirarlo.</w:t>
      </w:r>
    </w:p>
    <w:p>
      <w:pPr>
        <w:spacing w:before="20"/>
        <w:ind w:left="360"/>
      </w:pPr>
      <w:r>
        <w:rPr>
          <w:color w:val="222222"/>
          <w:sz w:val="20"/>
        </w:rPr>
        <w:t>- ¿El crédito tributario tendrá alguna cláusula de evaluación para saber el impacto real que está teniendo?</w:t>
      </w:r>
    </w:p>
    <w:p>
      <w:pPr>
        <w:spacing w:before="20"/>
        <w:ind w:left="360"/>
      </w:pPr>
      <w:r>
        <w:rPr>
          <w:color w:val="222222"/>
          <w:sz w:val="20"/>
        </w:rPr>
        <w:t>- Como gobierno, debemos evaluar la efectividad de las políticas públicas. Ahora, muchas veces las evaluaciones de políticas públicas tienen dificultades técnicas para identificar estos impactos. Imagine, viene un boom de cobre, litio, hidrógeno verde, nos va muy bien y la economía vuela como todos quisiéramos y se crean muchos empleos. ¿A qué vamos a atribuir ese efecto? ¿La causalidad? ¿Al crédito tributario o al crecimiento de la economía? O sea, son políticas públicas que son complejas de evaluar. Pero de que hay que hacerlo, hay que hacerlo.</w:t>
      </w:r>
    </w:p>
    <w:p>
      <w:pPr>
        <w:spacing w:before="20"/>
        <w:ind w:left="360"/>
      </w:pPr>
      <w:r>
        <w:rPr>
          <w:color w:val="222222"/>
          <w:sz w:val="20"/>
        </w:rPr>
        <w:t>- Si el crédito termina subsidiando principalmente empleos existentes, con alto costo fiscal y baja creación neta, ¿estaría dispuesto a recomendar al Presidente retirarlo o rediseñarlo, si no tiene el impacto esperado?</w:t>
      </w:r>
    </w:p>
    <w:p>
      <w:pPr>
        <w:spacing w:before="20"/>
        <w:ind w:left="360"/>
      </w:pPr>
      <w:r>
        <w:rPr>
          <w:color w:val="222222"/>
          <w:sz w:val="20"/>
        </w:rPr>
        <w:t>- Por supuesto que si después de una evaluación nos damos cuenta que el instrumento no está siendo efectivo, no está siendo costo-efectivo, es mi deber en el fondo comunicarle eso a quien corresponda. Al Presidente de la República sin duda alguna. Y como ministro de la cartera de Trabajo y Previsión Social, por supuesto que vamos a estar muy activos también monitoreando el funcionamiento de esta y de otras medidas que afecten la creación de empleo.</w:t>
      </w:r>
    </w:p>
    <w:p>
      <w:pPr>
        <w:spacing w:before="20"/>
        <w:ind w:left="360"/>
      </w:pPr>
      <w:r>
        <w:rPr>
          <w:color w:val="222222"/>
          <w:sz w:val="20"/>
        </w:rPr>
        <w:t>- El ministro Quiroz planteó que la meta de creación de empleo del gobierno del Presidente Kast es de entre 600 y 650 mil empleos. Pero en la administración de Boric se crearon más de 700 mil y usted dijo que existen más de 830 mil personas sin empleo…</w:t>
      </w:r>
    </w:p>
    <w:p>
      <w:pPr>
        <w:spacing w:before="20"/>
        <w:ind w:left="360"/>
      </w:pPr>
      <w:r>
        <w:rPr>
          <w:color w:val="222222"/>
          <w:sz w:val="20"/>
        </w:rPr>
        <w:t>Las cifras hay que entenderlas siempre en un contexto, y depende de qué pasa con otras. El ministro también se refirió a que dependen del comportamiento de la fuerza de trabajo. Si la fuerza de trabajo crece como ha estado creciendo el último año, se podría llegar en torno a esa cifra. Depende todo de muchos factores, porque no solo depende del crecimiento de la fuerza de trabajo, de la tasa de participación, del comportamiento de los inactivos. Eso es una meta que ha planteado el ministro con ciertos supuestos. Si la fuerza de trabajo aumenta de una manera más significativa, vamos a requerir crear más empleo para lograr eso.</w:t>
      </w:r>
    </w:p>
    <w:p>
      <w:pPr>
        <w:spacing w:before="20"/>
        <w:ind w:left="360"/>
      </w:pPr>
      <w:r>
        <w:rPr>
          <w:color w:val="222222"/>
          <w:sz w:val="20"/>
        </w:rPr>
        <w:t>- Son varios los actores que han criticado la franquicia tributaria del Sence, su impacto y se ha intentado cambiar antes. ¿Por qué se optó por eliminarla ahora y no modificarla? hay toda una industria detrás de este instrumento….</w:t>
      </w:r>
    </w:p>
    <w:p>
      <w:pPr>
        <w:spacing w:before="20"/>
        <w:ind w:left="360"/>
      </w:pPr>
      <w:r>
        <w:rPr>
          <w:color w:val="222222"/>
          <w:sz w:val="20"/>
        </w:rPr>
        <w:t>- Recordemos cuál es el diagnóstico: la capacitación no llega a los trabajadores más vulnerables. De hecho, no llega a las PYME y las evaluaciones, ya con más datos administrativos desde 2011 en adelante, muestran que no tiene efectos en empleabilidad y salarios. Entonces, esos son resultados bien lapidarios en el fondo. Por supuesto, no hay que meter a todos los programas en eso. Claramente, hay algunos programas que funcionan, pero en general el resultado no es alentador. Eso es importante mencionar.</w:t>
      </w:r>
    </w:p>
    <w:p>
      <w:pPr>
        <w:spacing w:before="20"/>
        <w:ind w:left="360"/>
      </w:pPr>
      <w:r>
        <w:rPr>
          <w:color w:val="222222"/>
          <w:sz w:val="20"/>
        </w:rPr>
        <w:t>La decisión de eliminar la franquicia tomó muchos factores, hay aspectos técnicos, fiscales, financieros y de oportunidad legislativa. Esos criterios, obviamente como gobierno, fueron ponderados en su conjunto y lo que corresponde al Ministerio del Trabajo y Previsión Social es asegurar que la capacitación continúe.</w:t>
      </w:r>
    </w:p>
    <w:p>
      <w:pPr>
        <w:spacing w:before="20"/>
        <w:ind w:left="360"/>
      </w:pPr>
      <w:r>
        <w:rPr>
          <w:color w:val="222222"/>
          <w:sz w:val="20"/>
        </w:rPr>
        <w:t>- El gobierno está trabajando en nuevas figuras para dar continuidad a los programas de capacitación, como las becas del seguro de cesantía. ¿En qué se está pensando?</w:t>
      </w:r>
    </w:p>
    <w:p>
      <w:pPr>
        <w:spacing w:before="20"/>
        <w:ind w:left="360"/>
      </w:pPr>
      <w:r>
        <w:rPr>
          <w:color w:val="222222"/>
          <w:sz w:val="20"/>
        </w:rPr>
        <w:t>- Tenemos alternativas de corto plazo, una es la que menciona. Por Ley, el artículo 25 bis de la Ley del Seguro de Cesantía permite usar hasta el 2% de los fondos de cesantía solidario para intermediación y habilitación laboral, y que se usan muy poco. Esos recursos están ahí, y estamos trabajando junto con Sence para ver cómo podemos usar mejor esos recursos.</w:t>
      </w:r>
    </w:p>
    <w:p>
      <w:pPr>
        <w:spacing w:before="20"/>
        <w:ind w:left="360"/>
      </w:pPr>
      <w:r>
        <w:rPr>
          <w:color w:val="222222"/>
          <w:sz w:val="20"/>
        </w:rPr>
        <w:t>Una medida más de mediano a largo plazo, y que va a depender también del proceso legislativo, sin duda, es que estamos empezando a trabajar en diseñar un esquema de capacitación que no replique los vicios del esquema anterior. Es algo que estamos liderando como ministerio, con el apoyo de otras carteras.</w:t>
      </w:r>
    </w:p>
    <w:p>
      <w:pPr>
        <w:spacing w:before="20"/>
        <w:ind w:left="360"/>
      </w:pPr>
      <w:r>
        <w:rPr>
          <w:color w:val="222222"/>
          <w:sz w:val="20"/>
        </w:rPr>
        <w:t>- El programa del Presidente Kast en campaña habla de varios temas en materia laboral, más flexibilidad, adaptabilidad laboral, de avanzar en un esquema de indemnización a todo evento, ¿Hay margen para esa agenda hacia más adelante?</w:t>
      </w:r>
    </w:p>
    <w:p>
      <w:pPr>
        <w:spacing w:before="20"/>
        <w:ind w:left="360"/>
      </w:pPr>
      <w:r>
        <w:rPr>
          <w:color w:val="222222"/>
          <w:sz w:val="20"/>
        </w:rPr>
        <w:t>- Primero, estamos abocados al proyecto Sala Cuna, creemos que es fundamental avanzar en eso, por una serie de razones. Lo que estamos trabajando es tomar todos los elementos relativamente de consenso del proyecto que no se pudo seguir discutiendo. Entonces, de momento, estamos abocados en eso.</w:t>
      </w:r>
    </w:p>
    <w:p>
      <w:pPr>
        <w:spacing w:before="20"/>
        <w:ind w:left="360"/>
      </w:pPr>
      <w:r>
        <w:rPr>
          <w:color w:val="222222"/>
          <w:sz w:val="20"/>
        </w:rPr>
        <w:t>Lo que menciona de la indemnización, es de público conocimiento mi postura, participé en un libro que fue publicado el año pasado, y que muchas ideas han sido tomadas en cuenta, que es El Puente, y tenemos también una propuesta en ese libro sobre la indemnización a todo evento. En el corto plazo, la complicación que vemos es que aumenta la cotización…</w:t>
      </w:r>
    </w:p>
    <w:p>
      <w:pPr>
        <w:spacing w:before="20"/>
        <w:ind w:left="360"/>
      </w:pPr>
      <w:r>
        <w:rPr>
          <w:color w:val="222222"/>
          <w:sz w:val="20"/>
        </w:rPr>
        <w:t>- En un escenario en que ya los costos laborales han subido bastante….</w:t>
      </w:r>
    </w:p>
    <w:p>
      <w:pPr>
        <w:spacing w:before="20"/>
        <w:ind w:left="360"/>
      </w:pPr>
      <w:r>
        <w:rPr>
          <w:color w:val="222222"/>
          <w:sz w:val="20"/>
        </w:rPr>
        <w:t>- Aumenta la cotización en torno a 1,8%, y tenemos un cronograma de aumento de costos laborales dado la reforma previsional hasta el año 2033 y se acaba de rebajar la jornada de 44 a 42 horas. Eso implica un aumento de costos laborales de 4,5%. Entonces, consideramos que de momento no es prudente avanzar en esa conversación.</w:t>
      </w:r>
    </w:p>
    <w:p>
      <w:pPr>
        <w:spacing w:before="40" w:after="120"/>
      </w:pPr>
      <w:r>
        <w:rPr>
          <w:color w:val="CCCCCC"/>
        </w:rPr>
        <w:t>· · ·</w:t>
      </w:r>
    </w:p>
    <w:p>
      <w:r>
        <w:rPr>
          <w:b/>
          <w:color w:val="E65000"/>
        </w:rPr>
        <w:t xml:space="preserve">4. </w:t>
      </w:r>
      <w:r>
        <w:rPr>
          <w:b/>
          <w:sz w:val="22"/>
        </w:rPr>
        <w:t>Meta de PIB del gobierno cuesta arriba: analistas ven a Chile pegado en torno al 2% en el largo plazo</w:t>
      </w:r>
    </w:p>
    <w:p>
      <w:pPr>
        <w:spacing w:before="0"/>
      </w:pPr>
      <w:r>
        <w:rPr>
          <w:color w:val="0056B3"/>
          <w:sz w:val="18"/>
        </w:rPr>
        <w:t>https://www.df.cl/economia-y-politica/macro/meta-de-pib-del-gobierno-cuesta-arriba-analistas-ven-a-chile-pegado-en</w:t>
      </w:r>
    </w:p>
    <w:p>
      <w:pPr>
        <w:spacing w:before="20"/>
        <w:ind w:left="360"/>
      </w:pPr>
      <w:r>
        <w:rPr>
          <w:color w:val="222222"/>
          <w:sz w:val="20"/>
        </w:rPr>
        <w:t>El consenso del Latin American Consensus Forecast de abril arrojó que el país crecería 2,2% este año. Mientras que para el período 2032-3026 esperan que sea de 2,3%.</w:t>
      </w:r>
    </w:p>
    <w:p>
      <w:pPr>
        <w:spacing w:before="20"/>
        <w:ind w:left="360"/>
      </w:pPr>
      <w:r>
        <w:rPr>
          <w:color w:val="222222"/>
          <w:sz w:val="20"/>
        </w:rPr>
        <w:t>Por:A. Santillán y R. CarrascoPublicado: Martes 28 de abril de 2026 a las 04:00 hrs.</w:t>
      </w:r>
    </w:p>
    <w:p>
      <w:pPr>
        <w:spacing w:before="20"/>
        <w:ind w:left="360"/>
      </w:pPr>
      <w:r>
        <w:rPr>
          <w:color w:val="222222"/>
          <w:sz w:val="20"/>
        </w:rPr>
        <w:t>Publicado: Martes 28 de abril de 2026 a las 04:00 hrs.</w:t>
      </w:r>
    </w:p>
    <w:p>
      <w:pPr>
        <w:spacing w:before="20"/>
        <w:ind w:left="360"/>
      </w:pPr>
      <w:r>
        <w:rPr>
          <w:color w:val="222222"/>
          <w:sz w:val="20"/>
        </w:rPr>
        <w:t>La meta autoimpuesta por el gobierno de terminar la administración con una expansión del 4% del Producto Interno Bruto (PIB) se ve cada vez más alejada por parte del mercado.</w:t>
      </w:r>
    </w:p>
    <w:p>
      <w:pPr>
        <w:spacing w:before="20"/>
        <w:ind w:left="360"/>
      </w:pPr>
      <w:r>
        <w:rPr>
          <w:color w:val="222222"/>
          <w:sz w:val="20"/>
        </w:rPr>
        <w:t>De acuerdo con el último informe del Latin American Consensus Forecast, que reúne la visión de cerca de una treintena de entidades -entre locales e internacionales-, se espera que para este año la actividad sea del orden del 2,2% y en el mediano plazo llegue hasta 2,3%</w:t>
      </w:r>
    </w:p>
    <w:p>
      <w:pPr>
        <w:spacing w:before="20"/>
        <w:ind w:left="360"/>
      </w:pPr>
      <w:r>
        <w:rPr>
          <w:color w:val="222222"/>
          <w:sz w:val="20"/>
        </w:rPr>
        <w:t>La previsión para este año no está alejada de la que hizo el Banco Central en su último Informe de Política Monetaria (IPoM) en marzo, en la cual redujo la proyección de crecimiento a un rango entre 1,5% y 2,5%, desde 2,0% a 3,0% que se preveía en diciembre.</w:t>
      </w:r>
    </w:p>
    <w:p>
      <w:pPr>
        <w:spacing w:before="20"/>
        <w:ind w:left="360"/>
      </w:pPr>
      <w:r>
        <w:rPr>
          <w:color w:val="222222"/>
          <w:sz w:val="20"/>
        </w:rPr>
        <w:t>De las entidades encuestadas, Banco BICE estuvo entre los máximos de la encuesta, previendo que en 2026 la actividad aumentará 2,7% y el próximo año 3,0%. Al igual que LarraínVial, que espera un 2,7% para el actual ejercicio y 3,1% para 2027; mientras que Gemines estima un 2,5% para ambos años.</w:t>
      </w:r>
    </w:p>
    <w:p>
      <w:pPr>
        <w:spacing w:before="20"/>
        <w:ind w:left="360"/>
      </w:pPr>
      <w:r>
        <w:rPr>
          <w:color w:val="222222"/>
          <w:sz w:val="20"/>
        </w:rPr>
        <w:t>Entre los mínimos, están Economist Intelligence Unit con 1,2% y 2,9%; Capital Economics 1,8% y 2,0%; y Bci Research con 1,8% y 2,4%.</w:t>
      </w:r>
    </w:p>
    <w:p>
      <w:pPr>
        <w:spacing w:before="20"/>
        <w:ind w:left="360"/>
      </w:pPr>
      <w:r>
        <w:rPr>
          <w:color w:val="222222"/>
          <w:sz w:val="20"/>
        </w:rPr>
        <w:t>Además, este lunes la Comisión Económica para América Latina y el Caribe (CEPAL) rebajó su pronóstico para el PIB de este año a 2,0%, desde el 2,2% estimado en diciembre.</w:t>
      </w:r>
    </w:p>
    <w:p>
      <w:pPr>
        <w:spacing w:before="20"/>
        <w:ind w:left="360"/>
      </w:pPr>
      <w:r>
        <w:rPr>
          <w:color w:val="222222"/>
          <w:sz w:val="20"/>
        </w:rPr>
        <w:t>Y al partir la semana, Goldman Sachs también redujo su proyección de 2,1% a 1,9%, debido al endurecimiento en las condiciones financieras globales. No obstante, ratificaron un 2,5% para 2027.</w:t>
      </w:r>
    </w:p>
    <w:p>
      <w:pPr>
        <w:spacing w:before="20"/>
        <w:ind w:left="360"/>
      </w:pPr>
      <w:r>
        <w:rPr>
          <w:color w:val="222222"/>
          <w:sz w:val="20"/>
        </w:rPr>
        <w:t>El Latin American Consensus Forecast también estimó que para 2030 el crecimiento sería de 2,3%, misma cifra que promediaría el período 2032-2036.</w:t>
      </w:r>
    </w:p>
    <w:p>
      <w:pPr>
        <w:spacing w:before="20"/>
        <w:ind w:left="360"/>
      </w:pPr>
      <w:r>
        <w:rPr>
          <w:color w:val="222222"/>
          <w:sz w:val="20"/>
        </w:rPr>
        <w:t>Números que no están tan alejados de previsiones anteriores, ya que en octubre del año pasado se estimaba que la actividad para 2031-2035 sería del 2,1%, un nivel similar al que se verificó 12 meses atrás, en abril de 2025.</w:t>
      </w:r>
    </w:p>
    <w:p>
      <w:pPr>
        <w:spacing w:before="20"/>
        <w:ind w:left="360"/>
      </w:pPr>
      <w:r>
        <w:rPr>
          <w:color w:val="222222"/>
          <w:sz w:val="20"/>
        </w:rPr>
        <w:t>Para la inflación, la previsión promedio está por debajo de lo anticipado por el Banco Central de un 4% para finales de este año y espera que los precios lleguen a diciembre con 3,8%, para luego moderarse a 3,0% en 2027.</w:t>
      </w:r>
    </w:p>
    <w:p>
      <w:pPr>
        <w:spacing w:before="20"/>
        <w:ind w:left="360"/>
      </w:pPr>
      <w:r>
        <w:rPr>
          <w:color w:val="222222"/>
          <w:sz w:val="20"/>
        </w:rPr>
        <w:t>Entre los pronósticos más altos, está Economist Intelligence Unit que prevé que el IPC termine este 2026 en 4,9% y 3,0% el próximo año, al igual que Scotiabank que anticipa incrementos de 4,5% y 3,0%, respectivamente.</w:t>
      </w:r>
    </w:p>
    <w:p>
      <w:pPr>
        <w:spacing w:before="20"/>
        <w:ind w:left="360"/>
      </w:pPr>
      <w:r>
        <w:rPr>
          <w:color w:val="222222"/>
          <w:sz w:val="20"/>
        </w:rPr>
        <w:t>Por el lado de los que esperan precios por debajo del consenso, está Gemines con 3,2% y 2,9% y AGPV con 3,0% para ambos años.</w:t>
      </w:r>
    </w:p>
    <w:p>
      <w:pPr>
        <w:spacing w:before="20"/>
        <w:ind w:left="360"/>
      </w:pPr>
      <w:r>
        <w:rPr>
          <w:color w:val="222222"/>
          <w:sz w:val="20"/>
        </w:rPr>
        <w:t>En este marco, el consenso de que la Tasa de Política Monetaria llegaría a julio sin moverse de su actual nivel de 4,5% y en abril de 2027 bajaría a 4,4%.</w:t>
      </w:r>
    </w:p>
    <w:p>
      <w:pPr>
        <w:spacing w:before="20"/>
        <w:ind w:left="360"/>
      </w:pPr>
      <w:r>
        <w:rPr>
          <w:color w:val="222222"/>
          <w:sz w:val="20"/>
        </w:rPr>
        <w:t>Este lunes, el mismo Grupo de Política Monetaria (GPM) sugirió una mantención en la reunión de hoy del Banco Central.</w:t>
      </w:r>
    </w:p>
    <w:p>
      <w:pPr>
        <w:spacing w:before="20"/>
        <w:ind w:left="360"/>
      </w:pPr>
      <w:r>
        <w:rPr>
          <w:color w:val="222222"/>
          <w:sz w:val="20"/>
        </w:rPr>
        <w:t>Para el consumo privado se espera avances 2,2% y 2,6% para el actual ejercicio y el próximo. Mientras que la formación bruta de capital fijo se incrementaría 4,9% y 3,4%, respectivamente.</w:t>
      </w:r>
    </w:p>
    <w:p>
      <w:pPr>
        <w:spacing w:before="40" w:after="120"/>
      </w:pPr>
      <w:r>
        <w:rPr>
          <w:color w:val="CCCCCC"/>
        </w:rPr>
        <w:t>· · ·</w:t>
      </w:r>
    </w:p>
    <w:p>
      <w:r>
        <w:rPr>
          <w:b/>
          <w:color w:val="E65000"/>
        </w:rPr>
        <w:t xml:space="preserve">5. </w:t>
      </w:r>
      <w:r>
        <w:rPr>
          <w:b/>
          <w:sz w:val="22"/>
        </w:rPr>
        <w:t>Ximena Ossandón (RN) y el proyecto de reactivación: "Nosotros y el gobierno hemos comunicado mal cuál es realmente el foco de esta reforma"</w:t>
      </w:r>
    </w:p>
    <w:p>
      <w:pPr>
        <w:spacing w:before="0"/>
      </w:pPr>
      <w:r>
        <w:rPr>
          <w:color w:val="0056B3"/>
          <w:sz w:val="18"/>
        </w:rPr>
        <w:t>https://www.df.cl/economia-y-politica/congreso/ximena-ossandon-rn-por-proyecto-de-reactivacion-la-realidad-es-que-si-el</w:t>
      </w:r>
    </w:p>
    <w:p>
      <w:pPr>
        <w:spacing w:before="20"/>
        <w:ind w:left="360"/>
      </w:pPr>
      <w:r>
        <w:rPr>
          <w:color w:val="222222"/>
          <w:sz w:val="20"/>
        </w:rPr>
        <w:t>La segunda vicepresidenta de la Cámara de Diputados plantea poner el debate en términos de la izquierda, "que cuando al rico le va bien, a la persona más pobre también le debería ir bien".</w:t>
      </w:r>
    </w:p>
    <w:p>
      <w:pPr>
        <w:spacing w:before="20"/>
        <w:ind w:left="360"/>
      </w:pPr>
      <w:r>
        <w:rPr>
          <w:color w:val="222222"/>
          <w:sz w:val="20"/>
        </w:rPr>
        <w:t>Publicado: Martes 28 de abril de 2026 a las 04:00 hrs.</w:t>
      </w:r>
    </w:p>
    <w:p>
      <w:pPr>
        <w:spacing w:before="20"/>
        <w:ind w:left="360"/>
      </w:pPr>
      <w:r>
        <w:rPr>
          <w:color w:val="222222"/>
          <w:sz w:val="20"/>
        </w:rPr>
        <w:t>Es conocida por ser directa y franca lo que suele incomodar más en su sector que en la oposición, pero ese rasgo de su carácter es reconocido como una cualidad de la actualsegunda vicepresidenta de la Cámara, diputada Ximena Ossandón, militante de Renovación Nacional (RN).</w:t>
      </w:r>
    </w:p>
    <w:p>
      <w:pPr>
        <w:spacing w:before="20"/>
        <w:ind w:left="360"/>
      </w:pPr>
      <w:r>
        <w:rPr>
          <w:color w:val="222222"/>
          <w:sz w:val="20"/>
        </w:rPr>
        <w:t>En conversación con la Vereda Política de Diario Financiero,la legisladora, que se encuentra en su tercer periodo en la Cámara, admitió que le gustaría llegar al Senado, pero que esa es una decisión que se toma colectivamente en el partido. Pero, esencialmente, profundizó en el proyecto de reactivación económica.Aunque fue la primera y una de las pocas que, en su sector, levantó la voz para pedir que la iniciativa se dividiera, acató la postura del Ejecutivo de no hacerlo.</w:t>
      </w:r>
    </w:p>
    <w:p>
      <w:pPr>
        <w:spacing w:before="120"/>
        <w:ind w:left="360"/>
      </w:pPr>
      <w:r>
        <w:rPr>
          <w:b/>
          <w:color w:val="E65000"/>
          <w:sz w:val="26"/>
        </w:rPr>
        <w:t xml:space="preserve"> </w:t>
      </w:r>
    </w:p>
    <w:p>
      <w:pPr>
        <w:spacing w:before="20"/>
        <w:ind w:left="360"/>
      </w:pPr>
      <w:r>
        <w:rPr>
          <w:color w:val="222222"/>
          <w:sz w:val="20"/>
        </w:rPr>
        <w:t>-Era una de las partidarias de que el proyecto de reactivación económica se dividiera, ¿el gobierno debiera tomarse esta semana distrital para reflexionar y recapacitar al respecto?</w:t>
      </w:r>
    </w:p>
    <w:p>
      <w:pPr>
        <w:spacing w:before="20"/>
        <w:ind w:left="360"/>
      </w:pPr>
      <w:r>
        <w:rPr>
          <w:color w:val="222222"/>
          <w:sz w:val="20"/>
        </w:rPr>
        <w:t>-Si bien nos hubiera gustado, hubiera sido un gesto también, incluso para la oposición, que también lo pidió; pero uno tiene que respetar en democracia y, en este caso, el gobierno, que es el único que tiene facultad sobre este proyecto, decidió otra cosa y nosotros frente a eso acatamos.</w:t>
      </w:r>
    </w:p>
    <w:p>
      <w:pPr>
        <w:spacing w:before="20"/>
        <w:ind w:left="360"/>
      </w:pPr>
      <w:r>
        <w:rPr>
          <w:color w:val="222222"/>
          <w:sz w:val="20"/>
        </w:rPr>
        <w:t>-Un gesto político, independiente quien lo tome. Pero, me imagino que está todo muy consensuado entre el Presidente y el ministro Quiroz. Vemos el protagonismo que ha tenido el ministro Quiroz -se ve poco al Presidente de la República en esta materia, sólo haciendo una defensa, que es lo natural- pero claramente es el que tiene la posta y la manija de todo lo que va a suceder.</w:t>
      </w:r>
    </w:p>
    <w:p>
      <w:pPr>
        <w:spacing w:before="20"/>
        <w:ind w:left="360"/>
      </w:pPr>
      <w:r>
        <w:rPr>
          <w:color w:val="222222"/>
          <w:sz w:val="20"/>
        </w:rPr>
        <w:t>-¿Cómo cree que va a ser la tramitación? No en el ámbito legislativo, sino en el político.</w:t>
      </w:r>
    </w:p>
    <w:p>
      <w:pPr>
        <w:spacing w:before="20"/>
        <w:ind w:left="360"/>
      </w:pPr>
      <w:r>
        <w:rPr>
          <w:color w:val="222222"/>
          <w:sz w:val="20"/>
        </w:rPr>
        <w:t>-Ellos van a insistir en que se separe el proyecto y no va a haber mucho cambio en eso.</w:t>
      </w:r>
    </w:p>
    <w:p>
      <w:pPr>
        <w:spacing w:before="20"/>
        <w:ind w:left="360"/>
      </w:pPr>
      <w:r>
        <w:rPr>
          <w:color w:val="222222"/>
          <w:sz w:val="20"/>
        </w:rPr>
        <w:t>-En muchos proyectos se dan discusiones muy álgidas, muy políticas, que son mucha cuña para su sector, pero al final la votación no varía. Yo espero que la oposición actual sea como fuimos nosotros, Chile Vamos, porque nadie puede discutir que fuimos una oposición colaboradora, que incluso muchas veces pagamos altos costos, de parte de nuestro propio sector que nos llamó incluso derechita cobarde, de lo cual yo no me arrepiento absolutamente para nada.</w:t>
      </w:r>
    </w:p>
    <w:p>
      <w:pPr>
        <w:spacing w:before="20"/>
        <w:ind w:left="360"/>
      </w:pPr>
      <w:r>
        <w:rPr>
          <w:color w:val="222222"/>
          <w:sz w:val="20"/>
        </w:rPr>
        <w:t>-A propósito de eso, el Partido Republicano y el propio Presidente Kast han criticado a la oposición que piensa rechazar la idea de legislar, cuando la colectividad rechazó en esa etapa la reforma tributaria de Boric, ¿cómo se entiende esta falta de coherencia?</w:t>
      </w:r>
    </w:p>
    <w:p>
      <w:pPr>
        <w:spacing w:before="20"/>
        <w:ind w:left="360"/>
      </w:pPr>
      <w:r>
        <w:rPr>
          <w:color w:val="222222"/>
          <w:sz w:val="20"/>
        </w:rPr>
        <w:t>-Yo entiendo las palabras del Presidente, en el fondo tiene una tremenda reforma, es un tremendo proyecto de ley que toca muchas áreas diferentes que son muy importantes para el crecimiento del país, para dinamizar la economía… y, por eso, que está pidiendo que le den la chance de discutirlo. Y yo espero que en ese camino, que ojalá no sea muy largo, el PPD y la Democracia Cristiana, sobre todo, tengan esa capacidad de decir que vale la pena jugársela por esto, porque el objetivo no es tanto recaudar como dinamizar la economía. Creo que se ha confundido y nosotros y el gobierno hemos comunicado mal cuál es realmente el foco de esta reforma. Pero eso va  a ser en la medida que ellos consigan lo que ha conseguido el PDG.</w:t>
      </w:r>
    </w:p>
    <w:p>
      <w:pPr>
        <w:spacing w:before="20"/>
        <w:ind w:left="360"/>
      </w:pPr>
      <w:r>
        <w:rPr>
          <w:color w:val="222222"/>
          <w:sz w:val="20"/>
        </w:rPr>
        <w:t>-¿Cómo se le explica a la gente que hasta el 2031 el Fisco no va a recaudar con esta reforma?</w:t>
      </w:r>
    </w:p>
    <w:p>
      <w:pPr>
        <w:spacing w:before="20"/>
        <w:ind w:left="360"/>
      </w:pPr>
      <w:r>
        <w:rPr>
          <w:color w:val="222222"/>
          <w:sz w:val="20"/>
        </w:rPr>
        <w:t>-Siempre he dicho que esas cosas las tenemos que explicar con una pedagogía mayor. Al final, si la economía es más dinámica, si crece el país, porque la raíz es llegar a crecer, necesariamente esos frutos se van a percibir en toda la familia chilena. Pero la gente eso no lo entiende, porque está preocupada de del día a día, de llegar a final de mes. Ahora, tal vez me expresé mal en el sentido de recaudar, (porque) efectivamente el corazón de este proyecto recauda a largo plazo, pero también hay cosas que recaudan, por ejemplo, en términos de permisología…</w:t>
      </w:r>
    </w:p>
    <w:p>
      <w:pPr>
        <w:spacing w:before="20"/>
        <w:ind w:left="360"/>
      </w:pPr>
      <w:r>
        <w:rPr>
          <w:color w:val="222222"/>
          <w:sz w:val="20"/>
        </w:rPr>
        <w:t>-Es que yo creo que ahí es donde tenemos que hincar el diente, porque en el fondo ya hay gente que ya tiene cinturón suficientemente apretado y está a punto de morir del ahogo. Entonces, a esa persona tengo que ir con otro mensaje: Vamos a hacer que nuestra economía despierte, que volvamos a ser el país competitivo, a ser los jaguares de América; ‘pero usted no se preocupe, porque yo voy a cumplir con lo que dice la Constitución, que me tengo que encargar del bien común’ y a aquellos grupos que se ven más afectados, tengo que contarles lo que voy a hacer, cómo voy a ir inmediatamente en ayuda concreta, para que no se sientan desamparados. Y es muy importante hacer eso, porque ya tenemos encuestas donde lamentablemente el Presidente Kast está descendiendo, sobre todo en las clases más vulnerables, que fueron incluso sus grandes apoyadores. El Presidente Kast tenía un colchoncito muy importante y hoy día la gente está retrocediendo.</w:t>
      </w:r>
    </w:p>
    <w:p>
      <w:pPr>
        <w:spacing w:before="20"/>
        <w:ind w:left="360"/>
      </w:pPr>
      <w:r>
        <w:rPr>
          <w:color w:val="222222"/>
          <w:sz w:val="20"/>
        </w:rPr>
        <w:t>-Lo atribuyo a que no hemos comunicado bien, pero también tenemos que comunicar soluciones, alivios, paliativos para este período, hasta que la economía se dinamice. Y aquí aparece este famoso oficio y uno dice por qué tenía que aparecer ahora. Pero aunque no se hubiera filtrado, de todas maneras, la mirada tiene que ser diferente, porqueel mundo de los números es muy necesario, las estadísticas son muy necesarias, pero tremendamente frías; y ahí falta corazón, empatía.</w:t>
      </w:r>
    </w:p>
    <w:p>
      <w:pPr>
        <w:spacing w:before="20"/>
        <w:ind w:left="360"/>
      </w:pPr>
      <w:r>
        <w:rPr>
          <w:color w:val="222222"/>
          <w:sz w:val="20"/>
        </w:rPr>
        <w:t>-Uno tiende a creer que como profesora tiene una sensibilidad especial, ¿esto muestra la frialdad del gobierno?</w:t>
      </w:r>
    </w:p>
    <w:p>
      <w:pPr>
        <w:spacing w:before="20"/>
        <w:ind w:left="360"/>
      </w:pPr>
      <w:r>
        <w:rPr>
          <w:color w:val="222222"/>
          <w:sz w:val="20"/>
        </w:rPr>
        <w:t>-El ministro (Jorge Quiroz) ha dicho, al final, que esto era una orientación. Pero justamente si era una orientación había que comunicarlo así y no como oficio con las categorías. Ahora, tengo clarísimo que el Presidente no va a hacer eso y lo quiero dejar muy claro, lo dijo en el Consejo de Renovación Nacional. Por favor,pongamos los pies en la tierra y si vamos a decir algo sobre programas sociales que están muy bien evaluados por la ciudadanía, hay que presentarlos no sólo teniendo los fríos números  de la Dipres, sino ir con alternativas. Porque lamentablemente le deja la pelota boteando a la izquierda y, en el último tiempo, se la están dejando boteando todos los días para que nos peguen y nosotros tenemos que salir a dar explicaciones de lo que se quería decir. Ya no podemos cometer más errores y tenemos que decidir efectivamente si se va a mostrar todo, porque además siempre se dijo que no se recortarían programas sociales. Cuando uno gobierna, el gobierno va ganando batallas, va teniendo espalda para ir avanzando en la otra lucha y en la otra lucha.</w:t>
      </w:r>
    </w:p>
    <w:p>
      <w:pPr>
        <w:spacing w:before="20"/>
        <w:ind w:left="360"/>
      </w:pPr>
      <w:r>
        <w:rPr>
          <w:color w:val="222222"/>
          <w:sz w:val="20"/>
        </w:rPr>
        <w:t>-¿Esa primera batalla sería el proyecto de reconstrucción?</w:t>
      </w:r>
    </w:p>
    <w:p>
      <w:pPr>
        <w:spacing w:before="20"/>
        <w:ind w:left="360"/>
      </w:pPr>
      <w:r>
        <w:rPr>
          <w:color w:val="222222"/>
          <w:sz w:val="20"/>
        </w:rPr>
        <w:t>-Creo que la primera la primera batalla que tiene que ganar este gobierno es el proyecto de reconstrucción. Me parece que es sumamente importante que salga, pero que salga con corazón también. Que la gente entienda lo que produce la baja de impuestos y que no le volvamos a dejar la pelota boteando a la izquierda, que los ricos, los pobres… Y pongámoslo en términos de la izquierda, que cuando al rico le va bien, a la persona más pobre también le debería ir bien.</w:t>
      </w:r>
    </w:p>
    <w:p>
      <w:pPr>
        <w:spacing w:before="20"/>
        <w:ind w:left="360"/>
      </w:pPr>
      <w:r>
        <w:rPr>
          <w:color w:val="222222"/>
          <w:sz w:val="20"/>
        </w:rPr>
        <w:t>-¿La política del chorreo? Porque los expertos dicen que eso hace mucho que no resulta.</w:t>
      </w:r>
    </w:p>
    <w:p>
      <w:pPr>
        <w:spacing w:before="20"/>
        <w:ind w:left="360"/>
      </w:pPr>
      <w:r>
        <w:rPr>
          <w:color w:val="222222"/>
          <w:sz w:val="20"/>
        </w:rPr>
        <w:t>-La realidad es que si el chorreo hubiera existido, no hubiéramos tenido estallido social. Por eso es que ahora tenemos que encargarnos de que sí exista.</w:t>
      </w:r>
    </w:p>
    <w:p>
      <w:pPr>
        <w:spacing w:before="20"/>
        <w:ind w:left="360"/>
      </w:pPr>
      <w:r>
        <w:rPr>
          <w:color w:val="222222"/>
          <w:sz w:val="20"/>
        </w:rPr>
        <w:t>-¿Cuáles son los elementos que le inquietan del proyecto?</w:t>
      </w:r>
    </w:p>
    <w:p>
      <w:pPr>
        <w:spacing w:before="20"/>
        <w:ind w:left="360"/>
      </w:pPr>
      <w:r>
        <w:rPr>
          <w:color w:val="222222"/>
          <w:sz w:val="20"/>
        </w:rPr>
        <w:t>-Tenemos serias dudas y muchas conversaciones esta semana por el tema del Sence, porque si bien hay mucha gente que ofrece cursos, entonces, vamos acotando los temas, veamos quiénes lo ha hecho bien. Hay que hay que mejorarlo, creo que la palabra es revisar para que efectivamente sea eficiente.</w:t>
      </w:r>
    </w:p>
    <w:p>
      <w:pPr>
        <w:spacing w:before="40" w:after="120"/>
      </w:pPr>
      <w:r>
        <w:rPr>
          <w:color w:val="CCCCCC"/>
        </w:rPr>
        <w:t>· · ·</w:t>
      </w:r>
    </w:p>
    <w:p/>
    <w:p>
      <w:pPr>
        <w:pStyle w:val="Heading1"/>
      </w:pPr>
      <w:r>
        <w:rPr>
          <w:color w:val="E65000"/>
        </w:rPr>
        <w:t>🔹 Internacional</w:t>
      </w:r>
    </w:p>
    <w:p>
      <w:r>
        <w:rPr>
          <w:b/>
          <w:color w:val="E65000"/>
        </w:rPr>
        <w:t xml:space="preserve">1. </w:t>
      </w:r>
      <w:r>
        <w:rPr>
          <w:b/>
          <w:sz w:val="22"/>
        </w:rPr>
        <w:t>Copa Airlines firma acuerdo con Boeing para la compra de 60 aviones 737 MAX por US$ 13.500 millones</w:t>
      </w:r>
      <w:r>
        <w:rPr>
          <w:color w:val="CC7700"/>
          <w:sz w:val="18"/>
        </w:rPr>
        <w:t xml:space="preserve">  [⭐ Destacada]</w:t>
      </w:r>
    </w:p>
    <w:p>
      <w:pPr>
        <w:spacing w:before="0"/>
      </w:pPr>
      <w:r>
        <w:rPr>
          <w:color w:val="0056B3"/>
          <w:sz w:val="18"/>
        </w:rPr>
        <w:t>https://www.df.cl/df-sud/multilatinas/copa-airlines-firma-acuerdo-con-boeing-para-la-compra-de-60-aviones-737-max</w:t>
      </w:r>
    </w:p>
    <w:p>
      <w:pPr>
        <w:spacing w:before="20"/>
        <w:ind w:left="360"/>
      </w:pPr>
      <w:r>
        <w:rPr>
          <w:color w:val="222222"/>
          <w:sz w:val="20"/>
        </w:rPr>
        <w:t>La orden se suma a las 40 aeronaves que aún están pendientes por entregar del acuerdo vigente.</w:t>
      </w:r>
    </w:p>
    <w:p>
      <w:pPr>
        <w:spacing w:before="20"/>
        <w:ind w:left="360"/>
      </w:pPr>
      <w:r>
        <w:rPr>
          <w:color w:val="222222"/>
          <w:sz w:val="20"/>
        </w:rPr>
        <w:t>Publicado: Martes 28 de abril de 2026 a las 11:45 hrs.</w:t>
      </w:r>
    </w:p>
    <w:p>
      <w:pPr>
        <w:spacing w:before="20"/>
        <w:ind w:left="360"/>
      </w:pPr>
      <w:r>
        <w:rPr>
          <w:color w:val="222222"/>
          <w:sz w:val="20"/>
        </w:rPr>
        <w:t>Laaerolínea panameñaCopa Airlinesanunció lafirma de un acuerdo con Boeing para la adquisición de hasta 60 aeronaves 737 MAXde la constructora aeronáutica por una inversión aproximada de US$ 13.500 millones a precio de lista.</w:t>
      </w:r>
    </w:p>
    <w:p>
      <w:pPr>
        <w:spacing w:before="20"/>
        <w:ind w:left="360"/>
      </w:pPr>
      <w:r>
        <w:rPr>
          <w:color w:val="222222"/>
          <w:sz w:val="20"/>
        </w:rPr>
        <w:t>Según lo informado por la compañía,la orden se suma a las 40 aeronaves que aún están pendientes por entregar del acuerdo vigente entre ambas firmas.</w:t>
      </w:r>
    </w:p>
    <w:p>
      <w:pPr>
        <w:spacing w:before="20"/>
        <w:ind w:left="360"/>
      </w:pPr>
      <w:r>
        <w:rPr>
          <w:color w:val="222222"/>
          <w:sz w:val="20"/>
        </w:rPr>
        <w:t>De esta forma, el nuevo acuerdopermitirá a la empresa incorporar más de 100 nuevos aparatos en los próximos ocho añosy, si se sostiene la demanda en la región, alcanzar una flota superior a las 200 unidades para el año 2034.</w:t>
      </w:r>
    </w:p>
    <w:p>
      <w:pPr>
        <w:spacing w:before="20"/>
        <w:ind w:left="360"/>
      </w:pPr>
      <w:r>
        <w:rPr>
          <w:color w:val="222222"/>
          <w:sz w:val="20"/>
        </w:rPr>
        <w:t>A través de un comunicado, el presidente ejecutivo, Pedro Heilbron, señaló que esto "representa un paso importante para seguir fortaleciendo la operación y la conectividad que brindamos desde Panamá".</w:t>
      </w:r>
    </w:p>
    <w:p>
      <w:pPr>
        <w:spacing w:before="20"/>
        <w:ind w:left="360"/>
      </w:pPr>
      <w:r>
        <w:rPr>
          <w:color w:val="222222"/>
          <w:sz w:val="20"/>
        </w:rPr>
        <w:t>"A través del hub de las Américas, hemos consolidado un centro de conexiones que hoy nos permite responder al mercado con una operación segura, eficiente y confiable. Incorporar nuevas aeronaves será clave para seguir ampliando nuestra operación y red de destinosy acompañar así el desarrollo económico de Panamá y la región, generando nuevos puestos de trabajo y crecimiento en el sector turístico”, agregó.</w:t>
      </w:r>
    </w:p>
    <w:p>
      <w:pPr>
        <w:spacing w:before="20"/>
        <w:ind w:left="360"/>
      </w:pPr>
      <w:r>
        <w:rPr>
          <w:color w:val="222222"/>
          <w:sz w:val="20"/>
        </w:rPr>
        <w:t>De acuerdo con lo informado, aunque podría estar sujeto a cambios en el cronograma,las nuevas aeronaves serán entregadas entre 2030 y 2034y podrán destinarse tanto al crecimiento de la flota como al reemplazo de aeronaves existentes, según las necesidades de la Aerolínea.</w:t>
      </w:r>
    </w:p>
    <w:p>
      <w:pPr>
        <w:spacing w:before="20"/>
        <w:ind w:left="360"/>
      </w:pPr>
      <w:r>
        <w:rPr>
          <w:color w:val="222222"/>
          <w:sz w:val="20"/>
        </w:rPr>
        <w:t>El acuerdo brinda a Copa la flexibilidad para seleccionar entre las versiones 737 MAX 8, MAX 9 y MAX 10, según los requerimientos de su operación, permitiéndole ajustar la composición de su flota de acuerdo con la demanda, la capacidad y sus planes de expansión.</w:t>
      </w:r>
    </w:p>
    <w:p>
      <w:pPr>
        <w:spacing w:before="120"/>
        <w:ind w:left="360"/>
      </w:pPr>
      <w:r>
        <w:rPr>
          <w:b/>
          <w:color w:val="E65000"/>
          <w:sz w:val="26"/>
        </w:rPr>
        <w:t xml:space="preserve"> </w:t>
      </w:r>
    </w:p>
    <w:p>
      <w:pPr>
        <w:spacing w:before="20"/>
        <w:ind w:left="360"/>
      </w:pPr>
      <w:r>
        <w:rPr>
          <w:color w:val="222222"/>
          <w:sz w:val="20"/>
        </w:rPr>
        <w:t>Actualmente,Copa Airlinesconecta 88 destinos en 32 países a través del hub de las Américas, consolidando aPanamá como un centro clave de conexiones aéreas en el continente.</w:t>
      </w:r>
    </w:p>
    <w:p>
      <w:pPr>
        <w:spacing w:before="20"/>
        <w:ind w:left="360"/>
      </w:pPr>
      <w:r>
        <w:rPr>
          <w:color w:val="222222"/>
          <w:sz w:val="20"/>
        </w:rPr>
        <w:t>De acuerdo con medios nacionales, la aerolínea habría proyectado un crecimiento en el tráfico de pasajeros desde los 20,9 millones estimados para 2026 hasta más de 27 millones hacia finales de la década.</w:t>
      </w:r>
    </w:p>
    <w:p>
      <w:pPr>
        <w:spacing w:before="40" w:after="120"/>
      </w:pPr>
      <w:r>
        <w:rPr>
          <w:color w:val="CCCCCC"/>
        </w:rPr>
        <w:t>· · ·</w:t>
      </w:r>
    </w:p>
    <w:p>
      <w:r>
        <w:rPr>
          <w:b/>
          <w:color w:val="E65000"/>
        </w:rPr>
        <w:t xml:space="preserve">2. </w:t>
      </w:r>
      <w:r>
        <w:rPr>
          <w:b/>
          <w:sz w:val="22"/>
        </w:rPr>
        <w:t>Emiratos Árabes Unidos abandonará la OPEP y la OPEP+ a partir del 1 de mayo</w:t>
      </w:r>
      <w:r>
        <w:rPr>
          <w:color w:val="CC7700"/>
          <w:sz w:val="18"/>
        </w:rPr>
        <w:t xml:space="preserve">  [⭐ Destacada]</w:t>
      </w:r>
    </w:p>
    <w:p>
      <w:pPr>
        <w:spacing w:before="0"/>
      </w:pPr>
      <w:r>
        <w:rPr>
          <w:color w:val="0056B3"/>
          <w:sz w:val="18"/>
        </w:rPr>
        <w:t>https://www.df.cl/internacional/politica/emiratos-arabes-unidos-abandonara-la-opep-y-la-opep-a-partir-del-1-de-mayo</w:t>
      </w:r>
    </w:p>
    <w:p>
      <w:pPr>
        <w:spacing w:before="20"/>
        <w:ind w:left="360"/>
      </w:pPr>
      <w:r>
        <w:rPr>
          <w:color w:val="222222"/>
          <w:sz w:val="20"/>
        </w:rPr>
        <w:t>La decisión constituye un golpe para el cartel petrolero y su líder de facto, Arabia Saudita, en medio de las dificultades por el cierre del estrecho de Ormuz.</w:t>
      </w:r>
    </w:p>
    <w:p>
      <w:pPr>
        <w:spacing w:before="20"/>
        <w:ind w:left="360"/>
      </w:pPr>
      <w:r>
        <w:rPr>
          <w:color w:val="222222"/>
          <w:sz w:val="20"/>
        </w:rPr>
        <w:t>Publicado: Martes 28 de abril de 2026 a las 08:54 hrs.</w:t>
      </w:r>
    </w:p>
    <w:p>
      <w:pPr>
        <w:spacing w:before="20"/>
        <w:ind w:left="360"/>
      </w:pPr>
      <w:r>
        <w:rPr>
          <w:color w:val="222222"/>
          <w:sz w:val="20"/>
        </w:rPr>
        <w:t>En medio de la guerra en Medio Oriente y el doble bloqueo, iraní y estadounidense, del estrecho de Ormuz, este martes Emiratos Árabes Unidos (EAU) anunció su salida de la Organización de Países Exportadores de Petróleo (OPEP) y de la OPEP+,determinación que supone un severo golpe al cartel y a su líder de facto, Arabia Saudita.</w:t>
      </w:r>
    </w:p>
    <w:p>
      <w:pPr>
        <w:spacing w:before="20"/>
        <w:ind w:left="360"/>
      </w:pPr>
      <w:r>
        <w:rPr>
          <w:color w:val="222222"/>
          <w:sz w:val="20"/>
        </w:rPr>
        <w:t>“Esta decisión surge tras una revisión exhaustiva de la política de producción de los EAU y de su capacidad actual y futura, yse basa en nuestro interés nacional y en nuestro compromiso de contribuir eficazmente a satisfacer las necesidades apremiantes del mercado”, declaró el Ministerio de Energía de los EAU.</w:t>
      </w:r>
    </w:p>
    <w:p>
      <w:pPr>
        <w:spacing w:before="20"/>
        <w:ind w:left="360"/>
      </w:pPr>
      <w:r>
        <w:rPr>
          <w:color w:val="222222"/>
          <w:sz w:val="20"/>
        </w:rPr>
        <w:t>“Reiteramos nuestro agradecimiento por los esfuerzos tanto de la OPEP como de la alianza OPEP+ y les deseamos éxito”, agregó en un comunicado.</w:t>
      </w:r>
    </w:p>
    <w:p>
      <w:pPr>
        <w:spacing w:before="20"/>
        <w:ind w:left="360"/>
      </w:pPr>
      <w:r>
        <w:rPr>
          <w:color w:val="222222"/>
          <w:sz w:val="20"/>
        </w:rPr>
        <w:t>Pese a esas palabras, el país -centro de negocios regional y uno de los aliados más importantes de Estados Unidos en la región- toma esta definición tras criticar a sus vecinos árabes por no haber hecho lo suficiente para protegerlo de los numerosos ataques iraníes durante la guerra.</w:t>
      </w:r>
    </w:p>
    <w:p>
      <w:pPr>
        <w:spacing w:before="20"/>
        <w:ind w:left="360"/>
      </w:pPr>
      <w:r>
        <w:rPr>
          <w:color w:val="222222"/>
          <w:sz w:val="20"/>
        </w:rPr>
        <w:t>La OPEP fue fundada en 1960y es uno de los actores más poderosos en el suministro petrolero global, al ser responsable de la producción de más de un tercio del crudo.EAU se unió al cartel en 1967 y según datos de febrero, es decir, previo al comienzo de la guerra,figuraba -detrás de Arabia Saudita e Irak- como el terer mayor productor petrolero del grupo con 3,4 millone de barriles diarios.</w:t>
      </w:r>
    </w:p>
    <w:p>
      <w:pPr>
        <w:spacing w:before="20"/>
        <w:ind w:left="360"/>
      </w:pPr>
      <w:r>
        <w:rPr>
          <w:color w:val="222222"/>
          <w:sz w:val="20"/>
        </w:rPr>
        <w:t>"Uno de los elementos centrales parece ser laintención de los Emiratos Árabes Unidos de liberar sus cuotas de producción y operar de acuerdo con su capacidad real, en lugar de mantenerse sujetos a los límites impuestos por la OPEP", sostiene elhead of research de la app de inversiones XTB,Ignacio Mieres, quien de todas maneras precisa que "este objetivo enfrenta unarestricción importante:con el estrecho de Ormuz bajo amenaza, aumentar la producción no necesariamente implica poder exportar más".</w:t>
      </w:r>
    </w:p>
    <w:p>
      <w:pPr>
        <w:spacing w:before="40" w:after="120"/>
      </w:pPr>
      <w:r>
        <w:rPr>
          <w:color w:val="CCCCCC"/>
        </w:rPr>
        <w:t>· · ·</w:t>
      </w:r>
    </w:p>
    <w:p>
      <w:r>
        <w:rPr>
          <w:b/>
          <w:color w:val="E65000"/>
        </w:rPr>
        <w:t xml:space="preserve">3. </w:t>
      </w:r>
      <w:r>
        <w:rPr>
          <w:b/>
          <w:sz w:val="22"/>
        </w:rPr>
        <w:t>Utilidades de BYD se desploman a la mitad: mayor demanda por autos eléctricos debido a la guerra no pudo compensar una caída en ventas en China</w:t>
      </w:r>
      <w:r>
        <w:rPr>
          <w:color w:val="CC7700"/>
          <w:sz w:val="18"/>
        </w:rPr>
        <w:t xml:space="preserve">  [⭐ Destacada]</w:t>
      </w:r>
    </w:p>
    <w:p>
      <w:pPr>
        <w:spacing w:before="0"/>
      </w:pPr>
      <w:r>
        <w:rPr>
          <w:color w:val="0056B3"/>
          <w:sz w:val="18"/>
        </w:rPr>
        <w:t>https://www.df.cl/internacional/ft/utilidades-de-byd-se-desploman-a-la-mitad-mayor-demanda-por-autos</w:t>
      </w:r>
    </w:p>
    <w:p>
      <w:pPr>
        <w:spacing w:before="20"/>
        <w:ind w:left="360"/>
      </w:pPr>
      <w:r>
        <w:rPr>
          <w:color w:val="222222"/>
          <w:sz w:val="20"/>
        </w:rPr>
        <w:t>Ante la desaceleración del crecimiento de las ventas de vehículos eléctricos en China, BYD se ha visto sometida a una intensa presión por parte de rivales locales como Geely, Leapmotor, Xiaomi y, cada vez más, una gama de automóviles equipados con software y hardware de Huawei.</w:t>
      </w:r>
    </w:p>
    <w:p>
      <w:pPr>
        <w:spacing w:before="20"/>
        <w:ind w:left="360"/>
      </w:pPr>
      <w:r>
        <w:rPr>
          <w:color w:val="222222"/>
          <w:sz w:val="20"/>
        </w:rPr>
        <w:t>Por:Financial TimesPublicado: Martes 28 de abril de 2026 a las 08:10 hrs.</w:t>
      </w:r>
    </w:p>
    <w:p>
      <w:pPr>
        <w:spacing w:before="20"/>
        <w:ind w:left="360"/>
      </w:pPr>
      <w:r>
        <w:rPr>
          <w:color w:val="222222"/>
          <w:sz w:val="20"/>
        </w:rPr>
        <w:t>Publicado: Martes 28 de abril de 2026 a las 08:10 hrs.</w:t>
      </w:r>
    </w:p>
    <w:p>
      <w:pPr>
        <w:spacing w:before="20"/>
        <w:ind w:left="360"/>
      </w:pPr>
      <w:r>
        <w:rPr>
          <w:color w:val="222222"/>
          <w:sz w:val="20"/>
        </w:rPr>
        <w:t>La vicepresidenta ejecutiva de BYD, Stella Li, durante el Salón del Automóvil de Beijing la semana pasada. (Foto: Reuters)</w:t>
      </w:r>
    </w:p>
    <w:p>
      <w:pPr>
        <w:spacing w:before="20"/>
        <w:ind w:left="360"/>
      </w:pPr>
      <w:r>
        <w:rPr>
          <w:color w:val="222222"/>
          <w:sz w:val="20"/>
        </w:rPr>
        <w:t>Las utilidades de BYD se redujeron a menos de la mitad, ya que el declive de la compañía en el feroz mercado chino contrarresta el aumento de la demanda de vehículos eléctricos a nivel mundial tras la guerra con Irán.</w:t>
      </w:r>
    </w:p>
    <w:p>
      <w:pPr>
        <w:spacing w:before="20"/>
        <w:ind w:left="360"/>
      </w:pPr>
      <w:r>
        <w:rPr>
          <w:color w:val="222222"/>
          <w:sz w:val="20"/>
        </w:rPr>
        <w:t>El grupo con sede en Shenzhen reportó el martes unaganancia neta de 4.100 millones de yuanes (US$ 600 millones) en el primer trimestre, un 55% menos que en el mismo período del año anterior y en línea con las previsiones de los analistas. Según Visible Alpha, este fue el nivel más bajo desde el segundo trimestre de 2022.</w:t>
      </w:r>
    </w:p>
    <w:p>
      <w:pPr>
        <w:spacing w:before="20"/>
        <w:ind w:left="360"/>
      </w:pPr>
      <w:r>
        <w:rPr>
          <w:color w:val="222222"/>
          <w:sz w:val="20"/>
        </w:rPr>
        <w:t>Los ingresos de 150.200 millones de yuanes en los primeros tres meses del año disminuyeron un 11,8% con respecto al año anterior, pero superaron las previsiones de 140.400 millones de yuanes.</w:t>
      </w:r>
    </w:p>
    <w:p>
      <w:pPr>
        <w:spacing w:before="20"/>
        <w:ind w:left="360"/>
      </w:pPr>
      <w:r>
        <w:rPr>
          <w:color w:val="222222"/>
          <w:sz w:val="20"/>
        </w:rPr>
        <w:t>Los resultados ponen de manifiesto la reciente caída de las ventas de BYD en China, especialmente en enero y febrero, tras años de crecimiento extraordinario a medida quese eliminan gradualmente los subsidios gubernamentales para la compra de vehículos eléctricos.</w:t>
      </w:r>
    </w:p>
    <w:p>
      <w:pPr>
        <w:spacing w:before="20"/>
        <w:ind w:left="360"/>
      </w:pPr>
      <w:r>
        <w:rPr>
          <w:color w:val="222222"/>
          <w:sz w:val="20"/>
        </w:rPr>
        <w:t>Sin embargo, el impacto negativo se vio mitigado porla mejora de la demanda interna en marzo y por la fortaleza de las exportaciones, ya que la crisis energética mundial derivada de la guerra en Medio Oriente alejó a los consumidores de los automóviles que funcionan con gasolina y diésel.</w:t>
      </w:r>
    </w:p>
    <w:p>
      <w:pPr>
        <w:spacing w:before="120"/>
        <w:ind w:left="360"/>
      </w:pPr>
      <w:r>
        <w:rPr>
          <w:b/>
          <w:color w:val="E65000"/>
          <w:sz w:val="26"/>
        </w:rPr>
        <w:t xml:space="preserve"> </w:t>
      </w:r>
    </w:p>
    <w:p>
      <w:pPr>
        <w:spacing w:before="20"/>
        <w:ind w:left="360"/>
      </w:pPr>
      <w:r>
        <w:rPr>
          <w:color w:val="222222"/>
          <w:sz w:val="20"/>
        </w:rPr>
        <w:t>Las acciones de BYD en China continental han repuntado un 14 % desde el inicio de la guerra, pero aún se encuentran un 25 % por debajo de su máximo alcanzado hace casi un año. El grupo, uno de los mayores productores de baterías del mundo, se ha beneficiado del aumento de la demanda de almacenamiento de energía para inteligencia artificial y centros de datos.</w:t>
      </w:r>
    </w:p>
    <w:p>
      <w:pPr>
        <w:spacing w:before="20"/>
        <w:ind w:left="360"/>
      </w:pPr>
      <w:r>
        <w:rPr>
          <w:color w:val="222222"/>
          <w:sz w:val="20"/>
        </w:rPr>
        <w:t>Según datos de la consultora shanghainesa Automobility,BYD mantiene la mayor cuota del mercado chino de vehículos de nueva energía (que incluye vehículos eléctricos de batería pura y diversos híbridos enchufables), con un 20%.</w:t>
      </w:r>
    </w:p>
    <w:p>
      <w:pPr>
        <w:spacing w:before="20"/>
        <w:ind w:left="360"/>
      </w:pPr>
      <w:r>
        <w:rPr>
          <w:color w:val="222222"/>
          <w:sz w:val="20"/>
        </w:rPr>
        <w:t>Sin embargo, ante la desaceleración del crecimiento de las ventas de vehículos eléctricos en China, BYD se ha visto sometida a una intensa presión por parte de rivales locales como Geely, Leapmotor, Xiaomi y, cada vez más, una gama de automóviles equipados con software y hardware de Huawei.</w:t>
      </w:r>
    </w:p>
    <w:p>
      <w:pPr>
        <w:spacing w:before="20"/>
        <w:ind w:left="360"/>
      </w:pPr>
      <w:r>
        <w:rPr>
          <w:color w:val="222222"/>
          <w:sz w:val="20"/>
        </w:rPr>
        <w:t>BYD también ha recibido presiones de Beijing para queacelere los pagos a miles de proveedores, lo que ha generado dudas sobre su práctica habitual de utilizar el dinero adeudado a proveedores como una forma de financiación a bajo costo para impulsar su crecimiento.</w:t>
      </w:r>
    </w:p>
    <w:p>
      <w:pPr>
        <w:spacing w:before="20"/>
        <w:ind w:left="360"/>
      </w:pPr>
      <w:r>
        <w:rPr>
          <w:color w:val="222222"/>
          <w:sz w:val="20"/>
        </w:rPr>
        <w:t>En este contexto, y a pesar de haberle arrebatado el año pasado el título de mayor fabricante mundial de vehículos eléctricos a Tesla, la empresa de Elon Musk,BYD se ha visto obligada a acelerar su expansión a otros mercados, donde puede obtener un margen de beneficio mayor con sus autos.</w:t>
      </w:r>
    </w:p>
    <w:p>
      <w:pPr>
        <w:spacing w:before="20"/>
        <w:ind w:left="360"/>
      </w:pPr>
      <w:r>
        <w:rPr>
          <w:color w:val="222222"/>
          <w:sz w:val="20"/>
        </w:rPr>
        <w:t>Las ventas de BYD en el Reino Unido y otras partes de Europa se duplicaron con creces en el primer trimestre, alcanzando casi 74.000 vehículos, lo que elevó su cuota de mercado en la región a poco más del 2%, según la asociación europea de la industria automovilística Acea.</w:t>
      </w:r>
    </w:p>
    <w:p>
      <w:pPr>
        <w:spacing w:before="20"/>
        <w:ind w:left="360"/>
      </w:pPr>
      <w:r>
        <w:rPr>
          <w:color w:val="222222"/>
          <w:sz w:val="20"/>
        </w:rPr>
        <w:t>El grupo lanzó recientemente su marca premium Denza en Europa para competir con marcas como Porsche y BMW, en un esfuerzo por aumentar los márgenes de sus operaciones internacionales.</w:t>
      </w:r>
    </w:p>
    <w:p>
      <w:pPr>
        <w:spacing w:before="20"/>
        <w:ind w:left="360"/>
      </w:pPr>
      <w:r>
        <w:rPr>
          <w:color w:val="222222"/>
          <w:sz w:val="20"/>
        </w:rPr>
        <w:t>En declaraciones a la prensa durante el Salón del Automóvil de Beijing,la vicepresidenta ejecutiva de BYD, Stella Li, afirmó que la compañía estaba analizando internamente oportunidades en el automovilismo deportivo, incluyendo la Fórmula 1, para mostrar su tecnología.</w:t>
      </w:r>
    </w:p>
    <w:p>
      <w:pPr>
        <w:spacing w:before="20"/>
        <w:ind w:left="360"/>
      </w:pPr>
      <w:r>
        <w:rPr>
          <w:color w:val="222222"/>
          <w:sz w:val="20"/>
        </w:rPr>
        <w:t>Los analistas de Citi estimaron que BYD alcanzaríaunas ventas totales de más de 5 millones de autos, frente a los 4,6 millones del año pasado.</w:t>
      </w:r>
    </w:p>
    <w:p>
      <w:pPr>
        <w:spacing w:before="20"/>
        <w:ind w:left="360"/>
      </w:pPr>
      <w:r>
        <w:rPr>
          <w:color w:val="222222"/>
          <w:sz w:val="20"/>
        </w:rPr>
        <w:t>Si bien el aumento es moderado, se espera que la combinación de ventas mejore, con 1,62 millones de exportaciones y 3,39 millones de ventas nacionales, en comparación con las exportaciones de 1 millón y las ventas en China de 3,6 millones del año pasado.</w:t>
      </w:r>
    </w:p>
    <w:p>
      <w:pPr>
        <w:spacing w:before="40" w:after="120"/>
      </w:pPr>
      <w:r>
        <w:rPr>
          <w:color w:val="CCCCCC"/>
        </w:rPr>
        <w:t>· · ·</w:t>
      </w:r>
    </w:p>
    <w:p>
      <w:r>
        <w:rPr>
          <w:b/>
          <w:color w:val="E65000"/>
        </w:rPr>
        <w:t xml:space="preserve">4. </w:t>
      </w:r>
      <w:r>
        <w:rPr>
          <w:b/>
          <w:sz w:val="22"/>
        </w:rPr>
        <w:t>El precio del petróleo supera los US$ 110 por primera vez en tres semanas mientras EEUU afirma que hay dudas sobre la propuesta de Irán</w:t>
      </w:r>
    </w:p>
    <w:p>
      <w:pPr>
        <w:spacing w:before="0"/>
      </w:pPr>
      <w:r>
        <w:rPr>
          <w:color w:val="0056B3"/>
          <w:sz w:val="18"/>
        </w:rPr>
        <w:t>https://www.df.cl/internacional/ft/el-precio-del-petroleo-supera-los-us-110-por-primera-vez-en-tres-semanas</w:t>
      </w:r>
    </w:p>
    <w:p>
      <w:pPr>
        <w:spacing w:before="20"/>
        <w:ind w:left="360"/>
      </w:pPr>
      <w:r>
        <w:rPr>
          <w:color w:val="222222"/>
          <w:sz w:val="20"/>
        </w:rPr>
        <w:t>La secretaria de prensa de la Casa Blanca, Karoline Leavitt, informó a los periodistas que el presidente Donald Trump había convocado a funcionarios de seguridad nacional para revisar la oferta iraní. "Sus líneas rojas con respecto a Irán han sido muy, muy claras".</w:t>
      </w:r>
    </w:p>
    <w:p>
      <w:pPr>
        <w:spacing w:before="20"/>
        <w:ind w:left="360"/>
      </w:pPr>
      <w:r>
        <w:rPr>
          <w:color w:val="222222"/>
          <w:sz w:val="20"/>
        </w:rPr>
        <w:t>Por:Financial TimesPublicado: Martes 28 de abril de 2026 a las 06:58 hrs.</w:t>
      </w:r>
    </w:p>
    <w:p>
      <w:pPr>
        <w:spacing w:before="20"/>
        <w:ind w:left="360"/>
      </w:pPr>
      <w:r>
        <w:rPr>
          <w:color w:val="222222"/>
          <w:sz w:val="20"/>
        </w:rPr>
        <w:t>Publicado: Martes 28 de abril de 2026 a las 06:58 hrs.</w:t>
      </w:r>
    </w:p>
    <w:p>
      <w:pPr>
        <w:spacing w:before="20"/>
        <w:ind w:left="360"/>
      </w:pPr>
      <w:r>
        <w:rPr>
          <w:color w:val="222222"/>
          <w:sz w:val="20"/>
        </w:rPr>
        <w:t>La secretaria de prensa de la Casa Blanca, Karoline Leavitt, aseguró el lunes que Trump abordaría el tema "muy pronto".</w:t>
      </w:r>
    </w:p>
    <w:p>
      <w:pPr>
        <w:spacing w:before="20"/>
        <w:ind w:left="360"/>
      </w:pPr>
      <w:r>
        <w:rPr>
          <w:color w:val="222222"/>
          <w:sz w:val="20"/>
        </w:rPr>
        <w:t>El petróleo superó los US$ 110 por barril por primera vez en tres semanas en las primeras operaciones del martes, mientras Estados Unidos e Irán parecían avanzar poco hacia un acuerdo de paz que desbloquearía el suministro de energía a través del estrecho de Ormuz.</w:t>
      </w:r>
    </w:p>
    <w:p>
      <w:pPr>
        <w:spacing w:before="20"/>
        <w:ind w:left="360"/>
      </w:pPr>
      <w:r>
        <w:rPr>
          <w:color w:val="222222"/>
          <w:sz w:val="20"/>
        </w:rPr>
        <w:t>El crudo Brent, la referencia internacional del petróleo,subió hasta un 3,6%, alcanzando los US$ 111,86 por barril, lo que presionó a los mercados de bonos gubernamentales ante la creciente preocupación de los inversores por la inflación.</w:t>
      </w:r>
    </w:p>
    <w:p>
      <w:pPr>
        <w:spacing w:before="20"/>
        <w:ind w:left="360"/>
      </w:pPr>
      <w:r>
        <w:rPr>
          <w:color w:val="222222"/>
          <w:sz w:val="20"/>
        </w:rPr>
        <w:t>La Casa Blanca declaró el lunes que funcionarios estadounidensesestaban discutiendo la última propuesta de Irán, que no se ha hecho pública,pero mantuvo sus "líneas rojas" en cualquier acuerdo para poner fin a la guerra de ocho semanas,incluyendo impedir que Teherán obtenga un arma nuclear.</w:t>
      </w:r>
    </w:p>
    <w:p>
      <w:pPr>
        <w:spacing w:before="20"/>
        <w:ind w:left="360"/>
      </w:pPr>
      <w:r>
        <w:rPr>
          <w:color w:val="222222"/>
          <w:sz w:val="20"/>
        </w:rPr>
        <w:t>La secretaria de prensa de la Casa Blanca, Karoline Leavitt, informó a los periodistas queel presidente Donald Trump había convocado a funcionarios de seguridad nacional para revisar la propuesta. "Sus líneas rojas con respecto a Irán han sido muy, muy claras", afirmó, añadiendo que Trump abordaría el asunto "muy pronto".</w:t>
      </w:r>
    </w:p>
    <w:p>
      <w:pPr>
        <w:spacing w:before="20"/>
        <w:ind w:left="360"/>
      </w:pPr>
      <w:r>
        <w:rPr>
          <w:color w:val="222222"/>
          <w:sz w:val="20"/>
        </w:rPr>
        <w:t>El lunes,el secretario de Estado estadounidense, Marco Rubio, declaró que existían dudas sobre la oferta de Irány afirmó que el programa nuclear de Teherán seguía siendo un "asunto fundamental que aún debe abordarse". "Es mejor de lo que esperábamos. Creo quetodavía hay dudas sobre si la persona que la presentó tenía la autoridad para hacerlo", dijo Rubio a Fox News.</w:t>
      </w:r>
    </w:p>
    <w:p>
      <w:pPr>
        <w:spacing w:before="120"/>
        <w:ind w:left="360"/>
      </w:pPr>
      <w:r>
        <w:rPr>
          <w:b/>
          <w:color w:val="E65000"/>
          <w:sz w:val="26"/>
        </w:rPr>
        <w:t xml:space="preserve"> </w:t>
      </w:r>
    </w:p>
    <w:p>
      <w:pPr>
        <w:spacing w:before="20"/>
        <w:ind w:left="360"/>
      </w:pPr>
      <w:r>
        <w:rPr>
          <w:color w:val="222222"/>
          <w:sz w:val="20"/>
        </w:rPr>
        <w:t>Al preguntársele si Estados Unidos aceptaría una oferta de Irán para abrir el estrecho mientras se retrasaban las conversaciones sobre el programa nuclear de Teherán, Rubio respondió que no especularía sobre lo que Trump podría hacer. "Baste decir que la cuestión nuclear es la razón principal por la que estamos en esta situación... sigue siendo el tema central", concluyó.</w:t>
      </w:r>
    </w:p>
    <w:p>
      <w:pPr>
        <w:spacing w:before="20"/>
        <w:ind w:left="360"/>
      </w:pPr>
      <w:r>
        <w:rPr>
          <w:color w:val="222222"/>
          <w:sz w:val="20"/>
        </w:rPr>
        <w:t>El crudo Brent se disparó desde menos de US$ 60 por barril a principios de año hasta alcanzar un máximo de US$ 119 durante el conflicto, cuando Irán paralizó casi por completo el tráfico marítimo a través del estrecho de Ormuz y atacó instalaciones energéticas en todo el Golfo.</w:t>
      </w:r>
    </w:p>
    <w:p>
      <w:pPr>
        <w:spacing w:before="20"/>
        <w:ind w:left="360"/>
      </w:pPr>
      <w:r>
        <w:rPr>
          <w:color w:val="222222"/>
          <w:sz w:val="20"/>
        </w:rPr>
        <w:t>En las operaciones matutinas,el Brent se situaba en US$ 110,82 por barril tras ceder parte de sus ganancias iniciales. El West Texas Intermediate, el crudo de referencia estadounidense, subió un 2,2%, hasta los US$ 98,47 por barril.</w:t>
      </w:r>
    </w:p>
    <w:p>
      <w:pPr>
        <w:spacing w:before="20"/>
        <w:ind w:left="360"/>
      </w:pPr>
      <w:r>
        <w:rPr>
          <w:color w:val="222222"/>
          <w:sz w:val="20"/>
        </w:rPr>
        <w:t>"Los mercados se han aferrado a cualquier señal de conversaciones de paz, y su ausencia está generando temores de que no se produzcan", afirmó Jim Reid, jefe de análisis macroeconómico de Deutsche Bank.</w:t>
      </w:r>
    </w:p>
    <w:p>
      <w:pPr>
        <w:spacing w:before="20"/>
        <w:ind w:left="360"/>
      </w:pPr>
      <w:r>
        <w:rPr>
          <w:color w:val="222222"/>
          <w:sz w:val="20"/>
        </w:rPr>
        <w:t>Este repunte del petróleo también ha reavivado las apuestas a que los bancos centrales tendrán que subir las tasas de interés para contener la consiguiente ola inflacionaria, lo que afectaría a los bonos en Estados Unidos, Europa y el Reino Unido.</w:t>
      </w:r>
    </w:p>
    <w:p>
      <w:pPr>
        <w:spacing w:before="20"/>
        <w:ind w:left="360"/>
      </w:pPr>
      <w:r>
        <w:rPr>
          <w:color w:val="222222"/>
          <w:sz w:val="20"/>
        </w:rPr>
        <w:t>En el Reino Unido, donde la deuda pública ha demostrado ser particularmente vulnerable a la crisis energética, el rendimiento de los bonos del Estado a 10 años subió 0,05 puntos porcentuales al inicio de la sesión, superando el 5% por primera vez desde finales de marzo. Los rendimientos de los bonos suben cuando los precios bajan.</w:t>
      </w:r>
    </w:p>
    <w:p>
      <w:pPr>
        <w:spacing w:before="20"/>
        <w:ind w:left="360"/>
      </w:pPr>
      <w:r>
        <w:rPr>
          <w:color w:val="222222"/>
          <w:sz w:val="20"/>
        </w:rPr>
        <w:t>La reciente caída también ha impulsado los rendimientos de los bonos a largo plazo (30 años) hasta el 5,7%, rozando su máximo histórico de este siglo."Cuanto más tiempo permanezca cerrado el estrecho, mayor será su impacto negativo en la economía global", afirmó Mohit Kumar, economista jefe para Europa de Jefferies.</w:t>
      </w:r>
    </w:p>
    <w:p>
      <w:pPr>
        <w:spacing w:before="40" w:after="120"/>
      </w:pPr>
      <w:r>
        <w:rPr>
          <w:color w:val="CCCCCC"/>
        </w:rPr>
        <w:t>· · ·</w:t>
      </w:r>
    </w:p>
    <w:p/>
    <w:p>
      <w:pPr>
        <w:pStyle w:val="Heading1"/>
      </w:pPr>
      <w:r>
        <w:rPr>
          <w:color w:val="E65000"/>
        </w:rPr>
        <w:t>🔹 Innovación</w:t>
      </w:r>
    </w:p>
    <w:p>
      <w:r>
        <w:rPr>
          <w:b/>
          <w:color w:val="E65000"/>
        </w:rPr>
        <w:t xml:space="preserve">1. </w:t>
      </w:r>
      <w:r>
        <w:rPr>
          <w:b/>
          <w:sz w:val="22"/>
        </w:rPr>
        <w:t>Startup fundada por exSuper de Medio Ambiente de Piñera levanta capital para combatir la permisología</w:t>
      </w:r>
      <w:r>
        <w:rPr>
          <w:color w:val="CC7700"/>
          <w:sz w:val="18"/>
        </w:rPr>
        <w:t xml:space="preserve">  [⭐ Destacada]</w:t>
      </w:r>
    </w:p>
    <w:p>
      <w:pPr>
        <w:spacing w:before="0"/>
      </w:pPr>
      <w:r>
        <w:rPr>
          <w:color w:val="0056B3"/>
          <w:sz w:val="18"/>
        </w:rPr>
        <w:t>https://www.df.cl/df-lab/innovacion-y-startups/startup-fundada-por-exsuper-de-medio-ambiente-de-pinera-levanta-capital</w:t>
      </w:r>
    </w:p>
    <w:p>
      <w:pPr>
        <w:spacing w:before="20"/>
        <w:ind w:left="360"/>
      </w:pPr>
      <w:r>
        <w:rPr>
          <w:color w:val="222222"/>
          <w:sz w:val="20"/>
        </w:rPr>
        <w:t>Inzai desarrolló una plataforma basada en datos e IA para, entre otros, revisar la consistencia y coherencia de documentos en trámites de evaluación ambiental y generar primeras respuestas a la autoridad para acelerar tramitación de proyectos.</w:t>
      </w:r>
    </w:p>
    <w:p>
      <w:pPr>
        <w:spacing w:before="20"/>
        <w:ind w:left="360"/>
      </w:pPr>
      <w:r>
        <w:rPr>
          <w:color w:val="222222"/>
          <w:sz w:val="20"/>
        </w:rPr>
        <w:t>Publicado: Martes 28 de abril de 2026 a las 11:53 hrs.</w:t>
      </w:r>
    </w:p>
    <w:p>
      <w:pPr>
        <w:spacing w:before="20"/>
        <w:ind w:left="360"/>
      </w:pPr>
      <w:r>
        <w:rPr>
          <w:color w:val="222222"/>
          <w:sz w:val="20"/>
        </w:rPr>
        <w:t>Pablo Aguirre y Cristóbal de la Maza, cofundadores de Inzai.</w:t>
      </w:r>
    </w:p>
    <w:p>
      <w:pPr>
        <w:spacing w:before="20"/>
        <w:ind w:left="360"/>
      </w:pPr>
      <w:r>
        <w:rPr>
          <w:color w:val="222222"/>
          <w:sz w:val="20"/>
        </w:rPr>
        <w:t>El debate en torno a los tiempos para obtener permisos regulatorios y ambientales para proyectos de inversión se ha transformado en uno de los principales puntos de discusión en foros empresariales y en la agenda del gobierno.Con el objetivo de apoyar a las grandes empresas a sortear la llamada permisología, la startup chilena Inzai acaba de cerrar una ronda de US$ 500 mil.</w:t>
      </w:r>
    </w:p>
    <w:p>
      <w:pPr>
        <w:spacing w:before="20"/>
        <w:ind w:left="360"/>
      </w:pPr>
      <w:r>
        <w:rPr>
          <w:color w:val="222222"/>
          <w:sz w:val="20"/>
        </w:rPr>
        <w:t>La compañía fue fundada a fines de 2025 por tres emprendedores que coincidieron en cargos en laSuperintendencia del Medio Ambiente (SMA):Cristóbal de la Maza, exsuperintendente; Pablo Aguirre, exjefe de inteligencia ambiental  y Sebastián Elgueta, exdirector de gestión ambiental, quienes, tras participar en el diseño de regulaciones en este ámbito, detectaron que existía un "granpotencial en la información ambiental, pero también una falta de sistemas para sacarle provecho a estadata”, dijo De la Maza.</w:t>
      </w:r>
    </w:p>
    <w:p>
      <w:pPr>
        <w:spacing w:before="20"/>
        <w:ind w:left="360"/>
      </w:pPr>
      <w:r>
        <w:rPr>
          <w:color w:val="222222"/>
          <w:sz w:val="20"/>
        </w:rPr>
        <w:t>Para abordar esta brecha, hace dos años comenzaron a crear los primeros sistemas con la información pública disponible y a fines de 2025 crearon la empresa, la que definieron como una habilitadora desoluciones de inteligencia artificial (IA) y ciencia de datos para fortalecer la toma de decisiones de las empresas en medio ambiente y la salud de las personas.</w:t>
      </w:r>
    </w:p>
    <w:p>
      <w:pPr>
        <w:spacing w:before="20"/>
        <w:ind w:left="360"/>
      </w:pPr>
      <w:r>
        <w:rPr>
          <w:color w:val="222222"/>
          <w:sz w:val="20"/>
        </w:rPr>
        <w:t>“Estamos construyendo una serie de herramientas para navegar el sistema regulatorio ambiental, que es de los más sofisticados de Latinoamérica,pero ha generado información que está muy dispersa y que produce ineficiencia”, dijo Aguirre, CEO de Inzai.</w:t>
      </w:r>
    </w:p>
    <w:p>
      <w:pPr>
        <w:spacing w:before="20"/>
        <w:ind w:left="360"/>
      </w:pPr>
      <w:r>
        <w:rPr>
          <w:color w:val="222222"/>
          <w:sz w:val="20"/>
        </w:rPr>
        <w:t>Para acelerar los procesos de autorizaciones y mitigar riesgos ambientales, desarrollaron unaplataforma de inteligencia ambiental,que opera con algoritmos propios y asistentes de IA.</w:t>
      </w:r>
    </w:p>
    <w:p>
      <w:pPr>
        <w:spacing w:before="20"/>
        <w:ind w:left="360"/>
      </w:pPr>
      <w:r>
        <w:rPr>
          <w:color w:val="222222"/>
          <w:sz w:val="20"/>
        </w:rPr>
        <w:t>Este sistemarevisa la consistencia y coherencia de documentos en trámites de evaluación ambiental y genera primeras respuestas a la autoridad para acelerar la tramitación de un proyecto.</w:t>
      </w:r>
    </w:p>
    <w:p>
      <w:pPr>
        <w:spacing w:before="20"/>
        <w:ind w:left="360"/>
      </w:pPr>
      <w:r>
        <w:rPr>
          <w:color w:val="222222"/>
          <w:sz w:val="20"/>
        </w:rPr>
        <w:t>También estima el riesgo de fiscalización y sanción; además, arma matrices de riesgo automatizadas a partir del historial de SMA y del Servicio de Evaluación Ambiental (SEA) y se puede conectar achatbotscomo ChatGPT para que el cliente pueda hacer preguntas directamente acerca de la regulación y trámites.</w:t>
      </w:r>
    </w:p>
    <w:p>
      <w:pPr>
        <w:spacing w:before="20"/>
        <w:ind w:left="360"/>
      </w:pPr>
      <w:r>
        <w:rPr>
          <w:color w:val="222222"/>
          <w:sz w:val="20"/>
        </w:rPr>
        <w:t>Inzai tiene 700 mil documentos indexados y clientes en minería, energía y saneamiento, estudios de abogados y consultoras ambientales, que acceden a la plataforma mediante un modelo de software como servicio.</w:t>
      </w:r>
    </w:p>
    <w:p>
      <w:pPr>
        <w:spacing w:before="20"/>
        <w:ind w:left="360"/>
      </w:pPr>
      <w:r>
        <w:rPr>
          <w:color w:val="222222"/>
          <w:sz w:val="20"/>
        </w:rPr>
        <w:t>Los recursos de la ronda –cuyos aportantes son empresas del sector medioambiental- los destinarán acompletar su base de datos regulatoria, avanzar en el desarrollo de agentes de IA y en su etapa comercial.</w:t>
      </w:r>
    </w:p>
    <w:p>
      <w:pPr>
        <w:spacing w:before="20"/>
        <w:ind w:left="360"/>
      </w:pPr>
      <w:r>
        <w:rPr>
          <w:color w:val="222222"/>
          <w:sz w:val="20"/>
        </w:rPr>
        <w:t>De la Maza adelantó que buscan consolidarse en el ámbito del medio ambiente, para luego expandir sus servicios a otras áreas comola Dirección General de Aguas, el Servicio Nacional de Geología y Minería, vivienda y urbanismo y gestión de recursos naturales.</w:t>
      </w:r>
    </w:p>
    <w:p>
      <w:pPr>
        <w:spacing w:before="40" w:after="120"/>
      </w:pPr>
      <w:r>
        <w:rPr>
          <w:color w:val="CCCCCC"/>
        </w:rPr>
        <w:t>· · ·</w:t>
      </w:r>
    </w:p>
    <w:p>
      <w:r>
        <w:rPr>
          <w:b/>
          <w:color w:val="E65000"/>
        </w:rPr>
        <w:t xml:space="preserve">2. </w:t>
      </w:r>
      <w:r>
        <w:rPr>
          <w:b/>
          <w:sz w:val="22"/>
        </w:rPr>
        <w:t>Comienza el juicio de OpenAI que enfrenta a Elon Musk con Sam Altman</w:t>
      </w:r>
      <w:r>
        <w:rPr>
          <w:color w:val="CC7700"/>
          <w:sz w:val="18"/>
        </w:rPr>
        <w:t xml:space="preserve">  [⭐ Destacada]</w:t>
      </w:r>
    </w:p>
    <w:p>
      <w:pPr>
        <w:spacing w:before="0"/>
      </w:pPr>
      <w:r>
        <w:rPr>
          <w:color w:val="0056B3"/>
          <w:sz w:val="18"/>
        </w:rPr>
        <w:t>https://www.df.cl/df-lab/mundo/comienza-el-juicio-de-openai-que-enfrenta-a-elon-musk-con-sam-altman</w:t>
      </w:r>
    </w:p>
    <w:p>
      <w:pPr>
        <w:spacing w:before="20"/>
        <w:ind w:left="360"/>
      </w:pPr>
      <w:r>
        <w:rPr>
          <w:color w:val="222222"/>
          <w:sz w:val="20"/>
        </w:rPr>
        <w:t>La disputa cuestiona el giro de la compañía hacia el lucro, busca revertir su estructura y abre incertidumbre sobre su gobierno corporativo y planes de salida a bolsa.</w:t>
      </w:r>
    </w:p>
    <w:p>
      <w:pPr>
        <w:spacing w:before="20"/>
        <w:ind w:left="360"/>
      </w:pPr>
      <w:r>
        <w:rPr>
          <w:color w:val="222222"/>
          <w:sz w:val="20"/>
        </w:rPr>
        <w:t>Por:ReutersPublicado: Martes 28 de abril de 2026 a las 08:30 hrs.</w:t>
      </w:r>
    </w:p>
    <w:p>
      <w:pPr>
        <w:spacing w:before="20"/>
        <w:ind w:left="360"/>
      </w:pPr>
      <w:r>
        <w:rPr>
          <w:color w:val="222222"/>
          <w:sz w:val="20"/>
        </w:rPr>
        <w:t>Publicado: Martes 28 de abril de 2026 a las 08:30 hrs.</w:t>
      </w:r>
    </w:p>
    <w:p>
      <w:pPr>
        <w:spacing w:before="20"/>
        <w:ind w:left="360"/>
      </w:pPr>
      <w:r>
        <w:rPr>
          <w:color w:val="222222"/>
          <w:sz w:val="20"/>
        </w:rPr>
        <w:t>Un juicio que podría ayudar a definir el futuro de la inteligencia artificial (IA) comienza este martes, con los multimillonariosElon Musk y Sam Altmanenfrentados por la evolución deOpenAI, creadora de ChatGPT,desde una organización sin fines de lucro hacia un gigante con fines de lucro valorado en cientos de miles de millones de dólares.</w:t>
      </w:r>
    </w:p>
    <w:p>
      <w:pPr>
        <w:spacing w:before="20"/>
        <w:ind w:left="360"/>
      </w:pPr>
      <w:r>
        <w:rPr>
          <w:color w:val="222222"/>
          <w:sz w:val="20"/>
        </w:rPr>
        <w:t>Los alegatos iniciales en la demanda civil de Musk contra OpenAI y Altman tendrán lugar en el tribunal federal de Oakland, California, tras la selección el lunes de nueve jurados.</w:t>
      </w:r>
    </w:p>
    <w:p>
      <w:pPr>
        <w:spacing w:before="20"/>
        <w:ind w:left="360"/>
      </w:pPr>
      <w:r>
        <w:rPr>
          <w:color w:val="222222"/>
          <w:sz w:val="20"/>
        </w:rPr>
        <w:t>Musk sostiene que Altman yGreg Brockman, director ejecutivo y presidente de OpenAI respectivamente, lo traicionaron a él y al público alabandonar la misión de la compañía de ser un custodio benévolo de la IA en beneficio de la humanidad, y convertirla en una “máquina de riqueza”para ellos y los inversionistas.</w:t>
      </w:r>
    </w:p>
    <w:p>
      <w:pPr>
        <w:spacing w:before="20"/>
        <w:ind w:left="360"/>
      </w:pPr>
      <w:r>
        <w:rPr>
          <w:color w:val="222222"/>
          <w:sz w:val="20"/>
        </w:rPr>
        <w:t>La persona más rica del mundo buscaUS$ 150 mil millones en daños y perjuiciosde OpenAI y Microsoft, uno de sus mayores inversionistas, con los fondos destinados al brazo benéfico de OpenAI.</w:t>
      </w:r>
    </w:p>
    <w:p>
      <w:pPr>
        <w:spacing w:before="20"/>
        <w:ind w:left="360"/>
      </w:pPr>
      <w:r>
        <w:rPr>
          <w:color w:val="222222"/>
          <w:sz w:val="20"/>
        </w:rPr>
        <w:t>También quiere que OpenAI vuelva a ser una organización sin fines de lucro, con Altman y Brockman removidos de sus cargos y Altman fuera de su directorio.</w:t>
      </w:r>
    </w:p>
    <w:p>
      <w:pPr>
        <w:spacing w:before="120"/>
        <w:ind w:left="360"/>
      </w:pPr>
      <w:r>
        <w:rPr>
          <w:b/>
          <w:color w:val="E65000"/>
          <w:sz w:val="26"/>
        </w:rPr>
        <w:t xml:space="preserve"> </w:t>
      </w:r>
    </w:p>
    <w:p>
      <w:pPr>
        <w:spacing w:before="20"/>
        <w:ind w:left="360"/>
      </w:pPr>
      <w:r>
        <w:rPr>
          <w:color w:val="222222"/>
          <w:sz w:val="20"/>
        </w:rPr>
        <w:t>Musk, fundador deTesla y SpaceX, ha dicho que aportó cerca de US$ 38 millones como capital inicial para la misión original de OpenAI, solo para ver cómo la organización creó una entidad con fines de lucro en marzo de 2019, poco más de un año después de que él dejara su directorio.</w:t>
      </w:r>
    </w:p>
    <w:p>
      <w:pPr>
        <w:spacing w:before="20"/>
        <w:ind w:left="360"/>
      </w:pPr>
      <w:r>
        <w:rPr>
          <w:color w:val="222222"/>
          <w:sz w:val="20"/>
        </w:rPr>
        <w:t>OpenAI respondió que Musk conocía y respaldaba la transformación, y que solo demandó después de no lograr convertirse en CEO y de iniciar su propia empresa de IA para frenar su crecimiento.</w:t>
      </w:r>
    </w:p>
    <w:p>
      <w:pPr>
        <w:spacing w:before="20"/>
        <w:ind w:left="360"/>
      </w:pPr>
      <w:r>
        <w:rPr>
          <w:color w:val="222222"/>
          <w:sz w:val="20"/>
        </w:rPr>
        <w:t>Musk ya no busca compensación para sí mismo, mientraspersigue reclamaciones por incumplimiento de fideicomiso benéfico y enriquecimiento injusto.</w:t>
      </w:r>
    </w:p>
    <w:p>
      <w:pPr>
        <w:spacing w:before="20"/>
        <w:ind w:left="360"/>
      </w:pPr>
      <w:r>
        <w:rPr>
          <w:color w:val="222222"/>
          <w:sz w:val="20"/>
        </w:rPr>
        <w:t>La jueza de distrito de EEUU,Yvonne Gonzalez Rogers,indicó que quiere que el jurado comience a deliberar sobre la responsabilidad de los demandados antes del 12 de mayo.</w:t>
      </w:r>
    </w:p>
    <w:p>
      <w:pPr>
        <w:spacing w:before="20"/>
        <w:ind w:left="360"/>
      </w:pPr>
      <w:r>
        <w:rPr>
          <w:color w:val="222222"/>
          <w:sz w:val="20"/>
        </w:rPr>
        <w:t>El jurado incluye enfermeras, trabajadores municipales y jubilados. Si determinan responsabilidad, ambas partes argumentarán posibles medidas ante la jueza.</w:t>
      </w:r>
    </w:p>
    <w:p>
      <w:pPr>
        <w:spacing w:before="20"/>
        <w:ind w:left="360"/>
      </w:pPr>
      <w:r>
        <w:rPr>
          <w:color w:val="222222"/>
          <w:sz w:val="20"/>
        </w:rPr>
        <w:t>Se espera que Musk, Altman y el CEO de Microsoft,Satya Nadella, estén entre los testigos, y que Musk declare incluso esta misma semana.</w:t>
      </w:r>
    </w:p>
    <w:p>
      <w:pPr>
        <w:spacing w:before="20"/>
        <w:ind w:left="360"/>
      </w:pPr>
      <w:r>
        <w:rPr>
          <w:color w:val="222222"/>
          <w:sz w:val="20"/>
        </w:rPr>
        <w:t>Musk y Altman cofundaron OpenAI en 2015 con el objetivo de desarrollar IA en beneficio de la humanidad y competir con rivales comoGoogle.</w:t>
      </w:r>
    </w:p>
    <w:p>
      <w:pPr>
        <w:spacing w:before="20"/>
        <w:ind w:left="360"/>
      </w:pPr>
      <w:r>
        <w:rPr>
          <w:color w:val="222222"/>
          <w:sz w:val="20"/>
        </w:rPr>
        <w:t>El juicio podría ofrecer una mirada a algunos de los egos y personalidades que dieron forma a OpenAI, desde sus inicios como un laboratorio de investigación sin fines de lucro en el departamento de Brockmanhasta convertirse en una empresa valorada en más de US$ 850 mil millones.</w:t>
      </w:r>
    </w:p>
    <w:p>
      <w:pPr>
        <w:spacing w:before="20"/>
        <w:ind w:left="360"/>
      </w:pPr>
      <w:r>
        <w:rPr>
          <w:color w:val="222222"/>
          <w:sz w:val="20"/>
        </w:rPr>
        <w:t>El proceso podría complicar los planes de OpenAI de una eventual oferta pública inicial (IPO, en inglés), al generar dudas sobre su liderazgo, y también intensificar los temores de los estadounidenses respecto a la tecnología de IA en general.</w:t>
      </w:r>
    </w:p>
    <w:p>
      <w:pPr>
        <w:spacing w:before="20"/>
        <w:ind w:left="360"/>
      </w:pPr>
      <w:r>
        <w:rPr>
          <w:color w:val="222222"/>
          <w:sz w:val="20"/>
        </w:rPr>
        <w:t>OpenAI ha argumentado que Musk actuó motivado por celos al intentar socavar su crecimiento y favorecer a su propia empresa xAI, que fundó en 2023 poco después de que OpenAI lanzara ChatGPT.</w:t>
      </w:r>
    </w:p>
    <w:p>
      <w:pPr>
        <w:spacing w:before="20"/>
        <w:ind w:left="360"/>
      </w:pPr>
      <w:r>
        <w:rPr>
          <w:color w:val="222222"/>
          <w:sz w:val="20"/>
        </w:rPr>
        <w:t>También ha señalado queMusk participó en discusiones para crear la nueva estructura de OpenAI y exigió ser CEO.</w:t>
      </w:r>
    </w:p>
    <w:p>
      <w:pPr>
        <w:spacing w:before="20"/>
        <w:ind w:left="360"/>
      </w:pPr>
      <w:r>
        <w:rPr>
          <w:color w:val="222222"/>
          <w:sz w:val="20"/>
        </w:rPr>
        <w:t>Microsoft ha negado haber coludido con OpenAI y afirma que se asoció con la empresa solo después de la salida de Musk.</w:t>
      </w:r>
    </w:p>
    <w:p>
      <w:pPr>
        <w:spacing w:before="20"/>
        <w:ind w:left="360"/>
      </w:pPr>
      <w:r>
        <w:rPr>
          <w:color w:val="222222"/>
          <w:sz w:val="20"/>
        </w:rPr>
        <w:t>OpenAI enfrenta una creciente competencia de rivales comoAnthropicy está gastando miles de millones en recursos computacionales. Una eventual IPO podría valorar a la compañía enUS$ 1 billón, según ha reportado Reuters.</w:t>
      </w:r>
    </w:p>
    <w:p>
      <w:pPr>
        <w:spacing w:before="20"/>
        <w:ind w:left="360"/>
      </w:pPr>
      <w:r>
        <w:rPr>
          <w:color w:val="222222"/>
          <w:sz w:val="20"/>
        </w:rPr>
        <w:t>xAI de Musk está muy por detrás de OpenAI en uso. Él ha integrado ese negocio dentro de su empresa de cohetes SpaceX, cuya propia posible IPO este año podría ser la mayor de la historia.</w:t>
      </w:r>
    </w:p>
    <w:p>
      <w:pPr>
        <w:spacing w:before="20"/>
        <w:ind w:left="360"/>
      </w:pPr>
      <w:r>
        <w:rPr>
          <w:color w:val="222222"/>
          <w:sz w:val="20"/>
        </w:rPr>
        <w:t>El otoño pasado, OpenAI volvió a modificar su estructura para convertirse en una corporación de beneficio público, en la que la organización sin fines de lucro y otros inversionistas, incluido Microsoft, poseen participaciones.La entidad sin fines de lucro mantiene un 26% de participación,además de opciones si OpenAI alcanza ciertos objetivos de valoración.</w:t>
      </w:r>
    </w:p>
    <w:p>
      <w:pPr>
        <w:spacing w:before="20"/>
        <w:ind w:left="360"/>
      </w:pPr>
      <w:r>
        <w:rPr>
          <w:color w:val="222222"/>
          <w:sz w:val="20"/>
        </w:rPr>
        <w:t>Una corporación de beneficio público podría hacer a OpenAI más atractiva para los inversionistas, manteniendo al mismo tiempo sus orígenes benéficos.</w:t>
      </w:r>
    </w:p>
    <w:p>
      <w:pPr>
        <w:spacing w:before="40" w:after="120"/>
      </w:pPr>
      <w:r>
        <w:rPr>
          <w:color w:val="CCCCCC"/>
        </w:rPr>
        <w:t>· · ·</w:t>
      </w:r>
    </w:p>
    <w:p/>
    <w:p>
      <w:pPr>
        <w:pStyle w:val="Heading1"/>
      </w:pPr>
      <w:r>
        <w:rPr>
          <w:color w:val="E65000"/>
        </w:rPr>
        <w:t>🔹 Opinión</w:t>
      </w:r>
    </w:p>
    <w:p>
      <w:r>
        <w:rPr>
          <w:b/>
          <w:color w:val="E65000"/>
        </w:rPr>
        <w:t xml:space="preserve">1. </w:t>
      </w:r>
      <w:r>
        <w:rPr>
          <w:b/>
          <w:sz w:val="22"/>
        </w:rPr>
        <w:t>Fin de la franquicia Sence</w:t>
      </w:r>
      <w:r>
        <w:rPr>
          <w:color w:val="990000"/>
          <w:sz w:val="18"/>
        </w:rPr>
        <w:t xml:space="preserve">  [🔒 paywall]</w:t>
      </w:r>
    </w:p>
    <w:p>
      <w:pPr>
        <w:spacing w:before="0"/>
      </w:pPr>
      <w:r>
        <w:rPr>
          <w:color w:val="0056B3"/>
          <w:sz w:val="18"/>
        </w:rPr>
        <w:t>https://www.df.cl/opinion/editorial/p/1</w:t>
      </w:r>
    </w:p>
    <w:p>
      <w:pPr>
        <w:spacing w:before="40" w:after="120"/>
      </w:pPr>
      <w:r>
        <w:rPr>
          <w:color w:val="CCCCCC"/>
        </w:rPr>
        <w:t>· · ·</w:t>
      </w:r>
    </w:p>
    <w:p>
      <w:r>
        <w:rPr>
          <w:b/>
          <w:color w:val="E65000"/>
        </w:rPr>
        <w:t xml:space="preserve">2. </w:t>
      </w:r>
      <w:r>
        <w:rPr>
          <w:b/>
          <w:sz w:val="22"/>
        </w:rPr>
        <w:t>Fin de la franquicia Sence</w:t>
      </w:r>
    </w:p>
    <w:p>
      <w:pPr>
        <w:spacing w:before="0"/>
      </w:pPr>
      <w:r>
        <w:rPr>
          <w:color w:val="0056B3"/>
          <w:sz w:val="18"/>
        </w:rPr>
        <w:t>https://www.df.cl/opinion/editorial/fin-de-la-franquicia-sence</w:t>
      </w:r>
    </w:p>
    <w:p>
      <w:pPr>
        <w:spacing w:before="20"/>
        <w:ind w:left="360"/>
      </w:pPr>
      <w:r>
        <w:rPr>
          <w:color w:val="222222"/>
          <w:sz w:val="20"/>
        </w:rPr>
        <w:t>Por:Equipo DFPublicado: Martes 28 de abril de 2026 a las 04:00 hrs.</w:t>
      </w:r>
    </w:p>
    <w:p>
      <w:pPr>
        <w:spacing w:before="20"/>
        <w:ind w:left="360"/>
      </w:pPr>
      <w:r>
        <w:rPr>
          <w:color w:val="222222"/>
          <w:sz w:val="20"/>
        </w:rPr>
        <w:t>Publicado: Martes 28 de abril de 2026 a las 04:00 hrs.</w:t>
      </w:r>
    </w:p>
    <w:p>
      <w:pPr>
        <w:spacing w:before="20"/>
        <w:ind w:left="360"/>
      </w:pPr>
      <w:r>
        <w:rPr>
          <w:color w:val="222222"/>
          <w:sz w:val="20"/>
        </w:rPr>
        <w:t>Hace, al menos, 15 años se discute la necesidad de reformar la franquicia tributaria de capacitación Sence, sin que hasta ahora hayan prosperado cambios de fondo, pese a la evidencia acumulada en seis informes de comisiones especializadas e instituciones públicas y privadas que han advertido que no impacta en el empleo ni en los salarios, que arrastra importantes ineficiencias y que, además, presenta serios problemas de transparencia.</w:t>
      </w:r>
    </w:p>
    <w:p>
      <w:pPr>
        <w:spacing w:before="20"/>
        <w:ind w:left="360"/>
      </w:pPr>
      <w:r>
        <w:rPr>
          <w:color w:val="222222"/>
          <w:sz w:val="20"/>
        </w:rPr>
        <w:t>Su eliminación fue incorporada por el gobierno en el plan de reconstrucción como parte de los esfuerzos por reactivar la economía y ordenar el gasto fiscal, con un ahorro estimado en cerca de US$ 300 millones. Más allá de las reacciones iniciales que se han limitado a cuestionar su término, la medida abre una nueva oportunidad para abordar, en un debate serio y fundado, cómo asignar de manera más eficaz recursos públicos hacia instrumentos que incidan en la empleabilidad y la productividad, en un contexto marcado por un mercado laboral debilitado y un crecimiento que no ha logrado repuntar.</w:t>
      </w:r>
    </w:p>
    <w:p>
      <w:pPr>
        <w:spacing w:before="20"/>
        <w:ind w:left="360"/>
      </w:pPr>
      <w:r>
        <w:rPr>
          <w:color w:val="222222"/>
          <w:sz w:val="20"/>
        </w:rPr>
        <w:t>La franquicia fue creada hace 50 años como un incentivo tributario que permite a las empresas descontar los gastos en capacitación del pago de sus impuestos, en un monto de hasta 1% de la planilla anual de remuneraciones imponibles del año anterior. Sin embargo, a lo largo de las décadas se fue convirtiendo en blanco de críticas por su ineficiencia. Un informe de 2011, de la llamada Comisión Larrañaga, concluyó que su impacto es nulo en empleo y salarios; mientras que la Comisión Nacional de Productividad advirtió en 2018 que su efectividad es baja, con cursos que promediaban 23 horas, cuando lo necesario para impactar en salarios son, al menos, 140 horas. A ello se suma que cerca del 98% de los usuarios son grandes empresas y solo 2% PYME; y que muchas de las capacitaciones son asincrónicas, en un escenario en que 2,4 millones de trabajadores tienen escasas habilidades en lecto escritura.</w:t>
      </w:r>
    </w:p>
    <w:p>
      <w:pPr>
        <w:spacing w:before="20"/>
        <w:ind w:left="360"/>
      </w:pPr>
      <w:r>
        <w:rPr>
          <w:color w:val="222222"/>
          <w:sz w:val="20"/>
        </w:rPr>
        <w:t>El gobierno ha señalado que está evaluando con qué arquitectura reemplazará la franquicia, lo que abre un espacio para avanzar hacia un sistema más coherente con los desafíos actuales. En ese marco cabe evaluar tanto la focalización de recursos en empleabilidad, en especial en trabajadores con mayores brechas, como el desarrollo de instrumentos orientados a la productividad, hoy prácticamente ausentes.</w:t>
      </w:r>
    </w:p>
    <w:p>
      <w:pPr>
        <w:spacing w:before="20"/>
        <w:ind w:left="360"/>
      </w:pPr>
      <w:r>
        <w:rPr>
          <w:color w:val="222222"/>
          <w:sz w:val="20"/>
        </w:rPr>
        <w:t>Asimismo, es posible considerar mecanismos que mejoren la pertinencia de la formación, como una mayor participación de las empresas en la definición de contenidos, la incorporación de esquemas de copago y la exigencia de certificaciones con valor en el mercado laboral.</w:t>
      </w:r>
    </w:p>
    <w:p>
      <w:pPr>
        <w:spacing w:before="20"/>
        <w:ind w:left="360"/>
      </w:pPr>
      <w:r>
        <w:rPr>
          <w:color w:val="222222"/>
          <w:sz w:val="20"/>
        </w:rPr>
        <w:t>Parte del debate ha planteado que eliminar la franquicia desincentivaría la capacitación, pero esa afirmación es solo parcialmente cierta. Las empresas que requieren capital humano calificado ya invierten en formación con recursos propios; lo que tendería a reducirse es aquella capacitación que existe únicamente por la disponibilidad del subsidio, precisamente la más cuestionada en términos de impacto. Y, en paralelo, hay un desafío mayor, relacionado con la reconversión de trabajadores frente a la automatización, lo que podría alcanzar costos equivalentes a 2,1% del PIB, un pasivo contingente que hoy carece de una estrategia clara.</w:t>
      </w:r>
    </w:p>
    <w:p>
      <w:pPr>
        <w:spacing w:before="40" w:after="120"/>
      </w:pPr>
      <w:r>
        <w:rPr>
          <w:color w:val="CCCCCC"/>
        </w:rPr>
        <w:t>· · ·</w:t>
      </w:r>
    </w:p>
    <w:p>
      <w:r>
        <w:rPr>
          <w:b/>
          <w:color w:val="E65000"/>
        </w:rPr>
        <w:t xml:space="preserve">3. </w:t>
      </w:r>
      <w:r>
        <w:rPr>
          <w:b/>
          <w:sz w:val="22"/>
        </w:rPr>
        <w:t>Reforma sin productividad</w:t>
      </w:r>
    </w:p>
    <w:p>
      <w:pPr>
        <w:spacing w:before="0"/>
      </w:pPr>
      <w:r>
        <w:rPr>
          <w:color w:val="0056B3"/>
          <w:sz w:val="18"/>
        </w:rPr>
        <w:t>https://www.df.cl/opinion/cartas/reforma-sin-productividad</w:t>
      </w:r>
    </w:p>
    <w:p>
      <w:pPr>
        <w:spacing w:before="20"/>
        <w:ind w:left="360"/>
      </w:pPr>
      <w:r>
        <w:rPr>
          <w:color w:val="222222"/>
          <w:sz w:val="20"/>
        </w:rPr>
        <w:t>Por:Equipo DFPublicado: Martes 28 de abril de 2026 a las 04:02 hrs.</w:t>
      </w:r>
    </w:p>
    <w:p>
      <w:pPr>
        <w:spacing w:before="20"/>
        <w:ind w:left="360"/>
      </w:pPr>
      <w:r>
        <w:rPr>
          <w:color w:val="222222"/>
          <w:sz w:val="20"/>
        </w:rPr>
        <w:t>Publicado: Martes 28 de abril de 2026 a las 04:02 hrs.</w:t>
      </w:r>
    </w:p>
    <w:p>
      <w:pPr>
        <w:spacing w:before="20"/>
        <w:ind w:left="360"/>
      </w:pPr>
      <w:r>
        <w:rPr>
          <w:color w:val="222222"/>
          <w:sz w:val="20"/>
        </w:rPr>
        <w:t>La reducción de la jornada a 42 horas es un avance relevante, pero su implementación ha estado marcada por una incertidumbre que no es menor. La norma original establecía un marco claro y gradual; sin embargo, los dictámenes posteriores de la Dirección del Trabajo (DT) -en paticular del gobierno anterior- introdujeron criterios cambiantes que tensionaron esa claridad inicial.</w:t>
      </w:r>
    </w:p>
    <w:p>
      <w:pPr>
        <w:spacing w:before="20"/>
        <w:ind w:left="360"/>
      </w:pPr>
      <w:r>
        <w:rPr>
          <w:color w:val="222222"/>
          <w:sz w:val="20"/>
        </w:rPr>
        <w:t>A ello se sumó una ley interpretativa que, si bien buscó aclarar aspectos de la implementación, lo hizo desconociendo en parte la realidad operativa de las empresas. En el actual gobierno, la DT, en vez de ordenar oportunamente este escenario, tardó en confirmar criterios que, en la práctica, ya se venían aplicando, prolongando la incertidumbre. Este contexto generó una expectativa permanente de ajustes, debilitando la certeza jurídica necesaria para planificar y llevando a muchas empresas a postergar decisiones hasta etapas finales, con mayores costos de adaptación.</w:t>
      </w:r>
    </w:p>
    <w:p>
      <w:pPr>
        <w:spacing w:before="20"/>
        <w:ind w:left="360"/>
      </w:pPr>
      <w:r>
        <w:rPr>
          <w:color w:val="222222"/>
          <w:sz w:val="20"/>
        </w:rPr>
        <w:t>El desafío es promover el empleo con reglas comprensibles, estables y coherentes con la realidad productiva. Con un desempleo por sobre el 8%, el sentido de urgencia en esta materia no puede seguir siendo secundario. El empleo no puede ni debe ser la única política pública, pero es una de las más relevantes que en este mes y medio de instalación se ve poco.</w:t>
      </w:r>
    </w:p>
    <w:p>
      <w:pPr>
        <w:spacing w:before="40" w:after="120"/>
      </w:pPr>
      <w:r>
        <w:rPr>
          <w:color w:val="CCCCCC"/>
        </w:rPr>
        <w:t>· · ·</w:t>
      </w:r>
    </w:p>
    <w:p>
      <w:r>
        <w:rPr>
          <w:b/>
          <w:color w:val="E65000"/>
        </w:rPr>
        <w:t xml:space="preserve">4. </w:t>
      </w:r>
      <w:r>
        <w:rPr>
          <w:b/>
          <w:sz w:val="22"/>
        </w:rPr>
        <w:t>Seguridad y vivienda</w:t>
      </w:r>
    </w:p>
    <w:p>
      <w:pPr>
        <w:spacing w:before="0"/>
      </w:pPr>
      <w:r>
        <w:rPr>
          <w:color w:val="0056B3"/>
          <w:sz w:val="18"/>
        </w:rPr>
        <w:t>https://www.df.cl/opinion/cartas/seguridad-y-vivienda</w:t>
      </w:r>
    </w:p>
    <w:p>
      <w:pPr>
        <w:spacing w:before="20"/>
        <w:ind w:left="360"/>
      </w:pPr>
      <w:r>
        <w:rPr>
          <w:color w:val="222222"/>
          <w:sz w:val="20"/>
        </w:rPr>
        <w:t>Por:Equipo DFPublicado: Martes 28 de abril de 2026 a las 04:00 hrs.</w:t>
      </w:r>
    </w:p>
    <w:p>
      <w:pPr>
        <w:spacing w:before="20"/>
        <w:ind w:left="360"/>
      </w:pPr>
      <w:r>
        <w:rPr>
          <w:color w:val="222222"/>
          <w:sz w:val="20"/>
        </w:rPr>
        <w:t>Publicado: Martes 28 de abril de 2026 a las 04:00 hrs.</w:t>
      </w:r>
    </w:p>
    <w:p>
      <w:pPr>
        <w:spacing w:before="20"/>
        <w:ind w:left="360"/>
      </w:pPr>
      <w:r>
        <w:rPr>
          <w:color w:val="222222"/>
          <w:sz w:val="20"/>
        </w:rPr>
        <w:t>La posibilidad de acceder a una vivienda propia en Chile se ha ido alejando progresivamente. Y esto ha generado dos consecuencias sumamente graves: una sobre oferta en sectores inseguros, como Santiago Centro y Estación Central, y un aumento sostenido en los precios de arriendo en comunas con mayor demanda. Si bien la solución no es rápida -pues responde a años de deterioro económico e institucional-, es urgente comenzar por devolver la seguridad a las comunas que hoy la han perdido. Recuperar estos espacios no solo mejoraría la calidad de vida de sus vecinos, sino que también, permitiría re equilibrar el mercado habitacional.</w:t>
      </w:r>
    </w:p>
    <w:p>
      <w:pPr>
        <w:spacing w:before="40" w:after="120"/>
      </w:pPr>
      <w:r>
        <w:rPr>
          <w:color w:val="CCCCCC"/>
        </w:rPr>
        <w:t>· · ·</w:t>
      </w:r>
    </w:p>
    <w:p/>
    <w:p>
      <w:r>
        <w:br w:type="page"/>
      </w:r>
    </w:p>
    <w:p>
      <w:pPr>
        <w:jc w:val="center"/>
      </w:pPr>
      <w:r>
        <w:rPr>
          <w:color w:val="888888"/>
        </w:rPr>
        <w:t>Generado el 28/04/2026 a las 12:01</w:t>
        <w:br/>
        <w:t>Fuente: www.df.cl  |  Paywall: archive.today (Option 1 RemovePaywalls)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