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65000"/>
          <w:sz w:val="44"/>
        </w:rPr>
        <w:t>📰 Resumen Diario Financiero</w:t>
      </w:r>
    </w:p>
    <w:p>
      <w:pPr>
        <w:jc w:val="center"/>
      </w:pPr>
      <w:r>
        <w:rPr>
          <w:color w:val="555555"/>
        </w:rPr>
        <w:t>Edición Del Wednesday 29 De April De 2026</w:t>
      </w:r>
    </w:p>
    <w:p/>
    <w:p>
      <w:pPr>
        <w:jc w:val="center"/>
      </w:pPr>
      <w:r>
        <w:rPr>
          <w:color w:val="444444"/>
        </w:rPr>
        <w:t>Noticias: 36  |  Con contenido: 35  |  Via archive.today: 0</w:t>
      </w:r>
    </w:p>
    <w:p>
      <w:r>
        <w:rPr>
          <w:color w:val="E65000"/>
        </w:rPr>
        <w:t>────────────────────────────────────────────────────────────────────────────────</w:t>
      </w:r>
    </w:p>
    <w:p>
      <w:r>
        <w:br w:type="page"/>
      </w:r>
    </w:p>
    <w:p>
      <w:pPr>
        <w:pStyle w:val="Heading1"/>
      </w:pPr>
      <w:r>
        <w:rPr>
          <w:color w:val="E65000"/>
        </w:rPr>
        <w:t>🔹 Mercados</w:t>
      </w:r>
    </w:p>
    <w:p>
      <w:r>
        <w:rPr>
          <w:b/>
          <w:color w:val="E65000"/>
        </w:rPr>
        <w:t xml:space="preserve">1. </w:t>
      </w:r>
      <w:r>
        <w:rPr>
          <w:b/>
          <w:sz w:val="22"/>
        </w:rPr>
        <w:t>Bancos acumulan ganancias por US$ 523 millones en marzo y colocaciones vuelven a crecer tras meses de contracción</w:t>
      </w:r>
      <w:r>
        <w:rPr>
          <w:color w:val="CC7700"/>
          <w:sz w:val="18"/>
        </w:rPr>
        <w:t xml:space="preserve">  [⭐ Destacada]</w:t>
      </w:r>
    </w:p>
    <w:p>
      <w:pPr>
        <w:spacing w:before="0"/>
      </w:pPr>
      <w:r>
        <w:rPr>
          <w:color w:val="0056B3"/>
          <w:sz w:val="18"/>
        </w:rPr>
        <w:t>https://www.df.cl/mercados/banca-fintech/bancos-acumulan-ganancias-por-us-523-millones-en-marzo-y-colocaciones</w:t>
      </w:r>
    </w:p>
    <w:p>
      <w:pPr>
        <w:spacing w:before="20"/>
        <w:ind w:left="360"/>
      </w:pPr>
      <w:r>
        <w:rPr>
          <w:color w:val="222222"/>
          <w:sz w:val="20"/>
        </w:rPr>
        <w:t>Según el informe de desempeño de la CMF, el repunte de los créditos estuvo impulsado por la cartera comercial.</w:t>
      </w:r>
    </w:p>
    <w:p>
      <w:pPr>
        <w:spacing w:before="20"/>
        <w:ind w:left="360"/>
      </w:pPr>
      <w:r>
        <w:rPr>
          <w:color w:val="222222"/>
          <w:sz w:val="20"/>
        </w:rPr>
        <w:t>Publicado: Miércoles 29 de abril de 2026 a las 11:06 hrs.</w:t>
      </w:r>
    </w:p>
    <w:p>
      <w:pPr>
        <w:spacing w:before="20"/>
        <w:ind w:left="360"/>
      </w:pPr>
      <w:r>
        <w:rPr>
          <w:color w:val="222222"/>
          <w:sz w:val="20"/>
        </w:rPr>
        <w:t>LaComisión para el Mercado Financiero (CMF)publicó este miércoles el informe de desempeño del sistema bancario al cierre de marzo de 2026, dondela banca registró utilidades por $ 486.972 millones(unos US$ 523 millones), lo que representó una caída de 14,7% respecto de igual periodo de 2025, cuando alcanzaron $ 570.911 millones.</w:t>
      </w:r>
    </w:p>
    <w:p>
      <w:pPr>
        <w:spacing w:before="20"/>
        <w:ind w:left="360"/>
      </w:pPr>
      <w:r>
        <w:rPr>
          <w:color w:val="222222"/>
          <w:sz w:val="20"/>
        </w:rPr>
        <w:t>Según explicó el regulador, este resultado se debió principalmente a unmenor resultado financiero neto y a un mayor gasto por impuestos,lo que contrarrestó el efecto de menores gastos operacionales.</w:t>
      </w:r>
    </w:p>
    <w:p>
      <w:pPr>
        <w:spacing w:before="20"/>
        <w:ind w:left="360"/>
      </w:pPr>
      <w:r>
        <w:rPr>
          <w:color w:val="222222"/>
          <w:sz w:val="20"/>
        </w:rPr>
        <w:t>En términos mensuales,las utilidades mostraron un repunte de 18,87% real respecto de febrero.“Esta variación fue explicada, principalmente, por un mayor margen de intereses y reajustes, junto con menores gastos por pérdidas crediticias”, señaló la CMF.</w:t>
      </w:r>
    </w:p>
    <w:p>
      <w:pPr>
        <w:spacing w:before="20"/>
        <w:ind w:left="360"/>
      </w:pPr>
      <w:r>
        <w:rPr>
          <w:color w:val="222222"/>
          <w:sz w:val="20"/>
        </w:rPr>
        <w:t>En términos de actividad, las colocaciones del sistema bancario comenzaron a mostrar señales de recuperación. Medidas a costo amortizado -que representan prácticamente la totalidad de la cartera-crecieron 1,48% real en 12 meses,revirtiendo las caídas observadas tanto en febrero de este año (1,16%) como en marzo de 2025 (2,23%).</w:t>
      </w:r>
    </w:p>
    <w:p>
      <w:pPr>
        <w:spacing w:before="120"/>
        <w:ind w:left="360"/>
      </w:pPr>
      <w:r>
        <w:rPr>
          <w:b/>
          <w:color w:val="E65000"/>
          <w:sz w:val="26"/>
        </w:rPr>
        <w:t xml:space="preserve"> </w:t>
      </w:r>
    </w:p>
    <w:p>
      <w:pPr>
        <w:spacing w:before="20"/>
        <w:ind w:left="360"/>
      </w:pPr>
      <w:r>
        <w:rPr>
          <w:color w:val="222222"/>
          <w:sz w:val="20"/>
        </w:rPr>
        <w:t>De acuerdo con la CMF,el desempeño estuvo marcado por una mejora en la cartera comercial,que volvió a terreno positivocon un alza de 0,47% anual, impulsada por los préstamos otorgados en el país, los que concentran cerca del 60,7% de este segmento.</w:t>
      </w:r>
    </w:p>
    <w:p>
      <w:pPr>
        <w:spacing w:before="20"/>
        <w:ind w:left="360"/>
      </w:pPr>
      <w:r>
        <w:rPr>
          <w:color w:val="222222"/>
          <w:sz w:val="20"/>
        </w:rPr>
        <w:t>Por su parte, los créditos de consumo continuaron liderando la expansión, con un crecimiento de 5,05% en doce meses, acelerándose respecto al alza de 3,52% de febrero.Este resultado fue impulsado principalmente por el mayor uso de tarjetas de crédito, producto que representa el 43,9% de esta cartera.</w:t>
      </w:r>
    </w:p>
    <w:p>
      <w:pPr>
        <w:spacing w:before="20"/>
        <w:ind w:left="360"/>
      </w:pPr>
      <w:r>
        <w:rPr>
          <w:color w:val="222222"/>
          <w:sz w:val="20"/>
        </w:rPr>
        <w:t>En tanto, la cartera de vivienda anotó un crecimiento de 1,90% interanual, cifra superior tanto al mes previo como a la registrada un año atrás.</w:t>
      </w:r>
    </w:p>
    <w:p>
      <w:pPr>
        <w:spacing w:before="20"/>
        <w:ind w:left="360"/>
      </w:pPr>
      <w:r>
        <w:rPr>
          <w:color w:val="222222"/>
          <w:sz w:val="20"/>
        </w:rPr>
        <w:t>En cuanto a los indicadores de riesgo de crédito, estos mostraron una mejora respecto del mes anterior. El índice de provisiones disminuyó a 2,57%, la morosidad de 90 días o más bajó a 2,38% y la cartera deteriorada se redujo a 6,04%. En paralelo, la cobertura de provisiones alcanzó 108,94%, aumentando en comparación con febrero.</w:t>
      </w:r>
    </w:p>
    <w:p>
      <w:pPr>
        <w:spacing w:before="20"/>
        <w:ind w:left="360"/>
      </w:pPr>
      <w:r>
        <w:rPr>
          <w:color w:val="222222"/>
          <w:sz w:val="20"/>
        </w:rPr>
        <w:t>En la comparación anual, la mayoría de los indicadores registró descensos, con excepción de la morosidad de 90 días o más, que aumentó.</w:t>
      </w:r>
    </w:p>
    <w:p>
      <w:pPr>
        <w:spacing w:before="40" w:after="120"/>
      </w:pPr>
      <w:r>
        <w:rPr>
          <w:color w:val="CCCCCC"/>
        </w:rPr>
        <w:t>· · ·</w:t>
      </w:r>
    </w:p>
    <w:p>
      <w:r>
        <w:rPr>
          <w:b/>
          <w:color w:val="E65000"/>
        </w:rPr>
        <w:t xml:space="preserve">2. </w:t>
      </w:r>
      <w:r>
        <w:rPr>
          <w:b/>
          <w:sz w:val="22"/>
        </w:rPr>
        <w:t>Presidenta de la CMF advierte que la inteligencia artificial "va a agregar nuevos riesgos que hoy no logramos visualizar"</w:t>
      </w:r>
      <w:r>
        <w:rPr>
          <w:color w:val="CC7700"/>
          <w:sz w:val="18"/>
        </w:rPr>
        <w:t xml:space="preserve">  [⭐ Destacada]</w:t>
      </w:r>
    </w:p>
    <w:p>
      <w:pPr>
        <w:spacing w:before="0"/>
      </w:pPr>
      <w:r>
        <w:rPr>
          <w:color w:val="0056B3"/>
          <w:sz w:val="18"/>
        </w:rPr>
        <w:t>https://www.df.cl/mercados/banca-fintech/presidenta-de-la-cmf-pone-foco-en-la-inteligencia-artificial-va-a-agregar</w:t>
      </w:r>
    </w:p>
    <w:p>
      <w:pPr>
        <w:spacing w:before="20"/>
        <w:ind w:left="360"/>
      </w:pPr>
      <w:r>
        <w:rPr>
          <w:color w:val="222222"/>
          <w:sz w:val="20"/>
        </w:rPr>
        <w:t>Durante la cuenta pública 2025 de la CMF, Catherine Tornel, destacó avances en Basilea III y la Ley Fintech.</w:t>
      </w:r>
    </w:p>
    <w:p>
      <w:pPr>
        <w:spacing w:before="20"/>
        <w:ind w:left="360"/>
      </w:pPr>
      <w:r>
        <w:rPr>
          <w:color w:val="222222"/>
          <w:sz w:val="20"/>
        </w:rPr>
        <w:t>Por:José Tomás RodríguezPublicado: Miércoles 29 de abril de 2026 a las 10:35 hrs.</w:t>
      </w:r>
    </w:p>
    <w:p>
      <w:pPr>
        <w:spacing w:before="20"/>
        <w:ind w:left="360"/>
      </w:pPr>
      <w:r>
        <w:rPr>
          <w:color w:val="222222"/>
          <w:sz w:val="20"/>
        </w:rPr>
        <w:t>Publicado: Miércoles 29 de abril de 2026 a las 10:35 hrs.</w:t>
      </w:r>
    </w:p>
    <w:p>
      <w:pPr>
        <w:spacing w:before="20"/>
        <w:ind w:left="360"/>
      </w:pPr>
      <w:r>
        <w:rPr>
          <w:color w:val="222222"/>
          <w:sz w:val="20"/>
        </w:rPr>
        <w:t>Un cambio en la forma de evaluar los riesgos del sistema financiero planteó este lunes laComisión para el Mercado Financiero (CMF) en su cuenta pública 2025.</w:t>
      </w:r>
    </w:p>
    <w:p>
      <w:pPr>
        <w:spacing w:before="20"/>
        <w:ind w:left="360"/>
      </w:pPr>
      <w:r>
        <w:rPr>
          <w:color w:val="222222"/>
          <w:sz w:val="20"/>
        </w:rPr>
        <w:t>En la instancia, encabezada por su presidenta,Catherine Tornel,y con la presencia de autoridades como el subsecretario de Hacienda, Juan Pablo Rodríguez, y el coordinador de Mercado de Capitales, Eugenio Symon,advirtió que la irrupción de la inteligencia artificial (IA) está obligando a adaptar la supervisión con mayor rapidez y sofisticación.</w:t>
      </w:r>
    </w:p>
    <w:p>
      <w:pPr>
        <w:spacing w:before="20"/>
        <w:ind w:left="360"/>
      </w:pPr>
      <w:r>
        <w:rPr>
          <w:color w:val="222222"/>
          <w:sz w:val="20"/>
        </w:rPr>
        <w:t>El diagnóstico se da en un contexto donde, según la autoridad,los riesgos tradicionales conviven con nuevas amenazas de carácter estructural.Entre ellas, destacó la crecienteexposición a ciberataques, la protección de datos, los efectos del cambio climático y un escenario geopolíticoque sigue tensionando el entorno macroeconómico.</w:t>
      </w:r>
    </w:p>
    <w:p>
      <w:pPr>
        <w:spacing w:before="20"/>
        <w:ind w:left="360"/>
      </w:pPr>
      <w:r>
        <w:rPr>
          <w:color w:val="222222"/>
          <w:sz w:val="20"/>
        </w:rPr>
        <w:t>“Tenemos que estar conscientes que lainteligencia artificial está transformando los mapas actuales de riesgo. Va a influir en los otros riesgos que hoy día tenemos mapeado y va a agregar nuevos riesgos que hoy no logramos visualizar.Como reguladores tenemos que estar completamente atentos a eso”, dijo Tornel.</w:t>
      </w:r>
    </w:p>
    <w:p>
      <w:pPr>
        <w:spacing w:before="20"/>
        <w:ind w:left="360"/>
      </w:pPr>
      <w:r>
        <w:rPr>
          <w:color w:val="222222"/>
          <w:sz w:val="20"/>
        </w:rPr>
        <w:t>“Debemos aprovechar oportunidades para hacer un mercado más eficiente”, sostuvo Tornel, aunque advirtió que este avance tecnológico exige fortalecer la gestión de riesgos y la supervisión, dado “un contexto en que los activos y modelos de negocio están cambiando".</w:t>
      </w:r>
    </w:p>
    <w:p>
      <w:pPr>
        <w:spacing w:before="120"/>
        <w:ind w:left="360"/>
      </w:pPr>
      <w:r>
        <w:rPr>
          <w:b/>
          <w:color w:val="E65000"/>
          <w:sz w:val="26"/>
        </w:rPr>
        <w:t xml:space="preserve"> </w:t>
      </w:r>
    </w:p>
    <w:p>
      <w:pPr>
        <w:spacing w:before="20"/>
        <w:ind w:left="360"/>
      </w:pPr>
      <w:r>
        <w:rPr>
          <w:color w:val="222222"/>
          <w:sz w:val="20"/>
        </w:rPr>
        <w:t>En esa línea, subrayó que la ciberseguridad, la seguridad de la información y la protección de datos se han convertido en prioridades críticas, lo que implicará una coordinación más estrecha con la futura agencia de protección de datos y organismos como la Agencia Nacional de Ciberseguiridad (ANCI).</w:t>
      </w:r>
    </w:p>
    <w:p>
      <w:pPr>
        <w:spacing w:before="20"/>
        <w:ind w:left="360"/>
      </w:pPr>
      <w:r>
        <w:rPr>
          <w:color w:val="222222"/>
          <w:sz w:val="20"/>
        </w:rPr>
        <w:t>A ello se suman riesgos derivados del cambio climático -con impacto en variables crediticias y prudenciales- y un contexto geopolítico que sigue influyendo en las condiciones financieras globales.</w:t>
      </w:r>
    </w:p>
    <w:p>
      <w:pPr>
        <w:spacing w:before="20"/>
        <w:ind w:left="360"/>
      </w:pPr>
      <w:r>
        <w:rPr>
          <w:color w:val="222222"/>
          <w:sz w:val="20"/>
        </w:rPr>
        <w:t>Actualmente, la CMF supervisa más de 8 mil entidades, que representan cerca del 74% de los activos del sistema financiero, por lo que Tornel delineó la necesidad de avanzar hacia una CMF “mucho más ágil”, con mayor uso de tecnología y un marco regulatorio más simple.</w:t>
      </w:r>
    </w:p>
    <w:p>
      <w:pPr>
        <w:spacing w:before="20"/>
        <w:ind w:left="360"/>
      </w:pPr>
      <w:r>
        <w:rPr>
          <w:color w:val="222222"/>
          <w:sz w:val="20"/>
        </w:rPr>
        <w:t>En ese contexto, la entidad declaró haber trabajado en una decenas de normas -tanto nuevas como en consulta- y busca consolidar una regulación más dinámica, basada en principios estables pero con capacidad de adaptación.</w:t>
      </w:r>
    </w:p>
    <w:p>
      <w:pPr>
        <w:spacing w:before="20"/>
        <w:ind w:left="360"/>
      </w:pPr>
      <w:r>
        <w:rPr>
          <w:color w:val="222222"/>
          <w:sz w:val="20"/>
        </w:rPr>
        <w:t>En materia regulatoria, la CMF continuará con la implementación deBasilea III, proceso que calificó como “un traje a la medida” para el sistema local crediticio.</w:t>
      </w:r>
    </w:p>
    <w:p>
      <w:pPr>
        <w:spacing w:before="20"/>
        <w:ind w:left="360"/>
      </w:pPr>
      <w:r>
        <w:rPr>
          <w:color w:val="222222"/>
          <w:sz w:val="20"/>
        </w:rPr>
        <w:t>"Respecto a nuestro objetivo prudencial, es especialmente relevante la adecuada previsión de riesgos en el ámbito bancario. Cómo se refleja esta mejor medición de riesgos en modelos internos de Basilea III, que es continuar con la implementación, en la que ya venimos bastante avanzados", dijo.</w:t>
      </w:r>
    </w:p>
    <w:p>
      <w:pPr>
        <w:spacing w:before="20"/>
        <w:ind w:left="360"/>
      </w:pPr>
      <w:r>
        <w:rPr>
          <w:color w:val="222222"/>
          <w:sz w:val="20"/>
        </w:rPr>
        <w:t>"Adicionalmente, debemos continuar avanzando en la mejor medición de riesgo a través de nuestros modelos estándar (...) conjuntamente con reconocer la normativa que el uso de derivados y seguros de crédito puede mitigar el riesgo. Esa normativa está en proceso", agregó.</w:t>
      </w:r>
    </w:p>
    <w:p>
      <w:pPr>
        <w:spacing w:before="20"/>
        <w:ind w:left="360"/>
      </w:pPr>
      <w:r>
        <w:rPr>
          <w:color w:val="222222"/>
          <w:sz w:val="20"/>
        </w:rPr>
        <w:t>Asimismo, destacó los avances en la Ley Fintech y el desarrollo del Sistema de Finanzas Abiertas (SFA), un punto que fue seguido con especial atención por la directora ejecutiva de FinteChile, Josefina Movillo, quien se vio tomando notas luego de lasdiferencias que ha sostenido el gremio con el reguladorpor los plazos de implementación de la normativa.</w:t>
      </w:r>
    </w:p>
    <w:p>
      <w:pPr>
        <w:spacing w:before="20"/>
        <w:ind w:left="360"/>
      </w:pPr>
      <w:r>
        <w:rPr>
          <w:color w:val="222222"/>
          <w:sz w:val="20"/>
        </w:rPr>
        <w:t>Tornel, en tanto, aseguró que su puesta en marcha será un desafío de largo plazo, más allá de los tiempos establecidos en la ley.</w:t>
      </w:r>
    </w:p>
    <w:p>
      <w:pPr>
        <w:spacing w:before="20"/>
        <w:ind w:left="360"/>
      </w:pPr>
      <w:r>
        <w:rPr>
          <w:color w:val="222222"/>
          <w:sz w:val="20"/>
        </w:rPr>
        <w:t>“Se avanzó en 2025 de manera relevante en toda la normativa específica de este sistema. Sin embargo,nos queda una norma pendiente.Esa norma ya fue puesta en consulta y hoy no la hemos emitido aún porque está en revisión por parte de la Fiscalía Nacional Económica.Al afectar la competencia, tenemos la obligación de someterla a la respectiva coordinación entre autoridades y, una vez que se termine ese proceso, la normativa va a ser emitida”, explicó.</w:t>
      </w:r>
    </w:p>
    <w:p>
      <w:pPr>
        <w:spacing w:before="40" w:after="120"/>
      </w:pPr>
      <w:r>
        <w:rPr>
          <w:color w:val="CCCCCC"/>
        </w:rPr>
        <w:t>· · ·</w:t>
      </w:r>
    </w:p>
    <w:p>
      <w:r>
        <w:rPr>
          <w:b/>
          <w:color w:val="E65000"/>
        </w:rPr>
        <w:t xml:space="preserve">3. </w:t>
      </w:r>
      <w:r>
        <w:rPr>
          <w:b/>
          <w:sz w:val="22"/>
        </w:rPr>
        <w:t>80 segundos de resultados de las grandes tecnológicas decidirán el destino del mercado bursátil</w:t>
      </w:r>
      <w:r>
        <w:rPr>
          <w:color w:val="CC7700"/>
          <w:sz w:val="18"/>
        </w:rPr>
        <w:t xml:space="preserve">  [⭐ Destacada]</w:t>
      </w:r>
    </w:p>
    <w:p>
      <w:pPr>
        <w:spacing w:before="0"/>
      </w:pPr>
      <w:r>
        <w:rPr>
          <w:color w:val="0056B3"/>
          <w:sz w:val="18"/>
        </w:rPr>
        <w:t>https://www.df.cl/mercados/bolsa-monedas/80-segundos-de-resultados-de-las-grandes-tecnologicas-decidiran-el-destino</w:t>
      </w:r>
    </w:p>
    <w:p>
      <w:pPr>
        <w:spacing w:before="20"/>
        <w:ind w:left="360"/>
      </w:pPr>
      <w:r>
        <w:rPr>
          <w:color w:val="222222"/>
          <w:sz w:val="20"/>
        </w:rPr>
        <w:t>Las cuatro empresas que presentan sus resultados esta tarde tras el cierre de Wall Street representan más del 15% de la capitalización bursátil total del S&amp;P 500, por lo que cualquier fluctuación podría afectar al índice. Los datos de opciones indican que hay más de US$ 750.000 millones en juego.</w:t>
      </w:r>
    </w:p>
    <w:p>
      <w:pPr>
        <w:spacing w:before="20"/>
        <w:ind w:left="360"/>
      </w:pPr>
      <w:r>
        <w:rPr>
          <w:color w:val="222222"/>
          <w:sz w:val="20"/>
        </w:rPr>
        <w:t>Por:BloombergPublicado: Miércoles 29 de abril de 2026 a las 10:20 hrs.</w:t>
      </w:r>
    </w:p>
    <w:p>
      <w:pPr>
        <w:spacing w:before="20"/>
        <w:ind w:left="360"/>
      </w:pPr>
      <w:r>
        <w:rPr>
          <w:color w:val="222222"/>
          <w:sz w:val="20"/>
        </w:rPr>
        <w:t>Publicado: Miércoles 29 de abril de 2026 a las 10:20 hrs.</w:t>
      </w:r>
    </w:p>
    <w:p>
      <w:pPr>
        <w:spacing w:before="20"/>
        <w:ind w:left="360"/>
      </w:pPr>
      <w:r>
        <w:rPr>
          <w:color w:val="222222"/>
          <w:sz w:val="20"/>
        </w:rPr>
        <w:t>Las cifras que se revelen tras el cierre en Wall Street tendrán consecuencias de gran alcance. (Foto: Bloomberg)</w:t>
      </w:r>
    </w:p>
    <w:p>
      <w:pPr>
        <w:spacing w:before="20"/>
        <w:ind w:left="360"/>
      </w:pPr>
      <w:r>
        <w:rPr>
          <w:color w:val="222222"/>
          <w:sz w:val="20"/>
        </w:rPr>
        <w:t>Los inversionistas que buscan pistas sobre la dirección que tomará el mercado bursátil en las próximas semanas obtendráninformación crucial en cuanto finalice la sesión del miércoles a las 16 horas.</w:t>
      </w:r>
    </w:p>
    <w:p>
      <w:pPr>
        <w:spacing w:before="20"/>
        <w:ind w:left="360"/>
      </w:pPr>
      <w:r>
        <w:rPr>
          <w:color w:val="222222"/>
          <w:sz w:val="20"/>
        </w:rPr>
        <w:t>Cuatro de las mayores empresas estadounidenses —Alphabet Inc., Amazon.com Inc., Meta Platforms Inc. y Microsoft Corp.— presentarán sus resultados tras el cierre de la bolsa. Si coinciden con los del trimestre anterior, todo se decidirá en tan solo 80 segundos.</w:t>
      </w:r>
    </w:p>
    <w:p>
      <w:pPr>
        <w:spacing w:before="20"/>
        <w:ind w:left="360"/>
      </w:pPr>
      <w:r>
        <w:rPr>
          <w:color w:val="222222"/>
          <w:sz w:val="20"/>
        </w:rPr>
        <w:t>"No recuerdo haber visto tantas empresas anunciando sus resultados a la vez", afirmó Michael O’Rourke, estratega jefe de mercado de Jonestrading. "Será una locura".</w:t>
      </w:r>
    </w:p>
    <w:p>
      <w:pPr>
        <w:spacing w:before="20"/>
        <w:ind w:left="360"/>
      </w:pPr>
      <w:r>
        <w:rPr>
          <w:color w:val="222222"/>
          <w:sz w:val="20"/>
        </w:rPr>
        <w:t>Las cifras que revelen tendrán consecuencias de gran alcance. Estas empresas forman parte de los Siete Magníficos gigantes tecnológicos —junto con Nvidia Corp., Apple Inc. y Tesla Inc.— que han impulsado al índice S&amp;P 500 a alcanzar récords históricos en las últimas semanas, encaminándolo a su mejor mes desde noviembre de 2020.</w:t>
      </w:r>
    </w:p>
    <w:p>
      <w:pPr>
        <w:spacing w:before="20"/>
        <w:ind w:left="360"/>
      </w:pPr>
      <w:r>
        <w:rPr>
          <w:color w:val="222222"/>
          <w:sz w:val="20"/>
        </w:rPr>
        <w:t>Además, son las cuatro empresas que más invierten en infraestructura de computación para inteligencia artificial, lo que ha convertido a los fabricantes de chips y dispositivos de almacenamiento de memoria en las inversiones más atractivas de Wall Street.</w:t>
      </w:r>
    </w:p>
    <w:p>
      <w:pPr>
        <w:spacing w:before="120"/>
        <w:ind w:left="360"/>
      </w:pPr>
      <w:r>
        <w:rPr>
          <w:b/>
          <w:color w:val="E65000"/>
          <w:sz w:val="26"/>
        </w:rPr>
        <w:t xml:space="preserve"> </w:t>
      </w:r>
    </w:p>
    <w:p>
      <w:pPr>
        <w:spacing w:before="20"/>
        <w:ind w:left="360"/>
      </w:pPr>
      <w:r>
        <w:rPr>
          <w:color w:val="222222"/>
          <w:sz w:val="20"/>
        </w:rPr>
        <w:t>Los detalles sobre estas inversiones de capital y el crecimiento de los ingresos derivados de la IA serán prioritarios para los inversionistas, por encima de las cifras de negocios principales como el comercio electrónico, la publicidad digital y el software. Esto se debe a que los grandes desembolsos se han convertido en un arma de doble filo en el universo tecnológico.</w:t>
      </w:r>
    </w:p>
    <w:p>
      <w:pPr>
        <w:spacing w:before="20"/>
        <w:ind w:left="360"/>
      </w:pPr>
      <w:r>
        <w:rPr>
          <w:color w:val="222222"/>
          <w:sz w:val="20"/>
        </w:rPr>
        <w:t>Por un lado, todo un ecosistema de proveedores depende de la generosidad constante de las grandes tecnológicas.</w:t>
      </w:r>
    </w:p>
    <w:p>
      <w:pPr>
        <w:spacing w:before="20"/>
        <w:ind w:left="360"/>
      </w:pPr>
      <w:r>
        <w:rPr>
          <w:color w:val="222222"/>
          <w:sz w:val="20"/>
        </w:rPr>
        <w:t>El índice de semiconductores de Filadelfia se disparó un 34% en abril gracias a una racha alcista de 18 sesiones consecutivas, lo que lo encamina a su mejor mes desde febrero de 2000. Mientras tanto, las empresas relacionadas con semiconductores y almacenamiento representan las 11 acciones con mejor rendimiento en el índice Nasdaq 100, fuertemente influenciado por el sector tecnológico, este año. Todo ello está vinculado al aumento vertiginoso de los ingresos procedentes de la inversión en IA.</w:t>
      </w:r>
    </w:p>
    <w:p>
      <w:pPr>
        <w:spacing w:before="20"/>
        <w:ind w:left="360"/>
      </w:pPr>
      <w:r>
        <w:rPr>
          <w:color w:val="222222"/>
          <w:sz w:val="20"/>
        </w:rPr>
        <w:t>Por otro lado,a los accionistas les preocupa la enorme cantidad de dinero que se está invirtiendo y cuándo las empresas obtendrán mayores beneficios de dichas inversiones.</w:t>
      </w:r>
    </w:p>
    <w:p>
      <w:pPr>
        <w:spacing w:before="20"/>
        <w:ind w:left="360"/>
      </w:pPr>
      <w:r>
        <w:rPr>
          <w:color w:val="222222"/>
          <w:sz w:val="20"/>
        </w:rPr>
        <w:t>Según un artículo publicado el martes en el Wall Street Journal,OpenAI, propietaria de ChatGPT, no alcanzó sus objetivos internos de nuevos usuarios e ingresos, lo que generó inquietudes sobre su capacidad para cumplir con sus enormes compromisos de financiación de infraestructura. El índice de semiconductores de Filadelfia se desplomó un 3,6%, su peor jornada en un mes. El miércoles, al inicio de la sesión, había subido un 1,2%.</w:t>
      </w:r>
    </w:p>
    <w:p>
      <w:pPr>
        <w:spacing w:before="20"/>
        <w:ind w:left="360"/>
      </w:pPr>
      <w:r>
        <w:rPr>
          <w:color w:val="222222"/>
          <w:sz w:val="20"/>
        </w:rPr>
        <w:t>"Si la inversión de capital se combina con ingresos positivos y cuantificables, y con perspectivas que indiquen que las ganancias y los ingresos están mejorando, entonces creo queun mayor gasto de capital será beneficioso para las acciones", afirmó Anthony Saglimbene, estratega jefe de mercado de Ameriprise."Pero si observamos algún retroceso en las perspectivas, esto generará mayor volatilidad y ejercerá presión sobre el S&amp;P 500".</w:t>
      </w:r>
    </w:p>
    <w:p>
      <w:pPr>
        <w:spacing w:before="20"/>
        <w:ind w:left="360"/>
      </w:pPr>
      <w:r>
        <w:rPr>
          <w:color w:val="222222"/>
          <w:sz w:val="20"/>
        </w:rPr>
        <w:t>Las cuatro empresas que presentan sus resultados el miércoles representan más del 15% de la capitalización bursátil total del S&amp;P 500,por lo que cualquier fluctuación podría afectar al índice. Los datos de opciones indican quehay más de US$ 750.000 millones en juego.</w:t>
      </w:r>
    </w:p>
    <w:p>
      <w:pPr>
        <w:spacing w:before="20"/>
        <w:ind w:left="360"/>
      </w:pPr>
      <w:r>
        <w:rPr>
          <w:color w:val="222222"/>
          <w:sz w:val="20"/>
        </w:rPr>
        <w:t>Las acciones del gigante del software vienen de su peor trimestre desde 2008, y su caída de aproximadamente el 13% este año las convierte en las depeor desempeño entre las siete empresas más valiosas del S&amp;P 500. Microsoft y la industria del software en general llevan tiempo bajo presión debido a la preocupación por la disrupción que supone la IA, a pesar de que el fabricante de Excel y Word está invirtiendo fuertemente para potenciar la capacidad de procesamiento de esta tecnología.</w:t>
      </w:r>
    </w:p>
    <w:p>
      <w:pPr>
        <w:spacing w:before="20"/>
        <w:ind w:left="360"/>
      </w:pPr>
      <w:r>
        <w:rPr>
          <w:color w:val="222222"/>
          <w:sz w:val="20"/>
        </w:rPr>
        <w:t>La atención se centrará en su negocio de computación en la nube Azure, donde el decepcionante crecimiento de los ingresos en el segundo trimestre fiscal de Microsoft provocó una caída del 10% en las acciones el 29 de enero, un día después del último informe de resultados, lo que supuso una pérdida de 357.000 millones de dólares, la segunda mayor caída en una sola sesión en la historia del mercado bursátil.</w:t>
      </w:r>
    </w:p>
    <w:p>
      <w:pPr>
        <w:spacing w:before="20"/>
        <w:ind w:left="360"/>
      </w:pPr>
      <w:r>
        <w:rPr>
          <w:color w:val="222222"/>
          <w:sz w:val="20"/>
        </w:rPr>
        <w:t>En el tercer trimestre fiscal de Microsoft, se espera que el crecimiento de los ingresos de la unidad sea del 38%, según la estimación promedio de los analistas recopilada por Bloomberg. La compañía no ha proporcionado una previsión de gastos de capital para el año fiscal 2027, pero Wall Street estima aproximadamente US$ 176 mil millones, incluyendo arrendamientos, según datos recopilados por Bloomberg. Para compensar este gasto, Microsoft estaría ofreciendo indemnizaciones voluntarias a cerca del 7% de su plantilla en Estados Unidos.</w:t>
      </w:r>
    </w:p>
    <w:p>
      <w:pPr>
        <w:spacing w:before="20"/>
        <w:ind w:left="360"/>
      </w:pPr>
      <w:r>
        <w:rPr>
          <w:color w:val="222222"/>
          <w:sz w:val="20"/>
        </w:rPr>
        <w:t>El precio de las acciones de la empresa matriz de Google ha subido un 11 % en 2026, a medida que los inversores se muestran cada vez más optimistas sobre su posición en el panorama de la IA. Los chips de unidad de procesamiento tensorial (TPU) de Alphabet están ganando terreno como una alternativa clave a las unidades de procesamiento gráfico (GPU) de Nvidia. En las últimas semanas, la compañía ha cerrado acuerdos con startups como Anthropic para proporcionar potencia de cálculo.</w:t>
      </w:r>
    </w:p>
    <w:p>
      <w:pPr>
        <w:spacing w:before="20"/>
        <w:ind w:left="360"/>
      </w:pPr>
      <w:r>
        <w:rPr>
          <w:color w:val="222222"/>
          <w:sz w:val="20"/>
        </w:rPr>
        <w:t>Se prevé que Alphabet registre un beneficio neto de casi US$ 32.000 millones en el primer trimestre, un 8 % menos que el año anterior,con unos ingresos de aproximadamente US$ 92.000 millones, lo que representaría un aumento del 20%. Se prevé que los ingresos de Google Cloud aumenten un 50% hasta los US$ 18.400 millones con respecto al año anterior, en comparación con un aumento del 48% en el cuarto trimestre.</w:t>
      </w:r>
    </w:p>
    <w:p>
      <w:pPr>
        <w:spacing w:before="20"/>
        <w:ind w:left="360"/>
      </w:pPr>
      <w:r>
        <w:rPr>
          <w:color w:val="222222"/>
          <w:sz w:val="20"/>
        </w:rPr>
        <w:t>La empresa propietaria de Facebook ha sido una de las que más ha invertido en IA, lo que, según afirma, está ayudando a impulsar la segmentación de anuncios y la interacción en sus aplicaciones de redes sociales. Sin embargo, esto está afectando al flujo de caja libre, que se prevé que sea de 3.900 millones de dólares en el primer trimestre, el más bajo en casi cuatro años. Para controlar los gastos, Meta planea recortar cerca del 10% de su plantilla, y se espera que los recortes comiencen el próximo mes.</w:t>
      </w:r>
    </w:p>
    <w:p>
      <w:pPr>
        <w:spacing w:before="20"/>
        <w:ind w:left="360"/>
      </w:pPr>
      <w:r>
        <w:rPr>
          <w:color w:val="222222"/>
          <w:sz w:val="20"/>
        </w:rPr>
        <w:t>Los analistas anticipan que Meta reportará una ganancia neta de $17.200 millones sobre ingresos de aproximadamente US$ 56.000 millones, lo que representa un aumento del 3,4% y del 31%, respectivamente, con respecto al año anterior. Este sería su mayor crecimiento de ventas desde el tercer trimestre de 2021, según datos recopilados por Bloomberg.</w:t>
      </w:r>
    </w:p>
    <w:p>
      <w:pPr>
        <w:spacing w:before="20"/>
        <w:ind w:left="360"/>
      </w:pPr>
      <w:r>
        <w:rPr>
          <w:color w:val="222222"/>
          <w:sz w:val="20"/>
        </w:rPr>
        <w:t>Las acciones del gigante del comercio electrónico subieron casi un 25% en abril, lo que las encamina a su mejor mes en casi cuatro años tras un comienzo difícil de 2026.</w:t>
      </w:r>
    </w:p>
    <w:p>
      <w:pPr>
        <w:spacing w:before="20"/>
        <w:ind w:left="360"/>
      </w:pPr>
      <w:r>
        <w:rPr>
          <w:color w:val="222222"/>
          <w:sz w:val="20"/>
        </w:rPr>
        <w:t>La semana pasada, Amazon anunció acuerdos con Anthropic, Meta y Oracle para expandir el uso de sus servicios de computación en la nube.</w:t>
      </w:r>
    </w:p>
    <w:p>
      <w:pPr>
        <w:spacing w:before="20"/>
        <w:ind w:left="360"/>
      </w:pPr>
      <w:r>
        <w:rPr>
          <w:color w:val="222222"/>
          <w:sz w:val="20"/>
        </w:rPr>
        <w:t>Se espera que la compañía con sede en Seattle registre una ganancia neta de US$ 18.000 millones en el primer trimestre sobre ingresos de US$ 177.000 millones, lo que representa un crecimiento del 5% y del 14%, respectivamente. Según el promedio de las estimaciones de los analistas recopiladas por Bloomberg, se prevé que las ventas de Amazon Web Services crezcan un 26%, frente al 24% del cuarto trimestre.</w:t>
      </w:r>
    </w:p>
    <w:p>
      <w:pPr>
        <w:spacing w:before="40" w:after="120"/>
      </w:pPr>
      <w:r>
        <w:rPr>
          <w:color w:val="CCCCCC"/>
        </w:rPr>
        <w:t>· · ·</w:t>
      </w:r>
    </w:p>
    <w:p>
      <w:r>
        <w:rPr>
          <w:b/>
          <w:color w:val="E65000"/>
        </w:rPr>
        <w:t xml:space="preserve">4. </w:t>
      </w:r>
      <w:r>
        <w:rPr>
          <w:b/>
          <w:sz w:val="22"/>
        </w:rPr>
        <w:t>Dólar se dispara más de $ 10 en medio de fuerte avance del petróleo por temores de que EEUU insista en bloquear puertos iraníes en Ormuz</w:t>
      </w:r>
    </w:p>
    <w:p>
      <w:pPr>
        <w:spacing w:before="0"/>
      </w:pPr>
      <w:r>
        <w:rPr>
          <w:color w:val="0056B3"/>
          <w:sz w:val="18"/>
        </w:rPr>
        <w:t>https://www.df.cl/mercados/bolsa-monedas/dolar-hoy-mdmek</w:t>
      </w:r>
    </w:p>
    <w:p>
      <w:pPr>
        <w:spacing w:before="20"/>
        <w:ind w:left="360"/>
      </w:pPr>
      <w:r>
        <w:rPr>
          <w:color w:val="222222"/>
          <w:sz w:val="20"/>
        </w:rPr>
        <w:t>El Banco Central mantuvo la tasa clave, como se esperaba, mostrándose alerta ante la posibilidad de que la inflación tome un carácter más estructural. A las 14:00 horas la Fed publicará su decisión, la última con Jerome Powell como presidente, para la que tampoco se prevén cambios de tasas de interés.</w:t>
      </w:r>
    </w:p>
    <w:p>
      <w:pPr>
        <w:spacing w:before="20"/>
        <w:ind w:left="360"/>
      </w:pPr>
      <w:r>
        <w:rPr>
          <w:color w:val="222222"/>
          <w:sz w:val="20"/>
        </w:rPr>
        <w:t>Publicado: Miércoles 29 de abril de 2026 a las 10:02 hrs.</w:t>
      </w:r>
    </w:p>
    <w:p>
      <w:pPr>
        <w:spacing w:before="20"/>
        <w:ind w:left="360"/>
      </w:pPr>
      <w:r>
        <w:rPr>
          <w:color w:val="222222"/>
          <w:sz w:val="20"/>
        </w:rPr>
        <w:t>El dólar-peso subía fuerte este miércoles, ya quese teme un estancamiento más prolongadode las negociaciones para reabrir el estrecho de Ormuz. Los participantes del mercado recogían además ladecisión de política del Banco Central de Chile, y esperaban el comunicado de la Reserva Federal estadounidense.</w:t>
      </w:r>
    </w:p>
    <w:p>
      <w:pPr>
        <w:spacing w:before="20"/>
        <w:ind w:left="360"/>
      </w:pPr>
      <w:r>
        <w:rPr>
          <w:color w:val="222222"/>
          <w:sz w:val="20"/>
        </w:rPr>
        <w:t>La paridad local subía $ 11,1 hasta los $ 900,6 -máximos de la sesión- a media mañana. El dólar superó inicialmente este martes los $ 900, pero dicha marca propició una ola de ventas quelo hizo cerrar a la bajaen las pantallas de Bloomberg.</w:t>
      </w:r>
    </w:p>
    <w:p>
      <w:pPr>
        <w:spacing w:before="20"/>
        <w:ind w:left="360"/>
      </w:pPr>
      <w:r>
        <w:rPr>
          <w:color w:val="222222"/>
          <w:sz w:val="20"/>
        </w:rPr>
        <w:t>El Banco Central mantuvo su tasa clave, como se esperaba, mostrándose alerta ante la posibilidad de que la inflación tome un carácter más estructural.A las 14:00 horas la Fed publicará su anuncio de tasas, la última conJerome Powellcomo presidente, para la que tampoco se prevén ajustes.</w:t>
      </w:r>
    </w:p>
    <w:p>
      <w:pPr>
        <w:spacing w:before="20"/>
        <w:ind w:left="360"/>
      </w:pPr>
      <w:r>
        <w:rPr>
          <w:color w:val="222222"/>
          <w:sz w:val="20"/>
        </w:rPr>
        <w:t>El petróleo Brent escalaba 5,1% a US$ 117 por barril, elevando todavía más las tasas de mercado, y asíeldollar index-un indicador del dólar global- repuntaba 0,3%. Por su parte,el cobre Comex retrocedía 0,4% a US$ 5,95 la libra, ytambién retrocedían los mercados bursátiles.</w:t>
      </w:r>
    </w:p>
    <w:p>
      <w:pPr>
        <w:spacing w:before="20"/>
        <w:ind w:left="360"/>
      </w:pPr>
      <w:r>
        <w:rPr>
          <w:color w:val="222222"/>
          <w:sz w:val="20"/>
        </w:rPr>
        <w:t>Trump instruyó a sus asesores que se preparen para un bloqueo prolongado de los puertos iraníes en el estrecho de Ormuz, según un reportaje del Wall Street Journal publicado anoche, basado en la reunión que el Presidente de EEUU convocó en la Sala de Situación al comienzo de la semana.</w:t>
      </w:r>
    </w:p>
    <w:p>
      <w:pPr>
        <w:spacing w:before="20"/>
        <w:ind w:left="360"/>
      </w:pPr>
      <w:r>
        <w:rPr>
          <w:color w:val="222222"/>
          <w:sz w:val="20"/>
        </w:rPr>
        <w:t>Este miércoles en la madrugada, Trump manifestó en su red Truth Social:"Irán no es capaz de organizarse. No saben cómo firmar un acuerdo no nuclear. ¡Más les vale espabilarse pronto!". Elpostvino acompañado con una imagen aparentemente generada con IA, en la que se muestra con lentes oscuros y un fusil en las manos, bajo la leyenda "NO MORE MR. NICE GUY".</w:t>
      </w:r>
    </w:p>
    <w:p>
      <w:pPr>
        <w:spacing w:before="20"/>
        <w:ind w:left="360"/>
      </w:pPr>
      <w:r>
        <w:rPr>
          <w:color w:val="222222"/>
          <w:sz w:val="20"/>
        </w:rPr>
        <w:t>Los precios de la energía llevan varios días recuperando terreno, dado que el estrecho de Ormuz sigue obstaculizado por la competencia de bloqueos navales entre Washington y Teherán.</w:t>
      </w:r>
    </w:p>
    <w:p>
      <w:pPr>
        <w:spacing w:before="20"/>
        <w:ind w:left="360"/>
      </w:pPr>
      <w:r>
        <w:rPr>
          <w:color w:val="222222"/>
          <w:sz w:val="20"/>
        </w:rPr>
        <w:t>La última propuesta iraní conocida apuntaba a reabrir Ormuz a cambio de un fin del bloqueo estadounidense y de la guerra -que se apresta a cumplir dos meses-, postergando las negociaciones sobre un acuerdo nuclear.</w:t>
      </w:r>
    </w:p>
    <w:p>
      <w:pPr>
        <w:spacing w:before="40" w:after="120"/>
      </w:pPr>
      <w:r>
        <w:rPr>
          <w:color w:val="CCCCCC"/>
        </w:rPr>
        <w:t>· · ·</w:t>
      </w:r>
    </w:p>
    <w:p>
      <w:r>
        <w:rPr>
          <w:b/>
          <w:color w:val="E65000"/>
        </w:rPr>
        <w:t xml:space="preserve">5. </w:t>
      </w:r>
      <w:r>
        <w:rPr>
          <w:b/>
          <w:sz w:val="22"/>
        </w:rPr>
        <w:t>IPSA vuelve a caer mientras el barril de Brent se acerca a US$ 120 por posible extensión del bloqueo de Ormuz</w:t>
      </w:r>
    </w:p>
    <w:p>
      <w:pPr>
        <w:spacing w:before="0"/>
      </w:pPr>
      <w:r>
        <w:rPr>
          <w:color w:val="0056B3"/>
          <w:sz w:val="18"/>
        </w:rPr>
        <w:t>https://www.df.cl/mercados/bolsa-monedas/bolsas-hoy-necxe</w:t>
      </w:r>
    </w:p>
    <w:p>
      <w:pPr>
        <w:spacing w:before="20"/>
        <w:ind w:left="360"/>
      </w:pPr>
      <w:r>
        <w:rPr>
          <w:color w:val="222222"/>
          <w:sz w:val="20"/>
        </w:rPr>
        <w:t>La bolsa chilena viene de una fuerte caída de martes. Andina-B nadaba a contracorriente, tras informar que sus ventas crecieron levemente a $ 924 mil millones en el primer trimestre, mientras que la utilidad neta saltó 25% interanual a $ 99 mil millones.</w:t>
      </w:r>
    </w:p>
    <w:p>
      <w:pPr>
        <w:spacing w:before="20"/>
        <w:ind w:left="360"/>
      </w:pPr>
      <w:r>
        <w:rPr>
          <w:color w:val="222222"/>
          <w:sz w:val="20"/>
        </w:rPr>
        <w:t>Publicado: Miércoles 29 de abril de 2026 a las 09:47 hrs.</w:t>
      </w:r>
    </w:p>
    <w:p>
      <w:pPr>
        <w:spacing w:before="20"/>
        <w:ind w:left="360"/>
      </w:pPr>
      <w:r>
        <w:rPr>
          <w:color w:val="222222"/>
          <w:sz w:val="20"/>
        </w:rPr>
        <w:t>La Bolsa de Santiago hizo amagos de recuperación a mitad de semana, pero loscrecientes precios internacionales de la energíala están presionándola hacia abajo, tal como ocurre en la mayoría de los mercados bursátiles.</w:t>
      </w:r>
    </w:p>
    <w:p>
      <w:pPr>
        <w:spacing w:before="20"/>
        <w:ind w:left="360"/>
      </w:pPr>
      <w:r>
        <w:rPr>
          <w:color w:val="222222"/>
          <w:sz w:val="20"/>
        </w:rPr>
        <w:t>Después decaer 2% este martes, el S&amp;P IPSA intentó recuperar terreno en los primeros negocios de este miércoles, pero rápidamente el alza se desvaneció. A esta hora,el índice caía 0,2% a 10.884,99 puntos, en gran medida por la influencia deFalabella (-1,3%) y Latam (-1,2%), acciones sensibles al conflicto en Medio Oriente.</w:t>
      </w:r>
    </w:p>
    <w:p>
      <w:pPr>
        <w:spacing w:before="20"/>
        <w:ind w:left="360"/>
      </w:pPr>
      <w:r>
        <w:rPr>
          <w:color w:val="222222"/>
          <w:sz w:val="20"/>
        </w:rPr>
        <w:t>Andina-B (1,9%)nadaba a contracorriente, tras informar que susventas del primer trimestrecrecieron levemente a $ 924 mil millones, mientras quela utilidad neta saltó 25% interanual a $ 99 mil millones. Cifras que superaron las respectivas estimaciones de $ 905 mil millones y $ 86.600 millones, según el promedio de cinco corredoras de bolsa compiladas porDF.</w:t>
      </w:r>
    </w:p>
    <w:p>
      <w:pPr>
        <w:spacing w:before="20"/>
        <w:ind w:left="360"/>
      </w:pPr>
      <w:r>
        <w:rPr>
          <w:color w:val="222222"/>
          <w:sz w:val="20"/>
        </w:rPr>
        <w:t>El Banco Central mantuvo su tasa clave, como se esperaba. Las tasasswapde cortísimo plazo se iban para abajo, mientras las de plazos cortos y medios subían en línea con sus comparables estadounidenses.</w:t>
      </w:r>
    </w:p>
    <w:p>
      <w:pPr>
        <w:spacing w:before="20"/>
        <w:ind w:left="360"/>
      </w:pPr>
      <w:r>
        <w:rPr>
          <w:color w:val="222222"/>
          <w:sz w:val="20"/>
        </w:rPr>
        <w:t>Wall Street inició una segunda jornada en la que se aleja de sus máximos históricos del lunes.El Dow Jones caía 0,3%, el Nasdaq 0,2% y el S&amp;P 500 0,1%, expectantes frente a ladecisión de la Reserva Federal (14:00 horas, misma en Chile)y los resultados deAlphabet, Amazon, Meta y Microsoft, programados para después del cierre.</w:t>
      </w:r>
    </w:p>
    <w:p>
      <w:pPr>
        <w:spacing w:before="20"/>
        <w:ind w:left="360"/>
      </w:pPr>
      <w:r>
        <w:rPr>
          <w:color w:val="222222"/>
          <w:sz w:val="20"/>
        </w:rPr>
        <w:t>En Europa,el continental Euro Stoxx 50 bajaba 0,1% y el FTSE 100 de Londres retrocedía 0,8%. Al cierre de las bolsas chinas,el Hang Seng hongkonés subió 1,7% y el continental CSI 300 aumentó 1,1%. El mercado japonés permaneció cerrado, por el feriado del Día de Showa.</w:t>
      </w:r>
    </w:p>
    <w:p>
      <w:pPr>
        <w:spacing w:before="20"/>
        <w:ind w:left="360"/>
      </w:pPr>
      <w:r>
        <w:rPr>
          <w:color w:val="222222"/>
          <w:sz w:val="20"/>
        </w:rPr>
        <w:t>El petróleo Brent escalaba 5,2% a US$ 117 por barril, tras la noticia de queTrump instruyó a sus asesores que se preparen para un bloqueo prolongado de los puertos iraníes en el estrecho de Ormuz, según un reportaje del Wall Street Journal publicado anoche. El recuento se basó en la reunión que el Presidente de EEUU convocó en la Sala de Situación al comienzo de la semana.</w:t>
      </w:r>
    </w:p>
    <w:p>
      <w:pPr>
        <w:spacing w:before="20"/>
        <w:ind w:left="360"/>
      </w:pPr>
      <w:r>
        <w:rPr>
          <w:color w:val="222222"/>
          <w:sz w:val="20"/>
        </w:rPr>
        <w:t>Este miércoles en la madrugada, Trump manifestó en su red Truth Social:"Irán no es capaz de organizarse. No saben cómo firmar un acuerdo no nuclear. ¡Más les vale espabilarse pronto!". Elpostvino acompañado con una imagen aparentemente generada con IA, en la que se muestra con lentes oscuros y un fusil en las manos, bajo la leyenda "NO MORE MR. NICE GUY".</w:t>
      </w:r>
    </w:p>
    <w:p>
      <w:pPr>
        <w:spacing w:before="20"/>
        <w:ind w:left="360"/>
      </w:pPr>
      <w:r>
        <w:rPr>
          <w:color w:val="222222"/>
          <w:sz w:val="20"/>
        </w:rPr>
        <w:t>Los precios de la energía llevan varios días recuperando terreno, dado que el estrecho de Ormuz sigue obstaculizado por la competencia de bloqueos navales entre Washington y Teherán. La última propuesta iraní conocida apuntaba a reabrir Ormuz a cambio de un fin del bloqueo estadounidense y de la guerra -que se apresta a cumplir dos meses-, postergando las negociaciones sobre un acuerdo nuclear.</w:t>
      </w:r>
    </w:p>
    <w:p>
      <w:pPr>
        <w:spacing w:before="40" w:after="120"/>
      </w:pPr>
      <w:r>
        <w:rPr>
          <w:color w:val="CCCCCC"/>
        </w:rPr>
        <w:t>· · ·</w:t>
      </w:r>
    </w:p>
    <w:p>
      <w:r>
        <w:rPr>
          <w:b/>
          <w:color w:val="E65000"/>
        </w:rPr>
        <w:t xml:space="preserve">6. </w:t>
      </w:r>
      <w:r>
        <w:rPr>
          <w:b/>
          <w:sz w:val="22"/>
        </w:rPr>
        <w:t>Grupo Santander España logra ganancias por US$ 6.384 millones al primer trimestre impulsados por venta de banco en Polonia</w:t>
      </w:r>
    </w:p>
    <w:p>
      <w:pPr>
        <w:spacing w:before="0"/>
      </w:pPr>
      <w:r>
        <w:rPr>
          <w:color w:val="0056B3"/>
          <w:sz w:val="18"/>
        </w:rPr>
        <w:t>https://www.df.cl/mercados/banca-fintech/grupo-santander-espana-logra-ganancias-por-us-6-384-millones-al-primer</w:t>
      </w:r>
    </w:p>
    <w:p>
      <w:pPr>
        <w:spacing w:before="20"/>
        <w:ind w:left="360"/>
      </w:pPr>
      <w:r>
        <w:rPr>
          <w:color w:val="222222"/>
          <w:sz w:val="20"/>
        </w:rPr>
        <w:t>La presidenta del holding, Ana Botín, destacó que la diversificación geográfica y de balance, junto con una gestión disciplinada del riesgo, siguen siendo fortalezas clave del negocio.</w:t>
      </w:r>
    </w:p>
    <w:p>
      <w:pPr>
        <w:spacing w:before="20"/>
        <w:ind w:left="360"/>
      </w:pPr>
      <w:r>
        <w:rPr>
          <w:color w:val="222222"/>
          <w:sz w:val="20"/>
        </w:rPr>
        <w:t>Publicado: Miércoles 29 de abril de 2026 a las 07:58 hrs.</w:t>
      </w:r>
    </w:p>
    <w:p>
      <w:pPr>
        <w:spacing w:before="20"/>
        <w:ind w:left="360"/>
      </w:pPr>
      <w:r>
        <w:rPr>
          <w:color w:val="222222"/>
          <w:sz w:val="20"/>
        </w:rPr>
        <w:t>El grupo financiero españolSantanderreportó este miércoles una utilidad de US$ 6.384 millones al primer trimestre, evidenciando un alza de 60% respecto de igual periodo en 2025, explicado principalmente por la venta deSantander Bank Polska.</w:t>
      </w:r>
    </w:p>
    <w:p>
      <w:pPr>
        <w:spacing w:before="20"/>
        <w:ind w:left="360"/>
      </w:pPr>
      <w:r>
        <w:rPr>
          <w:color w:val="222222"/>
          <w:sz w:val="20"/>
        </w:rPr>
        <w:t>Al excluir los beneficios de la operación polaca, Santander logró ganancias por US$ 4.166 millones, esto es, un 12% más que en igual fecha en 2025, impulsado por la estrategia denominada "ONE", según afirmó el grupo español en un comunicado.</w:t>
      </w:r>
    </w:p>
    <w:p>
      <w:pPr>
        <w:spacing w:before="20"/>
        <w:ind w:left="360"/>
      </w:pPr>
      <w:r>
        <w:rPr>
          <w:color w:val="222222"/>
          <w:sz w:val="20"/>
        </w:rPr>
        <w:t>Santander también destacó la incorporación de ocho millones de clientes en los últimos 12 meses, hasta alcanzar los 176 millones, gracias a su dinámica comercial y una mayor actividad.</w:t>
      </w:r>
    </w:p>
    <w:p>
      <w:pPr>
        <w:spacing w:before="20"/>
        <w:ind w:left="360"/>
      </w:pPr>
      <w:r>
        <w:rPr>
          <w:color w:val="222222"/>
          <w:sz w:val="20"/>
        </w:rPr>
        <w:t>"Hemos comenzado el año con solidez tras incorporar ocho millones de nuevos clientes en el último año. Los ingresos crecen un 4% y los costes caen un 3% impulsados por ONE Transformation, que está mejorando el apalancamiento operativo trimestre a trimestre", destacó la presidenta de Santander, Ana Botín.</w:t>
      </w:r>
    </w:p>
    <w:p>
      <w:pPr>
        <w:spacing w:before="20"/>
        <w:ind w:left="360"/>
      </w:pPr>
      <w:r>
        <w:rPr>
          <w:color w:val="222222"/>
          <w:sz w:val="20"/>
        </w:rPr>
        <w:t>La ejecutiva indicó que la diversificación geográfica y de balance, junto con una gestión disciplinada del riesgo,"siguen siendo fortalezas clave en un entorno de mayor incertidumbre geopolítica, lo que nos permite ofrecer un crecimiento rentable y sólido".</w:t>
      </w:r>
    </w:p>
    <w:p>
      <w:pPr>
        <w:spacing w:before="20"/>
        <w:ind w:left="360"/>
      </w:pPr>
      <w:r>
        <w:rPr>
          <w:color w:val="222222"/>
          <w:sz w:val="20"/>
        </w:rPr>
        <w:t>"De cara al futuro, esperamos mantener esta tendencia gracias al crecimiento de clientes totales y activos, al tiempo que seguimos aprovechando nuestra escala global y local para transformar nuestro modelo. Esto permitirá una mayor rentabilidad y generación de valor para el accionista. Reiteramos todos nuestros objetivos para 2026 y nuestro plan a tres años con las proyecciones revisadas actuales", finalizó.</w:t>
      </w:r>
    </w:p>
    <w:p>
      <w:pPr>
        <w:spacing w:before="40" w:after="120"/>
      </w:pPr>
      <w:r>
        <w:rPr>
          <w:color w:val="CCCCCC"/>
        </w:rPr>
        <w:t>· · ·</w:t>
      </w:r>
    </w:p>
    <w:p>
      <w:r>
        <w:rPr>
          <w:b/>
          <w:color w:val="E65000"/>
        </w:rPr>
        <w:t xml:space="preserve">7. </w:t>
      </w:r>
      <w:r>
        <w:rPr>
          <w:b/>
          <w:sz w:val="22"/>
        </w:rPr>
        <w:t>Aseguradoras cerraron 2025 con récord de ventas de pólizas para vehículos: se emitieron más de 4 millones de seguros</w:t>
      </w:r>
    </w:p>
    <w:p>
      <w:pPr>
        <w:spacing w:before="0"/>
      </w:pPr>
      <w:r>
        <w:rPr>
          <w:color w:val="0056B3"/>
          <w:sz w:val="18"/>
        </w:rPr>
        <w:t>https://www.df.cl/mercados/seguros/aseguradoras-cerraron-2025-con-record-de-ventas-de-polizas-para-vehiculos</w:t>
      </w:r>
    </w:p>
    <w:p>
      <w:pPr>
        <w:spacing w:before="20"/>
        <w:ind w:left="360"/>
      </w:pPr>
      <w:r>
        <w:rPr>
          <w:color w:val="222222"/>
          <w:sz w:val="20"/>
        </w:rPr>
        <w:t>Sin considerar el SOAP, la industria alcanzó cifras nunca vistas. La mayor oferta fue uno de los motores del crecimiento.</w:t>
      </w:r>
    </w:p>
    <w:p>
      <w:pPr>
        <w:spacing w:before="20"/>
        <w:ind w:left="360"/>
      </w:pPr>
      <w:r>
        <w:rPr>
          <w:color w:val="222222"/>
          <w:sz w:val="20"/>
        </w:rPr>
        <w:t>Por:Daniel Vizcarra G.Publicado: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Uno de los negocios más relevantes en la industria de seguros generales es la línea de vehículos.</w:t>
      </w:r>
    </w:p>
    <w:p>
      <w:pPr>
        <w:spacing w:before="20"/>
        <w:ind w:left="360"/>
      </w:pPr>
      <w:r>
        <w:rPr>
          <w:color w:val="222222"/>
          <w:sz w:val="20"/>
        </w:rPr>
        <w:t>Este producto voluntario, que no considera al Seguro Obligatorio de Accidentes Personales (SOAP), indemniza los daños que afecten a los automóviles como consecuencia de un accidente, robo o hurto, además de proteger si existen daños a terceros.</w:t>
      </w:r>
    </w:p>
    <w:p>
      <w:pPr>
        <w:spacing w:before="20"/>
        <w:ind w:left="360"/>
      </w:pPr>
      <w:r>
        <w:rPr>
          <w:color w:val="222222"/>
          <w:sz w:val="20"/>
        </w:rPr>
        <w:t>El año pasado, este segmento se anotó un récord en términos de seguros comercializados. Las aseguradoras totalizaron 4.182.519 de pólizas emitidas, la mayor cifra desde que hay registro en los datos de la Asociación de Aseguradores de Chile (AACH).</w:t>
      </w:r>
    </w:p>
    <w:p>
      <w:pPr>
        <w:spacing w:before="20"/>
        <w:ind w:left="360"/>
      </w:pPr>
      <w:r>
        <w:rPr>
          <w:color w:val="222222"/>
          <w:sz w:val="20"/>
        </w:rPr>
        <w:t>Según los números del gremio, ello significó un crecimiento de 10,8% respecto de las 3.775.047 que se suscribieron en 2024.</w:t>
      </w:r>
    </w:p>
    <w:p>
      <w:pPr>
        <w:spacing w:before="20"/>
        <w:ind w:left="360"/>
      </w:pPr>
      <w:r>
        <w:rPr>
          <w:color w:val="222222"/>
          <w:sz w:val="20"/>
        </w:rPr>
        <w:t>De este modo, la industria de seguros generales alcanzó primas en este segmento por UF 33 millones, anotando un 26% de participación de la prima total del sector durante el año pasado.</w:t>
      </w:r>
    </w:p>
    <w:p>
      <w:pPr>
        <w:spacing w:before="20"/>
        <w:ind w:left="360"/>
      </w:pPr>
      <w:r>
        <w:rPr>
          <w:color w:val="222222"/>
          <w:sz w:val="20"/>
        </w:rPr>
        <w:t>El incremento de las pólizas vendidas también va en línea con el alza en el parque automotor en el país, que el año pasado alcanzó los 6.951.716 automóviles, un 3,3% superior a los 6.727.472 que se registraron en 2024.</w:t>
      </w:r>
    </w:p>
    <w:p>
      <w:pPr>
        <w:spacing w:before="20"/>
        <w:ind w:left="360"/>
      </w:pPr>
      <w:r>
        <w:rPr>
          <w:color w:val="222222"/>
          <w:sz w:val="20"/>
        </w:rPr>
        <w:t>En la industria explican que parte de las razones del crecimiento obedecen a que los potenciales asegurados hoy encuentran mejores ofertas de pólizas.</w:t>
      </w:r>
    </w:p>
    <w:p>
      <w:pPr>
        <w:spacing w:before="20"/>
        <w:ind w:left="360"/>
      </w:pPr>
      <w:r>
        <w:rPr>
          <w:color w:val="222222"/>
          <w:sz w:val="20"/>
        </w:rPr>
        <w:t>Del mismo modo, también apuntan a que la mayor contratación de las pólizas responde al mejor ánimo que existe para contratar un producto de largo plazo.</w:t>
      </w:r>
    </w:p>
    <w:p>
      <w:pPr>
        <w:spacing w:before="20"/>
        <w:ind w:left="360"/>
      </w:pPr>
      <w:r>
        <w:rPr>
          <w:color w:val="222222"/>
          <w:sz w:val="20"/>
        </w:rPr>
        <w:t>“El alza ocurre por los mejores precios de las pólizas, que tienen más y mejor oferta. También, porque existe una perspectiva económica mejor que hace tomar una decisión de compra a largo plazo”, explicó a DF la directora técnica y de productos de Reale Seguros en Chile, Andrea Lepe.</w:t>
      </w:r>
    </w:p>
    <w:p>
      <w:pPr>
        <w:spacing w:before="20"/>
        <w:ind w:left="360"/>
      </w:pPr>
      <w:r>
        <w:rPr>
          <w:color w:val="222222"/>
          <w:sz w:val="20"/>
        </w:rPr>
        <w:t>¿Qué compañías encabezan la venta de seguros voluntarios de vehículos? En primer lugar, y con distancia, Bci Seguros.</w:t>
      </w:r>
    </w:p>
    <w:p>
      <w:pPr>
        <w:spacing w:before="20"/>
        <w:ind w:left="360"/>
      </w:pPr>
      <w:r>
        <w:rPr>
          <w:color w:val="222222"/>
          <w:sz w:val="20"/>
        </w:rPr>
        <w:t>El año pasado, la firma suscribió 1.498.372 pólizas, lo que representó un 35,8% de lo que emitió el total de la industria en ese período.</w:t>
      </w:r>
    </w:p>
    <w:p>
      <w:pPr>
        <w:spacing w:before="20"/>
        <w:ind w:left="360"/>
      </w:pPr>
      <w:r>
        <w:rPr>
          <w:color w:val="222222"/>
          <w:sz w:val="20"/>
        </w:rPr>
        <w:t>Le sigue HDI, con 913.944 seguros, equivalente a un 21,9% de participación.</w:t>
      </w:r>
    </w:p>
    <w:p>
      <w:pPr>
        <w:spacing w:before="20"/>
        <w:ind w:left="360"/>
      </w:pPr>
      <w:r>
        <w:rPr>
          <w:color w:val="222222"/>
          <w:sz w:val="20"/>
        </w:rPr>
        <w:t>Más atrás se ubica Suramericana, con 467.042, con un 11,2% del total de pólizas vendidas por la industria.</w:t>
      </w:r>
    </w:p>
    <w:p>
      <w:pPr>
        <w:spacing w:before="20"/>
        <w:ind w:left="360"/>
      </w:pPr>
      <w:r>
        <w:rPr>
          <w:color w:val="222222"/>
          <w:sz w:val="20"/>
        </w:rPr>
        <w:t>Cerrando con la parte alta de la industria en términos de seguros emitidos se encuentra Zurich Chile, con un total de 373.997 suscripciones, con un 9% del sector.</w:t>
      </w:r>
    </w:p>
    <w:p>
      <w:pPr>
        <w:spacing w:before="40" w:after="120"/>
      </w:pPr>
      <w:r>
        <w:rPr>
          <w:color w:val="CCCCCC"/>
        </w:rPr>
        <w:t>· · ·</w:t>
      </w:r>
    </w:p>
    <w:p>
      <w:r>
        <w:rPr>
          <w:b/>
          <w:color w:val="E65000"/>
        </w:rPr>
        <w:t xml:space="preserve">8. </w:t>
      </w:r>
      <w:r>
        <w:rPr>
          <w:b/>
          <w:sz w:val="22"/>
        </w:rPr>
        <w:t>¿Por qué la operación de Falabella en Perú podría ser un soporte para la acción?</w:t>
      </w:r>
    </w:p>
    <w:p>
      <w:pPr>
        <w:spacing w:before="0"/>
      </w:pPr>
      <w:r>
        <w:rPr>
          <w:color w:val="0056B3"/>
          <w:sz w:val="18"/>
        </w:rPr>
        <w:t>https://www.df.cl/mercados/bolsa-monedas/por-que-la-operacion-de-falabella-en-peru-podria-ser-un-soporte-para-la</w:t>
      </w:r>
    </w:p>
    <w:p>
      <w:pPr>
        <w:spacing w:before="20"/>
        <w:ind w:left="360"/>
      </w:pPr>
      <w:r>
        <w:rPr>
          <w:color w:val="222222"/>
          <w:sz w:val="20"/>
        </w:rPr>
        <w:t>Itaú BBA elevó a $ 7.140 el precio objetivo de la acción y espera una recuperación hacia 2027.</w:t>
      </w:r>
    </w:p>
    <w:p>
      <w:pPr>
        <w:spacing w:before="20"/>
        <w:ind w:left="360"/>
      </w:pPr>
      <w:r>
        <w:rPr>
          <w:color w:val="222222"/>
          <w:sz w:val="20"/>
        </w:rPr>
        <w:t>Por:José Tomás RodríguezPublicado: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Falabella enfrentaría un 2026 desafiante, con una mayor presión inflacionaria que podría afectar el consumo.</w:t>
      </w:r>
    </w:p>
    <w:p>
      <w:pPr>
        <w:spacing w:before="20"/>
        <w:ind w:left="360"/>
      </w:pPr>
      <w:r>
        <w:rPr>
          <w:color w:val="222222"/>
          <w:sz w:val="20"/>
        </w:rPr>
        <w:t>Sin embargo, para Itaú BBA, ese escenario no borra el atractivo de la acción: mantuvo una visión positiva, apoyada en el potencial de crecimiento hacia 2027.</w:t>
      </w:r>
    </w:p>
    <w:p>
      <w:pPr>
        <w:spacing w:before="20"/>
        <w:ind w:left="360"/>
      </w:pPr>
      <w:r>
        <w:rPr>
          <w:color w:val="222222"/>
          <w:sz w:val="20"/>
        </w:rPr>
        <w:t>La corredora elevó el precio objetivo de Falabella desde $ 6.870 a $ 7.140 el papel, y reiteró su recomendación de “compra”, apuntando a una mayor valorización de sus activos y una mejor recuperación para el próximo año.</w:t>
      </w:r>
    </w:p>
    <w:p>
      <w:pPr>
        <w:spacing w:before="20"/>
        <w:ind w:left="360"/>
      </w:pPr>
      <w:r>
        <w:rPr>
          <w:color w:val="222222"/>
          <w:sz w:val="20"/>
        </w:rPr>
        <w:t>Así, la intermediaria de capitales brasileños estimó el precio más alcista para el mencionado título, entre una quincena de corredores registrados en Bloomberg.</w:t>
      </w:r>
    </w:p>
    <w:p>
      <w:pPr>
        <w:spacing w:before="20"/>
        <w:ind w:left="360"/>
      </w:pPr>
      <w:r>
        <w:rPr>
          <w:color w:val="222222"/>
          <w:sz w:val="20"/>
        </w:rPr>
        <w:t>A través de un informe, advirtió que el alza en los precios del petróleo junto con el conflicto en Medio Oriente ha elevado la inflación, afectando directamente el consumo. Esto sería especialmente relevante en Chile, donde además, se anticipan comparaciones más exigentes por una menor llegada de turistas argentinos, que en años recientes impulsaron las ventas.</w:t>
      </w:r>
    </w:p>
    <w:p>
      <w:pPr>
        <w:spacing w:before="20"/>
        <w:ind w:left="360"/>
      </w:pPr>
      <w:r>
        <w:rPr>
          <w:color w:val="222222"/>
          <w:sz w:val="20"/>
        </w:rPr>
        <w:t>Y aunque el consumo ha resistido mejor de lo esperado, Itaú BBA advirtió que para el negocio en Perú eventos climáticos como El Niño podrían afectar la actividad y el crecimiento del crédito.</w:t>
      </w:r>
    </w:p>
    <w:p>
      <w:pPr>
        <w:spacing w:before="20"/>
        <w:ind w:left="360"/>
      </w:pPr>
      <w:r>
        <w:rPr>
          <w:color w:val="222222"/>
          <w:sz w:val="20"/>
        </w:rPr>
        <w:t>Sin embargo, en su escenario base, no espera un impacto disruptivo por este fenómeno, y proyectó que las colocaciones crecerán a un ritmo de en torno a 5%.</w:t>
      </w:r>
    </w:p>
    <w:p>
      <w:pPr>
        <w:spacing w:before="20"/>
        <w:ind w:left="360"/>
      </w:pPr>
      <w:r>
        <w:rPr>
          <w:color w:val="222222"/>
          <w:sz w:val="20"/>
        </w:rPr>
        <w:t>“Si bien la relación entre PIB y colocaciones brutas luce baja, esta incorpora efectos climáticos observados en años como 2017 y 2023”, indicó.</w:t>
      </w:r>
    </w:p>
    <w:p>
      <w:pPr>
        <w:spacing w:before="20"/>
        <w:ind w:left="360"/>
      </w:pPr>
      <w:r>
        <w:rPr>
          <w:color w:val="222222"/>
          <w:sz w:val="20"/>
        </w:rPr>
        <w:t>En términos operacionales, la corredora estimó una desaceleración en el crecimiento del retail en Chile, aunque con márgenes sostenidos, en parte, por factores cambiarios.</w:t>
      </w:r>
    </w:p>
    <w:p>
      <w:pPr>
        <w:spacing w:before="20"/>
        <w:ind w:left="360"/>
      </w:pPr>
      <w:r>
        <w:rPr>
          <w:color w:val="222222"/>
          <w:sz w:val="20"/>
        </w:rPr>
        <w:t>En este contexto, la operación de Falabella en Perú aparecería como gran contrapeso, con mejores perspectivas de consumo y un impacto inflacionario más acotado.</w:t>
      </w:r>
    </w:p>
    <w:p>
      <w:pPr>
        <w:spacing w:before="20"/>
        <w:ind w:left="360"/>
      </w:pPr>
      <w:r>
        <w:rPr>
          <w:color w:val="222222"/>
          <w:sz w:val="20"/>
        </w:rPr>
        <w:t>Por su parte, el alza en el precio objetivo de Mallplaza también elevó el valor implícito de la participación de Falabella, en un ajuste explicado principalmente por mayores supuestos de crecimiento de sus activos.</w:t>
      </w:r>
    </w:p>
    <w:p>
      <w:pPr>
        <w:spacing w:before="20"/>
        <w:ind w:left="360"/>
      </w:pPr>
      <w:r>
        <w:rPr>
          <w:color w:val="222222"/>
          <w:sz w:val="20"/>
        </w:rPr>
        <w:t>En este contexto, el banco estimó que, incluso bajo escenarios conservadores -como canalizar la inversión vía Mallplaza-, existirá espacio para un mayor potencial al alza, considerando que otras unidades del grupo también ofrecen oportunidades de crecimiento que no están plenamente reflejadas en la valorización actual.</w:t>
      </w:r>
    </w:p>
    <w:p>
      <w:pPr>
        <w:spacing w:before="20"/>
        <w:ind w:left="360"/>
      </w:pPr>
      <w:r>
        <w:rPr>
          <w:color w:val="222222"/>
          <w:sz w:val="20"/>
        </w:rPr>
        <w:t>Itaú BBA destacó que los motores estructurales de crecimiento continúan vigentes. En particular, por el desempeño de Mallplaza junto al avance del marketplace de Falabella, que podría alcanzar un punto de equilibrio hacia 2026.</w:t>
      </w:r>
    </w:p>
    <w:p>
      <w:pPr>
        <w:spacing w:before="20"/>
        <w:ind w:left="360"/>
      </w:pPr>
      <w:r>
        <w:rPr>
          <w:color w:val="222222"/>
          <w:sz w:val="20"/>
        </w:rPr>
        <w:t>“Si esta trayectoria se mantiene pese a un entorno macroeconómico más desafiante -apoyada en la mejora de la propuesta de valor que la compañía ha mostrado en los últimos trimestres y que le ha permitido seguir ganando participación frente a actores más pequeños-, el marketplace podría alcanzar el punto de equilibrio tan pronto como en 2026”, explicó el informe.</w:t>
      </w:r>
    </w:p>
    <w:p>
      <w:pPr>
        <w:spacing w:before="20"/>
        <w:ind w:left="360"/>
      </w:pPr>
      <w:r>
        <w:rPr>
          <w:color w:val="222222"/>
          <w:sz w:val="20"/>
        </w:rPr>
        <w:t>A nivel consolidado, la corredora estimó ingresos por $ 14,1 billones (millones de millones) y un Ebitda de $ 2 billones para 2026, con mejoras moderadas respecto de sus proyecciones previas. Sin embargo, subrayó que el desempeño fuera de Chile será clave para sostener estos resultados en el futuro, en un contexto de mayor presión para el mercado local.</w:t>
      </w:r>
    </w:p>
    <w:p>
      <w:pPr>
        <w:spacing w:before="20"/>
        <w:ind w:left="360"/>
      </w:pPr>
      <w:r>
        <w:rPr>
          <w:color w:val="222222"/>
          <w:sz w:val="20"/>
        </w:rPr>
        <w:t>En tanto, se proyectó que Falabella tendría un upside de 21,8% hacia el cierre de 2026 (al día que fue publicado el informe), en un escenario casi sin crecimiento de las ganancias por acción frente a 2025, pero donde hacia 2027 el panorama mejora, con un crecimiento estimado en $ 15 billones.</w:t>
      </w:r>
    </w:p>
    <w:p>
      <w:pPr>
        <w:spacing w:before="20"/>
        <w:ind w:left="360"/>
      </w:pPr>
      <w:r>
        <w:rPr>
          <w:color w:val="222222"/>
          <w:sz w:val="20"/>
        </w:rPr>
        <w:t>Pese a que la acción transa en torno a 18 veces utilidades proyectadas, el banco sostuvo que, al considerar el crecimiento esperado, la valorización se vuelve más atractiva hacia 2027 y que el mercado podría estar subestimando la capacidad de la empresa para retomar una senda de expansión más sólida una vez que se disipen los efectos macroeconómicos actuales.</w:t>
      </w:r>
    </w:p>
    <w:p>
      <w:pPr>
        <w:spacing w:before="40" w:after="120"/>
      </w:pPr>
      <w:r>
        <w:rPr>
          <w:color w:val="CCCCCC"/>
        </w:rPr>
        <w:t>· · ·</w:t>
      </w:r>
    </w:p>
    <w:p>
      <w:r>
        <w:rPr>
          <w:b/>
          <w:color w:val="E65000"/>
        </w:rPr>
        <w:t xml:space="preserve">9. </w:t>
      </w:r>
      <w:r>
        <w:rPr>
          <w:b/>
          <w:sz w:val="22"/>
        </w:rPr>
        <w:t>CEO de Santander: “Estamos en condiciones para capturar las oportunidades de crecimiento del nuevo ciclo del país”</w:t>
      </w:r>
    </w:p>
    <w:p>
      <w:pPr>
        <w:spacing w:before="0"/>
      </w:pPr>
      <w:r>
        <w:rPr>
          <w:color w:val="0056B3"/>
          <w:sz w:val="18"/>
        </w:rPr>
        <w:t>https://www.df.cl/mercados/banca-fintech/ceo-de-santander-estamos-en-condiciones-para-capturar-las-oportunidades</w:t>
      </w:r>
    </w:p>
    <w:p>
      <w:pPr>
        <w:spacing w:before="20"/>
        <w:ind w:left="360"/>
      </w:pPr>
      <w:r>
        <w:rPr>
          <w:color w:val="222222"/>
          <w:sz w:val="20"/>
        </w:rPr>
        <w:t>Andrés Trautmann destacó la eficiencia y la estructura balanceada de ingresos de la entidad.</w:t>
      </w:r>
    </w:p>
    <w:p>
      <w:pPr>
        <w:spacing w:before="20"/>
        <w:ind w:left="360"/>
      </w:pPr>
      <w:r>
        <w:rPr>
          <w:color w:val="222222"/>
          <w:sz w:val="20"/>
        </w:rPr>
        <w:t>Publicado: Miércoles 29 de abril de 2026 a las 04:00 hrs.</w:t>
      </w:r>
    </w:p>
    <w:p>
      <w:pPr>
        <w:spacing w:before="20"/>
        <w:ind w:left="360"/>
      </w:pPr>
      <w:r>
        <w:rPr>
          <w:color w:val="222222"/>
          <w:sz w:val="20"/>
        </w:rPr>
        <w:t>El CEO y country manager de Santander Chile, Andrés Trautmann.</w:t>
      </w:r>
    </w:p>
    <w:p>
      <w:pPr>
        <w:spacing w:before="20"/>
        <w:ind w:left="360"/>
      </w:pPr>
      <w:r>
        <w:rPr>
          <w:color w:val="222222"/>
          <w:sz w:val="20"/>
        </w:rPr>
        <w:t>El CEO y country manager de Banco Santander Chile, Andrés Trautmann, espera capitalizar el nuevo ciclo económico que se abre con el reciente cambio de gobierno.</w:t>
      </w:r>
    </w:p>
    <w:p>
      <w:pPr>
        <w:spacing w:before="20"/>
        <w:ind w:left="360"/>
      </w:pPr>
      <w:r>
        <w:rPr>
          <w:color w:val="222222"/>
          <w:sz w:val="20"/>
        </w:rPr>
        <w:t>Tras el término de la junta ordinaria de accionistas, el ejecutivo afirmó a través de un comunicado de prensa que “estamos en condiciones de capturar las oportunidades de crecimiento que traigan los nuevos ciclos del país y de acompañar ese crecimiento con responsabilidad, con cercanía al cliente y con una ejecución consistente”.</w:t>
      </w:r>
    </w:p>
    <w:p>
      <w:pPr>
        <w:spacing w:before="20"/>
        <w:ind w:left="360"/>
      </w:pPr>
      <w:r>
        <w:rPr>
          <w:color w:val="222222"/>
          <w:sz w:val="20"/>
        </w:rPr>
        <w:t>La junta de accionistas aprobó la distribución de un dividendo de $ 3,353346317 por acción, equivalente al 60% de las utilidades del ejercicio, en línea con la política de dividendos de la entidad.</w:t>
      </w:r>
    </w:p>
    <w:p>
      <w:pPr>
        <w:spacing w:before="20"/>
        <w:ind w:left="360"/>
      </w:pPr>
      <w:r>
        <w:rPr>
          <w:color w:val="222222"/>
          <w:sz w:val="20"/>
        </w:rPr>
        <w:t>Trautmann afirmó que el rendimiento en 2025 de la entidad no solo estuvo marcado por altos niveles de rentabilidad, “sino también por la consistencia y calidad de nuestro desempeño en múltiples dimensiones. Hemos logrado combinar crecimiento, eficiencia y una estructura de ingresos más balanceada, lo que nos permite diferenciarnos en un entorno competitivo cada vez más exigente”.</w:t>
      </w:r>
    </w:p>
    <w:p>
      <w:pPr>
        <w:spacing w:before="20"/>
        <w:ind w:left="360"/>
      </w:pPr>
      <w:r>
        <w:rPr>
          <w:color w:val="222222"/>
          <w:sz w:val="20"/>
        </w:rPr>
        <w:t>Así, agregó, “los resultados del ejercicio anterior son consecuencia de una estrategia clara, ejecutada con disciplina y con una mirada de largo plazo”.</w:t>
      </w:r>
    </w:p>
    <w:p>
      <w:pPr>
        <w:spacing w:before="20"/>
        <w:ind w:left="360"/>
      </w:pPr>
      <w:r>
        <w:rPr>
          <w:color w:val="222222"/>
          <w:sz w:val="20"/>
        </w:rPr>
        <w:t>En la asamblea de accionistas de Santander Chile también se eligió al directorio de la entidad, cuya presidencia se mantuvo en manos del expresidente del Banco Central, Rodrigo Vergara.</w:t>
      </w:r>
    </w:p>
    <w:p>
      <w:pPr>
        <w:spacing w:before="20"/>
        <w:ind w:left="360"/>
      </w:pPr>
      <w:r>
        <w:rPr>
          <w:color w:val="222222"/>
          <w:sz w:val="20"/>
        </w:rPr>
        <w:t>Asimismo, fueron elegidos Orlando Poblete, Félix de Vicente, Blanca Bustamante, José Francisco Doncel, Mónica López, Gloria Hutt, María Francisca Yáñez y Juan Benavides, este último en calidad de director independiente propuesto por los accionistas minoritarios, principalmente los fondos de pensiones.</w:t>
      </w:r>
    </w:p>
    <w:p>
      <w:pPr>
        <w:spacing w:before="20"/>
        <w:ind w:left="360"/>
      </w:pPr>
      <w:r>
        <w:rPr>
          <w:color w:val="222222"/>
          <w:sz w:val="20"/>
        </w:rPr>
        <w:t>En tanto, se designaron como directores suplentes a Alfonso Gómez y Juan Pedro Santa María, ambos en calidad de independientes.</w:t>
      </w:r>
    </w:p>
    <w:p>
      <w:pPr>
        <w:spacing w:before="40" w:after="120"/>
      </w:pPr>
      <w:r>
        <w:rPr>
          <w:color w:val="CCCCCC"/>
        </w:rPr>
        <w:t>· · ·</w:t>
      </w:r>
    </w:p>
    <w:p/>
    <w:p>
      <w:pPr>
        <w:pStyle w:val="Heading1"/>
      </w:pPr>
      <w:r>
        <w:rPr>
          <w:color w:val="E65000"/>
        </w:rPr>
        <w:t>🔹 Empresas</w:t>
      </w:r>
    </w:p>
    <w:p>
      <w:r>
        <w:rPr>
          <w:b/>
          <w:color w:val="E65000"/>
        </w:rPr>
        <w:t xml:space="preserve">1. </w:t>
      </w:r>
      <w:r>
        <w:rPr>
          <w:b/>
          <w:sz w:val="22"/>
        </w:rPr>
        <w:t>Los nombres y perfiles de los tres nuevos directores que aterrizarán en Enjoy</w:t>
      </w:r>
      <w:r>
        <w:rPr>
          <w:color w:val="CC7700"/>
          <w:sz w:val="18"/>
        </w:rPr>
        <w:t xml:space="preserve">  [⭐ Destacada]</w:t>
      </w:r>
    </w:p>
    <w:p>
      <w:pPr>
        <w:spacing w:before="0"/>
      </w:pPr>
      <w:r>
        <w:rPr>
          <w:color w:val="0056B3"/>
          <w:sz w:val="18"/>
        </w:rPr>
        <w:t>https://www.df.cl/empresas/juntas-de-accionistas/los-nombres-y-perfiles-de-los-tres-nuevos-directores-que-aterrizaran-en</w:t>
      </w:r>
    </w:p>
    <w:p>
      <w:pPr>
        <w:spacing w:before="20"/>
        <w:ind w:left="360"/>
      </w:pPr>
      <w:r>
        <w:rPr>
          <w:color w:val="222222"/>
          <w:sz w:val="20"/>
        </w:rPr>
        <w:t>En su junta de accionistas 2026, la firma designó a la dupla de ingenieros comerciales Jorge Morgado Astorquiza y Juan Eduardo García Newcomb; y al abogado Sebastián Alessandri Balbontín.</w:t>
      </w:r>
    </w:p>
    <w:p>
      <w:pPr>
        <w:spacing w:before="20"/>
        <w:ind w:left="360"/>
      </w:pPr>
      <w:r>
        <w:rPr>
          <w:color w:val="222222"/>
          <w:sz w:val="20"/>
        </w:rPr>
        <w:t>Por:Equipo DFPublicado: Miércoles 29 de abril de 2026 a las 10:30 hrs.</w:t>
      </w:r>
    </w:p>
    <w:p>
      <w:pPr>
        <w:spacing w:before="20"/>
        <w:ind w:left="360"/>
      </w:pPr>
      <w:r>
        <w:rPr>
          <w:color w:val="222222"/>
          <w:sz w:val="20"/>
        </w:rPr>
        <w:t>Publicado: Miércoles 29 de abril de 2026 a las 10:30 hrs.</w:t>
      </w:r>
    </w:p>
    <w:p>
      <w:pPr>
        <w:spacing w:before="20"/>
        <w:ind w:left="360"/>
      </w:pPr>
      <w:r>
        <w:rPr>
          <w:color w:val="222222"/>
          <w:sz w:val="20"/>
        </w:rPr>
        <w:t>Tres nuevos nombres se sumarán a la mesa directiva de Enjoy.</w:t>
      </w:r>
    </w:p>
    <w:p>
      <w:pPr>
        <w:spacing w:before="20"/>
        <w:ind w:left="360"/>
      </w:pPr>
      <w:r>
        <w:rPr>
          <w:color w:val="222222"/>
          <w:sz w:val="20"/>
        </w:rPr>
        <w:t>Tres nuevos nombres se sumarán a la mesa directiva de Enjoy. Así lo comunicó la firma la operadora de casinos el martes de esta semana ante la Comisión para el Mercado Financiero, donde –en el marco de su junta de accionistas 2026– se oficializó la llegada deSebastián Alessandri Balbontín, Jorge Morgado Astorquiza y Juan Eduardo García Newcomb.</w:t>
      </w:r>
    </w:p>
    <w:p>
      <w:pPr>
        <w:spacing w:before="20"/>
        <w:ind w:left="360"/>
      </w:pPr>
      <w:r>
        <w:rPr>
          <w:color w:val="222222"/>
          <w:sz w:val="20"/>
        </w:rPr>
        <w:t>Los tres, concretamente, integrarán el nuevo directorio durante los siguientes tres años junto aJaime Maluk Valencia, Ignacio Pérez Alarcón, María Alejandra Maluk Alarcón, Cristian Edwards Moura, Jorge Cisternas Méndez, Ana María Yuri Castellón.Enrique Taladriz Eguiluz, en tanto, dejará la mesa.</w:t>
      </w:r>
    </w:p>
    <w:p>
      <w:pPr>
        <w:spacing w:before="20"/>
        <w:ind w:left="360"/>
      </w:pPr>
      <w:r>
        <w:rPr>
          <w:color w:val="222222"/>
          <w:sz w:val="20"/>
        </w:rPr>
        <w:t>Cabe recordar que hoy la firma se encuentra dentro de un proceso judicial desde 2024 -junto a Marina del Sol y Dreams- por presunta colusión por eventuales coordinaciones en medio de procesos licitatorios entre 2020 y 2021. Pese a que el proceso se mantenía suspendido desde febrero, ayer el Tibunal Constitucional dio paso para reactivar el jucio en elTribunal de Defensa de la Libre Competencia (TDLC).</w:t>
      </w:r>
    </w:p>
    <w:p>
      <w:pPr>
        <w:spacing w:before="20"/>
        <w:ind w:left="360"/>
      </w:pPr>
      <w:r>
        <w:rPr>
          <w:color w:val="222222"/>
          <w:sz w:val="20"/>
        </w:rPr>
        <w:t>Sobre el perfil de estos tres nuevos integrantes, que aterrizarán en Enjoy luego de dos procesos de reorganización, se trata de dos ingenieros comerciales (Morgado y García) y un abogado (Alessandri).</w:t>
      </w:r>
    </w:p>
    <w:p>
      <w:pPr>
        <w:spacing w:before="120"/>
        <w:ind w:left="360"/>
      </w:pPr>
      <w:r>
        <w:rPr>
          <w:b/>
          <w:color w:val="E65000"/>
          <w:sz w:val="26"/>
        </w:rPr>
        <w:t xml:space="preserve"> </w:t>
      </w:r>
    </w:p>
    <w:p>
      <w:pPr>
        <w:spacing w:before="20"/>
        <w:ind w:left="360"/>
      </w:pPr>
      <w:r>
        <w:rPr>
          <w:color w:val="222222"/>
          <w:sz w:val="20"/>
        </w:rPr>
        <w:t>Sobre Alessandri, Enjoy lo describió en su página de inversionistas como un ejecutivo con “más de 33 años de trayectoria asesorando a empresas locales y multinacionales, con especialización en gobierno corporativo, gestión de riesgos y cumplimiento, particularmente en el mercado asegurador, infraestructura (modelos EPC) y la dirección legal de holdings multisectoriales”. Desde 2002, el nuevo directivo se desempeña como socio de la firma Romero, Tagle y Alessandri Abogados.</w:t>
      </w:r>
    </w:p>
    <w:p>
      <w:pPr>
        <w:spacing w:before="20"/>
        <w:ind w:left="360"/>
      </w:pPr>
      <w:r>
        <w:rPr>
          <w:color w:val="222222"/>
          <w:sz w:val="20"/>
        </w:rPr>
        <w:t>Morgado, en tanto, cuenta “con más de 25 años de trayectoria en el mercado de capitales, con foco en gestión de inversiones, dirección de negocios y liderazgo de equipos comerciales y financieros”, describió Enjoy. Esto, pues –según su perfil de LinkedIn– ha pasado por Tanner Corredores de Bolsa (donde fue gerente de negocios), y Banco Penta, Banco Bice, Santander, Citi y BCI.</w:t>
      </w:r>
    </w:p>
    <w:p>
      <w:pPr>
        <w:spacing w:before="20"/>
        <w:ind w:left="360"/>
      </w:pPr>
      <w:r>
        <w:rPr>
          <w:color w:val="222222"/>
          <w:sz w:val="20"/>
        </w:rPr>
        <w:t>El tercer aterrizaje, en tanto, se trata de un ejecutivo conoce de cerca a Enjoy. Entre 2002 y 2025, Juan Eduardo García ocupó diversos cargos dentro de la operadora de casinos. Entre ellos, detalló la firma, están los puestos de analista senior de negocios y control de gestión corporativo, gerente general de Enjoy Pucón, Enjoy Viña del Mar, Enjoy Punta del Este y Enjoy Santiago, y vicepresidente player development corporativo.</w:t>
      </w:r>
    </w:p>
    <w:p>
      <w:pPr>
        <w:spacing w:before="20"/>
        <w:ind w:left="360"/>
      </w:pPr>
      <w:r>
        <w:rPr>
          <w:color w:val="222222"/>
          <w:sz w:val="20"/>
        </w:rPr>
        <w:t>A la fecha, el nuevo directivo se desempeñaba como Director y Asesor de Baluma S.A., sociedad que controlaba Enjoy Punta del Este, activo vendido hace algunas semanas a la firma al grupo inmobiliario brasileño JHSF Península.</w:t>
      </w:r>
    </w:p>
    <w:p>
      <w:pPr>
        <w:spacing w:before="40" w:after="120"/>
      </w:pPr>
      <w:r>
        <w:rPr>
          <w:color w:val="CCCCCC"/>
        </w:rPr>
        <w:t>· · ·</w:t>
      </w:r>
    </w:p>
    <w:p>
      <w:r>
        <w:rPr>
          <w:b/>
          <w:color w:val="E65000"/>
        </w:rPr>
        <w:t xml:space="preserve">2. </w:t>
      </w:r>
      <w:r>
        <w:rPr>
          <w:b/>
          <w:sz w:val="22"/>
        </w:rPr>
        <w:t>Tras años de espera MTT alista contrato para consorcio que se adjudicó licitación por pago electrónico en microbuses del Gran Valpo</w:t>
      </w:r>
      <w:r>
        <w:rPr>
          <w:color w:val="CC7700"/>
          <w:sz w:val="18"/>
        </w:rPr>
        <w:t xml:space="preserve">  [⭐ Destacada]</w:t>
      </w:r>
    </w:p>
    <w:p>
      <w:pPr>
        <w:spacing w:before="0"/>
      </w:pPr>
      <w:r>
        <w:rPr>
          <w:color w:val="0056B3"/>
          <w:sz w:val="18"/>
        </w:rPr>
        <w:t>https://www.df.cl/regiones/valparaiso/empresas/mtt-alista-contrato-para-implementar-pago-electronico-en-microbuses-del</w:t>
      </w:r>
    </w:p>
    <w:p>
      <w:pPr>
        <w:spacing w:before="20"/>
        <w:ind w:left="360"/>
      </w:pPr>
      <w:r>
        <w:rPr>
          <w:color w:val="222222"/>
          <w:sz w:val="20"/>
        </w:rPr>
        <w:t>La cartera está ahora en etapa de recepción de antecedentes para formalizar el acuerdo, que debería firmarse el 13 de mayo. La licitación, adjudicada a Consorcio Recaudo Gran Valparaíso contempla la instalación de 2 mil validadores, una red de puntos de venta y carga, y la puesta en marcha de un administrador financiero que recaude y distribuya entre operadores ingresos estimados en $ 6 mil millones mensuales.</w:t>
      </w:r>
    </w:p>
    <w:p>
      <w:pPr>
        <w:spacing w:before="20"/>
        <w:ind w:left="360"/>
      </w:pPr>
      <w:r>
        <w:rPr>
          <w:color w:val="222222"/>
          <w:sz w:val="20"/>
        </w:rPr>
        <w:t>Por:Francisca Mayorga C.Publicado: Miércoles 29 de abril de 2026 a las 10:00 hrs.</w:t>
      </w:r>
    </w:p>
    <w:p>
      <w:pPr>
        <w:spacing w:before="20"/>
        <w:ind w:left="360"/>
      </w:pPr>
      <w:r>
        <w:rPr>
          <w:color w:val="222222"/>
          <w:sz w:val="20"/>
        </w:rPr>
        <w:t>Publicado: Miércoles 29 de abril de 2026 a las 10:00 hrs.</w:t>
      </w:r>
    </w:p>
    <w:p>
      <w:pPr>
        <w:spacing w:before="20"/>
        <w:ind w:left="360"/>
      </w:pPr>
      <w:r>
        <w:rPr>
          <w:color w:val="222222"/>
          <w:sz w:val="20"/>
        </w:rPr>
        <w:t>El Ministerio de Transportes y Telecomunicaciones (MTT) está preparando el contrato que firmará junto aConsorcio Recaudo Gran Valparaíso, agrupación de seis empresas que el 19 de febrerose adjudicó la licitación para implementar un sistema de pago electrónicoen 1.952 buses del transporte público regulado en las comunas deValparaíso, Viña del Mar, Concón, Quilpué, Villa Alemana, Quintero y Puchuncaví, los cuales recaudan, en su conjunto, unos $ 6.350 millonesmensuales.</w:t>
      </w:r>
    </w:p>
    <w:p>
      <w:pPr>
        <w:spacing w:before="20"/>
        <w:ind w:left="360"/>
      </w:pPr>
      <w:r>
        <w:rPr>
          <w:color w:val="222222"/>
          <w:sz w:val="20"/>
        </w:rPr>
        <w:t>El convenio contempla la instalación de “dispositivos de validaciónque permitirán a los usuarios pagar su pasaje a través de tarjetas de transporte,códigos QR y tarjetas bancarias, además de la aplicación de tarifas rebajadas para los grupos de personas mayores (Tarjeta Adulto Mayor) y estudiantes (Tarjeta Nacional Estudiantil”)”, detalló el MTT a DF Regiones.</w:t>
      </w:r>
    </w:p>
    <w:p>
      <w:pPr>
        <w:spacing w:before="20"/>
        <w:ind w:left="360"/>
      </w:pPr>
      <w:r>
        <w:rPr>
          <w:color w:val="222222"/>
          <w:sz w:val="20"/>
        </w:rPr>
        <w:t>La adjudicación de la licitación fuevisada por la Contraloría General de la República el 12 de marzoy contempla, además, la instalación decinco centros de atención al usuario(en Valparaíso, Viña del Mar, Quilpué, Villa Alemana y Quintero);una red de puntos de venta, comercialización y carga de saldo; y la puesta en marcha deun administrador financiero, ente que “tendrá la responsabilidad derecaudar, custodiar y administrar los fondos del sistema, así como de gestionar las transferencias de recursos a los operadores de transporte”, dijo el ministerio.</w:t>
      </w:r>
    </w:p>
    <w:p>
      <w:pPr>
        <w:spacing w:before="20"/>
        <w:ind w:left="360"/>
      </w:pPr>
      <w:r>
        <w:rPr>
          <w:color w:val="222222"/>
          <w:sz w:val="20"/>
        </w:rPr>
        <w:t>La cartera afirmó estar actualmente en etapa de“recepción de antecedentes formales” para suscribir el contrato. De acuerdo con el cronograma del proyecto, disponible en el portal de la División de Transporte Público Regional, lafirma debería concretarse el 13 de mayo. Por el servicio, elMTT pagará al privado un subsidio mensual de $ 135.019.000.</w:t>
      </w:r>
    </w:p>
    <w:p>
      <w:pPr>
        <w:spacing w:before="20"/>
        <w:ind w:left="360"/>
      </w:pPr>
      <w:r>
        <w:rPr>
          <w:color w:val="222222"/>
          <w:sz w:val="20"/>
        </w:rPr>
        <w:t>Según el decreto que firmó en febrero el exministro (s) de Transportes y Telecomunicaciones, Jorge Daza, elconvenio con Recaudo Gran Valparaíso se extenderá por cinco años-prorrogables hasta por dos - y su vigencia “inicia desde la total tramitación del acto administrativo que lo aprueba”. El comienzo de la operación, en tanto, “no podrá exceder el plazo máximo de seis meses contados desde dicha tramitación”.</w:t>
      </w:r>
    </w:p>
    <w:p>
      <w:pPr>
        <w:spacing w:before="20"/>
        <w:ind w:left="360"/>
      </w:pPr>
      <w:r>
        <w:rPr>
          <w:color w:val="222222"/>
          <w:sz w:val="20"/>
        </w:rPr>
        <w:t>En esa línea, y “atendidos los plazos del procedimiento de licitación, de suscripción y aprobación del contrato, así como los plazos máximos de implementación del sistema,se estima que la operación efectiva de los servicios comenzará en octubre de 2026”, dice también en el decreto.</w:t>
      </w:r>
    </w:p>
    <w:p>
      <w:pPr>
        <w:spacing w:before="20"/>
        <w:ind w:left="360"/>
      </w:pPr>
      <w:r>
        <w:rPr>
          <w:color w:val="222222"/>
          <w:sz w:val="20"/>
        </w:rPr>
        <w:t>Sin embargo, desde el ministerio proyectan quela marcha blanca en modalidad mixta, es decir, con pago en efectivo y pago electrónico, finalmente partirá el primer semestre de 2027.</w:t>
      </w:r>
    </w:p>
    <w:p>
      <w:pPr>
        <w:spacing w:before="20"/>
        <w:ind w:left="360"/>
      </w:pPr>
      <w:r>
        <w:rPr>
          <w:color w:val="222222"/>
          <w:sz w:val="20"/>
        </w:rPr>
        <w:t>El nuevo sistema de pagono implica un aumento en el valor de los pasajes, aseguró la cartera, yestará conectado al de EFE Valparaíso: “Esto permitirá a los usuarios utilizar dichos medios de pago de manera integrada en los distintos modos de transporte de la región, tales como buses, tren, trolebuses y ascensores”.</w:t>
      </w:r>
    </w:p>
    <w:p>
      <w:pPr>
        <w:spacing w:before="20"/>
        <w:ind w:left="360"/>
      </w:pPr>
      <w:r>
        <w:rPr>
          <w:color w:val="222222"/>
          <w:sz w:val="20"/>
        </w:rPr>
        <w:t>El MTT había publicado las bases de la licitación en septiembre y, a partir de la apertura de ofertas, el 9 de diciembre,recibió propuestas de cinco consorcios: Kupos Gran Valparaíso, Globe-Heimdal, Para el recaudo de la Región de Valparaíso, Ticketing Digital yRecaudo Gran Valparaíso. Este último presentó la oferta más ventajosa y obtuvo el puntaje más altoen la suma de las evaluaciones técnica y económica, con 93 de 100 puntos.</w:t>
      </w:r>
    </w:p>
    <w:p>
      <w:pPr>
        <w:spacing w:before="20"/>
        <w:ind w:left="360"/>
      </w:pPr>
      <w:r>
        <w:rPr>
          <w:color w:val="222222"/>
          <w:sz w:val="20"/>
        </w:rPr>
        <w:t>Dichas evaluaciones contemplaron cinco criterios: el precio final de la oferta, la experiencia en la implementación del recaudo, la experiencia en la administración de fondos en sistemas contables, la incorporación de terminales tótem de autoatención y la presentación formal de la propuesta.</w:t>
      </w:r>
    </w:p>
    <w:p>
      <w:pPr>
        <w:spacing w:before="20"/>
        <w:ind w:left="360"/>
      </w:pPr>
      <w:r>
        <w:rPr>
          <w:color w:val="222222"/>
          <w:sz w:val="20"/>
        </w:rPr>
        <w:t>Recaudo Gran Valparaíso “destaca por presentar la oferta económica más competitiva del proceso y por acreditar la máxima experiencia técnica posible en cantidad de proyectos y volumen de flota. Si bien no obtuvo puntaje en el ítem de tótems por falta de respaldo técnico, su desempeño en los criterios de mayor ponderación le otorga la primera posición”, se lee en el decreto.</w:t>
      </w:r>
    </w:p>
    <w:p>
      <w:pPr>
        <w:spacing w:before="20"/>
        <w:ind w:left="360"/>
      </w:pPr>
      <w:r>
        <w:rPr>
          <w:color w:val="222222"/>
          <w:sz w:val="20"/>
        </w:rPr>
        <w:t>Óscar Cantero, presidente de la Confederación de Conductores del Transporte Público del Gran Valparaíso, valora la implementación del pago electrónico, pues “llevamos muchos años pidiéndolo, desde el 2014. Es por ello que necesitamos urgente conocer cuáles son las condiciones que considera este recaudo. No lo tenemos muy claro”.</w:t>
      </w:r>
    </w:p>
    <w:p>
      <w:pPr>
        <w:spacing w:before="20"/>
        <w:ind w:left="360"/>
      </w:pPr>
      <w:r>
        <w:rPr>
          <w:color w:val="222222"/>
          <w:sz w:val="20"/>
        </w:rPr>
        <w:t>Por eso, dice, pidieron al Gobierno que “vengan del ministerio central a informarnos de los detalles de esto que parte en octubre. Y también de la licitación de los buses para el próximo año”; en alusión a lasegunda licitación que impulsa el MTT para incorporar 600 buses estándar REDa la flota del Gran Valparaíso.</w:t>
      </w:r>
    </w:p>
    <w:p>
      <w:pPr>
        <w:spacing w:before="20"/>
        <w:ind w:left="360"/>
      </w:pPr>
      <w:r>
        <w:rPr>
          <w:color w:val="222222"/>
          <w:sz w:val="20"/>
        </w:rPr>
        <w:t>“Al parecer (el sistema de recaudo) sería igual que el de los trolebuses: un sueldo fijo, el mínimo, y unincentivo por pasajero transportado. Eso para evitar la evasión, pero por ningún motivo lo podemos aceptar. Sería lo mismo que cortar boleto”, declaró el dirigente.</w:t>
      </w:r>
    </w:p>
    <w:p>
      <w:pPr>
        <w:spacing w:before="40" w:after="120"/>
      </w:pPr>
      <w:r>
        <w:rPr>
          <w:color w:val="CCCCCC"/>
        </w:rPr>
        <w:t>· · ·</w:t>
      </w:r>
    </w:p>
    <w:p>
      <w:r>
        <w:rPr>
          <w:b/>
          <w:color w:val="E65000"/>
        </w:rPr>
        <w:t xml:space="preserve">3. </w:t>
      </w:r>
      <w:r>
        <w:rPr>
          <w:b/>
          <w:sz w:val="22"/>
        </w:rPr>
        <w:t>Ventas de Viña Santa Rita alcanzaron $ 30.606 millones el primer trimestre</w:t>
      </w:r>
      <w:r>
        <w:rPr>
          <w:color w:val="CC7700"/>
          <w:sz w:val="18"/>
        </w:rPr>
        <w:t xml:space="preserve">  [⭐ Destacada]</w:t>
      </w:r>
    </w:p>
    <w:p>
      <w:pPr>
        <w:spacing w:before="0"/>
      </w:pPr>
      <w:r>
        <w:rPr>
          <w:color w:val="0056B3"/>
          <w:sz w:val="18"/>
        </w:rPr>
        <w:t>https://www.df.cl/empresas/industria/ventas-de-vina-santa-rita-alcanzaron-30-606-millones-el-primer-trimestre</w:t>
      </w:r>
    </w:p>
    <w:p>
      <w:pPr>
        <w:spacing w:before="20"/>
        <w:ind w:left="360"/>
      </w:pPr>
      <w:r>
        <w:rPr>
          <w:color w:val="222222"/>
          <w:sz w:val="20"/>
        </w:rPr>
        <w:t>La compañía reportó pérdidas por $ 3.888 millones en el período.</w:t>
      </w:r>
    </w:p>
    <w:p>
      <w:pPr>
        <w:spacing w:before="20"/>
        <w:ind w:left="360"/>
      </w:pPr>
      <w:r>
        <w:rPr>
          <w:color w:val="222222"/>
          <w:sz w:val="20"/>
        </w:rPr>
        <w:t>Por:Equipo DFPublicado: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Entre enero y marzo de 2026, Viña Santa Rita y sus filiales alcanzaron ventas por $ 30.606 millones, lo que representa una disminución del 1,7% frente al mismo lapso de 2025.</w:t>
      </w:r>
    </w:p>
    <w:p>
      <w:pPr>
        <w:spacing w:before="20"/>
        <w:ind w:left="360"/>
      </w:pPr>
      <w:r>
        <w:rPr>
          <w:color w:val="222222"/>
          <w:sz w:val="20"/>
        </w:rPr>
        <w:t>En exportaciones desde Chile, la facturación en dólares creció 1,9% durante el primer trimestre del año, impulsada por un alza de 3,3% en el precio promedio, parcialmente compensada por una disminución de 1,4% en volumen. En pesos, la facturación disminuyó $ 486 millones (-4,2%), afectada por el tipo de cambio, que promedió $ 891 en marzo de 2026 versus $ 949 en igual mes de 2025.</w:t>
      </w:r>
    </w:p>
    <w:p>
      <w:pPr>
        <w:spacing w:before="20"/>
        <w:ind w:left="360"/>
      </w:pPr>
      <w:r>
        <w:rPr>
          <w:color w:val="222222"/>
          <w:sz w:val="20"/>
        </w:rPr>
        <w:t>El mercado local mostró un mejor desempeño, con un aumento en la facturación de $ 386 millones (+3,2%), explicado por un alza de 2,6% en el precio promedio y de 0,6% en volumen.</w:t>
      </w:r>
    </w:p>
    <w:p>
      <w:pPr>
        <w:spacing w:before="20"/>
        <w:ind w:left="360"/>
      </w:pPr>
      <w:r>
        <w:rPr>
          <w:color w:val="222222"/>
          <w:sz w:val="20"/>
        </w:rPr>
        <w:t>En el negocio en Argentina, la facturación en dólares creció 10,3% respecto de igual período del año pasado, impulsada por un aumento de 15,5% en volumen, compensado parcialmente por una disminución de 4,5% en el precio promedio.</w:t>
      </w:r>
    </w:p>
    <w:p>
      <w:pPr>
        <w:spacing w:before="20"/>
        <w:ind w:left="360"/>
      </w:pPr>
      <w:r>
        <w:rPr>
          <w:color w:val="222222"/>
          <w:sz w:val="20"/>
        </w:rPr>
        <w:t>Por su parte, el negocio de turismo alcanzó un crecimiento de 27% en su facturación respecto del primer trimestre de 2025. En contraste, la venta de graneles, uvas y otros productos bajó 30% en el período.</w:t>
      </w:r>
    </w:p>
    <w:p>
      <w:pPr>
        <w:spacing w:before="20"/>
        <w:ind w:left="360"/>
      </w:pPr>
      <w:r>
        <w:rPr>
          <w:color w:val="222222"/>
          <w:sz w:val="20"/>
        </w:rPr>
        <w:t>En este contexto, la compañía- ligada al grupo DF- reportó pérdidas por $ 3.888 millones, en comparación con la pérdida de $ 3.286 millones en 2025.</w:t>
      </w:r>
    </w:p>
    <w:p>
      <w:pPr>
        <w:spacing w:before="20"/>
        <w:ind w:left="360"/>
      </w:pPr>
      <w:r>
        <w:rPr>
          <w:color w:val="222222"/>
          <w:sz w:val="20"/>
        </w:rPr>
        <w:t>A nivel operacional, la compañía muestra una mejora respecto del año anterior de $ 1.172 millones, impulsada principalmente por una política transversal de eficiencia y racionalización de gastos, que incluye costos de reestructuración del período.</w:t>
      </w:r>
    </w:p>
    <w:p>
      <w:pPr>
        <w:spacing w:before="20"/>
        <w:ind w:left="360"/>
      </w:pPr>
      <w:r>
        <w:rPr>
          <w:color w:val="222222"/>
          <w:sz w:val="20"/>
        </w:rPr>
        <w:t>Este avance se vio afectado por un menor resultado no operacional de $ 537,6 millones respecto del primer trimestre de 2025, explicado por menores aportes de empresas asociadas y una caída en las utilidades por diferencias de cambio junto a un menor ingreso por impuesto diferido en comparación con el mismo período del año anterior de $ 1.236 millones.</w:t>
      </w:r>
    </w:p>
    <w:p>
      <w:pPr>
        <w:spacing w:before="40" w:after="120"/>
      </w:pPr>
      <w:r>
        <w:rPr>
          <w:color w:val="CCCCCC"/>
        </w:rPr>
        <w:t>· · ·</w:t>
      </w:r>
    </w:p>
    <w:p>
      <w:r>
        <w:rPr>
          <w:b/>
          <w:color w:val="E65000"/>
        </w:rPr>
        <w:t xml:space="preserve">4. </w:t>
      </w:r>
      <w:r>
        <w:rPr>
          <w:b/>
          <w:sz w:val="22"/>
        </w:rPr>
        <w:t>Radiografía al fin de las contribuciones para adultos mayores: las zonas donde más se sentirá la apuesta del Gobierno</w:t>
      </w:r>
    </w:p>
    <w:p>
      <w:pPr>
        <w:spacing w:before="0"/>
      </w:pPr>
      <w:r>
        <w:rPr>
          <w:color w:val="0056B3"/>
          <w:sz w:val="18"/>
        </w:rPr>
        <w:t>https://www.df.cl/empresas/industria/radiografia-al-fin-de-las-contribuciones-para-adultos-mayores-las-zonas</w:t>
      </w:r>
    </w:p>
    <w:p>
      <w:pPr>
        <w:spacing w:before="20"/>
        <w:ind w:left="360"/>
      </w:pPr>
      <w:r>
        <w:rPr>
          <w:color w:val="222222"/>
          <w:sz w:val="20"/>
        </w:rPr>
        <w:t>El beneficio para mayores de 65 años alcanzaría a 271 mil viviendas que hoy pagan en conjunto $ 241 mil millones al año en este gravamen. El mayor efecto se concentra en Las Condes, Vitacura y Lo Barnechea.</w:t>
      </w:r>
    </w:p>
    <w:p>
      <w:pPr>
        <w:spacing w:before="20"/>
        <w:ind w:left="360"/>
      </w:pPr>
      <w:r>
        <w:rPr>
          <w:color w:val="222222"/>
          <w:sz w:val="20"/>
        </w:rPr>
        <w:t>Publicado: Miércoles 29 de abril de 2026 a las 04:00 hrs.</w:t>
      </w:r>
    </w:p>
    <w:p>
      <w:pPr>
        <w:spacing w:before="20"/>
        <w:ind w:left="360"/>
      </w:pPr>
      <w:r>
        <w:rPr>
          <w:color w:val="222222"/>
          <w:sz w:val="20"/>
        </w:rPr>
        <w:t>Uno de los ejes delplan de reconstrucción y reactivación impulsado por el gobierno apunta a las contribuciones.</w:t>
      </w:r>
    </w:p>
    <w:p>
      <w:pPr>
        <w:spacing w:before="20"/>
        <w:ind w:left="360"/>
      </w:pPr>
      <w:r>
        <w:rPr>
          <w:color w:val="222222"/>
          <w:sz w:val="20"/>
        </w:rPr>
        <w:t>En concreto,el proyecto de ley propone eliminar el pago de este gravamen territorial para la primera vivienda de personas mayores de 65 años. La exención aplicará a un inmueble en todo el territorio nacional, siempre que corresponda a la residencia principal del beneficiario.</w:t>
      </w:r>
    </w:p>
    <w:p>
      <w:pPr>
        <w:spacing w:before="20"/>
        <w:ind w:left="360"/>
      </w:pPr>
      <w:r>
        <w:rPr>
          <w:color w:val="222222"/>
          <w:sz w:val="20"/>
        </w:rPr>
        <w:t>¿Cuál sería el alcance de la medida? Un análisis elaborado porInciti, plataforma de análisis de GPS Property,dimensionó su impacto. Según el informe, de las 1.179.704 viviendas principales que hoy pagan contribuciones,271.212 quedarían exentas bajo los criterios definidos por el Ejecutivo; lo que equivale al 23% del total.</w:t>
      </w:r>
    </w:p>
    <w:p>
      <w:pPr>
        <w:spacing w:before="20"/>
        <w:ind w:left="360"/>
      </w:pPr>
      <w:r>
        <w:rPr>
          <w:color w:val="222222"/>
          <w:sz w:val="20"/>
        </w:rPr>
        <w:t>Llevado a cifras, el estudio estima que de los $ 924 mil millones (US$ 1.039 millones) que hoy recauda anualmente el Fisco por el gravamen asociado a las viviendas principales, unos $ 241 mil millones, US$ 271 millones, corresponden a este segmento (26%).</w:t>
      </w:r>
    </w:p>
    <w:p>
      <w:pPr>
        <w:spacing w:before="20"/>
        <w:ind w:left="360"/>
      </w:pPr>
      <w:r>
        <w:rPr>
          <w:color w:val="222222"/>
          <w:sz w:val="20"/>
        </w:rPr>
        <w:t>En el desglose por territorio,el mayor impacto se concentra en la Región Metropolitana, donde se ubica el grueso de los adultos mayores que serían beneficiados por la medida. En esa zona, el universo alcanza cerca de 155 mil viviendas principales, cuyos propietarios hoy desembolsan en conjunto alrededor de $ 164 mil millones al año en contribuciones.</w:t>
      </w:r>
    </w:p>
    <w:p>
      <w:pPr>
        <w:spacing w:before="20"/>
        <w:ind w:left="360"/>
      </w:pPr>
      <w:r>
        <w:rPr>
          <w:color w:val="222222"/>
          <w:sz w:val="20"/>
        </w:rPr>
        <w:t>Bastante más atrás aparece Valparaíso, con cerca de 36 mil viviendas que entrarían en la exención y un pago anual cercano a $ 28 mil millones. Más abajo se ubican Biobío y La Araucanía, con desembolsos que superan los $ 6 mil millones anuales y un universo de aproximadamente 11 mil y 8 mil propiedades, respectivamente.</w:t>
      </w:r>
    </w:p>
    <w:p>
      <w:pPr>
        <w:spacing w:before="120"/>
        <w:ind w:left="360"/>
      </w:pPr>
      <w:r>
        <w:rPr>
          <w:b/>
          <w:color w:val="E65000"/>
          <w:sz w:val="26"/>
        </w:rPr>
        <w:t xml:space="preserve"> </w:t>
      </w:r>
    </w:p>
    <w:p>
      <w:pPr>
        <w:spacing w:before="20"/>
        <w:ind w:left="360"/>
      </w:pPr>
      <w:r>
        <w:rPr>
          <w:color w:val="222222"/>
          <w:sz w:val="20"/>
        </w:rPr>
        <w:t>Al revisar el detalle comunal, el mapa de beneficiarios vuelve a concentrarse en la Región Metropolitana. De acuerdo con el análisis de Inciti,las comunas donde los adultos mayores dejarían de pagar más contribuciones están lideradas por el sector oriente de Santiago.</w:t>
      </w:r>
    </w:p>
    <w:p>
      <w:pPr>
        <w:spacing w:before="20"/>
        <w:ind w:left="360"/>
      </w:pPr>
      <w:r>
        <w:rPr>
          <w:color w:val="222222"/>
          <w:sz w:val="20"/>
        </w:rPr>
        <w:t>En primer lugar aparece Las Condes, donde hoy los mayores de 65 años desembolsan cerca de $ 43 mil millones anuales por concepto de contribuciones, asociados a unas 26 mil viviendas.</w:t>
      </w:r>
    </w:p>
    <w:p>
      <w:pPr>
        <w:spacing w:before="20"/>
        <w:ind w:left="360"/>
      </w:pPr>
      <w:r>
        <w:rPr>
          <w:color w:val="222222"/>
          <w:sz w:val="20"/>
        </w:rPr>
        <w:t>Le sigue Vitacura, con un pago anual de $ 25 mil millones distribuidos en cerca de 9 mil propiedades, mientras queLo Barnechease ubica en tercer lugar, con un desembolso de $ 22 mil millones y unas 5 mil viviendas afectas. Más atrás apareceProvidencia, donde este grupo hoy paga del orden de $ 11 mil millones al año en contribuciones, correspondientes a cerca de 11 mil inmuebles.</w:t>
      </w:r>
    </w:p>
    <w:p>
      <w:pPr>
        <w:spacing w:before="20"/>
        <w:ind w:left="360"/>
      </w:pPr>
      <w:r>
        <w:rPr>
          <w:color w:val="222222"/>
          <w:sz w:val="20"/>
        </w:rPr>
        <w:t>Fuera de la capital, la primera comuna que aparece en el listado es Viña del Mar. En la Ciudad Jardín, los adultos mayores desembolsan unos $ 10 mil millones anuales por este impuesto, en un universo de cerca de 13 mil viviendas afectas.</w:t>
      </w:r>
    </w:p>
    <w:p>
      <w:pPr>
        <w:spacing w:before="20"/>
        <w:ind w:left="360"/>
      </w:pPr>
      <w:r>
        <w:rPr>
          <w:color w:val="222222"/>
          <w:sz w:val="20"/>
        </w:rPr>
        <w:t>Tras ella, el ranking vuelve a poblarse de comunas de la capital, con La Reina, Ñuñoa, La Florida y Santiago entre las que concentran mayores montos exentos potenciales. En estos casos, el pago anual de contribuciones de los adultos mayores fluctúa entre los $ 8 mil millones y los $ 3 mil millones.</w:t>
      </w:r>
    </w:p>
    <w:p>
      <w:pPr>
        <w:spacing w:before="20"/>
        <w:ind w:left="360"/>
      </w:pPr>
      <w:r>
        <w:rPr>
          <w:color w:val="222222"/>
          <w:sz w:val="20"/>
        </w:rPr>
        <w:t>Más abajo aparecen otras capitales regionales y ciudades intermedias fuera de la Región Metropolitana. En ese grupo figuran comunas como Arica, Iquique, La Serena, Rancagua, Talca, Temuco, Valdivia y Punta Arenas, con montos que se mueven entre los $ 1.000 millones y los $ 3 mil millones anuales.</w:t>
      </w:r>
    </w:p>
    <w:p>
      <w:pPr>
        <w:spacing w:before="20"/>
        <w:ind w:left="360"/>
      </w:pPr>
      <w:r>
        <w:rPr>
          <w:color w:val="222222"/>
          <w:sz w:val="20"/>
        </w:rPr>
        <w:t>Desde la consultora advirtieron quela medida podría generar efectos tanto en el mercado residencial como en la recaudación municipal.</w:t>
      </w:r>
    </w:p>
    <w:p>
      <w:pPr>
        <w:spacing w:before="20"/>
        <w:ind w:left="360"/>
      </w:pPr>
      <w:r>
        <w:rPr>
          <w:color w:val="222222"/>
          <w:sz w:val="20"/>
        </w:rPr>
        <w:t>En el primer frente, la gerenta inmobiliaria de GPS Property, Claudia Sepúlveda, explicó que hoy muchos adultos mayores terminan vendiendo o arrendando sus viviendas porque el alza de las contribuciones supera su capacidad de pago.Al eliminar esa carga, parte de esas propiedades dejaría de salir al mercado por necesidad. “Eso reduce la oferta disponible en ese segmento y, en el margen, tiende a sostener o incluso presionar al alza los precios”, explicó.</w:t>
      </w:r>
    </w:p>
    <w:p>
      <w:pPr>
        <w:spacing w:before="20"/>
        <w:ind w:left="360"/>
      </w:pPr>
      <w:r>
        <w:rPr>
          <w:color w:val="222222"/>
          <w:sz w:val="20"/>
        </w:rPr>
        <w:t>A su juicio, este ajuste también podría reducir parte de la oferta y demanda de arriendos forzados, con un efecto marginal a la baja en ciertos segmentos del mercado.</w:t>
      </w:r>
    </w:p>
    <w:p>
      <w:pPr>
        <w:spacing w:before="20"/>
        <w:ind w:left="360"/>
      </w:pPr>
      <w:r>
        <w:rPr>
          <w:color w:val="222222"/>
          <w:sz w:val="20"/>
        </w:rPr>
        <w:t>Desde la vereda fiscal, el gerente general de Inciti, Nicolás Herrera, adviritó que el efecto no se agotaría solo en las comunas con más adultos mayores propietarios.</w:t>
      </w:r>
    </w:p>
    <w:p>
      <w:pPr>
        <w:spacing w:before="20"/>
        <w:ind w:left="360"/>
      </w:pPr>
      <w:r>
        <w:rPr>
          <w:color w:val="222222"/>
          <w:sz w:val="20"/>
        </w:rPr>
        <w:t>El ejecutivo explicó que parte importante de la recaudación por contribuciones se redistribuye a través del Fondo Común Municipal, por lo queuna menor recaudación también podría generar efectos en comunas que, si bien no concentran este tipo de viviendas, dependen de esos recursos para financiar parte de su operación.</w:t>
      </w:r>
    </w:p>
    <w:p>
      <w:pPr>
        <w:spacing w:before="20"/>
        <w:ind w:left="360"/>
      </w:pPr>
      <w:r>
        <w:rPr>
          <w:color w:val="222222"/>
          <w:sz w:val="20"/>
        </w:rPr>
        <w:t>Con todo, Herrera subrayó que el impacto final de la medida deberá evaluarse en conjunto con el próximo proceso de reavalúo fiscal del Servicio de Impuestos Internos (SII), ya que una actualización de la base tributaria podría compensar, al menos en parte, la menor recaudación asociada a esta exención.</w:t>
      </w:r>
    </w:p>
    <w:p>
      <w:pPr>
        <w:spacing w:before="40" w:after="120"/>
      </w:pPr>
      <w:r>
        <w:rPr>
          <w:color w:val="CCCCCC"/>
        </w:rPr>
        <w:t>· · ·</w:t>
      </w:r>
    </w:p>
    <w:p>
      <w:r>
        <w:rPr>
          <w:b/>
          <w:color w:val="E65000"/>
        </w:rPr>
        <w:t xml:space="preserve">5. </w:t>
      </w:r>
      <w:r>
        <w:rPr>
          <w:b/>
          <w:sz w:val="22"/>
        </w:rPr>
        <w:t>Gobierno alista indicaciones a reforma al SEIA y SEA descarta publicar nuevas guías en el corto plazo</w:t>
      </w:r>
    </w:p>
    <w:p>
      <w:pPr>
        <w:spacing w:before="0"/>
      </w:pPr>
      <w:r>
        <w:rPr>
          <w:color w:val="0056B3"/>
          <w:sz w:val="18"/>
        </w:rPr>
        <w:t>https://www.df.cl/empresas/energia/gobierno-alista-indicaciones-a-reforma-al-seia-y-sea-descarta-publicar</w:t>
      </w:r>
    </w:p>
    <w:p>
      <w:pPr>
        <w:spacing w:before="20"/>
        <w:ind w:left="360"/>
      </w:pPr>
      <w:r>
        <w:rPr>
          <w:color w:val="222222"/>
          <w:sz w:val="20"/>
        </w:rPr>
        <w:t>Desde Medio Ambiente adelantaron que se buscará perfeccionar el texto y presentarán ajustes en lo relativo al sistema recursivo en materia ambiental.</w:t>
      </w:r>
    </w:p>
    <w:p>
      <w:pPr>
        <w:spacing w:before="20"/>
        <w:ind w:left="360"/>
      </w:pPr>
      <w:r>
        <w:rPr>
          <w:color w:val="222222"/>
          <w:sz w:val="20"/>
        </w:rPr>
        <w:t>Publicado: Miércoles 29 de abril de 2026 a las 04:00 hrs.</w:t>
      </w:r>
    </w:p>
    <w:p>
      <w:pPr>
        <w:spacing w:before="20"/>
        <w:ind w:left="360"/>
      </w:pPr>
      <w:r>
        <w:rPr>
          <w:color w:val="222222"/>
          <w:sz w:val="20"/>
        </w:rPr>
        <w:t>Arturo Farías, director ejecutivo del Servicio de Evaluación Ambiental (SEA).</w:t>
      </w:r>
    </w:p>
    <w:p>
      <w:pPr>
        <w:spacing w:before="20"/>
        <w:ind w:left="360"/>
      </w:pPr>
      <w:r>
        <w:rPr>
          <w:color w:val="222222"/>
          <w:sz w:val="20"/>
        </w:rPr>
        <w:t>No era evidente, pero finalmente -tras el aterrizaje del nuevo gobierno- se retomó la discusión de la reforma al Sistema de Evaluación de Impacto Ambiental (SEIA) en el Congreso, articulado que fue ingresado por la administración anterior y que logró avanzar a fases de votación.</w:t>
      </w:r>
    </w:p>
    <w:p>
      <w:pPr>
        <w:spacing w:before="20"/>
        <w:ind w:left="360"/>
      </w:pPr>
      <w:r>
        <w:rPr>
          <w:color w:val="222222"/>
          <w:sz w:val="20"/>
        </w:rPr>
        <w:t>El texto no sólo reactivó su marcha tras el receso legislativo. Ya pasó desde el Senado a la Cámara de Diputados, por lo que está en su segundo trámite constitucional.</w:t>
      </w:r>
    </w:p>
    <w:p>
      <w:pPr>
        <w:spacing w:before="20"/>
        <w:ind w:left="360"/>
      </w:pPr>
      <w:r>
        <w:rPr>
          <w:color w:val="222222"/>
          <w:sz w:val="20"/>
        </w:rPr>
        <w:t>Desde el Ministerio del Medio Ambiente adelantan a DF al ser consultados que “se buscará perfeccionar el proyecto de reforma al SEIA” y se ingresarán indicaciones, por ejemplo, en lo relativo al sistema recursivo en materia ambiental, “con el fin de establecer un régimen ordenado de recursos administrativos y judiciales”.</w:t>
      </w:r>
    </w:p>
    <w:p>
      <w:pPr>
        <w:spacing w:before="20"/>
        <w:ind w:left="360"/>
      </w:pPr>
      <w:r>
        <w:rPr>
          <w:color w:val="222222"/>
          <w:sz w:val="20"/>
        </w:rPr>
        <w:t>Sobre la evaluación de la marcha del texto y si hay preocupaciones importantes, aseguraron: “Estimamos que el proyecto avanza por buen camino, puesto que fue discutido y alcanzó consensos en su primer trámite constitucional. Por ello, se procurará mantener esa misma línea, sin perjuicio de que nos encontramos dispuestos a introducir mejoras de diseño”.</w:t>
      </w:r>
    </w:p>
    <w:p>
      <w:pPr>
        <w:spacing w:before="20"/>
        <w:ind w:left="360"/>
      </w:pPr>
      <w:r>
        <w:rPr>
          <w:color w:val="222222"/>
          <w:sz w:val="20"/>
        </w:rPr>
        <w:t>En cuanto a ajustes probables, Romina Tobar, directora área ambiental de Prieto, consideró que el gobierno “va a intentar armonizar lo relativo a la exclusión de la invalidación administrativa como vía para impugnar una Resolución de Calificación Ambiental (RCA), especialmente considerando que se trata de un ajuste que también ha sido recogido en el proyecto de ley de reconstrucción”.</w:t>
      </w:r>
    </w:p>
    <w:p>
      <w:pPr>
        <w:spacing w:before="20"/>
        <w:ind w:left="360"/>
      </w:pPr>
      <w:r>
        <w:rPr>
          <w:color w:val="222222"/>
          <w:sz w:val="20"/>
        </w:rPr>
        <w:t>La socia de Eelaw, Paulina Riquelme, estimó que -por ejemplo- “el rediseño institucional requiere revisión, en la medida que se elimina el Comité de Ministros y se reduce el rol del Consejo de Ministros para la Sustentabilidad -pasando de una obligación de pronunciamiento a una mera facultad-, lo que, junto con la concentración de decisiones en autoridades unipersonales del Servicio de Evaluación Ambiental (SEA), debilita la transversalidad y los contrapesos en decisiones de alta complejidad”.</w:t>
      </w:r>
    </w:p>
    <w:p>
      <w:pPr>
        <w:spacing w:before="20"/>
        <w:ind w:left="360"/>
      </w:pPr>
      <w:r>
        <w:rPr>
          <w:color w:val="222222"/>
          <w:sz w:val="20"/>
        </w:rPr>
        <w:t>Un tópico que genera debate son las guías y criterios de evaluación que publica el SEA. De hecho, hace más de un año la CPC solicitó un pronunciamiento a la Contraloría por la legalidad de estos documentos, ya que -a su juicio- exceden su rol.</w:t>
      </w:r>
    </w:p>
    <w:p>
      <w:pPr>
        <w:spacing w:before="20"/>
        <w:ind w:left="360"/>
      </w:pPr>
      <w:r>
        <w:rPr>
          <w:color w:val="222222"/>
          <w:sz w:val="20"/>
        </w:rPr>
        <w:t>¿Cuál es la posición del SEA en esto? El director ejecutivo de la entidad, Arturo Farías, asegura que “las guías son orientaciones, instrucciones que se otorgan en este caso a los organismos del Estado para efectos de poder conducir adecuadamente la evaluación ambiental. No exceden el ámbito de las regulaciones”.</w:t>
      </w:r>
    </w:p>
    <w:p>
      <w:pPr>
        <w:spacing w:before="20"/>
        <w:ind w:left="360"/>
      </w:pPr>
      <w:r>
        <w:rPr>
          <w:color w:val="222222"/>
          <w:sz w:val="20"/>
        </w:rPr>
        <w:t>Agregó que “el SEA no tiene atribuciones para regular” y “tampoco es el objetivo que se busca con esa atribución, sino que justamente es uniformar criterios, es poder solucionar cuando hay disparidad de criterios técnicos entre distintos organismos que tienen competencias que se solapan”.</w:t>
      </w:r>
    </w:p>
    <w:p>
      <w:pPr>
        <w:spacing w:before="20"/>
        <w:ind w:left="360"/>
      </w:pPr>
      <w:r>
        <w:rPr>
          <w:color w:val="222222"/>
          <w:sz w:val="20"/>
        </w:rPr>
        <w:t>Por ello, acotó, “lo que busca es dar una orientación precisa al usuario para que la información que entregue sea la precisa, pertinente y adecuada”.</w:t>
      </w:r>
    </w:p>
    <w:p>
      <w:pPr>
        <w:spacing w:before="20"/>
        <w:ind w:left="360"/>
      </w:pPr>
      <w:r>
        <w:rPr>
          <w:color w:val="222222"/>
          <w:sz w:val="20"/>
        </w:rPr>
        <w:t>Consultado si, a diferencia de la administración anterior, habrá más cautela a la hora de impulsar nuevas guías, el líder del SEA indicó: “Mi administración va a estar marcada por lo que le corresponde al SEA, que es evaluar proyectos que están en el SEIA”.</w:t>
      </w:r>
    </w:p>
    <w:p>
      <w:pPr>
        <w:spacing w:before="20"/>
        <w:ind w:left="360"/>
      </w:pPr>
      <w:r>
        <w:rPr>
          <w:color w:val="222222"/>
          <w:sz w:val="20"/>
        </w:rPr>
        <w:t>En esa línea, Farías indicó que “hoy existe una cantidad importante de normas ambientales aplicables. Es importante dar espacio para la coordinación administrativa entre los distintos organismos públicos para poder también determinar cuáles son el marco de sus competencias y poder participar en forma ágil”.</w:t>
      </w:r>
    </w:p>
    <w:p>
      <w:pPr>
        <w:spacing w:before="20"/>
        <w:ind w:left="360"/>
      </w:pPr>
      <w:r>
        <w:rPr>
          <w:color w:val="222222"/>
          <w:sz w:val="20"/>
        </w:rPr>
        <w:t>Y sentencia: “No está obviamente dentro de las primeras actividades empezar a publicar más guías. Creo que los criterios que existen son suficientes, incluso algunos de ellos están en permanente revisión. El SEA ha publicado guías, pero esas guías están constantemente en revisión tanto de usuarios como titulares, pero también de los mismos organismos públicos”. Concluyó que “los funcionarios del SEA trabajan permanentemente en mejorar estos instrumentos cuyo objetivo es orientar, ordenar, dar certeza a los titulares y no poner mayor carga”.</w:t>
      </w:r>
    </w:p>
    <w:p>
      <w:pPr>
        <w:spacing w:before="40" w:after="120"/>
      </w:pPr>
      <w:r>
        <w:rPr>
          <w:color w:val="CCCCCC"/>
        </w:rPr>
        <w:t>· · ·</w:t>
      </w:r>
    </w:p>
    <w:p>
      <w:r>
        <w:rPr>
          <w:b/>
          <w:color w:val="E65000"/>
        </w:rPr>
        <w:t xml:space="preserve">6. </w:t>
      </w:r>
      <w:r>
        <w:rPr>
          <w:b/>
          <w:sz w:val="22"/>
        </w:rPr>
        <w:t>Propuestas de reactivación económica llevan a Echeverría Izquierdo a elevar en 75% su inversión para 2026</w:t>
      </w:r>
    </w:p>
    <w:p>
      <w:pPr>
        <w:spacing w:before="0"/>
      </w:pPr>
      <w:r>
        <w:rPr>
          <w:color w:val="0056B3"/>
          <w:sz w:val="18"/>
        </w:rPr>
        <w:t>https://www.df.cl/empresas/juntas-de-accionistas/propuestas-de-reactivacion-economica-llevan-a-echeverria-izquierdo-a-elevar</w:t>
      </w:r>
    </w:p>
    <w:p>
      <w:pPr>
        <w:spacing w:before="20"/>
        <w:ind w:left="360"/>
      </w:pPr>
      <w:r>
        <w:rPr>
          <w:color w:val="222222"/>
          <w:sz w:val="20"/>
        </w:rPr>
        <w:t>La firma destinará US$ 120 millones a minería y al rubro inmobiliario, apalancada además por el nuevo ciclo extractivo.</w:t>
      </w:r>
    </w:p>
    <w:p>
      <w:pPr>
        <w:spacing w:before="20"/>
        <w:ind w:left="360"/>
      </w:pPr>
      <w:r>
        <w:rPr>
          <w:color w:val="222222"/>
          <w:sz w:val="20"/>
        </w:rPr>
        <w:t>Por:Equipo DFPublicado: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Echeverría Izquierdo entró a 2026 con una apuesta más agresiva en inversión. Para este ejercicio, la compañía prevé desembolsar cerca de US$ 120 millones, cifra que representa un alza de 75% frente a lo invertido durante 2025.</w:t>
      </w:r>
    </w:p>
    <w:p>
      <w:pPr>
        <w:spacing w:before="20"/>
        <w:ind w:left="360"/>
      </w:pPr>
      <w:r>
        <w:rPr>
          <w:color w:val="222222"/>
          <w:sz w:val="20"/>
        </w:rPr>
        <w:t>Según detalló el presidente de la firma, Fernando Echeverría, una parte de esos recursos estará destinada a la compra de equipos y al desarrollo de tecnología para minería. El resto se enfocará en proyectos inmobiliarios orientados a la clase media, tanto en Chile como en Perú.</w:t>
      </w:r>
    </w:p>
    <w:p>
      <w:pPr>
        <w:spacing w:before="20"/>
        <w:ind w:left="360"/>
      </w:pPr>
      <w:r>
        <w:rPr>
          <w:color w:val="222222"/>
          <w:sz w:val="20"/>
        </w:rPr>
        <w:t>El alza, explicó, responde a dos factores principales: por un lado, el nuevo ciclo de inversión minera que la compañía anticipa para los próximos años y, por otro, las medidas de reactivación que ha comenzado a impulsar el Gobierno para dinamizar la economía y destrabar inversión.</w:t>
      </w:r>
    </w:p>
    <w:p>
      <w:pPr>
        <w:spacing w:before="20"/>
        <w:ind w:left="360"/>
      </w:pPr>
      <w:r>
        <w:rPr>
          <w:color w:val="222222"/>
          <w:sz w:val="20"/>
        </w:rPr>
        <w:t>En esa línea, Echeverría sostuvo que las propuestas del Ejecutivo van en la dirección correcta para reactivar una industria que arrastra varios años de contracción, especialmente por su foco en reducir el costo de la vivienda y facilitar el acceso a ella.</w:t>
      </w:r>
    </w:p>
    <w:p>
      <w:pPr>
        <w:spacing w:before="20"/>
        <w:ind w:left="360"/>
      </w:pPr>
      <w:r>
        <w:rPr>
          <w:color w:val="222222"/>
          <w:sz w:val="20"/>
        </w:rPr>
        <w:t>Con todo, advirtió que todavía hay espacio para profundizar medidas que permitan seguir empujando una baja en los precios, como la ley de ductos -ligada a los servicios de telecomunicaciones- y una mayor liberación de suelo para desarrollo urbano.</w:t>
      </w:r>
    </w:p>
    <w:p>
      <w:pPr>
        <w:spacing w:before="20"/>
        <w:ind w:left="360"/>
      </w:pPr>
      <w:r>
        <w:rPr>
          <w:color w:val="222222"/>
          <w:sz w:val="20"/>
        </w:rPr>
        <w:t>“Hay una serie de cosas de ese tipo que convendría revisar y que, indudablemente, harían que la vivienda bajara de precio”, concluyó Fernando Echeverría.</w:t>
      </w:r>
    </w:p>
    <w:p>
      <w:pPr>
        <w:spacing w:before="40" w:after="120"/>
      </w:pPr>
      <w:r>
        <w:rPr>
          <w:color w:val="CCCCCC"/>
        </w:rPr>
        <w:t>· · ·</w:t>
      </w:r>
    </w:p>
    <w:p/>
    <w:p>
      <w:pPr>
        <w:pStyle w:val="Heading1"/>
      </w:pPr>
      <w:r>
        <w:rPr>
          <w:color w:val="E65000"/>
        </w:rPr>
        <w:t>🔹 Economía</w:t>
      </w:r>
    </w:p>
    <w:p>
      <w:r>
        <w:rPr>
          <w:b/>
          <w:color w:val="E65000"/>
        </w:rPr>
        <w:t xml:space="preserve">1. </w:t>
      </w:r>
      <w:r>
        <w:rPr>
          <w:b/>
          <w:sz w:val="22"/>
        </w:rPr>
        <w:t>Quiroz reconoce su admiración por los exministros Büchi y Foxley: "Salieron airosos con patriotismo y orden"</w:t>
      </w:r>
      <w:r>
        <w:rPr>
          <w:color w:val="CC7700"/>
          <w:sz w:val="18"/>
        </w:rPr>
        <w:t xml:space="preserve">  [⭐ Destacada]</w:t>
      </w:r>
    </w:p>
    <w:p>
      <w:pPr>
        <w:spacing w:before="0"/>
      </w:pPr>
      <w:r>
        <w:rPr>
          <w:color w:val="0056B3"/>
          <w:sz w:val="18"/>
        </w:rPr>
        <w:t>https://www.df.cl/economia-y-politica/macro/quiroz-reconoce-su-admiracion-por-los-exministros-buchi-y-foxley-salieron</w:t>
      </w:r>
    </w:p>
    <w:p>
      <w:pPr>
        <w:spacing w:before="20"/>
        <w:ind w:left="360"/>
      </w:pPr>
      <w:r>
        <w:rPr>
          <w:color w:val="222222"/>
          <w:sz w:val="20"/>
        </w:rPr>
        <w:t>En la junta anual de la Fundación P!ensa, el ministro de Hacienda también contestó las críticas de algunos economistas a sus medidas con una frase de El Quijote de la Mancha.</w:t>
      </w:r>
    </w:p>
    <w:p>
      <w:pPr>
        <w:spacing w:before="20"/>
        <w:ind w:left="360"/>
      </w:pPr>
      <w:r>
        <w:rPr>
          <w:color w:val="222222"/>
          <w:sz w:val="20"/>
        </w:rPr>
        <w:t>Publicado: Miércoles 29 de abril de 2026 a las 11:01 hrs.</w:t>
      </w:r>
    </w:p>
    <w:p>
      <w:pPr>
        <w:spacing w:before="20"/>
        <w:ind w:left="360"/>
      </w:pPr>
      <w:r>
        <w:rPr>
          <w:color w:val="222222"/>
          <w:sz w:val="20"/>
        </w:rPr>
        <w:t>En el Valparaíso Sporting de Viña del Mar se realizó este martes la junta anual de la Fundación P!ensa.</w:t>
      </w:r>
    </w:p>
    <w:p>
      <w:pPr>
        <w:spacing w:before="20"/>
        <w:ind w:left="360"/>
      </w:pPr>
      <w:r>
        <w:rPr>
          <w:color w:val="222222"/>
          <w:sz w:val="20"/>
        </w:rPr>
        <w:t>En el Valparaíso Sporting de Viña del Mar se realizó este martes la junta anual de la Fundación P!ensa, que tuvo comoprincipal invitado al ministro de Hacienda, Jorge Quiroz.</w:t>
      </w:r>
    </w:p>
    <w:p>
      <w:pPr>
        <w:spacing w:before="20"/>
        <w:ind w:left="360"/>
      </w:pPr>
      <w:r>
        <w:rPr>
          <w:color w:val="222222"/>
          <w:sz w:val="20"/>
        </w:rPr>
        <w:t>Junto con dar a conocer los lineamientos centrales del proyecto de reactivación y reconstrucción económica, el secretario de Estado comentó lo que han sido sus primeras semanas en el cargo yreveló que siente admiración por dos exministros de Hacienda de signos opuestos: Hernán Büchi (entre 1985 y 1989 con Augusto Pinochet) y Alejandro Foxley (entre 1990 y 1994 con Patricio Aylwin).</w:t>
      </w:r>
    </w:p>
    <w:p>
      <w:pPr>
        <w:spacing w:before="20"/>
        <w:ind w:left="360"/>
      </w:pPr>
      <w:r>
        <w:rPr>
          <w:color w:val="222222"/>
          <w:sz w:val="20"/>
        </w:rPr>
        <w:t>La primera parte de la actividad, desarrollada ante unas 600 personas,se centró en la reforma presentada al Congreso, donde Quiroz indicó que “se nos acabó el dinero para todo lo que ofrecemos” como Estado, por lo que era necesaria para retomar la senda de crecimiento económico y de recaudación fiscal.</w:t>
      </w:r>
    </w:p>
    <w:p>
      <w:pPr>
        <w:spacing w:before="20"/>
        <w:ind w:left="360"/>
      </w:pPr>
      <w:r>
        <w:rPr>
          <w:color w:val="222222"/>
          <w:sz w:val="20"/>
        </w:rPr>
        <w:t>Luego agregó que el “invitado de piedra” entre los pilares de la iniciativa es la convergencia fiscal, pero a pesar de las dificultadessigue siendo una meta alcanzable el “déficit cero” estructural.</w:t>
      </w:r>
    </w:p>
    <w:p>
      <w:pPr>
        <w:spacing w:before="120"/>
        <w:ind w:left="360"/>
      </w:pPr>
      <w:r>
        <w:rPr>
          <w:b/>
          <w:color w:val="E65000"/>
          <w:sz w:val="26"/>
        </w:rPr>
        <w:t xml:space="preserve"> </w:t>
      </w:r>
    </w:p>
    <w:p>
      <w:pPr>
        <w:spacing w:before="20"/>
        <w:ind w:left="360"/>
      </w:pPr>
      <w:r>
        <w:rPr>
          <w:color w:val="222222"/>
          <w:sz w:val="20"/>
        </w:rPr>
        <w:t>También abordó su estilo señalando que“trató de ser simpático, pero como les ando diciendo a mis colegas ministros que tiene que gastar menos, eso es antipático”.</w:t>
      </w:r>
    </w:p>
    <w:p>
      <w:pPr>
        <w:spacing w:before="20"/>
        <w:ind w:left="360"/>
      </w:pPr>
      <w:r>
        <w:rPr>
          <w:color w:val="222222"/>
          <w:sz w:val="20"/>
        </w:rPr>
        <w:t>Destacó entre las medidas del plan reactivadorla repatriación de capitales, afirmando que“es un premio al que le dio susto el 18 de octubre y es la hora de volver”a Chile. Y también defendió el crédito al empleo formal, afirmando que “señores, no hay nadie pidiendo contratar, así que estamos saliendo a defender los empleos”.</w:t>
      </w:r>
    </w:p>
    <w:p>
      <w:pPr>
        <w:spacing w:before="20"/>
        <w:ind w:left="360"/>
      </w:pPr>
      <w:r>
        <w:rPr>
          <w:color w:val="222222"/>
          <w:sz w:val="20"/>
        </w:rPr>
        <w:t>Luego en la parte del conversatorio con preguntas del público, el secretario de Estado confidenció quesu medida favorita del proyecto son las nuevas facultades del Servicio de Impuestos Internos (SII) para cruzar datos con otros organismos del Estado.</w:t>
      </w:r>
    </w:p>
    <w:p>
      <w:pPr>
        <w:spacing w:before="20"/>
        <w:ind w:left="360"/>
      </w:pPr>
      <w:r>
        <w:rPr>
          <w:color w:val="222222"/>
          <w:sz w:val="20"/>
        </w:rPr>
        <w:t>“Así se descubre el despilfarro y el fraude social”, dijo y comentó los buenos resultados de las recaudaciones por deudas impagas, por ejemplo en el caso del Crédito con Aval del Estado (CAE), afirmando que“la gente está pagando sus obligaciones, evitan pasar del sartén a las brasas” en alusión a los embargos que algunos arriesgan por incumplimientos.</w:t>
      </w:r>
    </w:p>
    <w:p>
      <w:pPr>
        <w:spacing w:before="20"/>
        <w:ind w:left="360"/>
      </w:pPr>
      <w:r>
        <w:rPr>
          <w:color w:val="222222"/>
          <w:sz w:val="20"/>
        </w:rPr>
        <w:t>Recordó que cuando llegó al cargo tenía claro lo que tenía que hacer desde el 11 de marzo: “lo comencé a pensar la noche del 18 de octubre” a lo que sumó que su rutina consiste en “llegar temprano a la oficina y cuidar con celo las finanzas públicas”.</w:t>
      </w:r>
    </w:p>
    <w:p>
      <w:pPr>
        <w:spacing w:before="20"/>
        <w:ind w:left="360"/>
      </w:pPr>
      <w:r>
        <w:rPr>
          <w:color w:val="222222"/>
          <w:sz w:val="20"/>
        </w:rPr>
        <w:t>Al momento de abordar las críticas de algunos economistas por sus medidas, el ministro de Hacienda señaló que “en esto voy a hacer un poco de humor.Mi padre era profesor de castellano y me hizo leer El Quijote”.  Y luego agregó“por eso me recuerdo de la frase:No te preocupes, Sancho, de lo que ladran los perros. Es señal de que vamos avanzando”.</w:t>
      </w:r>
    </w:p>
    <w:p>
      <w:pPr>
        <w:spacing w:before="20"/>
        <w:ind w:left="360"/>
      </w:pPr>
      <w:r>
        <w:rPr>
          <w:color w:val="222222"/>
          <w:sz w:val="20"/>
        </w:rPr>
        <w:t>La pregunta final que respondió Quiroz fue si admiraba a algún exministro de Hacienda. Luego de pensarlo por algunos momentos, señaló“hay dos ex ministros que estuvieron en coyunturas especiales y salieron airosos con patriotismo y orden: Hernán Büchi y Alejandro Foxley”.</w:t>
      </w:r>
    </w:p>
    <w:p>
      <w:pPr>
        <w:spacing w:before="20"/>
        <w:ind w:left="360"/>
      </w:pPr>
      <w:r>
        <w:rPr>
          <w:color w:val="222222"/>
          <w:sz w:val="20"/>
        </w:rPr>
        <w:t>Explicó que “Büchi enfrentó la deuda externa y empezó el camino de la liberalización de Chile; mientras que Foxley cuando entra al gobierno muchos agoreros le dicen que va a fracasar pero él marcó un impulso importante”.</w:t>
      </w:r>
    </w:p>
    <w:p>
      <w:pPr>
        <w:spacing w:before="20"/>
        <w:ind w:left="360"/>
      </w:pPr>
      <w:r>
        <w:rPr>
          <w:color w:val="222222"/>
          <w:sz w:val="20"/>
        </w:rPr>
        <w:t>Para cerrar, acotó que elotro nombre de un exministro que se le viene a la memoria “es mi amigo Felipe Larraín, pero ahí se me confunde la amistad con la admiración”.</w:t>
      </w:r>
    </w:p>
    <w:p>
      <w:pPr>
        <w:spacing w:before="40" w:after="120"/>
      </w:pPr>
      <w:r>
        <w:rPr>
          <w:color w:val="CCCCCC"/>
        </w:rPr>
        <w:t>· · ·</w:t>
      </w:r>
    </w:p>
    <w:p>
      <w:r>
        <w:rPr>
          <w:b/>
          <w:color w:val="E65000"/>
        </w:rPr>
        <w:t xml:space="preserve">2. </w:t>
      </w:r>
      <w:r>
        <w:rPr>
          <w:b/>
          <w:sz w:val="22"/>
        </w:rPr>
        <w:t>Jaime Mulet (FRVS) alerta que invariabilidad tributaria “viola el mandato presidencial de cuatro años, salvo que se haga a través de una reforma constitucional”</w:t>
      </w:r>
      <w:r>
        <w:rPr>
          <w:color w:val="CC7700"/>
          <w:sz w:val="18"/>
        </w:rPr>
        <w:t xml:space="preserve">  [⭐ Destacada]</w:t>
      </w:r>
    </w:p>
    <w:p>
      <w:pPr>
        <w:spacing w:before="0"/>
      </w:pPr>
      <w:r>
        <w:rPr>
          <w:color w:val="0056B3"/>
          <w:sz w:val="18"/>
        </w:rPr>
        <w:t>https://www.df.cl/economia-y-politica/congreso/jaime-mulet-frvs-alerta-que-invariabilidad-tributaria-viola-el-mandato</w:t>
      </w:r>
    </w:p>
    <w:p>
      <w:pPr>
        <w:spacing w:before="20"/>
        <w:ind w:left="360"/>
      </w:pPr>
      <w:r>
        <w:rPr>
          <w:color w:val="222222"/>
          <w:sz w:val="20"/>
        </w:rPr>
        <w:t>El diputado adelanta que “en particular, así como está, yo no estoy dispuesto a apoyar este artículo”, como parte del proyecto de reconstrucción del gobierno.</w:t>
      </w:r>
    </w:p>
    <w:p>
      <w:pPr>
        <w:spacing w:before="20"/>
        <w:ind w:left="360"/>
      </w:pPr>
      <w:r>
        <w:rPr>
          <w:color w:val="222222"/>
          <w:sz w:val="20"/>
        </w:rPr>
        <w:t>Publicado: Miércoles 29 de abril de 2026 a las 10:12 hrs.</w:t>
      </w:r>
    </w:p>
    <w:p>
      <w:pPr>
        <w:spacing w:before="20"/>
        <w:ind w:left="360"/>
      </w:pPr>
      <w:r>
        <w:rPr>
          <w:color w:val="222222"/>
          <w:sz w:val="20"/>
        </w:rPr>
        <w:t>Diputado Jaime Mulet (FRVS), presidente de la Comisión de Constitución de la Cámara. (Foto: Aton Chile)</w:t>
      </w:r>
    </w:p>
    <w:p>
      <w:pPr>
        <w:spacing w:before="20"/>
        <w:ind w:left="360"/>
      </w:pPr>
      <w:r>
        <w:rPr>
          <w:color w:val="222222"/>
          <w:sz w:val="20"/>
        </w:rPr>
        <w:t>El diputado fundador del partido Federación Regionalista Verde Social (FRVS), Jaiem Mulet, por estos días celebra que el Tricel le haya dado la razón en su apelación por la disolución ordenada por el Servel, por lo que la colectividad sigue vigente. Cerrada esa preocupación, ahoraestá concentrado en el proyecto de reactivación económica del gobierno y, particularmente, en lo que respecta al ya polémico artículo que se refiere a la invariabilidad tributaria por 25 años.</w:t>
      </w:r>
    </w:p>
    <w:p>
      <w:pPr>
        <w:spacing w:before="20"/>
        <w:ind w:left="360"/>
      </w:pPr>
      <w:r>
        <w:rPr>
          <w:color w:val="222222"/>
          <w:sz w:val="20"/>
        </w:rPr>
        <w:t>En conversación conDiario Financiero,el también presidente de la Comisión de Constitución de la Cámara, se explaya sobre el tema y su postura de fondo.</w:t>
      </w:r>
    </w:p>
    <w:p>
      <w:pPr>
        <w:spacing w:before="20"/>
        <w:ind w:left="360"/>
      </w:pPr>
      <w:r>
        <w:rPr>
          <w:color w:val="222222"/>
          <w:sz w:val="20"/>
        </w:rPr>
        <w:t>-¿Cómo y por qué surge el tema de la elaboración de un informe por parte de la Secretaría de la Cámara respecto al artículo sobre la invariabilidad tributaria específicamente?</w:t>
      </w:r>
    </w:p>
    <w:p>
      <w:pPr>
        <w:spacing w:before="20"/>
        <w:ind w:left="360"/>
      </w:pPr>
      <w:r>
        <w:rPr>
          <w:color w:val="222222"/>
          <w:sz w:val="20"/>
        </w:rPr>
        <w:t>-Le dije al secretario y al presidente de la Cámara que estimaba que esa norma que establece invariabilidad tributaria era de quórum constitucional y, por esa misma razón, el proyecto debía pasar por la Comisión de Constitución, Legislación y Justicia, que yo presido.</w:t>
      </w:r>
    </w:p>
    <w:p>
      <w:pPr>
        <w:spacing w:before="20"/>
        <w:ind w:left="360"/>
      </w:pPr>
      <w:r>
        <w:rPr>
          <w:color w:val="222222"/>
          <w:sz w:val="20"/>
        </w:rPr>
        <w:t>-Porque es una norma que requiere modificación de la Constitución. Por lo que al ingresar el proyecto hice el punto y dije que debe pasar a Constitución por el argumento que le acabo de dar. Y el secretario dijo que lo estaban estudiando y harían un informe.</w:t>
      </w:r>
    </w:p>
    <w:p>
      <w:pPr>
        <w:spacing w:before="20"/>
        <w:ind w:left="360"/>
      </w:pPr>
      <w:r>
        <w:rPr>
          <w:color w:val="222222"/>
          <w:sz w:val="20"/>
        </w:rPr>
        <w:t>-El martes me comuniqué con el secretario de la Cámara (Miguel) Landeros y me dijo que lo va a entregar el día lunes (04 de mayo) al presidente  de la Cámara y después él me lo van a mandar a mí.</w:t>
      </w:r>
    </w:p>
    <w:p>
      <w:pPr>
        <w:spacing w:before="120"/>
        <w:ind w:left="360"/>
      </w:pPr>
      <w:r>
        <w:rPr>
          <w:b/>
          <w:color w:val="E65000"/>
          <w:sz w:val="26"/>
        </w:rPr>
        <w:t xml:space="preserve"> </w:t>
      </w:r>
    </w:p>
    <w:p>
      <w:pPr>
        <w:spacing w:before="20"/>
        <w:ind w:left="360"/>
      </w:pPr>
      <w:r>
        <w:rPr>
          <w:color w:val="222222"/>
          <w:sz w:val="20"/>
        </w:rPr>
        <w:t>-¿Y cuál es su mirada respecto del artículo sobre la invariabilidad tributaria?</w:t>
      </w:r>
    </w:p>
    <w:p>
      <w:pPr>
        <w:spacing w:before="20"/>
        <w:ind w:left="360"/>
      </w:pPr>
      <w:r>
        <w:rPr>
          <w:color w:val="222222"/>
          <w:sz w:val="20"/>
        </w:rPr>
        <w:t>-A ver, yo creo que puede haber invariabilidad tributaria, pero se requiere una modificación constitucional para eso.</w:t>
      </w:r>
    </w:p>
    <w:p>
      <w:pPr>
        <w:spacing w:before="20"/>
        <w:ind w:left="360"/>
      </w:pPr>
      <w:r>
        <w:rPr>
          <w:color w:val="222222"/>
          <w:sz w:val="20"/>
        </w:rPr>
        <w:t>-¿Por qué es necesaria esa modificación constitucional? Para que quede bien claro.</w:t>
      </w:r>
    </w:p>
    <w:p>
      <w:pPr>
        <w:spacing w:before="20"/>
        <w:ind w:left="360"/>
      </w:pPr>
      <w:r>
        <w:rPr>
          <w:color w:val="222222"/>
          <w:sz w:val="20"/>
        </w:rPr>
        <w:t>-Porque si no, se está limitando a futuro a seis o cinco gobiernos y Chile es una república democrática, la soberanía reside en la nación y esta la entrega al Presidente y al Congreso Nacional, entre otros, cada cuatro años; por lo que se puede legislar, imponer o suprimir impuestos, pero no por 25 años, porque ahí seviola el mandato presidencial de cuatro años, salvo que se haga a través de una reforma constitucional.</w:t>
      </w:r>
    </w:p>
    <w:p>
      <w:pPr>
        <w:spacing w:before="20"/>
        <w:ind w:left="360"/>
      </w:pPr>
      <w:r>
        <w:rPr>
          <w:color w:val="222222"/>
          <w:sz w:val="20"/>
        </w:rPr>
        <w:t>-Pero este es un sistema que ya se ha aplicado antes.</w:t>
      </w:r>
    </w:p>
    <w:p>
      <w:pPr>
        <w:spacing w:before="20"/>
        <w:ind w:left="360"/>
      </w:pPr>
      <w:r>
        <w:rPr>
          <w:color w:val="222222"/>
          <w:sz w:val="20"/>
        </w:rPr>
        <w:t>-Sí, claro, yo estudié el tema y cuando se decretó la invariabilidad tributaria del DL 600, durante el régimen militar, en sus considerando se invocó la facultad constituyente que se había auto otorgado la Junta de Gobierno, no sólo las legislativas, para ir modificando la Constitución del ‘25, que seguía en parte vigente.</w:t>
      </w:r>
    </w:p>
    <w:p>
      <w:pPr>
        <w:spacing w:before="20"/>
        <w:ind w:left="360"/>
      </w:pPr>
      <w:r>
        <w:rPr>
          <w:color w:val="222222"/>
          <w:sz w:val="20"/>
        </w:rPr>
        <w:t>-Si el proyecto pasa por Constitución y este artículo se vota con ese quorum, ¿está de acuerdo con que se aplique durante 25 años?</w:t>
      </w:r>
    </w:p>
    <w:p>
      <w:pPr>
        <w:spacing w:before="20"/>
        <w:ind w:left="360"/>
      </w:pPr>
      <w:r>
        <w:rPr>
          <w:color w:val="222222"/>
          <w:sz w:val="20"/>
        </w:rPr>
        <w:t>-No, tengo mis dudas respecto de la invariabilidad tributaria. Pero no me cierro absolutamente a proyectos específicos futuros, en algunas áreas puede ser algo interesante…</w:t>
      </w:r>
    </w:p>
    <w:p>
      <w:pPr>
        <w:spacing w:before="20"/>
        <w:ind w:left="360"/>
      </w:pPr>
      <w:r>
        <w:rPr>
          <w:color w:val="222222"/>
          <w:sz w:val="20"/>
        </w:rPr>
        <w:t>-¿Sus dudas tienen que ver con la cantidad de años o con el efecto que realmente produce, si genera más inversión o no?</w:t>
      </w:r>
    </w:p>
    <w:p>
      <w:pPr>
        <w:spacing w:before="20"/>
        <w:ind w:left="360"/>
      </w:pPr>
      <w:r>
        <w:rPr>
          <w:color w:val="222222"/>
          <w:sz w:val="20"/>
        </w:rPr>
        <w:t>-Mis dudas tienen que ver con esas dos cosas; pero especialmente con la forma en que está redactado, que podría aplicarse a cualquier tipo de proyectos, como proyectos que ya estén anunciados. Uno lopodría entender para proyectos nuevos futuros, para algunas áreas de la economía, pero no tan abierto como está diseñado hoy día y no tan largo.</w:t>
      </w:r>
    </w:p>
    <w:p>
      <w:pPr>
        <w:spacing w:before="20"/>
        <w:ind w:left="360"/>
      </w:pPr>
      <w:r>
        <w:rPr>
          <w:color w:val="222222"/>
          <w:sz w:val="20"/>
        </w:rPr>
        <w:t>-¿En sectores específicos? Se lo pregunto porque el expresidente de la DC Alberto Undurraga, cuando era precandidato presidencial propuso la invariabilidad tributaria para el sector de la construcción, de 20 años si mal no recuerdo.</w:t>
      </w:r>
    </w:p>
    <w:p>
      <w:pPr>
        <w:spacing w:before="20"/>
        <w:ind w:left="360"/>
      </w:pPr>
      <w:r>
        <w:rPr>
          <w:color w:val="222222"/>
          <w:sz w:val="20"/>
        </w:rPr>
        <w:t>-Claro. Yo lo planteé también en la primaria presidencial establecer algún tipo de beneficio similar a este para activar la construcción; por ejemplo, establecer cierta invariabilidad tributaria para impulsar la construcción de viviendas, particularmente en los que adquieran viviendas, de alguna manera que no tributen, respecto a las rentas obtenidas las nuevas viviendas. Buscar fórmulas que incentiven proyectos nuevos futuros y no proyectos ya anunciados en algunas áreas de la economía. Creo que eso es necesario. No me cierro a la fórmula, pero que se entienda que es de rango constitucional y se respete la Constitución.</w:t>
      </w:r>
    </w:p>
    <w:p>
      <w:pPr>
        <w:spacing w:before="20"/>
        <w:ind w:left="360"/>
      </w:pPr>
      <w:r>
        <w:rPr>
          <w:color w:val="222222"/>
          <w:sz w:val="20"/>
        </w:rPr>
        <w:t>-Usted ya ha dicho que está por aprobar el proyecto en general, pero en lo particular, si esto en la invariabilidad no se modifica  el tiempo y no pasa por Constitución, ¿estaría disponible de todos modos para respaldar este artículo o no?</w:t>
      </w:r>
    </w:p>
    <w:p>
      <w:pPr>
        <w:spacing w:before="20"/>
        <w:ind w:left="360"/>
      </w:pPr>
      <w:r>
        <w:rPr>
          <w:color w:val="222222"/>
          <w:sz w:val="20"/>
        </w:rPr>
        <w:t>-En particular, así como está, yo no estoy dispuesto a apoyar este artículo,de las 40 y tantas medidas, y algunos otros, como tampoco estoy dispuesto a apoyar la exención del pago de contribuciones de bienes raíces a las personas pudientes; y,  estoy revisando algunas otras normas. Me preocupa también el cruce de datos de información sensible que se entregaría para buscar gente que defraude al Fisco en lo social, me gustaría que en ese cruce se cuide la información sensible, porque ahí hay  aspectos que tienen que ver también con el artículo 19 número ocho, respecto de información o comunicaciones privadas. Entonces, hay aspectos que hay que revisar bien. Ahora, como Regionalista Verde formo parte del Comité Demócrata. Cristiano-Regionalista Verde y tenemos una reunión el lunes en la mañana.</w:t>
      </w:r>
    </w:p>
    <w:p>
      <w:pPr>
        <w:spacing w:before="20"/>
        <w:ind w:left="360"/>
      </w:pPr>
      <w:r>
        <w:rPr>
          <w:color w:val="222222"/>
          <w:sz w:val="20"/>
        </w:rPr>
        <w:t>-Voy a plantear algunas observaciones y es probable que nos juntemos el domingo en la noche o por la tarde, los diputados diez diputados de ese comité, para ojalá, fijar una postura coherente y común.</w:t>
      </w:r>
    </w:p>
    <w:p>
      <w:pPr>
        <w:spacing w:before="40" w:after="120"/>
      </w:pPr>
      <w:r>
        <w:rPr>
          <w:color w:val="CCCCCC"/>
        </w:rPr>
        <w:t>· · ·</w:t>
      </w:r>
    </w:p>
    <w:p>
      <w:r>
        <w:rPr>
          <w:b/>
          <w:color w:val="E65000"/>
        </w:rPr>
        <w:t xml:space="preserve">3. </w:t>
      </w:r>
      <w:r>
        <w:rPr>
          <w:b/>
          <w:sz w:val="22"/>
        </w:rPr>
        <w:t>Tasa de desocupación nacional sube a 8,9% en enero-marzo de 2026 y en mujeres se dispara a 10%</w:t>
      </w:r>
      <w:r>
        <w:rPr>
          <w:color w:val="CC7700"/>
          <w:sz w:val="18"/>
        </w:rPr>
        <w:t xml:space="preserve">  [⭐ Destacada]</w:t>
      </w:r>
    </w:p>
    <w:p>
      <w:pPr>
        <w:spacing w:before="0"/>
      </w:pPr>
      <w:r>
        <w:rPr>
          <w:color w:val="0056B3"/>
          <w:sz w:val="18"/>
        </w:rPr>
        <w:t>https://www.df.cl/economia-y-politica/laboral-personas/ine-tasa-de-desocupacion-nacional-sube-a-8-9-en-enero-marzo-de-2026</w:t>
      </w:r>
    </w:p>
    <w:p>
      <w:pPr>
        <w:spacing w:before="20"/>
        <w:ind w:left="360"/>
      </w:pPr>
      <w:r>
        <w:rPr>
          <w:color w:val="222222"/>
          <w:sz w:val="20"/>
        </w:rPr>
        <w:t>En 12 meses, la tasa nacional registró un ascenso de 0,2 puntos porcentuales (pp.), producto del alza de la fuerza de trabajo (0,7%), mayor a la presentada por las personas ocupadas (0,5%), informó el INE.</w:t>
      </w:r>
    </w:p>
    <w:p>
      <w:pPr>
        <w:spacing w:before="20"/>
        <w:ind w:left="360"/>
      </w:pPr>
      <w:r>
        <w:rPr>
          <w:color w:val="222222"/>
          <w:sz w:val="20"/>
        </w:rPr>
        <w:t>Por:Rodrigo Martínez y Carolina LeónPublicado: Miércoles 29 de abril de 2026 a las 09:00 hrs.</w:t>
      </w:r>
    </w:p>
    <w:p>
      <w:pPr>
        <w:spacing w:before="20"/>
        <w:ind w:left="360"/>
      </w:pPr>
      <w:r>
        <w:rPr>
          <w:color w:val="222222"/>
          <w:sz w:val="20"/>
        </w:rPr>
        <w:t>Publicado: Miércoles 29 de abril de 2026 a las 09:00 hrs.</w:t>
      </w:r>
    </w:p>
    <w:p>
      <w:pPr>
        <w:spacing w:before="20"/>
        <w:ind w:left="360"/>
      </w:pPr>
      <w:r>
        <w:rPr>
          <w:color w:val="222222"/>
          <w:sz w:val="20"/>
        </w:rPr>
        <w:t>Noticias poco alentadoras trajo la última edición de la Encuesta Nacional de Empleo (ENE) que elabora el Instituto Nacional de Estadísticas (INE).</w:t>
      </w:r>
    </w:p>
    <w:p>
      <w:pPr>
        <w:spacing w:before="20"/>
        <w:ind w:left="360"/>
      </w:pPr>
      <w:r>
        <w:rPr>
          <w:color w:val="222222"/>
          <w:sz w:val="20"/>
        </w:rPr>
        <w:t>De acuerdo a la entidad,en el trimestre enero - marzo de 2026 la tasa de desocupación nacional se ubicó en 8,9%, una cifra que es 0,2 puntos porcentuales (pp.) mayor en comparación con el mismo período de 2025.</w:t>
      </w:r>
    </w:p>
    <w:p>
      <w:pPr>
        <w:spacing w:before="20"/>
        <w:ind w:left="360"/>
      </w:pPr>
      <w:r>
        <w:rPr>
          <w:color w:val="222222"/>
          <w:sz w:val="20"/>
        </w:rPr>
        <w:t>El dato, explicó el INE, fue producto del alza de la fuerza de trabajo (0,7%), mayor a la presentada por las personas ocupadas (0,5%).</w:t>
      </w:r>
    </w:p>
    <w:p>
      <w:pPr>
        <w:spacing w:before="20"/>
        <w:ind w:left="360"/>
      </w:pPr>
      <w:r>
        <w:rPr>
          <w:color w:val="222222"/>
          <w:sz w:val="20"/>
        </w:rPr>
        <w:t>Además, según explicó el subdirector técnico del INE, Leonardo González, las personas desocupadas tuvieron una variación de 3,3% en 12 meses, lo que corresponde a 29.438 desocupados más, totalizando así 925.111 personas.</w:t>
      </w:r>
    </w:p>
    <w:p>
      <w:pPr>
        <w:spacing w:before="20"/>
        <w:ind w:left="360"/>
      </w:pPr>
      <w:r>
        <w:rPr>
          <w:color w:val="222222"/>
          <w:sz w:val="20"/>
        </w:rPr>
        <w:t>“Las personas que buscan trabajo por primera vez han ganado peso relativo en el aumento de los desocupados en los últimos trimestres móviles, anotando seis trimestres móviles al alza y superan las 100.000 personas”, agregó González.</w:t>
      </w:r>
    </w:p>
    <w:p>
      <w:pPr>
        <w:spacing w:before="20"/>
        <w:ind w:left="360"/>
      </w:pPr>
      <w:r>
        <w:rPr>
          <w:color w:val="222222"/>
          <w:sz w:val="20"/>
        </w:rPr>
        <w:t>Así,las tasas de participación y ocupación se situaron en 62,3% y 56,7%, decreciendo 0,1 pp. y 0,3 pp., en cada caso. La población fuera de la fuerza de trabajo, en tanto, aumentó 1,2%, influida por las personas inactivas potencialmente activas (4,9%) y las personas inactivas habituales (0,4%).</w:t>
      </w:r>
    </w:p>
    <w:p>
      <w:pPr>
        <w:spacing w:before="20"/>
        <w:ind w:left="360"/>
      </w:pPr>
      <w:r>
        <w:rPr>
          <w:color w:val="222222"/>
          <w:sz w:val="20"/>
        </w:rPr>
        <w:t>Los últimos datos del INE, además, expusieron el mal escenario laboral que están enfrentando las mujeres, quienes nuevamente llegaron a una tasa de desempleo de dos dígitos.</w:t>
      </w:r>
    </w:p>
    <w:p>
      <w:pPr>
        <w:spacing w:before="20"/>
        <w:ind w:left="360"/>
      </w:pPr>
      <w:r>
        <w:rPr>
          <w:color w:val="222222"/>
          <w:sz w:val="20"/>
        </w:rPr>
        <w:t>En el detalle, la tasa de desocupación para ellas llegó al 10%, anotando un alza de 0,5 puntos porcentuales en doce meses, según el INE.</w:t>
      </w:r>
    </w:p>
    <w:p>
      <w:pPr>
        <w:spacing w:before="20"/>
        <w:ind w:left="360"/>
      </w:pPr>
      <w:r>
        <w:rPr>
          <w:color w:val="222222"/>
          <w:sz w:val="20"/>
        </w:rPr>
        <w:t>Este resultado se explicó por el alza de 1,8% de la fuerza de trabajo,  mayor al incremento de 1,2% registrado por las ocupadas. En paralelo, las desocupadas aumentaron 7,4%, incididas tanto por las cesantes (7,3%) y por quienes buscan trabajo por primera vez (7,9%).</w:t>
      </w:r>
    </w:p>
    <w:p>
      <w:pPr>
        <w:spacing w:before="20"/>
        <w:ind w:left="360"/>
      </w:pPr>
      <w:r>
        <w:rPr>
          <w:color w:val="222222"/>
          <w:sz w:val="20"/>
        </w:rPr>
        <w:t>Así, para ellas las tasas de participación y ocupación se situaron en 53,4% y 48,1%, incrementándose 0,5 pp. y 0,2 pp., en cada caso.</w:t>
      </w:r>
    </w:p>
    <w:p>
      <w:pPr>
        <w:spacing w:before="20"/>
        <w:ind w:left="360"/>
      </w:pPr>
      <w:r>
        <w:rPr>
          <w:color w:val="222222"/>
          <w:sz w:val="20"/>
        </w:rPr>
        <w:t>Los hombres, en tanto, registraron una tasa de desocupación de 8,1%, sin presentar variación en 12 meses, dado que la fuerza de trabajo disminuyó en igual magnitud que los ocupados (-0,1%). Al mismo tiempo, los desocupados descendieron 0,3%, incididos únicamente por los cesantes (-2,6%).</w:t>
      </w:r>
    </w:p>
    <w:p>
      <w:pPr>
        <w:spacing w:before="20"/>
        <w:ind w:left="360"/>
      </w:pPr>
      <w:r>
        <w:rPr>
          <w:color w:val="222222"/>
          <w:sz w:val="20"/>
        </w:rPr>
        <w:t>En el trimestre, además, las personas ocupadas registraron una variación trimestral negativa de -0,2%, correspondiente a 14.451 personas ocupadas menos.</w:t>
      </w:r>
    </w:p>
    <w:p>
      <w:pPr>
        <w:spacing w:before="20"/>
        <w:ind w:left="360"/>
      </w:pPr>
      <w:r>
        <w:rPr>
          <w:color w:val="222222"/>
          <w:sz w:val="20"/>
        </w:rPr>
        <w:t>Según sexo, los hombres y las mujeres presentaron disminuciones en la ocupación con respecto al trimestre móvil anterior de -0,2% y -0,1%, equivalentes a -10.717 hombres y -3.734 mujeres, respectivamente.</w:t>
      </w:r>
    </w:p>
    <w:p>
      <w:pPr>
        <w:spacing w:before="20"/>
        <w:ind w:left="360"/>
      </w:pPr>
      <w:r>
        <w:rPr>
          <w:color w:val="222222"/>
          <w:sz w:val="20"/>
        </w:rPr>
        <w:t>Al mirar el panorama en 12 meses, el INE informó que la expansión anual de la ocupación (0,5%) fue incidida, únicamente, por los ocupados informales (3,2%, correspondiente a 78.632 personas).</w:t>
      </w:r>
    </w:p>
    <w:p>
      <w:pPr>
        <w:spacing w:before="20"/>
        <w:ind w:left="360"/>
      </w:pPr>
      <w:r>
        <w:rPr>
          <w:color w:val="222222"/>
          <w:sz w:val="20"/>
        </w:rPr>
        <w:t>Por su parte, los ocupados formales disminuyeron interanualmente (-0,5%, equivalente a 33.277 personas menos), por primera vez desde el trimestre febrero-abril de 2021.</w:t>
      </w:r>
    </w:p>
    <w:p>
      <w:pPr>
        <w:spacing w:before="20"/>
        <w:ind w:left="360"/>
      </w:pPr>
      <w:r>
        <w:rPr>
          <w:color w:val="222222"/>
          <w:sz w:val="20"/>
        </w:rPr>
        <w:t>Según sexo, el aumento de 3,2% de los ocupados informales fue incidido por mujeres y hombres, aunque las primeras con mayor fuerza, lo que se tradujo en alzas de 4,1% y 2,5%, en cada caso.</w:t>
      </w:r>
    </w:p>
    <w:p>
      <w:pPr>
        <w:spacing w:before="40" w:after="120"/>
      </w:pPr>
      <w:r>
        <w:rPr>
          <w:color w:val="CCCCCC"/>
        </w:rPr>
        <w:t>· · ·</w:t>
      </w:r>
    </w:p>
    <w:p>
      <w:r>
        <w:rPr>
          <w:b/>
          <w:color w:val="E65000"/>
        </w:rPr>
        <w:t xml:space="preserve">4. </w:t>
      </w:r>
      <w:r>
        <w:rPr>
          <w:b/>
          <w:sz w:val="22"/>
        </w:rPr>
        <w:t>Gonzalo Bofill por proyecto de reconstrucción: “Esta reforma va en la dirección correcta…sin crecimiento no hay políticas sociales sostenibles”</w:t>
      </w:r>
    </w:p>
    <w:p>
      <w:pPr>
        <w:spacing w:before="0"/>
      </w:pPr>
      <w:r>
        <w:rPr>
          <w:color w:val="0056B3"/>
          <w:sz w:val="18"/>
        </w:rPr>
        <w:t>https://www.df.cl/economia-y-politica/actualidad/gonzalo-bofill-por-proyecto-de-reconstruccion-esta-reforma-va-en-la</w:t>
      </w:r>
    </w:p>
    <w:p>
      <w:pPr>
        <w:spacing w:before="20"/>
        <w:ind w:left="360"/>
      </w:pPr>
      <w:r>
        <w:rPr>
          <w:color w:val="222222"/>
          <w:sz w:val="20"/>
        </w:rPr>
        <w:t>El empresario llamó a políticos y autoridades a lograr acuerdos porque “la historia muestra que el desarrollo no está asegurado y países que en algún momento fueron referentes terminaron perdiendo su lugar”.</w:t>
      </w:r>
    </w:p>
    <w:p>
      <w:pPr>
        <w:spacing w:before="20"/>
        <w:ind w:left="360"/>
      </w:pPr>
      <w:r>
        <w:rPr>
          <w:color w:val="222222"/>
          <w:sz w:val="20"/>
        </w:rPr>
        <w:t>Publicado: Miércoles 29 de abril de 2026 a las 08:20 hrs.</w:t>
      </w:r>
    </w:p>
    <w:p>
      <w:pPr>
        <w:spacing w:before="20"/>
        <w:ind w:left="360"/>
      </w:pPr>
      <w:r>
        <w:rPr>
          <w:color w:val="222222"/>
          <w:sz w:val="20"/>
        </w:rPr>
        <w:t>En su calidad de timonel de la Fundación P!ensa de la Región de Valparaíso, Bofill valoró el proyecto de reactivación.</w:t>
      </w:r>
    </w:p>
    <w:p>
      <w:pPr>
        <w:spacing w:before="20"/>
        <w:ind w:left="360"/>
      </w:pPr>
      <w:r>
        <w:rPr>
          <w:color w:val="222222"/>
          <w:sz w:val="20"/>
        </w:rPr>
        <w:t>El presidente de empresas Carozzi, Gonzalo Bofill, en su calidad de timonel de la Fundación P!ensa de la Región de Valparaíso valoró el proyecto de reactivación y reconstrucciónpresentado por el gobierno afirmando que luego de años de mal desempeño económico como país “hoy hay motivos para pensar en un cambio, volver a crecer y recuperar la responsabilidad fiscal”.</w:t>
      </w:r>
    </w:p>
    <w:p>
      <w:pPr>
        <w:spacing w:before="20"/>
        <w:ind w:left="360"/>
      </w:pPr>
      <w:r>
        <w:rPr>
          <w:color w:val="222222"/>
          <w:sz w:val="20"/>
        </w:rPr>
        <w:t>En el marco de su exposición en la 13 asamblea anual de P!ensa -que tuvo como invitado al ministro de Hacienda Jorge Quiroz- sostuvo que lo anterior servirá “pararecuperar el tiempo perdido, generar empleo formal, ofrecer mejores oportunidades y dar así mayor seguridad a las familias” enfatizando “qué duda cabe que la mejor política pública es el pleno empleo”.</w:t>
      </w:r>
    </w:p>
    <w:p>
      <w:pPr>
        <w:spacing w:before="20"/>
        <w:ind w:left="360"/>
      </w:pPr>
      <w:r>
        <w:rPr>
          <w:color w:val="222222"/>
          <w:sz w:val="20"/>
        </w:rPr>
        <w:t>El empresario sostuvo que “Chile necesita una economía pujante y un Estado moderno” y al mismo tiempo dijo estar expectante porque en esta región hay más de US$10 mil millones en potenciales inversiones, una cifra que equivale a más de 80 veces el total de la inversión pública regional anual del Fondo Nacional de Desarrollo Regional.</w:t>
      </w:r>
    </w:p>
    <w:p>
      <w:pPr>
        <w:spacing w:before="20"/>
        <w:ind w:left="360"/>
      </w:pPr>
      <w:r>
        <w:rPr>
          <w:color w:val="222222"/>
          <w:sz w:val="20"/>
        </w:rPr>
        <w:t>Planteó que “necesitamos avanzar en este ámbito. Por esovemos con buenos ojos las iniciativas que se han presentado en el último tiempo y esperamos que nuestros legisladores y nuestros políticos actúen con responsabilidad construyendo acuerdos que nos permitan retomar la senda del crecimiento”.</w:t>
      </w:r>
    </w:p>
    <w:p>
      <w:pPr>
        <w:spacing w:before="20"/>
        <w:ind w:left="360"/>
      </w:pPr>
      <w:r>
        <w:rPr>
          <w:color w:val="222222"/>
          <w:sz w:val="20"/>
        </w:rPr>
        <w:t>Acotó que “ya vimos algunas señales en este sentido y, poco a poco,se ha sentado una idea central que sin crecimiento no hay políticas sociales sostenibles”.</w:t>
      </w:r>
    </w:p>
    <w:p>
      <w:pPr>
        <w:spacing w:before="20"/>
        <w:ind w:left="360"/>
      </w:pPr>
      <w:r>
        <w:rPr>
          <w:color w:val="222222"/>
          <w:sz w:val="20"/>
        </w:rPr>
        <w:t>Auguró que de cara a la discusión del proyecto de reactivación en el congreso “sabemos que se vienen días complejos. El debate público será intenso y en más de una ocasión se verá tensionado por simplificaciones que no ayudan a comprender la magnitud de los desafíos que enfrentamos”.</w:t>
      </w:r>
    </w:p>
    <w:p>
      <w:pPr>
        <w:spacing w:before="20"/>
        <w:ind w:left="360"/>
      </w:pPr>
      <w:r>
        <w:rPr>
          <w:color w:val="222222"/>
          <w:sz w:val="20"/>
        </w:rPr>
        <w:t>Precisó que “también habrán preocupaciones legítimas y esta discusión ofrecerá la oportunidad de introducir mejoras” reforzando que “pero eso no cambia el hecho de que esta reforma va en la dirección correcta. Ese es el tipo de economía que Chile necesita recuperar y esa es la visión que empujamos desde la Fundación P!ensa”.</w:t>
      </w:r>
    </w:p>
    <w:p>
      <w:pPr>
        <w:spacing w:before="20"/>
        <w:ind w:left="360"/>
      </w:pPr>
      <w:r>
        <w:rPr>
          <w:color w:val="222222"/>
          <w:sz w:val="20"/>
        </w:rPr>
        <w:t>Bofill sostuvo que “la historia muestra que el desarrollo no está asegurado. Países que en algún momento fueron referentes terminaron perdiendo su lugar”, recordando los casos de Argentina y Venezuela.</w:t>
      </w:r>
    </w:p>
    <w:p>
      <w:pPr>
        <w:spacing w:before="20"/>
        <w:ind w:left="360"/>
      </w:pPr>
      <w:r>
        <w:rPr>
          <w:color w:val="222222"/>
          <w:sz w:val="20"/>
        </w:rPr>
        <w:t>Cerró sus palabras indicando “que estos casos nos sirvan de advertencia. La calidad de la política depende de liderazgos capaces de asumir desafíos por complejos y adversos que sean; y también necesitamos reconstruir confianzas y lograr acuerdos que perduren en el tiempo”.</w:t>
      </w:r>
    </w:p>
    <w:p>
      <w:pPr>
        <w:spacing w:before="40" w:after="120"/>
      </w:pPr>
      <w:r>
        <w:rPr>
          <w:color w:val="CCCCCC"/>
        </w:rPr>
        <w:t>· · ·</w:t>
      </w:r>
    </w:p>
    <w:p>
      <w:r>
        <w:rPr>
          <w:b/>
          <w:color w:val="E65000"/>
        </w:rPr>
        <w:t xml:space="preserve">5. </w:t>
      </w:r>
      <w:r>
        <w:rPr>
          <w:b/>
          <w:sz w:val="22"/>
        </w:rPr>
        <w:t>Quiroz trata de contener polémica por oficio de la Dipres y desestima opción de dividir proyecto de reconstrucción</w:t>
      </w:r>
    </w:p>
    <w:p>
      <w:pPr>
        <w:spacing w:before="0"/>
      </w:pPr>
      <w:r>
        <w:rPr>
          <w:color w:val="0056B3"/>
          <w:sz w:val="18"/>
        </w:rPr>
        <w:t>https://www.df.cl/economia-y-politica/macro/quiroz-trata-de-contener-polemica-por-oficio-de-la-dipres-y-desestima</w:t>
      </w:r>
    </w:p>
    <w:p>
      <w:pPr>
        <w:spacing w:before="20"/>
        <w:ind w:left="360"/>
      </w:pPr>
      <w:r>
        <w:rPr>
          <w:color w:val="222222"/>
          <w:sz w:val="20"/>
        </w:rPr>
        <w:t>El ministro enfatizó que se mantendrá el apoyo a la alimentación escolar, defendió el crédito tributario y destacó su relación con sus pares de La Moneda.</w:t>
      </w:r>
    </w:p>
    <w:p>
      <w:pPr>
        <w:spacing w:before="20"/>
        <w:ind w:left="360"/>
      </w:pPr>
      <w:r>
        <w:rPr>
          <w:color w:val="222222"/>
          <w:sz w:val="20"/>
        </w:rPr>
        <w:t>Publicado: Miércoles 29 de abril de 2026 a las 04:00 hrs.</w:t>
      </w:r>
    </w:p>
    <w:p>
      <w:pPr>
        <w:spacing w:before="20"/>
        <w:ind w:left="360"/>
      </w:pPr>
      <w:r>
        <w:rPr>
          <w:color w:val="222222"/>
          <w:sz w:val="20"/>
        </w:rPr>
        <w:t>El ministro Quiroz participó la tarde de este martes en un evento de la Fundación Piensa en Viña del Mar.</w:t>
      </w:r>
    </w:p>
    <w:p>
      <w:pPr>
        <w:spacing w:before="20"/>
        <w:ind w:left="360"/>
      </w:pPr>
      <w:r>
        <w:rPr>
          <w:color w:val="222222"/>
          <w:sz w:val="20"/>
        </w:rPr>
        <w:t>Una jornada marcada por la polémica que se generó a partir del oficio que la Dirección de Presupuestos envió a los ministerios con la sugerencia de “descontinuar” ciertos programas, incluido la Junta Nacional de Auxilio Escolar y Becas (Junaeb), protagonizó el ministro de Hacienda, Jorge Quiroz, este martes.</w:t>
      </w:r>
    </w:p>
    <w:p>
      <w:pPr>
        <w:spacing w:before="20"/>
        <w:ind w:left="360"/>
      </w:pPr>
      <w:r>
        <w:rPr>
          <w:color w:val="222222"/>
          <w:sz w:val="20"/>
        </w:rPr>
        <w:t>Temprano, a través de una entrevista radial en Infinita; y en la tarde, previo a su participación en un evento de la Fundación Piensa en Viña del Mar, el secretario de Estado explicó que los programas “son meramente un conjunto de acciones y procesos para servir a una política determinada”, susceptibles de ser modificados, pero sin afectar la política. En este caso, insistió, lo que no se cambia ni se cambiará “es la política de apoyo de alimentación escolar, que se mantiene absolutamente”.</w:t>
      </w:r>
    </w:p>
    <w:p>
      <w:pPr>
        <w:spacing w:before="20"/>
        <w:ind w:left="360"/>
      </w:pPr>
      <w:r>
        <w:rPr>
          <w:color w:val="222222"/>
          <w:sz w:val="20"/>
        </w:rPr>
        <w:t>Visión que fue reforzada por el Presidente José Antonio Kast desde la región de O´Higgings, donde volvió a destacar la “gran labor” del jefe de las finanzas públicas.</w:t>
      </w:r>
    </w:p>
    <w:p>
      <w:pPr>
        <w:spacing w:before="20"/>
        <w:ind w:left="360"/>
      </w:pPr>
      <w:r>
        <w:rPr>
          <w:color w:val="222222"/>
          <w:sz w:val="20"/>
        </w:rPr>
        <w:t>“El oficio (Dipres) ocupa las palabras que no son las perfectas en términos de comunicaciones, porque no está diseñado para ser comunicado al público general”, profundizó Quiroz en radio Infinita junto con lamentar la filtración del documento. Y reforzó: “Es una comunicación interna entre ministerios. Esto es como un poquito que alguien venga y revise la carta de una pareja y empieza a dar opiniones”.</w:t>
      </w:r>
    </w:p>
    <w:p>
      <w:pPr>
        <w:spacing w:before="20"/>
        <w:ind w:left="360"/>
      </w:pPr>
      <w:r>
        <w:rPr>
          <w:color w:val="222222"/>
          <w:sz w:val="20"/>
        </w:rPr>
        <w:t>Ya en el terreno del proyecto de reconstrucción y reactivación presentado al Congreso, y pese a las solicitudes del Frente Amplio y del Partido Comunista, el personero dijo que la decisión del Ejecutivo es mantener la norma como un solo texto. “No hay ninguna” posibilidad de dividir el texto, dijo junto con plantear que “este es un todo concatenado, que reactiva en el corto plazo con las medidas de reconstrucción, para lo cual tiene medidas tributarias”.</w:t>
      </w:r>
    </w:p>
    <w:p>
      <w:pPr>
        <w:spacing w:before="20"/>
        <w:ind w:left="360"/>
      </w:pPr>
      <w:r>
        <w:rPr>
          <w:color w:val="222222"/>
          <w:sz w:val="20"/>
        </w:rPr>
        <w:t>“Si ellos quieren la parte de reconstrucción, votarán en la parte de la reconstrucción a favor; y en la otra, en contra; y después contaremos los votos”, afirmó.</w:t>
      </w:r>
    </w:p>
    <w:p>
      <w:pPr>
        <w:spacing w:before="20"/>
        <w:ind w:left="360"/>
      </w:pPr>
      <w:r>
        <w:rPr>
          <w:color w:val="222222"/>
          <w:sz w:val="20"/>
        </w:rPr>
        <w:t>En este contexto, defendió el acuerdo con el Partido de la Gente (PDG) para incorporar beneficios a quienes compran pañales y medicamentos, lo que garantizó los votos de esa colectividad. “Es un gran paso y creo que vamos a hacer muchas cosas juntos”, dijo.</w:t>
      </w:r>
    </w:p>
    <w:p>
      <w:pPr>
        <w:spacing w:before="20"/>
        <w:ind w:left="360"/>
      </w:pPr>
      <w:r>
        <w:rPr>
          <w:color w:val="222222"/>
          <w:sz w:val="20"/>
        </w:rPr>
        <w:t>También reiteró que el impuesto a las empresas de menor tamaño se mantendrá en 12,5%, “solo que no está en este proyecto”.</w:t>
      </w:r>
    </w:p>
    <w:p>
      <w:pPr>
        <w:spacing w:before="20"/>
        <w:ind w:left="360"/>
      </w:pPr>
      <w:r>
        <w:rPr>
          <w:color w:val="222222"/>
          <w:sz w:val="20"/>
        </w:rPr>
        <w:t>El ministro reconoció que la iniciativa de reactivación es deficitaria. “Somos muy conservadores y, en ningún caso, decimos que esto no va a tener efecto en recaudación. Lo revelamos con plena transparencia. Hay un efecto recaudación en el año 2030 del orden de US$1.200 millones”, afirmó.</w:t>
      </w:r>
    </w:p>
    <w:p>
      <w:pPr>
        <w:spacing w:before="20"/>
        <w:ind w:left="360"/>
      </w:pPr>
      <w:r>
        <w:rPr>
          <w:color w:val="222222"/>
          <w:sz w:val="20"/>
        </w:rPr>
        <w:t>Y aclaró que “el objeto de este proyecto no es recaudar, es crecer”.</w:t>
      </w:r>
    </w:p>
    <w:p>
      <w:pPr>
        <w:spacing w:before="20"/>
        <w:ind w:left="360"/>
      </w:pPr>
      <w:r>
        <w:rPr>
          <w:color w:val="222222"/>
          <w:sz w:val="20"/>
        </w:rPr>
        <w:t>Quiroz tomó distancia de quienes critican por la falta de compensaciones ante la rebaja de algunos tributos. “Se ha dicho muchas veces que hay que compensar cada aumento de impuesto con otro impuesto. Nosotros pensamos que no”, señaló al explicar que se puede hacer un gasto más eficiente.</w:t>
      </w:r>
    </w:p>
    <w:p>
      <w:pPr>
        <w:spacing w:before="20"/>
        <w:ind w:left="360"/>
      </w:pPr>
      <w:r>
        <w:rPr>
          <w:color w:val="222222"/>
          <w:sz w:val="20"/>
        </w:rPr>
        <w:t>A modo de ejemplo, y sin explicitar la situación del CAE, mencionó que “hemos descubierto que hay gente de sueldos muy altos que no paga, incluso personas con vida pública que no pagan”.</w:t>
      </w:r>
    </w:p>
    <w:p>
      <w:pPr>
        <w:spacing w:before="20"/>
        <w:ind w:left="360"/>
      </w:pPr>
      <w:r>
        <w:rPr>
          <w:color w:val="222222"/>
          <w:sz w:val="20"/>
        </w:rPr>
        <w:t>Puntualizó que “no vemos por qué tenemos que subir los impuestos para poder seguir sosteniendo esos gastos y, por lo tanto, esto hay que verlo también de modo coherente, a pesar de que no es parte de este proyecto, con los esfuerzos fiscales que estamos haciendo de eliminar gasto superfluo, aumentar eficiencia y evitar el fraude social”.</w:t>
      </w:r>
    </w:p>
    <w:p>
      <w:pPr>
        <w:spacing w:before="20"/>
        <w:ind w:left="360"/>
      </w:pPr>
      <w:r>
        <w:rPr>
          <w:color w:val="222222"/>
          <w:sz w:val="20"/>
        </w:rPr>
        <w:t>El ministro también fundamentó en radio Infinita la propuesta de crédito tributario: “Nosotros salimos acá principalmente a retener y a defender el empleo que hay”.</w:t>
      </w:r>
    </w:p>
    <w:p>
      <w:pPr>
        <w:spacing w:before="20"/>
        <w:ind w:left="360"/>
      </w:pPr>
      <w:r>
        <w:rPr>
          <w:color w:val="222222"/>
          <w:sz w:val="20"/>
        </w:rPr>
        <w:t>En lo específico, detalló que esta es una herramienta parte de la rebaja tributaria diferenciada a las empresas. “Está inscrita en ese contexto. Va a favorecer más a quien emplee más, sobre todo los sectores más vulnerables; y está ligado directamente al empleo formal”, explicó.</w:t>
      </w:r>
    </w:p>
    <w:p>
      <w:pPr>
        <w:spacing w:before="20"/>
        <w:ind w:left="360"/>
      </w:pPr>
      <w:r>
        <w:rPr>
          <w:color w:val="222222"/>
          <w:sz w:val="20"/>
        </w:rPr>
        <w:t>En esta línea, dijo que ello es “muy relevante, porque el 85% aproximadamente de las empresas que se benefician con esta rebaja tributaria, son efectivamente las PYME y lo que les preocupa principalmente es la liquidez mes a mes. Esto es una inyección de liquidez mes a mes para las PYME”.</w:t>
      </w:r>
    </w:p>
    <w:p>
      <w:pPr>
        <w:spacing w:before="20"/>
        <w:ind w:left="360"/>
      </w:pPr>
      <w:r>
        <w:rPr>
          <w:color w:val="222222"/>
          <w:sz w:val="20"/>
        </w:rPr>
        <w:t>Y esta es la forma, precisó, que toma esta rebaja tributaria “que equivale a unos tres puntos aproximadamente y que es la que comienza el día número uno”.</w:t>
      </w:r>
    </w:p>
    <w:p>
      <w:pPr>
        <w:spacing w:before="20"/>
        <w:ind w:left="360"/>
      </w:pPr>
      <w:r>
        <w:rPr>
          <w:color w:val="222222"/>
          <w:sz w:val="20"/>
        </w:rPr>
        <w:t>Quiroz también se dio tiempo para valorar el trabajo que han estado realizando en conjunto con el ministro del Interior, Claudio Alvarado, y el titular de la Segpres, José García Ruminot: “Nos hemos complementado extraordinariamente bien con los ministros García Ruminot y Alvarado. Trabajamos juntos, nos repartimos las tareas, estoy feliz trabajando con ellos y supongo que también están felices trabajando conmigo”.</w:t>
      </w:r>
    </w:p>
    <w:p>
      <w:pPr>
        <w:spacing w:before="20"/>
        <w:ind w:left="360"/>
      </w:pPr>
      <w:r>
        <w:rPr>
          <w:color w:val="222222"/>
          <w:sz w:val="20"/>
        </w:rPr>
        <w:t>Consultado por su parecer respecto de la proyección en la opinión pública como una figura más allá de Hacienda, también de peso político con mucho poder, indicó que “yo solo estoy buscando hacer mi trabajo. Tengo el respaldo del Presidente para hacerlo, estamos haciendo transformaciones relevantes y no me parece que la posición de excesivo poder o más poder sea un tema que esté en mi objetivo”.</w:t>
      </w:r>
    </w:p>
    <w:p>
      <w:pPr>
        <w:spacing w:before="20"/>
        <w:ind w:left="360"/>
      </w:pPr>
      <w:r>
        <w:rPr>
          <w:color w:val="222222"/>
          <w:sz w:val="20"/>
        </w:rPr>
        <w:t>Agregó que “el ministerio de Hacienda siempre ha tenido poder y se trata aquí de habitar el cargo, y cuando uno habita el cargo de ministro Hacienda en su plenitud termina ejerciendo el poder que va con el cargo”.</w:t>
      </w:r>
    </w:p>
    <w:p>
      <w:pPr>
        <w:spacing w:before="40" w:after="120"/>
      </w:pPr>
      <w:r>
        <w:rPr>
          <w:color w:val="CCCCCC"/>
        </w:rPr>
        <w:t>· · ·</w:t>
      </w:r>
    </w:p>
    <w:p>
      <w:r>
        <w:rPr>
          <w:b/>
          <w:color w:val="E65000"/>
        </w:rPr>
        <w:t xml:space="preserve">6. </w:t>
      </w:r>
      <w:r>
        <w:rPr>
          <w:b/>
          <w:sz w:val="22"/>
        </w:rPr>
        <w:t>Hacienda afina convocatoria a equipos técnicos por cambios tributarios a régimen de las PYME</w:t>
      </w:r>
    </w:p>
    <w:p>
      <w:pPr>
        <w:spacing w:before="0"/>
      </w:pPr>
      <w:r>
        <w:rPr>
          <w:color w:val="0056B3"/>
          <w:sz w:val="18"/>
        </w:rPr>
        <w:t>https://www.df.cl/economia-y-politica/df-tax/hacienda-afina-convocatoria-a-equipos-tecnicos-por-cambios-tributario-a</w:t>
      </w:r>
    </w:p>
    <w:p>
      <w:pPr>
        <w:spacing w:before="20"/>
        <w:ind w:left="360"/>
      </w:pPr>
      <w:r>
        <w:rPr>
          <w:color w:val="222222"/>
          <w:sz w:val="20"/>
        </w:rPr>
        <w:t>El coordinador de Política Tributaria de la cartera, Sebastián Vallebona, abordó el tema en el marco de un seminario sobre competitividad tributaria.</w:t>
      </w:r>
    </w:p>
    <w:p>
      <w:pPr>
        <w:spacing w:before="20"/>
        <w:ind w:left="360"/>
      </w:pPr>
      <w:r>
        <w:rPr>
          <w:color w:val="222222"/>
          <w:sz w:val="20"/>
        </w:rPr>
        <w:t>Por:José VásquezPublicado: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El evento fue organizado por Tax Foundation, PwC, Fesit y el Colegio de Contadores y moderado por DF.</w:t>
      </w:r>
    </w:p>
    <w:p>
      <w:pPr>
        <w:spacing w:before="20"/>
        <w:ind w:left="360"/>
      </w:pPr>
      <w:r>
        <w:rPr>
          <w:color w:val="222222"/>
          <w:sz w:val="20"/>
        </w:rPr>
        <w:t>El coordinador de Políticas Tributarias del Ministerio de Hacienda, Sebastián Vallebona, defendió este martes el paquete de medidas tributarias contenido en el plan de reconstrucción nacional y desarrollo económico ingresado por el gobierno al Congreso.</w:t>
      </w:r>
    </w:p>
    <w:p>
      <w:pPr>
        <w:spacing w:before="20"/>
        <w:ind w:left="360"/>
      </w:pPr>
      <w:r>
        <w:rPr>
          <w:color w:val="222222"/>
          <w:sz w:val="20"/>
        </w:rPr>
        <w:t>En el marco del seminario “Competitividad tributaria como eje central del plan de reactivación económica”, organizado por el Colegio de Contadores, Fesit, PwC y Tax Foundation -y que contó con la moderación de Diario Financiero-, el abogado profundizó en los principales aspectos de la iniciativa, pero también entregó detalles del proyecto en paralelo que presentará el Ejecutivo para modificar el sistema tributario de las PYME.</w:t>
      </w:r>
    </w:p>
    <w:p>
      <w:pPr>
        <w:spacing w:before="20"/>
        <w:ind w:left="360"/>
      </w:pPr>
      <w:r>
        <w:rPr>
          <w:color w:val="222222"/>
          <w:sz w:val="20"/>
        </w:rPr>
        <w:t>Así, Vallebona anticipó que se realizará una convocatoria a los equipos técnicos de los gremios de pequeñas empresas con el fin de “proponer una iniciativa legislativa en este tema”.</w:t>
      </w:r>
    </w:p>
    <w:p>
      <w:pPr>
        <w:spacing w:before="20"/>
        <w:ind w:left="360"/>
      </w:pPr>
      <w:r>
        <w:rPr>
          <w:color w:val="222222"/>
          <w:sz w:val="20"/>
        </w:rPr>
        <w:t>Esta mesa se da en el contexto de la creación de un nuevo estatuto PYME, el que contempla mantener la tasa tributaria del 12,5% al sector. Cabe recordar que sin mediar cambios, la tasa subiría desde el 12,5% a 15% en 2028 para llegar a un 23% un año más tarde.</w:t>
      </w:r>
    </w:p>
    <w:p>
      <w:pPr>
        <w:spacing w:before="20"/>
        <w:ind w:left="360"/>
      </w:pPr>
      <w:r>
        <w:rPr>
          <w:color w:val="222222"/>
          <w:sz w:val="20"/>
        </w:rPr>
        <w:t>El alto asesor de Hacienda explicó los principales ajustes tributarios del proyecto de reconstrucción, como el crédito tributario para la retención y formalización de trabajadores; el nuevo estatuto de invariabilidad tributaria por hasta 25 años para proyectos desde US$ 50 millones; y la ampliación del beneficio de DFL-2 para propietarios desde tres viviendas con un tope de 90 metros cuadrados cada una, entre otros.</w:t>
      </w:r>
    </w:p>
    <w:p>
      <w:pPr>
        <w:spacing w:before="20"/>
        <w:ind w:left="360"/>
      </w:pPr>
      <w:r>
        <w:rPr>
          <w:color w:val="222222"/>
          <w:sz w:val="20"/>
        </w:rPr>
        <w:t>Vallebona participó en un panel donde compartió con el presidente de la comisión de Hacienda de la Cámara, Agustín Romero; la economista senior de Tax Foundation, Cristina Enache; la socia de Tax &amp; Legal de PwC Chile, Loreto Pelegrí; el presidente de la Comisión Tributaria del Colegio de Contadores, Juan Alberto Pizarro; y el exdecano de Economía y Negocios de la Universidad de Chile, Manuel Agosin.</w:t>
      </w:r>
    </w:p>
    <w:p>
      <w:pPr>
        <w:spacing w:before="20"/>
        <w:ind w:left="360"/>
      </w:pPr>
      <w:r>
        <w:rPr>
          <w:color w:val="222222"/>
          <w:sz w:val="20"/>
        </w:rPr>
        <w:t>Pelegrí calificó como “bajo” el umbral de US$ 50 millones para acoger un proyecto de inversión al nuevo estatuto de invariabilidad tributaria, entendiendo que este límite funciona como justificación para “un régimen contractual de probabilidad tributaria de tan largo plazo”. Junto a ello, Pelegrí ahondó en la duración de la invariabilidad, argumentando que “25 años es mucho. Son seis gobiernos, lo que le daría una rigidez intergeneracional”.</w:t>
      </w:r>
    </w:p>
    <w:p>
      <w:pPr>
        <w:spacing w:before="20"/>
        <w:ind w:left="360"/>
      </w:pPr>
      <w:r>
        <w:rPr>
          <w:color w:val="222222"/>
          <w:sz w:val="20"/>
        </w:rPr>
        <w:t>Romero destacó que en el trabajo prelegislativo a la fecha el proyecto de ley “se ha ido podando”, dejando fuera del documento anexos como la “ley Uber” o la limitación de edad para obtener la gratuidad en la educación superior.</w:t>
      </w:r>
    </w:p>
    <w:p>
      <w:pPr>
        <w:spacing w:before="20"/>
        <w:ind w:left="360"/>
      </w:pPr>
      <w:r>
        <w:rPr>
          <w:color w:val="222222"/>
          <w:sz w:val="20"/>
        </w:rPr>
        <w:t>Dicho esto, según Romero, el paquete quedó como “una combinación de medidas necesarias para lograr un objetivo”, el que debe destacar en “crecimiento, de aumentar la inversión y que finalmente esto se traduzca en empleos y un mejor vivir de nuestro ciudadano”.</w:t>
      </w:r>
    </w:p>
    <w:p>
      <w:pPr>
        <w:spacing w:before="20"/>
        <w:ind w:left="360"/>
      </w:pPr>
      <w:r>
        <w:rPr>
          <w:color w:val="222222"/>
          <w:sz w:val="20"/>
        </w:rPr>
        <w:t>Pizarro, en tanto, sostuvo que a la invariabilidad tributaria habría que agregar el concepto de “neutralidad” para promover el regreso de holdings de empresas que abandonaron el país por razones tributarias.</w:t>
      </w:r>
    </w:p>
    <w:p>
      <w:pPr>
        <w:spacing w:before="20"/>
        <w:ind w:left="360"/>
      </w:pPr>
      <w:r>
        <w:rPr>
          <w:color w:val="222222"/>
          <w:sz w:val="20"/>
        </w:rPr>
        <w:t>Agosin fue más enfático en el tema: “Entre más larga la invariabilidad, mejor”, agregando además que el aspecto principal del proyecto es “que a las personas se les haga más fácil tributar, que las empresas puedan invertir más”, por lo que en su opinión “una poda quizás podría ser muy útil acá” para acotar algunos aspectos amplios del proyecto.</w:t>
      </w:r>
    </w:p>
    <w:p>
      <w:pPr>
        <w:spacing w:before="20"/>
        <w:ind w:left="360"/>
      </w:pPr>
      <w:r>
        <w:rPr>
          <w:color w:val="222222"/>
          <w:sz w:val="20"/>
        </w:rPr>
        <w:t>Desde Washington, Enache puso sobre la mesa la necesidad de adoptar algunos aspectos del sistema tributario de Estonia, ya que el país europeo cuenta “con uno de los sistemas fiscales más competitivos” además de registrar “una recaudación fiscal que es un 175% superior a la de Chile”.</w:t>
      </w:r>
    </w:p>
    <w:p>
      <w:pPr>
        <w:spacing w:before="20"/>
        <w:ind w:left="360"/>
      </w:pPr>
      <w:r>
        <w:rPr>
          <w:color w:val="222222"/>
          <w:sz w:val="20"/>
        </w:rPr>
        <w:t>Ya al cierre, Vallebona defendió que el proyecto tiene que mirarse en su conjunto: “Estas medidas por separado tienen ciertas consecuencias y esto es un proyecto con el que la menor recaudación se está compensando por mayor competitividad, mayor inversión, mayor crecimiento en medidas transitorias”.</w:t>
      </w:r>
    </w:p>
    <w:p>
      <w:pPr>
        <w:spacing w:before="20"/>
        <w:ind w:left="360"/>
      </w:pPr>
      <w:r>
        <w:rPr>
          <w:color w:val="222222"/>
          <w:sz w:val="20"/>
        </w:rPr>
        <w:t>El evento fue organizado por Tax Foundation, PwC, Fesit y el Colegio de Contadores y moderado por DF.</w:t>
      </w:r>
    </w:p>
    <w:p>
      <w:pPr>
        <w:spacing w:before="40" w:after="120"/>
      </w:pPr>
      <w:r>
        <w:rPr>
          <w:color w:val="CCCCCC"/>
        </w:rPr>
        <w:t>· · ·</w:t>
      </w:r>
    </w:p>
    <w:p>
      <w:r>
        <w:rPr>
          <w:b/>
          <w:color w:val="E65000"/>
        </w:rPr>
        <w:t xml:space="preserve">7. </w:t>
      </w:r>
      <w:r>
        <w:rPr>
          <w:b/>
          <w:sz w:val="22"/>
        </w:rPr>
        <w:t>La recaudación de contribuciones de bienes raíces se contrajo en 2025, un hito que no se veía desde la pandemia</w:t>
      </w:r>
    </w:p>
    <w:p>
      <w:pPr>
        <w:spacing w:before="0"/>
      </w:pPr>
      <w:r>
        <w:rPr>
          <w:color w:val="0056B3"/>
          <w:sz w:val="18"/>
        </w:rPr>
        <w:t>https://www.df.cl/economia-y-politica/df-tax/la-recaudacion-de-contribuciones-de-bienes-raices-se-contrajo-en-2025-un</w:t>
      </w:r>
    </w:p>
    <w:p>
      <w:pPr>
        <w:spacing w:before="20"/>
        <w:ind w:left="360"/>
      </w:pPr>
      <w:r>
        <w:rPr>
          <w:color w:val="222222"/>
          <w:sz w:val="20"/>
        </w:rPr>
        <w:t>Las Condes lideró al explicar un 9,8% del total. Le siguió Lo Barnechea, Santiago, Vitacura, Providencia, Colina, Viña del Mar, Antofagasta, Ñuñoa y Pudahuel.</w:t>
      </w:r>
    </w:p>
    <w:p>
      <w:pPr>
        <w:spacing w:before="20"/>
        <w:ind w:left="360"/>
      </w:pPr>
      <w:r>
        <w:rPr>
          <w:color w:val="222222"/>
          <w:sz w:val="20"/>
        </w:rPr>
        <w:t>Publicado: Miércoles 29 de abril de 2026 a las 04:00 hrs.</w:t>
      </w:r>
    </w:p>
    <w:p>
      <w:pPr>
        <w:spacing w:before="20"/>
        <w:ind w:left="360"/>
      </w:pPr>
      <w:r>
        <w:rPr>
          <w:color w:val="222222"/>
          <w:sz w:val="20"/>
        </w:rPr>
        <w:t>Los impuestos han sido una parte central de la discusión delproyecto de ley de reconstrucción y reactivación nacional,ingresado al Congreso hace una semanapor el gobierno de José Antonio Kast.</w:t>
      </w:r>
    </w:p>
    <w:p>
      <w:pPr>
        <w:spacing w:before="20"/>
        <w:ind w:left="360"/>
      </w:pPr>
      <w:r>
        <w:rPr>
          <w:color w:val="222222"/>
          <w:sz w:val="20"/>
        </w:rPr>
        <w:t>La propuesta recorta el impuesto corporativo de 27% a 23%; reintegra el sistema de renta para compañías y sociedades; elimina el tributo a las ganancias de capital en operaciones bursátiles; crea un crédito tributario para la retención y formalización de trabajadores; suspende por un año el IVA a la vivienda; amplía el beneficio tributario para las propiedades económicas DFL-2; y un mecanismo de invariabilidad tributaria por 25 años para inversiones superiores a US$ 50 millones, por solo mencionar algunos.</w:t>
      </w:r>
    </w:p>
    <w:p>
      <w:pPr>
        <w:spacing w:before="20"/>
        <w:ind w:left="360"/>
      </w:pPr>
      <w:r>
        <w:rPr>
          <w:color w:val="222222"/>
          <w:sz w:val="20"/>
        </w:rPr>
        <w:t>Pero no es lo único. Hay un tema mucho más ciudadano que es parte de la discusión del texto, ya quela propuesta busca dejar exentas de contribuciones de bienes raíces a la vivienda principal de los adultos mayores de 65 años. Según cálculos del Ministerio de Hacienda y la Dirección de Presupuestos (Dipres), el costo de este beneficio ascendería a US$ 200 millones, con efecto sobre las arcas de las municipalidades del país.</w:t>
      </w:r>
    </w:p>
    <w:p>
      <w:pPr>
        <w:spacing w:before="20"/>
        <w:ind w:left="360"/>
      </w:pPr>
      <w:r>
        <w:rPr>
          <w:color w:val="222222"/>
          <w:sz w:val="20"/>
        </w:rPr>
        <w:t>Así, a modo de compensación, el Ejecutivo inyectará US$ 130 millones al Fondo Común Municipal (FCM, que se nutre de los ingresos de contribuciones y otros gravámenes) vía Ley de Presupuesto.</w:t>
      </w:r>
    </w:p>
    <w:p>
      <w:pPr>
        <w:spacing w:before="120"/>
        <w:ind w:left="360"/>
      </w:pPr>
      <w:r>
        <w:rPr>
          <w:b/>
          <w:color w:val="E65000"/>
          <w:sz w:val="26"/>
        </w:rPr>
        <w:t xml:space="preserve"> </w:t>
      </w:r>
    </w:p>
    <w:p>
      <w:pPr>
        <w:spacing w:before="20"/>
        <w:ind w:left="360"/>
      </w:pPr>
      <w:r>
        <w:rPr>
          <w:color w:val="222222"/>
          <w:sz w:val="20"/>
        </w:rPr>
        <w:t>En medio de esta discusión, la Tesorería General de la República (TGR) entregó nuevos antecedentes de un gravamen tan recaudador como polémico por estos días.</w:t>
      </w:r>
    </w:p>
    <w:p>
      <w:pPr>
        <w:spacing w:before="20"/>
        <w:ind w:left="360"/>
      </w:pPr>
      <w:r>
        <w:rPr>
          <w:color w:val="222222"/>
          <w:sz w:val="20"/>
        </w:rPr>
        <w:t>En el marco del Informe de Financiamiento Comunal (IFC), el organismo reportó quela recolección por el impuesto territorial cayó el año pasado por primera vez desde la pandemia.</w:t>
      </w:r>
    </w:p>
    <w:p>
      <w:pPr>
        <w:spacing w:before="20"/>
        <w:ind w:left="360"/>
      </w:pPr>
      <w:r>
        <w:rPr>
          <w:color w:val="222222"/>
          <w:sz w:val="20"/>
        </w:rPr>
        <w:t>Lo ingresado por este tributo ascendió a $ 2,6 billones (US$ 2.944 millones), un aumento nominal de 3,4%, aunque al descontársele la inflación, la variación real fue una caída de 0,7% anual.</w:t>
      </w:r>
    </w:p>
    <w:p>
      <w:pPr>
        <w:spacing w:before="20"/>
        <w:ind w:left="360"/>
      </w:pPr>
      <w:r>
        <w:rPr>
          <w:color w:val="222222"/>
          <w:sz w:val="20"/>
        </w:rPr>
        <w:t>Para encontrar un año con retrocesos en la recaudación total hay que remontarse a 2020, período en que la pandemia del Covid 19 aterrizó en el país y obligó al Ejecutivo a legislar alivios tributarios y suspensiones transitorias en el pago de algunas obligaciones, como justamente el impuesto territorial.</w:t>
      </w:r>
    </w:p>
    <w:p>
      <w:pPr>
        <w:spacing w:before="20"/>
        <w:ind w:left="360"/>
      </w:pPr>
      <w:r>
        <w:rPr>
          <w:color w:val="222222"/>
          <w:sz w:val="20"/>
        </w:rPr>
        <w:t>En 2024, el gravamen había recaudado un 10,9% en términos nominales por sobre lo registrado el año previo, mientras que al descontársele la inflación dicha variación totalizó un 6,4%.</w:t>
      </w:r>
    </w:p>
    <w:p>
      <w:pPr>
        <w:spacing w:before="20"/>
        <w:ind w:left="360"/>
      </w:pPr>
      <w:r>
        <w:rPr>
          <w:color w:val="222222"/>
          <w:sz w:val="20"/>
        </w:rPr>
        <w:t>Las cifras se conocen en momentos que el Servicio de Impuestos Internos (SII) está impulsando cambios metodológicos para hacerse cargo de las críticas que han levantado algunos contribuyentes, en el sentido de que los avalúos de los bienes raíces han aumentado de forma desproporcionada, por sobre los ingresos de los propietarios, lo que dificulta en última instancia el pago del gravamen.</w:t>
      </w:r>
    </w:p>
    <w:p>
      <w:pPr>
        <w:spacing w:before="20"/>
        <w:ind w:left="360"/>
      </w:pPr>
      <w:r>
        <w:rPr>
          <w:color w:val="222222"/>
          <w:sz w:val="20"/>
        </w:rPr>
        <w:t>El reporte del ente recaudador confirma la tendencia:hay un puñado de comunas, principalmente del sector oriente de la capital, que explican parte importante de la recaudación del impuesto territorial.</w:t>
      </w:r>
    </w:p>
    <w:p>
      <w:pPr>
        <w:spacing w:before="20"/>
        <w:ind w:left="360"/>
      </w:pPr>
      <w:r>
        <w:rPr>
          <w:color w:val="222222"/>
          <w:sz w:val="20"/>
        </w:rPr>
        <w:t>Las Condes fue la comuna con la mayor recolección de este tributo, representando un 9,8% del total en 2025.</w:t>
      </w:r>
    </w:p>
    <w:p>
      <w:pPr>
        <w:spacing w:before="20"/>
        <w:ind w:left="360"/>
      </w:pPr>
      <w:r>
        <w:rPr>
          <w:color w:val="222222"/>
          <w:sz w:val="20"/>
        </w:rPr>
        <w:t>Le siguióLo Barnechea, Santiago,Vitacura, Providencia, Colina, Viña del Mar, Antofagasta, Ñuñoa y Pudahuel. Estas 10 comunas explican un 39,6% de lo ingresado por el impuesto(ver gráfico).</w:t>
      </w:r>
    </w:p>
    <w:p>
      <w:pPr>
        <w:spacing w:before="20"/>
        <w:ind w:left="360"/>
      </w:pPr>
      <w:r>
        <w:rPr>
          <w:color w:val="222222"/>
          <w:sz w:val="20"/>
        </w:rPr>
        <w:t>Asimismo, las contribuciones de bienes raíces fueron la principal fuente de financiamiento del FCM durante el año pasado, explicando un 60,5% del fondo, superando a los permisos de circulación (24,9%) y las patentes comerciales (10,6%).</w:t>
      </w:r>
    </w:p>
    <w:p>
      <w:pPr>
        <w:spacing w:before="40" w:after="120"/>
      </w:pPr>
      <w:r>
        <w:rPr>
          <w:color w:val="CCCCCC"/>
        </w:rPr>
        <w:t>· · ·</w:t>
      </w:r>
    </w:p>
    <w:p>
      <w:r>
        <w:rPr>
          <w:b/>
          <w:color w:val="E65000"/>
        </w:rPr>
        <w:t xml:space="preserve">8. </w:t>
      </w:r>
      <w:r>
        <w:rPr>
          <w:b/>
          <w:sz w:val="22"/>
        </w:rPr>
        <w:t>Oposición contraataca e incluye el informe financiero entre las 23 inconsistencias que detecta en la propuesta de reactivación</w:t>
      </w:r>
    </w:p>
    <w:p>
      <w:pPr>
        <w:spacing w:before="0"/>
      </w:pPr>
      <w:r>
        <w:rPr>
          <w:color w:val="0056B3"/>
          <w:sz w:val="18"/>
        </w:rPr>
        <w:t>https://www.df.cl/economia-y-politica/df-tax/oposicion-contraataca-e-incluye-el-informe-financiero-entre-las-23</w:t>
      </w:r>
    </w:p>
    <w:p>
      <w:pPr>
        <w:spacing w:before="20"/>
        <w:ind w:left="360"/>
      </w:pPr>
      <w:r>
        <w:rPr>
          <w:color w:val="222222"/>
          <w:sz w:val="20"/>
        </w:rPr>
        <w:t>La minuta elaborada por asesores fue presentada en el marco de la mesa de representantes técnicos ayer en Teatinos 120.</w:t>
      </w:r>
    </w:p>
    <w:p>
      <w:pPr>
        <w:spacing w:before="20"/>
        <w:ind w:left="360"/>
      </w:pPr>
      <w:r>
        <w:rPr>
          <w:color w:val="222222"/>
          <w:sz w:val="20"/>
        </w:rPr>
        <w:t>Publicado: Miércoles 29 de abril de 2026 a las 04:00 hrs.</w:t>
      </w:r>
    </w:p>
    <w:p>
      <w:pPr>
        <w:spacing w:before="20"/>
        <w:ind w:left="360"/>
      </w:pPr>
      <w:r>
        <w:rPr>
          <w:color w:val="222222"/>
          <w:sz w:val="20"/>
        </w:rPr>
        <w:t>Los asesores de oposición han sostenido reuniones también con sus partidos en las últimas semanas. Foto: Aton.</w:t>
      </w:r>
    </w:p>
    <w:p>
      <w:pPr>
        <w:spacing w:before="20"/>
        <w:ind w:left="360"/>
      </w:pPr>
      <w:r>
        <w:rPr>
          <w:color w:val="222222"/>
          <w:sz w:val="20"/>
        </w:rPr>
        <w:t>Este martes, la primera reunión técnica entre representantes de Hacienda y los representantes de parlamentarios de la comisión del ramo de la Cámara de Diputados por el proyecto de reactivación y reconstrucción, estuvo marcada por una situación particular. Asesores de oposición llegaron a la cita con una minuta de 14 páginas donde advierten a sus contrapartes una serie de problemáticas, apuntando también al informe financiero del texto y que fue elaborado por la Dirección de Presupuestos (Dipres).</w:t>
      </w:r>
    </w:p>
    <w:p>
      <w:pPr>
        <w:spacing w:before="20"/>
        <w:ind w:left="360"/>
      </w:pPr>
      <w:r>
        <w:rPr>
          <w:color w:val="222222"/>
          <w:sz w:val="20"/>
        </w:rPr>
        <w:t>Entre los asistentes se encontraban Cristián Cataldo y Nicolás Bohme en representación del diputado Boris Barrera; Pablo Verdugo por la diputada Priscilla Castillo; y Jorge Berríos y Francisco Castillo por el independiente Carlos Bianchi.</w:t>
      </w:r>
    </w:p>
    <w:p>
      <w:pPr>
        <w:spacing w:before="20"/>
        <w:ind w:left="360"/>
      </w:pPr>
      <w:r>
        <w:rPr>
          <w:color w:val="222222"/>
          <w:sz w:val="20"/>
        </w:rPr>
        <w:t>El análisis del documento se centra en cinco ejes: inconsistencias del informe financiero; incorporación de acuerdos tomados en la tramitación y que reducen los ingresos del Fisco; estimación de medidas con impacto en el gasto fiscal; la estimación de medidas con efecto  tributario; y efectos indirectos sobre el crecimiento económico y la recaudación fiscal.</w:t>
      </w:r>
    </w:p>
    <w:p>
      <w:pPr>
        <w:spacing w:before="20"/>
        <w:ind w:left="360"/>
      </w:pPr>
      <w:r>
        <w:rPr>
          <w:color w:val="222222"/>
          <w:sz w:val="20"/>
        </w:rPr>
        <w:t>Una de las primeras observaciones es que una de las tablas del informe financiero donde el Ejecutivo señala las medidas como porcentaje del PIB, se muestra que dentro de los “efectos en recaudación por crecimiento”, el apartado de “adelantamiento de inversiones tendrá un efecto recaudatorio por 0,10 punto porcentual (pp.) del PIB. Sin embargo, en otra tabla, donde se muestran las medidas en millones de pesos de 2026, la misma iniciativa muestra $ 0.</w:t>
      </w:r>
    </w:p>
    <w:p>
      <w:pPr>
        <w:spacing w:before="20"/>
        <w:ind w:left="360"/>
      </w:pPr>
      <w:r>
        <w:rPr>
          <w:color w:val="222222"/>
          <w:sz w:val="20"/>
        </w:rPr>
        <w:t>“Se genera una diferencia relevante en la proyección de costo fiscal para el año 2026. En la tabla 13, se estima un costo fiscal de 0,09% del PIB, lo que equivale a aproximadamente $ 350.000 millones. En cambio, en la tabla 14, el costo fiscal estimado para el año 2026 es de $ 838.000 millones. Hay una diferencia de $ 400.000 millones en el costo entre dos tablas distintas”, advierte la minuta.</w:t>
      </w:r>
    </w:p>
    <w:p>
      <w:pPr>
        <w:spacing w:before="20"/>
        <w:ind w:left="360"/>
      </w:pPr>
      <w:r>
        <w:rPr>
          <w:color w:val="222222"/>
          <w:sz w:val="20"/>
        </w:rPr>
        <w:t>El texto apunta a la reducción en la tasa corporativa para las PYME, que el Ejecutivo incorporará en otra iniciativa para mantener el tributo en 12,5%. A esto se suma otro compromiso para aplicar el Bolsillo Familiar Electrónico a la compra de medicamentos y pañales.</w:t>
      </w:r>
    </w:p>
    <w:p>
      <w:pPr>
        <w:spacing w:before="20"/>
        <w:ind w:left="360"/>
      </w:pPr>
      <w:r>
        <w:rPr>
          <w:color w:val="222222"/>
          <w:sz w:val="20"/>
        </w:rPr>
        <w:t>Ambas medidas, calculan los asesores, implicarán menores ingresos al Fisco por US$ 1.000 millones: “Aunque dicha propuesta legislativa estaría contenida en otro proyecto de ley, correspondería sumarla en la proyección fiscal que se desprende de la reforma en discusión”, exponen.</w:t>
      </w:r>
    </w:p>
    <w:p>
      <w:pPr>
        <w:spacing w:before="20"/>
        <w:ind w:left="360"/>
      </w:pPr>
      <w:r>
        <w:rPr>
          <w:color w:val="222222"/>
          <w:sz w:val="20"/>
        </w:rPr>
        <w:t>Otro punto es que el informe financiero estima un efecto total de la rebaja del impuesto corporativo, en régimen, equivalente a 0,44% del PIB, de los cuales 0,41% del PIB corresponden al efecto sobre el régimen general semi integrado.</w:t>
      </w:r>
    </w:p>
    <w:p>
      <w:pPr>
        <w:spacing w:before="20"/>
        <w:ind w:left="360"/>
      </w:pPr>
      <w:r>
        <w:rPr>
          <w:color w:val="222222"/>
          <w:sz w:val="20"/>
        </w:rPr>
        <w:t>En cambio, sostienen, el Informe de Estadísticas Tributarias de Hacienda (marzo 2026) proyecta que el efecto en recaudación de disminuir cuatro puntos porcentuales la tasa de Primera Categoría asciende a 0,52% del PIB: “ Es decir, es aproximadamente US$ 400 millones superior a lo estimado en el informe financiero”, alertan.</w:t>
      </w:r>
    </w:p>
    <w:p>
      <w:pPr>
        <w:spacing w:before="20"/>
        <w:ind w:left="360"/>
      </w:pPr>
      <w:r>
        <w:rPr>
          <w:color w:val="222222"/>
          <w:sz w:val="20"/>
        </w:rPr>
        <w:t>Arremeten también contra los cálculos del efecto fiscal de la reintegración del sistema. Exponen que el informe financiero estima menores ingresos de 0,04% del PIB al año 2030, que en régimen (2034) llegaría a 0,12% del PIB.</w:t>
      </w:r>
    </w:p>
    <w:p>
      <w:pPr>
        <w:spacing w:before="20"/>
        <w:ind w:left="360"/>
      </w:pPr>
      <w:r>
        <w:rPr>
          <w:color w:val="222222"/>
          <w:sz w:val="20"/>
        </w:rPr>
        <w:t>“Esta proyección está subestimada en al menos un 50%”, dice la minuta, entregando -entre otras razones- antecedentes como que ●el citado informe de Hacienda estimaba el efecto fiscal en 0,27% del PIB; mientras que el informe financiero de la ley de modernización tributaria del segundo gobierno de Sebastián Piñera calculaba en 0,2% del PIB el costo.</w:t>
      </w:r>
    </w:p>
    <w:p>
      <w:pPr>
        <w:spacing w:before="20"/>
        <w:ind w:left="360"/>
      </w:pPr>
      <w:r>
        <w:rPr>
          <w:color w:val="222222"/>
          <w:sz w:val="20"/>
        </w:rPr>
        <w:t>Los asesores también cuestionan que se incorpore como ahorro en el proyecto de ley la ampliación del incentivo al retiro de funcionarios públicos; piden detalles de por qué que se omite una estimación del costo fiscal de la norma que obliga al Fisco a reembolsar gastos incurridos en el desarrollo de proyectos en caso de anulación de Resolución de Calificación Ambiental (RCA); consultan por qué Hacienda estima ahorros por US$ 330 millones en la eliminación de la franquicia tributaria Sence, cuando el gasto ha rondado los US$ 200 millones; piden incluir el efecto de la nueva franquicia DFL-2 para personas jurídicas y no solo naturales; además de entregar más detalles sobre el efecto en el crecimiento económico de la invariabilidad tributaria; y corregir el “error” en la estimación del efecto de los cambios en la tramitación de permisos ambientales sobre la actividad, ya que el Ejecutivo estima una reducción de plazos equivalentes a 2,6 años, lo que representa una sobreestimación de 40% respecto a lo proyectado en el propio informe financiero.</w:t>
      </w:r>
    </w:p>
    <w:p>
      <w:pPr>
        <w:spacing w:before="40" w:after="120"/>
      </w:pPr>
      <w:r>
        <w:rPr>
          <w:color w:val="CCCCCC"/>
        </w:rPr>
        <w:t>· · ·</w:t>
      </w:r>
    </w:p>
    <w:p>
      <w:r>
        <w:rPr>
          <w:b/>
          <w:color w:val="E65000"/>
        </w:rPr>
        <w:t xml:space="preserve">9. </w:t>
      </w:r>
      <w:r>
        <w:rPr>
          <w:b/>
          <w:sz w:val="22"/>
        </w:rPr>
        <w:t>Ipsos: alza de los combustibles borró el repunte de la confianza de los consumidores</w:t>
      </w:r>
    </w:p>
    <w:p>
      <w:pPr>
        <w:spacing w:before="0"/>
      </w:pPr>
      <w:r>
        <w:rPr>
          <w:color w:val="0056B3"/>
          <w:sz w:val="18"/>
        </w:rPr>
        <w:t>https://www.df.cl/economia-y-politica/macro/ipsos-alza-de-los-combustibles-borro-el-repunte-de-la-confianza-de-los</w:t>
      </w:r>
    </w:p>
    <w:p>
      <w:pPr>
        <w:spacing w:before="20"/>
        <w:ind w:left="360"/>
      </w:pPr>
      <w:r>
        <w:rPr>
          <w:color w:val="222222"/>
          <w:sz w:val="20"/>
        </w:rPr>
        <w:t>El desánimo se constató en diversas dimensiones medidas, incluida la relativa a las expectativas, que perdió 18 escalones. El mundo acusó el mismo golpe.</w:t>
      </w:r>
    </w:p>
    <w:p>
      <w:pPr>
        <w:spacing w:before="20"/>
        <w:ind w:left="360"/>
      </w:pPr>
      <w:r>
        <w:rPr>
          <w:color w:val="222222"/>
          <w:sz w:val="20"/>
        </w:rPr>
        <w:t>Por:R. LUCERO Y C. LEÓNPublicado: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Una brusca caída de 7,5 puntos acusó el Índice de Confianza del Consumidor (CCI, por su sigla en inglés) de Ipsos durante este mes respecto a lo ocurrido en marzo para retroceder hasta los 41,3 puntos.</w:t>
      </w:r>
    </w:p>
    <w:p>
      <w:pPr>
        <w:spacing w:before="20"/>
        <w:ind w:left="360"/>
      </w:pPr>
      <w:r>
        <w:rPr>
          <w:color w:val="222222"/>
          <w:sz w:val="20"/>
        </w:rPr>
        <w:t>De hecho, se trató del segundo descenso más pronunciado entre las 30 economías que considera la medición, según hizo ver el reporte de la empresa en Chile. Dado este desempeño, cayó siete puestos en la clasificación de naciones hasta el puesto 24.</w:t>
      </w:r>
    </w:p>
    <w:p>
      <w:pPr>
        <w:spacing w:before="20"/>
        <w:ind w:left="360"/>
      </w:pPr>
      <w:r>
        <w:rPr>
          <w:color w:val="222222"/>
          <w:sz w:val="20"/>
        </w:rPr>
        <w:t>Incluso el CCI local ahora está 1,8 puntos por debajo de su lectura de la misma época del año pasado.</w:t>
      </w:r>
    </w:p>
    <w:p>
      <w:pPr>
        <w:spacing w:before="20"/>
        <w:ind w:left="360"/>
      </w:pPr>
      <w:r>
        <w:rPr>
          <w:color w:val="222222"/>
          <w:sz w:val="20"/>
        </w:rPr>
        <w:t>El country manager de Ipsos Chile, Nicolás Fritis, reparó en que hubo un encadenamiento de hechos que derrumbaron el ánimo mientras se realizaba el sondeo entre el 20 de marzo y el 3 de abril. A la guerra entre Estados Unidos e Irán y la consecuente alza del petróleo debido al conflicto que se venía arrastrando desde fines de febrero, se sumó la decisión del gobierno de realizar cambios en el Mecanismo de Estabilización de los Precios de los Combustibles (Mepco), lo que trajo consigo el mayor aumento de las gasolinas en casi 50 años en el país.</w:t>
      </w:r>
    </w:p>
    <w:p>
      <w:pPr>
        <w:spacing w:before="20"/>
        <w:ind w:left="360"/>
      </w:pPr>
      <w:r>
        <w:rPr>
          <w:color w:val="222222"/>
          <w:sz w:val="20"/>
        </w:rPr>
        <w:t>“El bajo nivel de confianza que refleja este resultado no es novedad en el país, ya que solo hay que remontarse a septiembre de 2024, hace un año y medio atrás, para encontrar un puntaje más bajo. Más llamativo es lo brusco de la caída en la moral de los consumidores”, dijo el ejecutivo.</w:t>
      </w:r>
    </w:p>
    <w:p>
      <w:pPr>
        <w:spacing w:before="20"/>
        <w:ind w:left="360"/>
      </w:pPr>
      <w:r>
        <w:rPr>
          <w:color w:val="222222"/>
          <w:sz w:val="20"/>
        </w:rPr>
        <w:t>Para poner en perspectiva su mirada, Fritis precisó que la disminución mensual de esta magnitud más reciente en el índice de Chile fue hace cinco años, cuando la cuarentena nacional por pandemia en abril de 2021 llevó a una baja de 9,1 puntos en el índice.</w:t>
      </w:r>
    </w:p>
    <w:p>
      <w:pPr>
        <w:spacing w:before="20"/>
        <w:ind w:left="360"/>
      </w:pPr>
      <w:r>
        <w:rPr>
          <w:color w:val="222222"/>
          <w:sz w:val="20"/>
        </w:rPr>
        <w:t>“Esto nos revela lo frágil que puede ser nuestra economía frente a las disrupciones geopolíticas externas y lo sensible que es el precio de los combustibles para los consumidores de Chile”, afirmó.</w:t>
      </w:r>
    </w:p>
    <w:p>
      <w:pPr>
        <w:spacing w:before="20"/>
        <w:ind w:left="360"/>
      </w:pPr>
      <w:r>
        <w:rPr>
          <w:color w:val="222222"/>
          <w:sz w:val="20"/>
        </w:rPr>
        <w:t>Aquí recordó el recientemente publicado Informe de movilidad de Ipsos, que corroboró que el auto es el medio de transporte preferido de las personas en el país.</w:t>
      </w:r>
    </w:p>
    <w:p>
      <w:pPr>
        <w:spacing w:before="20"/>
        <w:ind w:left="360"/>
      </w:pPr>
      <w:r>
        <w:rPr>
          <w:color w:val="222222"/>
          <w:sz w:val="20"/>
        </w:rPr>
        <w:t>Al analizar el detalle de los resultados de esta edición del índice, advirtió “el amplio y profundo alcance que tiene un alza tan grande en los combustibles para la economía de los hogares chilenos”.</w:t>
      </w:r>
    </w:p>
    <w:p>
      <w:pPr>
        <w:spacing w:before="20"/>
        <w:ind w:left="360"/>
      </w:pPr>
      <w:r>
        <w:rPr>
          <w:color w:val="222222"/>
          <w:sz w:val="20"/>
        </w:rPr>
        <w:t>Decidor, tres de los cuatro subíndices de Chile registraron bajas muy significativas, entre ocho y 10 puntos, mientras que en el de Trabajo fue más leve y solo descendió 1,9 puntos.</w:t>
      </w:r>
    </w:p>
    <w:p>
      <w:pPr>
        <w:spacing w:before="20"/>
        <w:ind w:left="360"/>
      </w:pPr>
      <w:r>
        <w:rPr>
          <w:color w:val="222222"/>
          <w:sz w:val="20"/>
        </w:rPr>
        <w:t>Fritis indicó que el porcentaje de encuestados de Chile que está más cómodo al realizar compras para el hogar retrocedió 10 puntos porcentuales hasta 34%. Senda caída registró también la capacidad de ahorro e inversión para el futuro.</w:t>
      </w:r>
    </w:p>
    <w:p>
      <w:pPr>
        <w:spacing w:before="20"/>
        <w:ind w:left="360"/>
      </w:pPr>
      <w:r>
        <w:rPr>
          <w:color w:val="222222"/>
          <w:sz w:val="20"/>
        </w:rPr>
        <w:t>Y, tal como mencionaron en la anterior edición, cuando la confianza se sostiene en expectativas de un futuro incierto, el golpe de realidad puede ser duro: 18 puntos porcentuales disminuyeron las expectativas de una economía local más fuerte para los próximos seis meses, al pasar de 56% a 38%.</w:t>
      </w:r>
    </w:p>
    <w:p>
      <w:pPr>
        <w:spacing w:before="20"/>
        <w:ind w:left="360"/>
      </w:pPr>
      <w:r>
        <w:rPr>
          <w:color w:val="222222"/>
          <w:sz w:val="20"/>
        </w:rPr>
        <w:t>La escalada del conflicto en Medio Oriente y el bloqueo del estrecho de Ormuz también golpeó en la confianza de los consumidores del mundo. Entre las 30 economías medidas, 20 países mostraron descensos significativos, mientras que ninguno exhibió un aumento notable.</w:t>
      </w:r>
    </w:p>
    <w:p>
      <w:pPr>
        <w:spacing w:before="20"/>
        <w:ind w:left="360"/>
      </w:pPr>
      <w:r>
        <w:rPr>
          <w:color w:val="222222"/>
          <w:sz w:val="20"/>
        </w:rPr>
        <w:t>El Índice Global de Confianza del Consumidor de Ipsos bajó 2,7 puntos este mes y se situó en 46,7. Esta es su segunda mayor caída hasta la fecha, solo por detrás de abril de 2020, la primera lectura tras el inicio de la pandemia. Ahora está un punto por debajo del nivel de la misma época de 2025.</w:t>
      </w:r>
    </w:p>
    <w:p>
      <w:pPr>
        <w:spacing w:before="40" w:after="120"/>
      </w:pPr>
      <w:r>
        <w:rPr>
          <w:color w:val="CCCCCC"/>
        </w:rPr>
        <w:t>· · ·</w:t>
      </w:r>
    </w:p>
    <w:p>
      <w:r>
        <w:rPr>
          <w:b/>
          <w:color w:val="E65000"/>
        </w:rPr>
        <w:t xml:space="preserve">10. </w:t>
      </w:r>
      <w:r>
        <w:rPr>
          <w:b/>
          <w:sz w:val="22"/>
        </w:rPr>
        <w:t>“Tanto necesarias como atractivas”: cámaras extranjeras valoran foco en inversión en proyecto del gobierno</w:t>
      </w:r>
    </w:p>
    <w:p>
      <w:pPr>
        <w:spacing w:before="0"/>
      </w:pPr>
      <w:r>
        <w:rPr>
          <w:color w:val="0056B3"/>
          <w:sz w:val="18"/>
        </w:rPr>
        <w:t>https://www.df.cl/economia-y-politica/df-tax/tanto-necesarias-como-atractivas-camaras-extranjeras-valoran-foco-en</w:t>
      </w:r>
    </w:p>
    <w:p>
      <w:pPr>
        <w:spacing w:before="20"/>
        <w:ind w:left="360"/>
      </w:pPr>
      <w:r>
        <w:rPr>
          <w:color w:val="222222"/>
          <w:sz w:val="20"/>
        </w:rPr>
        <w:t>Seis asociaciones comerciales expusieron su visión acerca de la invariabilidad tributaria y la reducción en tiempos de permisos sectoriales.</w:t>
      </w:r>
    </w:p>
    <w:p>
      <w:pPr>
        <w:spacing w:before="20"/>
        <w:ind w:left="360"/>
      </w:pPr>
      <w:r>
        <w:rPr>
          <w:color w:val="222222"/>
          <w:sz w:val="20"/>
        </w:rPr>
        <w:t>Por:A. Santillán y F. ArancibiaPublicado: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Acompañado de ministros, el Presidente Kast firmó el proyecto el miércoles pasado. Foto: Presidencia.</w:t>
      </w:r>
    </w:p>
    <w:p>
      <w:pPr>
        <w:spacing w:before="20"/>
        <w:ind w:left="360"/>
      </w:pPr>
      <w:r>
        <w:rPr>
          <w:color w:val="222222"/>
          <w:sz w:val="20"/>
        </w:rPr>
        <w:t>Las medidas proinversión incluidas por el gobierno en elproyecto de ley de reconstrucción y reactivaciónde la economía recibieron el visto bueno de parte de lacámaras de comercio internacionales.</w:t>
      </w:r>
    </w:p>
    <w:p>
      <w:pPr>
        <w:spacing w:before="20"/>
        <w:ind w:left="360"/>
      </w:pPr>
      <w:r>
        <w:rPr>
          <w:color w:val="222222"/>
          <w:sz w:val="20"/>
        </w:rPr>
        <w:t>Distintas asociaciones presentes en el país destacaron que el contenido de la iniciativa avanza en la certeza jurídica, así como en procesos eficientes y marcos regulatorios predecibles.</w:t>
      </w:r>
    </w:p>
    <w:p>
      <w:pPr>
        <w:spacing w:before="20"/>
        <w:ind w:left="360"/>
      </w:pPr>
      <w:r>
        <w:rPr>
          <w:color w:val="222222"/>
          <w:sz w:val="20"/>
        </w:rPr>
        <w:t>Con el fin de promover el crecimiento económico y el empleo, el Ejecutivo incluyó entre sus propuestas el establecimiento de la invariabilidad tributaria, una figura que regiría desde el 1 de enero de 2027 tanto a inversionistas locales como extranjeros, y que asegura una carga total máxima de impuestos a la renta por 25 años, siempre y cuando el monto supere un mínimo de inversión de US$ 50 millones.</w:t>
      </w:r>
    </w:p>
    <w:p>
      <w:pPr>
        <w:spacing w:before="120"/>
        <w:ind w:left="360"/>
      </w:pPr>
      <w:r>
        <w:rPr>
          <w:b/>
          <w:color w:val="E65000"/>
          <w:sz w:val="26"/>
        </w:rPr>
        <w:t xml:space="preserve"> </w:t>
      </w:r>
    </w:p>
    <w:p>
      <w:pPr>
        <w:spacing w:before="20"/>
        <w:ind w:left="360"/>
      </w:pPr>
      <w:r>
        <w:rPr>
          <w:color w:val="222222"/>
          <w:sz w:val="20"/>
        </w:rPr>
        <w:t>A esto se uniría la idea de reducir de dos años a seis meses el plazo de invalidación de los permisos sectoriales otorgados por parte de la misma administración que los otorgó en primer lugar, de dos años a seis meses.</w:t>
      </w:r>
    </w:p>
    <w:p>
      <w:pPr>
        <w:spacing w:before="20"/>
        <w:ind w:left="360"/>
      </w:pPr>
      <w:r>
        <w:rPr>
          <w:color w:val="222222"/>
          <w:sz w:val="20"/>
        </w:rPr>
        <w:t>Ambas son acciones clave para los inversionistas extranjeros, ya que las cámaras reconocen que Chile poseé una institucionalidad sólida, pero advierten que los tiempos de tramitación de autorizaciones para un proyecto se han convertido en un desafío en los últimos años.</w:t>
      </w:r>
    </w:p>
    <w:p>
      <w:pPr>
        <w:spacing w:before="20"/>
        <w:ind w:left="360"/>
      </w:pPr>
      <w:r>
        <w:rPr>
          <w:color w:val="222222"/>
          <w:sz w:val="20"/>
        </w:rPr>
        <w:t>La cartera de proyectos de inversión extranjera terminó el año pasado con US$ 65.689 millones y fue 16,8% más alta que en 2024, de acuerdo con InvestChile. Los principales países de origen fueron Estados Unidos (US$ 19.090 millones), Dinamarca (US$ 11.307 millones), Reino Unido (US$ 7.658 millones), Canadá (US$ 7.361 millones), China (US$ 4.227 millones) y España (US$ 3.432 millones).</w:t>
      </w:r>
    </w:p>
    <w:p>
      <w:pPr>
        <w:spacing w:before="20"/>
        <w:ind w:left="360"/>
      </w:pPr>
      <w:r>
        <w:rPr>
          <w:color w:val="222222"/>
          <w:sz w:val="20"/>
        </w:rPr>
        <w:t>Más atrás se ubican Brasil, Arabia Saudita, Italia y Francia.</w:t>
      </w:r>
    </w:p>
    <w:p>
      <w:pPr>
        <w:spacing w:before="20"/>
        <w:ind w:left="360"/>
      </w:pPr>
      <w:r>
        <w:rPr>
          <w:color w:val="222222"/>
          <w:sz w:val="20"/>
        </w:rPr>
        <w:t>La Cámara Chilena Norteamericana de Comercio (AmCham Chile) valoró las medidas propuestas por el Ejecutivo y destacó que incluso la misma asociación ha planteado que la permisología y la previsibilidad tributaria son dos de los principales habilitadores para destrabar la inversión en Chile.</w:t>
      </w:r>
    </w:p>
    <w:p>
      <w:pPr>
        <w:spacing w:before="20"/>
        <w:ind w:left="360"/>
      </w:pPr>
      <w:r>
        <w:rPr>
          <w:color w:val="222222"/>
          <w:sz w:val="20"/>
        </w:rPr>
        <w:t>“Avanzar en invariabilidad y en reducción de plazos sectoriales apunta a lo que el inversionista de largo plazo evalúa al decidir dónde desplegar capital: certeza en las reglas y tiempos razonables de ejecución de los proyectos”, dijo el presidente de AmCham Chile, Nicolás Goldstein.</w:t>
      </w:r>
    </w:p>
    <w:p>
      <w:pPr>
        <w:spacing w:before="20"/>
        <w:ind w:left="360"/>
      </w:pPr>
      <w:r>
        <w:rPr>
          <w:color w:val="222222"/>
          <w:sz w:val="20"/>
        </w:rPr>
        <w:t>A su juicio, lo importante será que las iniciativas se traduzcan en mecanismos efectivos de implementación, que permitan dar “señales claras, estables y oportunas”.</w:t>
      </w:r>
    </w:p>
    <w:p>
      <w:pPr>
        <w:spacing w:before="20"/>
        <w:ind w:left="360"/>
      </w:pPr>
      <w:r>
        <w:rPr>
          <w:color w:val="222222"/>
          <w:sz w:val="20"/>
        </w:rPr>
        <w:t>Goldstein destacó que Estados Unidos es el principal origen de inversión extranjera con más de US$ 19 mil millones en proyectos y que en los últimos meses se ha confirmado el interés por desarrollar proyectos de largo plazo en el país.</w:t>
      </w:r>
    </w:p>
    <w:p>
      <w:pPr>
        <w:spacing w:before="20"/>
        <w:ind w:left="360"/>
      </w:pPr>
      <w:r>
        <w:rPr>
          <w:color w:val="222222"/>
          <w:sz w:val="20"/>
        </w:rPr>
        <w:t>“El desafío es convertir ese interés en inversión efectiva, y para eso es clave avanzar en habilitadores como certeza jurídica, eficiencia en los procesos de permisos y marcos regulatorios predecibles”, explicó.</w:t>
      </w:r>
    </w:p>
    <w:p>
      <w:pPr>
        <w:spacing w:before="20"/>
        <w:ind w:left="360"/>
      </w:pPr>
      <w:r>
        <w:rPr>
          <w:color w:val="222222"/>
          <w:sz w:val="20"/>
        </w:rPr>
        <w:t>Así, manifestó que si bien el país posee una institucionalidad sólida, elemento que lo diferencia en la región, todavía quedan pendientes en la certeza jurídica.</w:t>
      </w:r>
    </w:p>
    <w:p>
      <w:pPr>
        <w:spacing w:before="20"/>
        <w:ind w:left="360"/>
      </w:pPr>
      <w:r>
        <w:rPr>
          <w:color w:val="222222"/>
          <w:sz w:val="20"/>
        </w:rPr>
        <w:t>“Hoy uno de los principales desafíos está en la previsibilidad de los procesos de inversión, especialmente en materia de permisos, donde los plazos y la coordinación institucional inciden directamente en la percepción de riesgo”.</w:t>
      </w:r>
    </w:p>
    <w:p>
      <w:pPr>
        <w:spacing w:before="20"/>
        <w:ind w:left="360"/>
      </w:pPr>
      <w:r>
        <w:rPr>
          <w:color w:val="222222"/>
          <w:sz w:val="20"/>
        </w:rPr>
        <w:t>Por el lado de la Cámara Chileno Canadiense resaltaron la importancia de que, en un mundo en el que los países compiten por la inversión, Chile dé garantías de estabilidad, algo que entregaría la invariabilidad tributaria.</w:t>
      </w:r>
    </w:p>
    <w:p>
      <w:pPr>
        <w:spacing w:before="20"/>
        <w:ind w:left="360"/>
      </w:pPr>
      <w:r>
        <w:rPr>
          <w:color w:val="222222"/>
          <w:sz w:val="20"/>
        </w:rPr>
        <w:t>De esta forma, frente a la medida propuesta, la presidenta de la asociación, Patricia Núñez, precisó que más que el plazo propuesto de 25 años, debiese consagrarse dicha estabilidad durante toda la vida útil del proyecto.</w:t>
      </w:r>
    </w:p>
    <w:p>
      <w:pPr>
        <w:spacing w:before="20"/>
        <w:ind w:left="360"/>
      </w:pPr>
      <w:r>
        <w:rPr>
          <w:color w:val="222222"/>
          <w:sz w:val="20"/>
        </w:rPr>
        <w:t>“En efecto, por ejemplo, en materia minera, los proyectos pueden fácilmente extenderse más allá del plazo de 25 años y resulta esencial que el régimen de invariabilidad tributaria esté vigente al momento de la repatriación de los capitales invertidos, lo que ocurre al término de la vida de un proyecto”, explicó.</w:t>
      </w:r>
    </w:p>
    <w:p>
      <w:pPr>
        <w:spacing w:before="20"/>
        <w:ind w:left="360"/>
      </w:pPr>
      <w:r>
        <w:rPr>
          <w:color w:val="222222"/>
          <w:sz w:val="20"/>
        </w:rPr>
        <w:t>Mientras que en materia de permisos “es necesario abordar el problema”,  incluyendo temas como plazos, discrecionalidad administrativa excesiva, “y tantos otros que estaban operando como verdaderos desincentivos a la inversión”.</w:t>
      </w:r>
    </w:p>
    <w:p>
      <w:pPr>
        <w:spacing w:before="20"/>
        <w:ind w:left="360"/>
      </w:pPr>
      <w:r>
        <w:rPr>
          <w:color w:val="222222"/>
          <w:sz w:val="20"/>
        </w:rPr>
        <w:t>Así, destacó que en el actual escenario internacional -con la guerra en Irán, alza en el precio de petróleo y efectos en la inflación- “Chile tiene una tremenda oportunidad”.</w:t>
      </w:r>
    </w:p>
    <w:p>
      <w:pPr>
        <w:spacing w:before="20"/>
        <w:ind w:left="360"/>
      </w:pPr>
      <w:r>
        <w:rPr>
          <w:color w:val="222222"/>
          <w:sz w:val="20"/>
        </w:rPr>
        <w:t>“Los capitales canadienses se han estado reorientando en términos de inversión en virtud del complejo panorama geopolítico, por lo que una parte importante de dichos capitales podría verse incentivada a ingresar a Chile si solucionamos los problemas que estaba causando la permisología, si nuestras tasas de impuesto a la renta se posicionan dentro de los márgenes de la OCDE -materia que el proyecto aborda– y si, además, Chile puede volver a ofrecer invariabilidad tributaria”, dijo.</w:t>
      </w:r>
    </w:p>
    <w:p>
      <w:pPr>
        <w:spacing w:before="20"/>
        <w:ind w:left="360"/>
      </w:pPr>
      <w:r>
        <w:rPr>
          <w:color w:val="222222"/>
          <w:sz w:val="20"/>
        </w:rPr>
        <w:t>Cornelia Sonnenberg, directora ejecutiva de AHK Chile</w:t>
      </w:r>
    </w:p>
    <w:p>
      <w:pPr>
        <w:spacing w:before="20"/>
        <w:ind w:left="360"/>
      </w:pPr>
      <w:r>
        <w:rPr>
          <w:color w:val="222222"/>
          <w:sz w:val="20"/>
        </w:rPr>
        <w:t>La Cámara Chileno-Alemana (AHK Chile) valoró todas las iniciativas que fortalezcan la certeza y previsibilidad del entorno de inversión y consideraron que la invariabilidad tributaria y la reducción en los tiempos de tramitación sectorial “van en la dirección correcta” respecto a mejorar la competitividad del país.</w:t>
      </w:r>
    </w:p>
    <w:p>
      <w:pPr>
        <w:spacing w:before="20"/>
        <w:ind w:left="360"/>
      </w:pPr>
      <w:r>
        <w:rPr>
          <w:color w:val="222222"/>
          <w:sz w:val="20"/>
        </w:rPr>
        <w:t>La directora ejecutiva de AHK Chile, Cornelia Sonnenberg, indicó que uno de los factores más relevantes para la toma de decisiones de inversión es contar con reglas claras, estables en un horizonte de tiempo razonable y procesos eficientes.</w:t>
      </w:r>
    </w:p>
    <w:p>
      <w:pPr>
        <w:spacing w:before="20"/>
        <w:ind w:left="360"/>
      </w:pPr>
      <w:r>
        <w:rPr>
          <w:color w:val="222222"/>
          <w:sz w:val="20"/>
        </w:rPr>
        <w:t>“En ese sentido, avanzar en mayor certeza regulatoria y en una institucionalidad más ágil facilita atracción de inversiones y la ejecución de proyectos cuyo horizonte de evaluación es mayor”, dijo.</w:t>
      </w:r>
    </w:p>
    <w:p>
      <w:pPr>
        <w:spacing w:before="20"/>
        <w:ind w:left="360"/>
      </w:pPr>
      <w:r>
        <w:rPr>
          <w:color w:val="222222"/>
          <w:sz w:val="20"/>
        </w:rPr>
        <w:t>Con todo, precisó que es clave que las iniciativas se implementen resguardando estándares de calidad, sostenibilidad y participación, elementos que hoy son parte central de las decisiones empresariales.</w:t>
      </w:r>
    </w:p>
    <w:p>
      <w:pPr>
        <w:spacing w:before="20"/>
        <w:ind w:left="360"/>
      </w:pPr>
      <w:r>
        <w:rPr>
          <w:color w:val="222222"/>
          <w:sz w:val="20"/>
        </w:rPr>
        <w:t>“En el caso específico de Alemania, enfrentamos un desafío especial: lograr un acuerdo bilateral para evitar la doble tributación, condición esencial para poder impulsar una mayor inversión alemana en Chile”, agregó.</w:t>
      </w:r>
    </w:p>
    <w:p>
      <w:pPr>
        <w:spacing w:before="20"/>
        <w:ind w:left="360"/>
      </w:pPr>
      <w:r>
        <w:rPr>
          <w:color w:val="222222"/>
          <w:sz w:val="20"/>
        </w:rPr>
        <w:t>Acerca del actual panorama de inversión que observa en Chile, expresó que el país sigue posicionándose como destino de interés para proyectos de mediano y largo plazo. No obstante, la región hoy es más competitiva y los inversionistas evalúan con mayor detenimiento los marcos regulatorios y tiempos asociados al desarrollo de proyectos.</w:t>
      </w:r>
    </w:p>
    <w:p>
      <w:pPr>
        <w:spacing w:before="20"/>
        <w:ind w:left="360"/>
      </w:pPr>
      <w:r>
        <w:rPr>
          <w:color w:val="222222"/>
          <w:sz w:val="20"/>
        </w:rPr>
        <w:t>“En este contexto, se observa espacio para una evolución mayor de la inversión extranjera, no solo directa sino también indirecta”, señaló.</w:t>
      </w:r>
    </w:p>
    <w:p>
      <w:pPr>
        <w:spacing w:before="20"/>
        <w:ind w:left="360"/>
      </w:pPr>
      <w:r>
        <w:rPr>
          <w:color w:val="222222"/>
          <w:sz w:val="20"/>
        </w:rPr>
        <w:t>Paul Miquel, Presidente de la Cámara Franco-Chilena para el Comercio y la Industria</w:t>
      </w:r>
    </w:p>
    <w:p>
      <w:pPr>
        <w:spacing w:before="20"/>
        <w:ind w:left="360"/>
      </w:pPr>
      <w:r>
        <w:rPr>
          <w:color w:val="222222"/>
          <w:sz w:val="20"/>
        </w:rPr>
        <w:t>Desde la Cámara Franco Chilena para el Comercio y la Industria (CCI) destacaron las medidas como “opciones tanto necesarias como atractivas”, ya que abordan el “costo de oportunidad” actual para invertir en Chile.</w:t>
      </w:r>
    </w:p>
    <w:p>
      <w:pPr>
        <w:spacing w:before="20"/>
        <w:ind w:left="360"/>
      </w:pPr>
      <w:r>
        <w:rPr>
          <w:color w:val="222222"/>
          <w:sz w:val="20"/>
        </w:rPr>
        <w:t>Sobre invariabilidad tributaria, dijeron que la certeza en los flujos de caja es fundamental, en especial para proyectos de gran escala en minería, energía e infraestructura, que tienen expectativas de retorno de entre 20 a 30 años.</w:t>
      </w:r>
    </w:p>
    <w:p>
      <w:pPr>
        <w:spacing w:before="20"/>
        <w:ind w:left="360"/>
      </w:pPr>
      <w:r>
        <w:rPr>
          <w:color w:val="222222"/>
          <w:sz w:val="20"/>
        </w:rPr>
        <w:t>“No se busca necesariamente pagar menos, sino saber con exactitud cuánto se pagará en el tiempo, de manera de asegurar la sostenibilidad del modelo financiero”, indicaron.</w:t>
      </w:r>
    </w:p>
    <w:p>
      <w:pPr>
        <w:spacing w:before="20"/>
        <w:ind w:left="360"/>
      </w:pPr>
      <w:r>
        <w:rPr>
          <w:color w:val="222222"/>
          <w:sz w:val="20"/>
        </w:rPr>
        <w:t>La CCI también valoró la reducción de tiempos de tramitación, ya que los plazos prolongados “actúan en la práctica como un impuesto invisible (...) Un problema que demora años en ser aprobado corre el riesgo de quedar obsoleto tecnológicamente antes de su ejecución”.</w:t>
      </w:r>
    </w:p>
    <w:p>
      <w:pPr>
        <w:spacing w:before="20"/>
        <w:ind w:left="360"/>
      </w:pPr>
      <w:r>
        <w:rPr>
          <w:color w:val="222222"/>
          <w:sz w:val="20"/>
        </w:rPr>
        <w:t>En materia de certeza jurídica, Chile se sigue viendo como una fortaleza institucional robusta, pero con sectores en los que hace falta una mayor claridad regulatoria para fortalecer la confianza de los inversionistas.</w:t>
      </w:r>
    </w:p>
    <w:p>
      <w:pPr>
        <w:spacing w:before="20"/>
        <w:ind w:left="360"/>
      </w:pPr>
      <w:r>
        <w:rPr>
          <w:color w:val="222222"/>
          <w:sz w:val="20"/>
        </w:rPr>
        <w:t>La incertidumbre asociada no necesariamente proviene de la ley, sino de su aplicación, donde la discrecionalidad administrativa, los cambios en criterios de evaluación o decisiones técnicas durante el proceso “se pueden ver influenciados por factores políticos”.</w:t>
      </w:r>
    </w:p>
    <w:p>
      <w:pPr>
        <w:spacing w:before="20"/>
        <w:ind w:left="360"/>
      </w:pPr>
      <w:r>
        <w:rPr>
          <w:color w:val="222222"/>
          <w:sz w:val="20"/>
        </w:rPr>
        <w:t>“Chile tiene el hardware -instituciones sólidas y recursos- para liderar, pero necesita actualizar su software -regulación y gestión- para evitar que el capital se desvíe hacia otros destinos”, señalaron. Para la CCI el desafío yace en reactivar la inversión, retomar el crecimiento y avanzar en la creación de empleo de calidad.</w:t>
      </w:r>
    </w:p>
    <w:p>
      <w:pPr>
        <w:spacing w:before="20"/>
        <w:ind w:left="360"/>
      </w:pPr>
      <w:r>
        <w:rPr>
          <w:color w:val="222222"/>
          <w:sz w:val="20"/>
        </w:rPr>
        <w:t>Selma Nunes, presidente de la Cámara Chileno Brasileña de Comercio</w:t>
      </w:r>
    </w:p>
    <w:p>
      <w:pPr>
        <w:spacing w:before="20"/>
        <w:ind w:left="360"/>
      </w:pPr>
      <w:r>
        <w:rPr>
          <w:color w:val="222222"/>
          <w:sz w:val="20"/>
        </w:rPr>
        <w:t>La Cámara Chileno Brasileña de Comercio tiene una mirada optimista. En un contexto de incertidumbre global, consideraron que las medidas para garantizar la invariabilidad tributaria y reducir los tiempos de los permisos “son un estándar de oro en la región de América Latina”.</w:t>
      </w:r>
    </w:p>
    <w:p>
      <w:pPr>
        <w:spacing w:before="20"/>
        <w:ind w:left="360"/>
      </w:pPr>
      <w:r>
        <w:rPr>
          <w:color w:val="222222"/>
          <w:sz w:val="20"/>
        </w:rPr>
        <w:t>“Para el inversionista brasileño la propuesta chilena es altamente seductora, porque posibilita la planificación financiera real, la posibilidad de proyectar el flujo de caja a 10 o 15 años sin que el Ebitda se vea afectado por cambios súbitos”, afirmó la presidenta de la cámara, Selma Nunes.</w:t>
      </w:r>
    </w:p>
    <w:p>
      <w:pPr>
        <w:spacing w:before="20"/>
        <w:ind w:left="360"/>
      </w:pPr>
      <w:r>
        <w:rPr>
          <w:color w:val="222222"/>
          <w:sz w:val="20"/>
        </w:rPr>
        <w:t>Brasil es uno de los principales socios comerciales de Chile con uno de los stocks más altos en territorio nacional, pero es además el destino que más recibe inversiones chilenas, con cifras que superan los US$ 35 mil millones.</w:t>
      </w:r>
    </w:p>
    <w:p>
      <w:pPr>
        <w:spacing w:before="20"/>
        <w:ind w:left="360"/>
      </w:pPr>
      <w:r>
        <w:rPr>
          <w:color w:val="222222"/>
          <w:sz w:val="20"/>
        </w:rPr>
        <w:t>Los inversionistas brasileños ven a Chile como un hub de servicios y energía más que como un mercado de consumo, y tienen un fuerte interés en la integración aeronáutica, proyectos de hidrógeno verde, transmisión eléctrica, data centers y fintech.</w:t>
      </w:r>
    </w:p>
    <w:p>
      <w:pPr>
        <w:spacing w:before="20"/>
        <w:ind w:left="360"/>
      </w:pPr>
      <w:r>
        <w:rPr>
          <w:color w:val="222222"/>
          <w:sz w:val="20"/>
        </w:rPr>
        <w:t>Para ellos, la reducción de plazos en la entrega de permisos es el punto que más genera entusiasmo, ya que más que ser un ahorro de días, corresponde a un cambio estructural que permite reducir la incertidumbre, un “costo oculto” que a veces pesa más que los impuestos. Ahora el empresario brasileño de sectores estratégicos busca reglas claras y una ejecución rápida.</w:t>
      </w:r>
    </w:p>
    <w:p>
      <w:pPr>
        <w:spacing w:before="20"/>
        <w:ind w:left="360"/>
      </w:pPr>
      <w:r>
        <w:rPr>
          <w:color w:val="222222"/>
          <w:sz w:val="20"/>
        </w:rPr>
        <w:t>“Brasil ve a Chile como su socio más confiable en la región”, señaló Nunes, y explicó que si bien ha habido una serie de debates en torno a la normativa, “para el observador externo, el hecho de que las reglas de cambio estén claramente definidas es, en sí mismo, una forma de certeza jurídica”.</w:t>
      </w:r>
    </w:p>
    <w:p>
      <w:pPr>
        <w:spacing w:before="20"/>
        <w:ind w:left="360"/>
      </w:pPr>
      <w:r>
        <w:rPr>
          <w:color w:val="222222"/>
          <w:sz w:val="20"/>
        </w:rPr>
        <w:t>Mientras Chile logre consolidar aquella “vía rápida” para las inversiones, seguirá ubicándose como el destino prioritario para las multinacionales brasileñas. “La percepción de que el país es business-friendly sigue siendo la más sólida de América del sur”, agregó Nunes.</w:t>
      </w:r>
    </w:p>
    <w:p>
      <w:pPr>
        <w:spacing w:before="20"/>
        <w:ind w:left="360"/>
      </w:pPr>
      <w:r>
        <w:rPr>
          <w:color w:val="222222"/>
          <w:sz w:val="20"/>
        </w:rPr>
        <w:t>Juan Carlos Fisher, Presidente de la Cámara de Comercio Peruano-Chilena</w:t>
      </w:r>
    </w:p>
    <w:p>
      <w:pPr>
        <w:spacing w:before="20"/>
        <w:ind w:left="360"/>
      </w:pPr>
      <w:r>
        <w:rPr>
          <w:color w:val="222222"/>
          <w:sz w:val="20"/>
        </w:rPr>
        <w:t>Desde la Cámara de Comercio Peruano-Chilena valoraron las iniciativas del gobierno, afirmando que se trata de señales concretas que el mundo empresarial peruano estaba esperando para tomar decisiones de inversión con más confianza.</w:t>
      </w:r>
    </w:p>
    <w:p>
      <w:pPr>
        <w:spacing w:before="20"/>
        <w:ind w:left="360"/>
      </w:pPr>
      <w:r>
        <w:rPr>
          <w:color w:val="222222"/>
          <w:sz w:val="20"/>
        </w:rPr>
        <w:t>“Lo que beneficia el clima de inversión en Chile nos beneficia directamente a nosotros también”, señaló el presidente de la cámara, Juan Carlos Fisher.</w:t>
      </w:r>
    </w:p>
    <w:p>
      <w:pPr>
        <w:spacing w:before="20"/>
        <w:ind w:left="360"/>
      </w:pPr>
      <w:r>
        <w:rPr>
          <w:color w:val="222222"/>
          <w:sz w:val="20"/>
        </w:rPr>
        <w:t>Frente al ámbito de las inversiones, la organización lo definió como una percepción de “optimismo cauteloso”, basado en que Chile sigue siendo uno de los destinos más atractivos para el empresariado peruano y medidas de este tipo refuerzan aquella percepción.</w:t>
      </w:r>
    </w:p>
    <w:p>
      <w:pPr>
        <w:spacing w:before="20"/>
        <w:ind w:left="360"/>
      </w:pPr>
      <w:r>
        <w:rPr>
          <w:color w:val="222222"/>
          <w:sz w:val="20"/>
        </w:rPr>
        <w:t>Para 2026 espera una mejora sostenida en el clima de confianza aunque estima que los efectos concretos en cifras de inversión se consolidarán de manera gradual a medida que el proyecto avance en el Congreso y las normas entren en vigencia.</w:t>
      </w:r>
    </w:p>
    <w:p>
      <w:pPr>
        <w:spacing w:before="20"/>
        <w:ind w:left="360"/>
      </w:pPr>
      <w:r>
        <w:rPr>
          <w:color w:val="222222"/>
          <w:sz w:val="20"/>
        </w:rPr>
        <w:t>Sobre la certeza jurídica, Fisher reconoció que, si bien Chile tiene bases institucionales sólidas, los últimos años generaron inquietud en el mundo empresarial.</w:t>
      </w:r>
    </w:p>
    <w:p>
      <w:pPr>
        <w:spacing w:before="20"/>
        <w:ind w:left="360"/>
      </w:pPr>
      <w:r>
        <w:rPr>
          <w:color w:val="222222"/>
          <w:sz w:val="20"/>
        </w:rPr>
        <w:t>“Las reformas tributarias sucesivas y la complejidad en la entrega de permisos crearon un clima de mayor cautela a la hora de invertir”, sostuvo.</w:t>
      </w:r>
    </w:p>
    <w:p>
      <w:pPr>
        <w:spacing w:before="20"/>
        <w:ind w:left="360"/>
      </w:pPr>
      <w:r>
        <w:rPr>
          <w:color w:val="222222"/>
          <w:sz w:val="20"/>
        </w:rPr>
        <w:t>“Lo importante es que Chile está reconociendo esos desafíos y actuando en consecuencia, y eso es precisamente lo que un socio estratégico espera ver”, afirmaron.</w:t>
      </w:r>
    </w:p>
    <w:p>
      <w:pPr>
        <w:spacing w:before="40" w:after="120"/>
      </w:pPr>
      <w:r>
        <w:rPr>
          <w:color w:val="CCCCCC"/>
        </w:rPr>
        <w:t>· · ·</w:t>
      </w:r>
    </w:p>
    <w:p/>
    <w:p>
      <w:pPr>
        <w:pStyle w:val="Heading1"/>
      </w:pPr>
      <w:r>
        <w:rPr>
          <w:color w:val="E65000"/>
        </w:rPr>
        <w:t>🔹 Internacional</w:t>
      </w:r>
    </w:p>
    <w:p>
      <w:r>
        <w:rPr>
          <w:b/>
          <w:color w:val="E65000"/>
        </w:rPr>
        <w:t xml:space="preserve">1. </w:t>
      </w:r>
      <w:r>
        <w:rPr>
          <w:b/>
          <w:sz w:val="22"/>
        </w:rPr>
        <w:t>Kevin Warsh queda a un paso de convertirse en presidente de la Fed: comité bancario del Senado aprobó su nominación</w:t>
      </w:r>
      <w:r>
        <w:rPr>
          <w:color w:val="CC7700"/>
          <w:sz w:val="18"/>
        </w:rPr>
        <w:t xml:space="preserve">  [⭐ Destacada]</w:t>
      </w:r>
    </w:p>
    <w:p>
      <w:pPr>
        <w:spacing w:before="0"/>
      </w:pPr>
      <w:r>
        <w:rPr>
          <w:color w:val="0056B3"/>
          <w:sz w:val="18"/>
        </w:rPr>
        <w:t>https://www.df.cl/internacional/economia/kevin-warsh-queda-a-un-paso-de-convertirse-en-presidente-de-la-fed-comite</w:t>
      </w:r>
    </w:p>
    <w:p>
      <w:pPr>
        <w:spacing w:before="20"/>
        <w:ind w:left="360"/>
      </w:pPr>
      <w:r>
        <w:rPr>
          <w:color w:val="222222"/>
          <w:sz w:val="20"/>
        </w:rPr>
        <w:t>Tras una votación dividida, el elegido por Donald Trump debe enfrentar la votación del pleno del Senado.</w:t>
      </w:r>
    </w:p>
    <w:p>
      <w:pPr>
        <w:spacing w:before="20"/>
        <w:ind w:left="360"/>
      </w:pPr>
      <w:r>
        <w:rPr>
          <w:color w:val="222222"/>
          <w:sz w:val="20"/>
        </w:rPr>
        <w:t>Publicado: Miércoles 29 de abril de 2026 a las 10:38 hrs.</w:t>
      </w:r>
    </w:p>
    <w:p>
      <w:pPr>
        <w:spacing w:before="20"/>
        <w:ind w:left="360"/>
      </w:pPr>
      <w:r>
        <w:rPr>
          <w:color w:val="222222"/>
          <w:sz w:val="20"/>
        </w:rPr>
        <w:t>En una jornada de definición de política monetaria en Estados Unidos,Kevin Warsh quedó a un paso de convertirse en el próximo presidente de la Reserva Federal, tras la aprobación de su nominación en el comité Bancario del Senado estadounidense.</w:t>
      </w:r>
    </w:p>
    <w:p>
      <w:pPr>
        <w:spacing w:before="20"/>
        <w:ind w:left="360"/>
      </w:pPr>
      <w:r>
        <w:rPr>
          <w:color w:val="222222"/>
          <w:sz w:val="20"/>
        </w:rPr>
        <w:t>En la sesión que se esperaba favorable para el nominado de Donald Trump,los 13 senadores republicanos dieron su visto bueno, mientras que los 11 demócratas lo rechazaron.</w:t>
      </w:r>
    </w:p>
    <w:p>
      <w:pPr>
        <w:spacing w:before="20"/>
        <w:ind w:left="360"/>
      </w:pPr>
      <w:r>
        <w:rPr>
          <w:color w:val="222222"/>
          <w:sz w:val="20"/>
        </w:rPr>
        <w:t>Queda pendiente, entonces, exclusivamente la votación en el pleno de la cámara alta, donde se presume que se imponga nuevamente la supremacía oficialista.</w:t>
      </w:r>
    </w:p>
    <w:p>
      <w:pPr>
        <w:spacing w:before="20"/>
        <w:ind w:left="360"/>
      </w:pPr>
      <w:r>
        <w:rPr>
          <w:color w:val="222222"/>
          <w:sz w:val="20"/>
        </w:rPr>
        <w:t>Clave para que avanzara el proceso fuela determinación del viernes pasado del Departamento de Justicia, que archivó la investigación por sobrecostos en la remodelación del edificio de la Fed,la cual apuntaba directamente en contra de su actual líder, Jerome Powell.</w:t>
      </w:r>
    </w:p>
    <w:p>
      <w:pPr>
        <w:spacing w:before="20"/>
        <w:ind w:left="360"/>
      </w:pPr>
      <w:r>
        <w:rPr>
          <w:color w:val="222222"/>
          <w:sz w:val="20"/>
        </w:rPr>
        <w:t>A las 14:00 horas de este miércoles el banco central estadounidense informará su decisión de política monetaria, con la mayoría del mercado apostando a que mantendrá la tasa en el rango actual de 3,5% - 3,75%. Así, la atención estará puesta en las perspectivas que ofrezca la entidad para el resto del año, ante la posibilidad de que -por el efecto inflacionario de la guerra en Medio Oriente- se opte por dejar el tipo rector intacto y evaluar cambios recién en 2027.</w:t>
      </w:r>
    </w:p>
    <w:p>
      <w:pPr>
        <w:spacing w:before="20"/>
        <w:ind w:left="360"/>
      </w:pPr>
      <w:r>
        <w:rPr>
          <w:color w:val="222222"/>
          <w:sz w:val="20"/>
        </w:rPr>
        <w:t>También captará la atención la rueda de prensa ofrecida a las 14:30 por Powell, la última que ofrezca antes de dejar el liderazgo de la institución. En este caso, la interrogante a resolver es si decidirá permanecer en la Fed como gobernador o si dará un paso al costado.</w:t>
      </w:r>
    </w:p>
    <w:p>
      <w:pPr>
        <w:spacing w:before="40" w:after="120"/>
      </w:pPr>
      <w:r>
        <w:rPr>
          <w:color w:val="CCCCCC"/>
        </w:rPr>
        <w:t>· · ·</w:t>
      </w:r>
    </w:p>
    <w:p>
      <w:r>
        <w:rPr>
          <w:b/>
          <w:color w:val="E65000"/>
        </w:rPr>
        <w:t xml:space="preserve">2. </w:t>
      </w:r>
      <w:r>
        <w:rPr>
          <w:b/>
          <w:sz w:val="22"/>
        </w:rPr>
        <w:t>Abra Group afirma que inversión de American Airlines en brasileña Azul tiene como objetivo controlar la aerolínea</w:t>
      </w:r>
      <w:r>
        <w:rPr>
          <w:color w:val="CC7700"/>
          <w:sz w:val="18"/>
        </w:rPr>
        <w:t xml:space="preserve">  [⭐ Destacada]</w:t>
      </w:r>
    </w:p>
    <w:p>
      <w:pPr>
        <w:spacing w:before="0"/>
      </w:pPr>
      <w:r>
        <w:rPr>
          <w:color w:val="0056B3"/>
          <w:sz w:val="18"/>
        </w:rPr>
        <w:t>https://www.df.cl/df-sud/multilatinas/abra-group-afirma-que-inversion-de-american-airlines-en-brasilena-azul</w:t>
      </w:r>
    </w:p>
    <w:p>
      <w:pPr>
        <w:spacing w:before="20"/>
        <w:ind w:left="360"/>
      </w:pPr>
      <w:r>
        <w:rPr>
          <w:color w:val="222222"/>
          <w:sz w:val="20"/>
        </w:rPr>
        <w:t>El holding aéreo que controla Gol y Avianca aseguró que con la inversión, American tendrá poderes similares a los de un accionista mayoritario en Azul, especialmente dada la creación del comité estratégico de la aerolínea.</w:t>
      </w:r>
    </w:p>
    <w:p>
      <w:pPr>
        <w:spacing w:before="20"/>
        <w:ind w:left="360"/>
      </w:pPr>
      <w:r>
        <w:rPr>
          <w:color w:val="222222"/>
          <w:sz w:val="20"/>
        </w:rPr>
        <w:t>Publicado: Miércoles 29 de abril de 2026 a las 10:05 hrs.</w:t>
      </w:r>
    </w:p>
    <w:p>
      <w:pPr>
        <w:spacing w:before="20"/>
        <w:ind w:left="360"/>
      </w:pPr>
      <w:r>
        <w:rPr>
          <w:color w:val="222222"/>
          <w:sz w:val="20"/>
        </w:rPr>
        <w:t>Abra Group,el holding aéreo que controla Gol y Avianca, criticóel plan de American Airlines de invertir US$ 100 millones en la compañía brasileña Azul.</w:t>
      </w:r>
    </w:p>
    <w:p>
      <w:pPr>
        <w:spacing w:before="20"/>
        <w:ind w:left="360"/>
      </w:pPr>
      <w:r>
        <w:rPr>
          <w:color w:val="222222"/>
          <w:sz w:val="20"/>
        </w:rPr>
        <w:t>Los reparos fueron presentados por el grupo a través de un comunicado presentado ante el Consejo Administrativo de Defensa Económica (Cade), junto con una solicitud para ser incluida como tercera parte en el proceso de análisis de la inversión.</w:t>
      </w:r>
    </w:p>
    <w:p>
      <w:pPr>
        <w:spacing w:before="20"/>
        <w:ind w:left="360"/>
      </w:pPr>
      <w:r>
        <w:rPr>
          <w:color w:val="222222"/>
          <w:sz w:val="20"/>
        </w:rPr>
        <w:t>Entre las principales críticas, Abraseñala que con la inversión, American tendrá poderes similares a los de un accionista mayoritario en Azul, especialmente dada la creación del comité estratégico de la aerolínea,que contará con representantes de American y también de United Airlines.</w:t>
      </w:r>
    </w:p>
    <w:p>
      <w:pPr>
        <w:spacing w:before="20"/>
        <w:ind w:left="360"/>
      </w:pPr>
      <w:r>
        <w:rPr>
          <w:color w:val="222222"/>
          <w:sz w:val="20"/>
        </w:rPr>
        <w:t>Como parte del proceso de acogerse alCapítulo 11 de la Ley de Quiebras de Azul,tanto American Airlines como United Airlines decidieron invertir dicha cantidad de dicnero en la aerolínea brasileña.</w:t>
      </w:r>
    </w:p>
    <w:p>
      <w:pPr>
        <w:spacing w:before="20"/>
        <w:ind w:left="360"/>
      </w:pPr>
      <w:r>
        <w:rPr>
          <w:color w:val="222222"/>
          <w:sz w:val="20"/>
        </w:rPr>
        <w:t>La inversión de United, que ya era accionista de Azul, recibió la aprobación del CADE en febrero pasado.Pero ahora, la Superintendencia General del CADE ha comenzado a evaluar la inversión de American Airlines.</w:t>
      </w:r>
    </w:p>
    <w:p>
      <w:pPr>
        <w:spacing w:before="120"/>
        <w:ind w:left="360"/>
      </w:pPr>
      <w:r>
        <w:rPr>
          <w:b/>
          <w:color w:val="E65000"/>
          <w:sz w:val="26"/>
        </w:rPr>
        <w:t xml:space="preserve"> </w:t>
      </w:r>
    </w:p>
    <w:p>
      <w:pPr>
        <w:spacing w:before="20"/>
        <w:ind w:left="360"/>
      </w:pPr>
      <w:r>
        <w:rPr>
          <w:color w:val="222222"/>
          <w:sz w:val="20"/>
        </w:rPr>
        <w:t>La decisión de American Airlines de invertir en Azul captó la atención del mercado. Esto debido a que se esperaba que la aerolínea estadounidense invirtiera en la reestructuración de su socio, Gol. Sin embargo, lo anterior no se concretó.</w:t>
      </w:r>
    </w:p>
    <w:p>
      <w:pPr>
        <w:spacing w:before="20"/>
        <w:ind w:left="360"/>
      </w:pPr>
      <w:r>
        <w:rPr>
          <w:color w:val="222222"/>
          <w:sz w:val="20"/>
        </w:rPr>
        <w:t>Actualmente,Gol concentra el 98% del tráfico de conexión de American Airlines en Brasil.En un documento, Abra afirmó que, si bien el acuerdo se presentó formalmente como la adquisición de una participación minoritaria sin control, la operación no correspondería a una mera inversión financiera pasiva de American Airlines en Azul.</w:t>
      </w:r>
    </w:p>
    <w:p>
      <w:pPr>
        <w:spacing w:before="20"/>
        <w:ind w:left="360"/>
      </w:pPr>
      <w:r>
        <w:rPr>
          <w:color w:val="222222"/>
          <w:sz w:val="20"/>
        </w:rPr>
        <w:t>“Lo cierto es que la operación debe analizarse en el contexto de una adquisición coordinada del control de un competidor en las rutas aéreas entre Brasil y Estados Unidos -Azul- por parte del líder histórico de ese mercado -American Airlines- y de su principal competidor en Estados Unidos -United Airlines-. Las premisas que deben adoptarse son tanto la estructura de capital dispersa de Azul como, sobre todo, su nuevo comité estratégico, creado precisamente para dar cabida a la presencia de American Airlines -y United Airlines- en Azul”, señaló la defensa deAbraen el escrito citado por el medio brasileño Valor Económico.</w:t>
      </w:r>
    </w:p>
    <w:p>
      <w:pPr>
        <w:spacing w:before="20"/>
        <w:ind w:left="360"/>
      </w:pPr>
      <w:r>
        <w:rPr>
          <w:color w:val="222222"/>
          <w:sz w:val="20"/>
        </w:rPr>
        <w:t>Abra argumentó que American y United podrían alcanzar aproximadamente el 19% de la propiedad de Azul.Dada la actual estructura de capital dispersa de la aerolínea brasileña, sin un accionista mayoritario ni un bloque de control definido, Abra sostiene que esta situación por sí sola sería suficiente para generar preocupaciones en materia de competencia.</w:t>
      </w:r>
    </w:p>
    <w:p>
      <w:pPr>
        <w:spacing w:before="40" w:after="120"/>
      </w:pPr>
      <w:r>
        <w:rPr>
          <w:color w:val="CCCCCC"/>
        </w:rPr>
        <w:t>· · ·</w:t>
      </w:r>
    </w:p>
    <w:p>
      <w:r>
        <w:rPr>
          <w:b/>
          <w:color w:val="E65000"/>
        </w:rPr>
        <w:t xml:space="preserve">3. </w:t>
      </w:r>
      <w:r>
        <w:rPr>
          <w:b/>
          <w:sz w:val="22"/>
        </w:rPr>
        <w:t>Presidente de Brasil presentaría plan de alivio de deuda a hogares por US$ 20.000 millones antes de elecciones de octubre</w:t>
      </w:r>
      <w:r>
        <w:rPr>
          <w:color w:val="CC7700"/>
          <w:sz w:val="18"/>
        </w:rPr>
        <w:t xml:space="preserve">  [⭐ Destacada]</w:t>
      </w:r>
    </w:p>
    <w:p>
      <w:pPr>
        <w:spacing w:before="0"/>
      </w:pPr>
      <w:r>
        <w:rPr>
          <w:color w:val="0056B3"/>
          <w:sz w:val="18"/>
        </w:rPr>
        <w:t>https://www.df.cl/df-sud/presidente-de-brasil-presentaria-plan-de-alivio-de-deuda-a-hogares-por-us</w:t>
      </w:r>
    </w:p>
    <w:p>
      <w:pPr>
        <w:spacing w:before="20"/>
        <w:ind w:left="360"/>
      </w:pPr>
      <w:r>
        <w:rPr>
          <w:color w:val="222222"/>
          <w:sz w:val="20"/>
        </w:rPr>
        <w:t>El plan se anunciaría esta semana, antes del Día del Trabajo en Brasil, y permitirá a los bancos renegociar deudas con descuentos de hasta el 90%.</w:t>
      </w:r>
    </w:p>
    <w:p>
      <w:pPr>
        <w:spacing w:before="20"/>
        <w:ind w:left="360"/>
      </w:pPr>
      <w:r>
        <w:rPr>
          <w:color w:val="222222"/>
          <w:sz w:val="20"/>
        </w:rPr>
        <w:t>Publicado: Miércoles 29 de abril de 2026 a las 09:40 hrs.</w:t>
      </w:r>
    </w:p>
    <w:p>
      <w:pPr>
        <w:spacing w:before="20"/>
        <w:ind w:left="360"/>
      </w:pPr>
      <w:r>
        <w:rPr>
          <w:color w:val="222222"/>
          <w:sz w:val="20"/>
        </w:rPr>
        <w:t>ElPresidenteLuiz Inácio Lula da Silvaestaría planeando implementar un programa para renegociar más de 100.000 millones de reales brasileños (US$ 20.000 millones) en deuda de los hogares,con el objetivo de que se sume a unaserie de medidas destinadas a apoyar el consumomientras busca reforzar su popularidad antes de las elecciones brasileñas que se celebrarán octubre.</w:t>
      </w:r>
    </w:p>
    <w:p>
      <w:pPr>
        <w:spacing w:before="20"/>
        <w:ind w:left="360"/>
      </w:pPr>
      <w:r>
        <w:rPr>
          <w:color w:val="222222"/>
          <w:sz w:val="20"/>
        </w:rPr>
        <w:t>El plan se anunciaría esta semana,antes del Día del Trabajo en Brasil,y permitirá a los bancos renegociar deudas con descuentos de hasta el 90%.</w:t>
      </w:r>
    </w:p>
    <w:p>
      <w:pPr>
        <w:spacing w:before="20"/>
        <w:ind w:left="360"/>
      </w:pPr>
      <w:r>
        <w:rPr>
          <w:color w:val="222222"/>
          <w:sz w:val="20"/>
        </w:rPr>
        <w:t>Según fuentes familiarizadas en el asunto citadas por Bloomberg, el saldo restante se refinanciaría a tasas de interés más bajas y con el respaldo del FGO, un fondo privado que absorbe parte del riesgo crediticio de los préstamos a pequeñas empresas.</w:t>
      </w:r>
    </w:p>
    <w:p>
      <w:pPr>
        <w:spacing w:before="20"/>
        <w:ind w:left="360"/>
      </w:pPr>
      <w:r>
        <w:rPr>
          <w:color w:val="222222"/>
          <w:sz w:val="20"/>
        </w:rPr>
        <w:t>Los funcionariostambién estarían evaluando el uso de recursos del fondo de indemnización de los trabajadores,conocido como el FGTS, para apoyar la refinanciación de ciertas deudas.</w:t>
      </w:r>
    </w:p>
    <w:p>
      <w:pPr>
        <w:spacing w:before="120"/>
        <w:ind w:left="360"/>
      </w:pPr>
      <w:r>
        <w:rPr>
          <w:b/>
          <w:color w:val="E65000"/>
          <w:sz w:val="26"/>
        </w:rPr>
        <w:t xml:space="preserve"> </w:t>
      </w:r>
    </w:p>
    <w:p>
      <w:pPr>
        <w:spacing w:before="20"/>
        <w:ind w:left="360"/>
      </w:pPr>
      <w:r>
        <w:rPr>
          <w:color w:val="222222"/>
          <w:sz w:val="20"/>
        </w:rPr>
        <w:t>Según las fuentes, se espera queel programa se dirija a un amplio grupo de votantes como  trabajadores que ganan hasta cinco salarios mínimos con deudas vencidas de entre 90 días y dos años.</w:t>
      </w:r>
    </w:p>
    <w:p>
      <w:pPr>
        <w:spacing w:before="20"/>
        <w:ind w:left="360"/>
      </w:pPr>
      <w:r>
        <w:rPr>
          <w:color w:val="222222"/>
          <w:sz w:val="20"/>
        </w:rPr>
        <w:t>Y es que la deuda de los hogares, quese situó en febrero en la cifra récord del 49,9% de los ingresos anuales de los brasileños, se ha convertido en un tema clave de campaña para Lula, que ha luchado por contrarrestar los avances del senador Flavio Bolsonaro en las encuestas de opinión.</w:t>
      </w:r>
    </w:p>
    <w:p>
      <w:pPr>
        <w:spacing w:before="20"/>
        <w:ind w:left="360"/>
      </w:pPr>
      <w:r>
        <w:rPr>
          <w:color w:val="222222"/>
          <w:sz w:val="20"/>
        </w:rPr>
        <w:t>Según una encuesta de AtlasIntel,el hijo mayor del exPresidente Jair Bolsonaro obtendría el 47,8% de los votos en una segunda vuelta electoral,frente al 47,5% deLula.</w:t>
      </w:r>
    </w:p>
    <w:p>
      <w:pPr>
        <w:spacing w:before="20"/>
        <w:ind w:left="360"/>
      </w:pPr>
      <w:r>
        <w:rPr>
          <w:color w:val="222222"/>
          <w:sz w:val="20"/>
        </w:rPr>
        <w:t>“La economía va bien, pero la sociedad brasileña está algo endeudada”, dijo Lula en un acto público el mes pasado, advirtiendo de que la excesiva carga de la deuda está dejando a los hogares en apuros financieros.</w:t>
      </w:r>
    </w:p>
    <w:p>
      <w:pPr>
        <w:spacing w:before="20"/>
        <w:ind w:left="360"/>
      </w:pPr>
      <w:r>
        <w:rPr>
          <w:color w:val="222222"/>
          <w:sz w:val="20"/>
        </w:rPr>
        <w:t>Esta medida reaviva una estrategia utilizada a principios del mandato de Lula.El llamado programa Desenrola, lanzado en 2023, llegó a más de 15 millones de brasileñosy reestructuró 53.000 millones de reales brasileños en deuda, según cifras del Ministerio de Hacienda.</w:t>
      </w:r>
    </w:p>
    <w:p>
      <w:pPr>
        <w:spacing w:before="40" w:after="120"/>
      </w:pPr>
      <w:r>
        <w:rPr>
          <w:color w:val="CCCCCC"/>
        </w:rPr>
        <w:t>· · ·</w:t>
      </w:r>
    </w:p>
    <w:p>
      <w:r>
        <w:rPr>
          <w:b/>
          <w:color w:val="E65000"/>
        </w:rPr>
        <w:t xml:space="preserve">4. </w:t>
      </w:r>
      <w:r>
        <w:rPr>
          <w:b/>
          <w:sz w:val="22"/>
        </w:rPr>
        <w:t>El petróleo alcanza máximos de un mes ante perspectiva de Trump de un prolongado bloqueo de Irán</w:t>
      </w:r>
    </w:p>
    <w:p>
      <w:pPr>
        <w:spacing w:before="0"/>
      </w:pPr>
      <w:r>
        <w:rPr>
          <w:color w:val="0056B3"/>
          <w:sz w:val="18"/>
        </w:rPr>
        <w:t>https://www.df.cl/internacional/economia/el-petroleo-alcanza-maximos-de-un-mes-ante-perspectiva-de-trump-de-un</w:t>
      </w:r>
    </w:p>
    <w:p>
      <w:pPr>
        <w:spacing w:before="20"/>
        <w:ind w:left="360"/>
      </w:pPr>
      <w:r>
        <w:rPr>
          <w:color w:val="222222"/>
          <w:sz w:val="20"/>
        </w:rPr>
        <w:t>Alzas superiores al 3,5% llevan al Brent a operar en US$ 114 el barril y al WTI en US$ 103. Según WSJ el Presidente de EEUU optó por seguir presionando a la economía iraní, descartando reanudar bombardeos, operaciones terrestres y una retirada.</w:t>
      </w:r>
    </w:p>
    <w:p>
      <w:pPr>
        <w:spacing w:before="20"/>
        <w:ind w:left="360"/>
      </w:pPr>
      <w:r>
        <w:rPr>
          <w:color w:val="222222"/>
          <w:sz w:val="20"/>
        </w:rPr>
        <w:t>Por:Francisca GuerreroPublicado: Miércoles 29 de abril de 2026 a las 08:09 hrs.</w:t>
      </w:r>
    </w:p>
    <w:p>
      <w:pPr>
        <w:spacing w:before="20"/>
        <w:ind w:left="360"/>
      </w:pPr>
      <w:r>
        <w:rPr>
          <w:color w:val="222222"/>
          <w:sz w:val="20"/>
        </w:rPr>
        <w:t>Publicado: Miércoles 29 de abril de 2026 a las 08:09 hrs.</w:t>
      </w:r>
    </w:p>
    <w:p>
      <w:pPr>
        <w:spacing w:before="20"/>
        <w:ind w:left="360"/>
      </w:pPr>
      <w:r>
        <w:rPr>
          <w:color w:val="222222"/>
          <w:sz w:val="20"/>
        </w:rPr>
        <w:t>La tensión en torno a las estancadas negociaciones entre Estados Unidos e Irán se reflejan con claridad en los precios del petróleo.Alzas en torno a 3,5% llevan este miércoles a operar al Brent en US$ 114 y al WTI US$ 103 el barril,en ambos casos los valores más altos registrados en un mes.</w:t>
      </w:r>
    </w:p>
    <w:p>
      <w:pPr>
        <w:spacing w:before="20"/>
        <w:ind w:left="360"/>
      </w:pPr>
      <w:r>
        <w:rPr>
          <w:color w:val="222222"/>
          <w:sz w:val="20"/>
        </w:rPr>
        <w:t>El desánimo obedece, principalmente, a queel Presidente de Estados Unidos, Donald Trump, habría transmitido a sus asesores su perspectiva de un prolongado bloqueo de Irán, según lo consignado el martes por la noche porThe Wall Street Journal. Esto, en función de la táctica de asfixiar las finanzas de la nación persa, para forzar su capitulación nuclear, algo a lo que Teherán se ha resistido vehementemente.</w:t>
      </w:r>
    </w:p>
    <w:p>
      <w:pPr>
        <w:spacing w:before="20"/>
        <w:ind w:left="360"/>
      </w:pPr>
      <w:r>
        <w:rPr>
          <w:color w:val="222222"/>
          <w:sz w:val="20"/>
        </w:rPr>
        <w:t>Según detalló el diario estadounidense, reuniones recientes, incluyendo una desarrollada en la en la Sala de Crisis de la Casa Blanca, este lunes,el mandatario optó por continuar presionando la economía iraní y sus exportaciones de petróleo,impidiendo el transporte marítimo hacia y desde sus puertos.En esas mismas instancias, habría desechado las alternativas de reanudar los bombardeos, de una ofensiva terrestre y de una retirada.</w:t>
      </w:r>
    </w:p>
    <w:p>
      <w:pPr>
        <w:spacing w:before="20"/>
        <w:ind w:left="360"/>
      </w:pPr>
      <w:r>
        <w:rPr>
          <w:color w:val="222222"/>
          <w:sz w:val="20"/>
        </w:rPr>
        <w:t>Este miércoles, Trump retomó sus publicaciones con tono amenazante hacia los iraníes. En Truth Social posteó una fotografía el él mismo armado, acompañada de la frase "No más Sr. Amable", agregando por escrito: "Irán no logra ordenarse. No saben cómo firmar un acuerdo no nuclear. ¡Más les vale ponerse las pilas pronto!”.</w:t>
      </w:r>
    </w:p>
    <w:p>
      <w:pPr>
        <w:spacing w:before="40" w:after="120"/>
      </w:pPr>
      <w:r>
        <w:rPr>
          <w:color w:val="CCCCCC"/>
        </w:rPr>
        <w:t>· · ·</w:t>
      </w:r>
    </w:p>
    <w:p>
      <w:r>
        <w:rPr>
          <w:b/>
          <w:color w:val="E65000"/>
        </w:rPr>
        <w:t xml:space="preserve">5. </w:t>
      </w:r>
      <w:r>
        <w:rPr>
          <w:b/>
          <w:sz w:val="22"/>
        </w:rPr>
        <w:t>Las ventas anticipadas de artículos por el Mundial alientan las utilidades de Adidas en el primer trimestre</w:t>
      </w:r>
    </w:p>
    <w:p>
      <w:pPr>
        <w:spacing w:before="0"/>
      </w:pPr>
      <w:r>
        <w:rPr>
          <w:color w:val="0056B3"/>
          <w:sz w:val="18"/>
        </w:rPr>
        <w:t>https://www.df.cl/internacional/ft/las-ventas-anticipadas-de-articulos-por-el-mundial-alientan-las-utilidades</w:t>
      </w:r>
    </w:p>
    <w:p>
      <w:pPr>
        <w:spacing w:before="20"/>
        <w:ind w:left="360"/>
      </w:pPr>
      <w:r>
        <w:rPr>
          <w:color w:val="222222"/>
          <w:sz w:val="20"/>
        </w:rPr>
        <w:t>El crecimiento de las ventas directas al consumidor impulsa el desempeño del grupo alemán de ropa deportiva.</w:t>
      </w:r>
    </w:p>
    <w:p>
      <w:pPr>
        <w:spacing w:before="20"/>
        <w:ind w:left="360"/>
      </w:pPr>
      <w:r>
        <w:rPr>
          <w:color w:val="222222"/>
          <w:sz w:val="20"/>
        </w:rPr>
        <w:t>Por:Financial TimesPublicado: Miércoles 29 de abril de 2026 a las 06:27 hrs.</w:t>
      </w:r>
    </w:p>
    <w:p>
      <w:pPr>
        <w:spacing w:before="20"/>
        <w:ind w:left="360"/>
      </w:pPr>
      <w:r>
        <w:rPr>
          <w:color w:val="222222"/>
          <w:sz w:val="20"/>
        </w:rPr>
        <w:t>Publicado: Miércoles 29 de abril de 2026 a las 06:27 hrs.</w:t>
      </w:r>
    </w:p>
    <w:p>
      <w:pPr>
        <w:spacing w:before="20"/>
        <w:ind w:left="360"/>
      </w:pPr>
      <w:r>
        <w:rPr>
          <w:color w:val="222222"/>
          <w:sz w:val="20"/>
        </w:rPr>
        <w:t>El CEO de Adidas, Bjorn Gulden (a la izquierda), y el CEO Harm Ohlmeyer, en las oficinas centrales de la firma en Herzogenaurach, Alemania. (Foto: Reuters)</w:t>
      </w:r>
    </w:p>
    <w:p>
      <w:pPr>
        <w:spacing w:before="20"/>
        <w:ind w:left="360"/>
      </w:pPr>
      <w:r>
        <w:rPr>
          <w:color w:val="222222"/>
          <w:sz w:val="20"/>
        </w:rPr>
        <w:t>Adidas registró un fuerte aumento en sus ganancias trimestrales, impulsado por el auge de las ventas de artículos de fútbol antes del Mundialy por la mayor venta directa al consumidor.</w:t>
      </w:r>
    </w:p>
    <w:p>
      <w:pPr>
        <w:spacing w:before="20"/>
        <w:ind w:left="360"/>
      </w:pPr>
      <w:r>
        <w:rPr>
          <w:color w:val="222222"/>
          <w:sz w:val="20"/>
        </w:rPr>
        <w:t>La utilidad neta del grupo alemán de ropa deportivaaumentó un 11% hasta alcanzar los 484 millones de euros (US$ 566 millones) en los tres primeros meses del año, en comparación con el mismo periodo de 2025.</w:t>
      </w:r>
    </w:p>
    <w:p>
      <w:pPr>
        <w:spacing w:before="20"/>
        <w:ind w:left="360"/>
      </w:pPr>
      <w:r>
        <w:rPr>
          <w:color w:val="222222"/>
          <w:sz w:val="20"/>
        </w:rPr>
        <w:t>El sólido crecimiento de los productos de fútbol de la marca —impulsado por las ventas anticipadas de artículos del Mundial, incluyendo equipos y balones— mejoró el rendimiento, con unos ingresos que aumentaron un 14% a tipos de cambio constantes hasta los 6.600 millones de euros, superando las expectativas de los analistas. Las ventas de ropa crecieron casi un tercio, compensando el menor crecimiento del calzado.</w:t>
      </w:r>
    </w:p>
    <w:p>
      <w:pPr>
        <w:spacing w:before="20"/>
        <w:ind w:left="360"/>
      </w:pPr>
      <w:r>
        <w:rPr>
          <w:color w:val="222222"/>
          <w:sz w:val="20"/>
        </w:rPr>
        <w:t>De cara alMundial que se celebrará en Estados Unidos, Canadá y México a partir de junio, el CEO de Adidas, Bjørn Gulden, declaró:"A pesar de los numerosos problemas de suministro y transporte, tenemos la mayor parte del producto en los mercados y esperamos un evento fantástico que será muy beneficioso para nosotros".</w:t>
      </w:r>
    </w:p>
    <w:p>
      <w:pPr>
        <w:spacing w:before="120"/>
        <w:ind w:left="360"/>
      </w:pPr>
      <w:r>
        <w:rPr>
          <w:b/>
          <w:color w:val="E65000"/>
          <w:sz w:val="26"/>
        </w:rPr>
        <w:t xml:space="preserve"> </w:t>
      </w:r>
    </w:p>
    <w:p>
      <w:pPr>
        <w:spacing w:before="20"/>
        <w:ind w:left="360"/>
      </w:pPr>
      <w:r>
        <w:rPr>
          <w:color w:val="222222"/>
          <w:sz w:val="20"/>
        </w:rPr>
        <w:t>Las ventas en su canal de venta directa al consumidor aumentaron un 22%, lo que permitió a la marca obtener mayores beneficios que en la venta al por mayor, donde los descuentos son más comunes. "Que todos los mercados hayan registrado un crecimiento de dos dígitos en su negocio de venta directa al consumidor es algo muy, muy raro»", añadió Gulden.</w:t>
      </w:r>
    </w:p>
    <w:p>
      <w:pPr>
        <w:spacing w:before="20"/>
        <w:ind w:left="360"/>
      </w:pPr>
      <w:r>
        <w:rPr>
          <w:color w:val="222222"/>
          <w:sz w:val="20"/>
        </w:rPr>
        <w:t>Las acciones de Adidas subieron más de un 8% al inicio de la jornada del miércoles.</w:t>
      </w:r>
    </w:p>
    <w:p>
      <w:pPr>
        <w:spacing w:before="20"/>
        <w:ind w:left="360"/>
      </w:pPr>
      <w:r>
        <w:rPr>
          <w:color w:val="222222"/>
          <w:sz w:val="20"/>
        </w:rPr>
        <w:t>Sin embargo,las acciones del grupo han caído más de un 30% respecto al año anterior, ya que los inversionistas temen que el crecimiento del sector de la ropa deportiva en general y el auge de las zapatillas retro, que ha impulsado gran parte del crecimiento reciente de Adidas, llegue a su fin.</w:t>
      </w:r>
    </w:p>
    <w:p>
      <w:pPr>
        <w:spacing w:before="20"/>
        <w:ind w:left="360"/>
      </w:pPr>
      <w:r>
        <w:rPr>
          <w:color w:val="222222"/>
          <w:sz w:val="20"/>
        </w:rPr>
        <w:t>Gulden advirtió que el entorno minorista seguía siendo "muy volátil y con grandes descuentos", especialmente en el calzado casual, y añadió que Adidas se centraba enmantener los descuentos bajo controllimitando el suministro a sus socios mayoristas.</w:t>
      </w:r>
    </w:p>
    <w:p>
      <w:pPr>
        <w:spacing w:before="20"/>
        <w:ind w:left="360"/>
      </w:pPr>
      <w:r>
        <w:rPr>
          <w:color w:val="222222"/>
          <w:sz w:val="20"/>
        </w:rPr>
        <w:t>La compañía también se benefició de una mayor proporción de ventas a precio completo y un mejor control de costos.Las zapatillas Adizero de Adidas alcanzaron notoriedad mundial la semana pasadadespués de que varios atletasrompieran la barrera de las dos horas en la maratón con estas "superzapatillas" de 97 gramos, lo que subraya la renovada competitividad de la marca frente a su rival estadounidense Nike en el mercado del calzado para correr.</w:t>
      </w:r>
    </w:p>
    <w:p>
      <w:pPr>
        <w:spacing w:before="20"/>
        <w:ind w:left="360"/>
      </w:pPr>
      <w:r>
        <w:rPr>
          <w:color w:val="222222"/>
          <w:sz w:val="20"/>
        </w:rPr>
        <w:t>El margen bruto cayó un punto porcentual, hasta el 51,1%, ya que las mejoras en la rentabilidad se vieron contrarrestadas por las fluctuaciones cambiarias y los aranceles estadounidenses más elevados, que, según la compañía, reducirán el beneficio operativo anual en unos 400 millones de euros.</w:t>
      </w:r>
    </w:p>
    <w:p>
      <w:pPr>
        <w:spacing w:before="40" w:after="120"/>
      </w:pPr>
      <w:r>
        <w:rPr>
          <w:color w:val="CCCCCC"/>
        </w:rPr>
        <w:t>· · ·</w:t>
      </w:r>
    </w:p>
    <w:p>
      <w:r>
        <w:rPr>
          <w:b/>
          <w:color w:val="E65000"/>
        </w:rPr>
        <w:t xml:space="preserve">6. </w:t>
      </w:r>
      <w:r>
        <w:rPr>
          <w:b/>
          <w:sz w:val="22"/>
        </w:rPr>
        <w:t>OpenAI incumple sus propias metas de usuarios y ventas</w:t>
      </w:r>
    </w:p>
    <w:p>
      <w:pPr>
        <w:spacing w:before="0"/>
      </w:pPr>
      <w:r>
        <w:rPr>
          <w:color w:val="0056B3"/>
          <w:sz w:val="18"/>
        </w:rPr>
        <w:t>https://www.df.cl/internacional/multinacionales/openai-incumple-sus-propias-metas-de-usuarios-y-ventas</w:t>
      </w:r>
    </w:p>
    <w:p>
      <w:pPr>
        <w:spacing w:before="20"/>
        <w:ind w:left="360"/>
      </w:pPr>
      <w:r>
        <w:rPr>
          <w:color w:val="222222"/>
          <w:sz w:val="20"/>
        </w:rPr>
        <w:t>Así lo afirmó un reporte del Wall Street Journal. En tanto, la firma liderada por Sam Altman amplió su acuerdo con Amazon tras flexibilizar los términos exclusivos de su vínculo con Microsoft.</w:t>
      </w:r>
    </w:p>
    <w:p>
      <w:pPr>
        <w:spacing w:before="20"/>
        <w:ind w:left="360"/>
      </w:pPr>
      <w:r>
        <w:rPr>
          <w:color w:val="222222"/>
          <w:sz w:val="20"/>
        </w:rPr>
        <w:t>Por:AgenciasPublicado: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OpenAI no logró cumplir sus propias metas de adquisición de nuevos usuarios y ventas, lo que ha generado preocupaciones internas de que la compañía podría tener dificultades para sostener su gasto en infraestructura de inteligencia artificial (IA), informó The Wall Street Journal (WSJ).</w:t>
      </w:r>
    </w:p>
    <w:p>
      <w:pPr>
        <w:spacing w:before="20"/>
        <w:ind w:left="360"/>
      </w:pPr>
      <w:r>
        <w:rPr>
          <w:color w:val="222222"/>
          <w:sz w:val="20"/>
        </w:rPr>
        <w:t>La empresa no alcanzó varios objetivos mensuales de ventas en 2026, luego de que su rival Anthropic PBC ganara terreno en los mercados de coding y enterprise, reportó el medio estadounidense, citando a personas no identificadas con conocimiento del tema.</w:t>
      </w:r>
    </w:p>
    <w:p>
      <w:pPr>
        <w:spacing w:before="20"/>
        <w:ind w:left="360"/>
      </w:pPr>
      <w:r>
        <w:rPr>
          <w:color w:val="222222"/>
          <w:sz w:val="20"/>
        </w:rPr>
        <w:t>Su chatbot, ChatGPT, tampoco alcanzó la meta de la compañía de llegar a 1.000 millones de usuarios activos semanales a fines de 2025, señaló el diario. Su tasa de deserción de suscriptores sigue siendo un desafío, según el WSJ, en un contexto donde Gemini de Google aumentó su popularidad el año pasado.</w:t>
      </w:r>
    </w:p>
    <w:p>
      <w:pPr>
        <w:spacing w:before="20"/>
        <w:ind w:left="360"/>
      </w:pPr>
      <w:r>
        <w:rPr>
          <w:color w:val="222222"/>
          <w:sz w:val="20"/>
        </w:rPr>
        <w:t>La directora financiera, Sarah Friar, en conversaciones con otros líderes de la empresa, ha expresado preocupaciones de que si OpenAI no incrementa sus ventas lo suficientemente rápido, podría no ser capaz de costear sus futuras necesidades de cómputo.</w:t>
      </w:r>
    </w:p>
    <w:p>
      <w:pPr>
        <w:spacing w:before="20"/>
        <w:ind w:left="360"/>
      </w:pPr>
      <w:r>
        <w:rPr>
          <w:color w:val="222222"/>
          <w:sz w:val="20"/>
        </w:rPr>
        <w:t>Entre los inversionistas crecen las inquietudes de que los desarrolladores de IA y las grandes tecnológicas están gastando demasiado en data centers y chips para IA, con un retorno incierto.</w:t>
      </w:r>
    </w:p>
    <w:p>
      <w:pPr>
        <w:spacing w:before="20"/>
        <w:ind w:left="360"/>
      </w:pPr>
      <w:r>
        <w:rPr>
          <w:color w:val="222222"/>
          <w:sz w:val="20"/>
        </w:rPr>
        <w:t>OpenAI por sí sola ha señalado previamente que está comprometida a gastar más de US$ 1,4 billones (millones de millones) en infraestructura de IA.</w:t>
      </w:r>
    </w:p>
    <w:p>
      <w:pPr>
        <w:spacing w:before="20"/>
        <w:ind w:left="360"/>
      </w:pPr>
      <w:r>
        <w:rPr>
          <w:color w:val="222222"/>
          <w:sz w:val="20"/>
        </w:rPr>
        <w:t>Para financiar estas apuestas, OpenAI y Anthropic han recurrido cada vez más a un grupo superpuesto de fondos de venture capital y compañías tecnológicas. En febrero, OpenAI levantó US$ 110 mil millones en su mayor ronda de financiamiento hasta la fecha, de inversionistas que incluyeron a su principal respaldo, SoftBank Group Corp.</w:t>
      </w:r>
    </w:p>
    <w:p>
      <w:pPr>
        <w:spacing w:before="20"/>
        <w:ind w:left="360"/>
      </w:pPr>
      <w:r>
        <w:rPr>
          <w:color w:val="222222"/>
          <w:sz w:val="20"/>
        </w:rPr>
        <w:t>Las acciones de SoftBank, que comprometió US$ 30 mil millones en esa ronda, cayeron hasta 7,5% en Tokio. El último compromiso llevaría la inversión de SoftBank en OpenAI a US$ 64,6 mil millones, por una participación cercana a 13%, hacia fines de año.</w:t>
      </w:r>
    </w:p>
    <w:p>
      <w:pPr>
        <w:spacing w:before="20"/>
        <w:ind w:left="360"/>
      </w:pPr>
      <w:r>
        <w:rPr>
          <w:color w:val="222222"/>
          <w:sz w:val="20"/>
        </w:rPr>
        <w:t>Por otra parte, este martes la firma liderada por Sam Altman informó que extendió su oferta a los clientes de la nube de Amazon, lo que permitirá a OpenAI distribuir sus modelos y aplicaciones de forma más amplia.</w:t>
      </w:r>
    </w:p>
    <w:p>
      <w:pPr>
        <w:spacing w:before="20"/>
        <w:ind w:left="360"/>
      </w:pPr>
      <w:r>
        <w:rPr>
          <w:color w:val="222222"/>
          <w:sz w:val="20"/>
        </w:rPr>
        <w:t>El creador de ChatGPT detalló que llevará sus modelos de inteligencia artificial más avanzados a AWS, a través de la plataforma de desarrollo Bedrock AI de la unidad de nube de Amazon. Asimismo, estará disponible el agente de codificación Codex de OpenAI.</w:t>
      </w:r>
    </w:p>
    <w:p>
      <w:pPr>
        <w:spacing w:before="20"/>
        <w:ind w:left="360"/>
      </w:pPr>
      <w:r>
        <w:rPr>
          <w:color w:val="222222"/>
          <w:sz w:val="20"/>
        </w:rPr>
        <w:t>En febrero, la fima liderada por Jeff Bezos acordó invertir hasta US$ 50 mil millones en la startup. En detalle, Amazon invirtió US$ 15 mil millones en la última ronda de financiamiento de OpenAI como parte de un compromiso que le permitiría sumar otros US$ 35 mil millones cuando el laboratorio de IA salga a bolsa o logre construir una IA potente denominada “inteligencia artificial general”.</w:t>
      </w:r>
    </w:p>
    <w:p>
      <w:pPr>
        <w:spacing w:before="20"/>
        <w:ind w:left="360"/>
      </w:pPr>
      <w:r>
        <w:rPr>
          <w:color w:val="222222"/>
          <w:sz w:val="20"/>
        </w:rPr>
        <w:t>Tras el anuncio de este martes, Amazon lanzará un servicio denominado “Amazon Bedrock Managed Agents, powered by OpenAI”. Los clientes de AWS podrán utilizar el servicio Frontier de OpenAI para desplegar grupos de agentes de IA que realicen diversas tareas.</w:t>
      </w:r>
    </w:p>
    <w:p>
      <w:pPr>
        <w:spacing w:before="20"/>
        <w:ind w:left="360"/>
      </w:pPr>
      <w:r>
        <w:rPr>
          <w:color w:val="222222"/>
          <w:sz w:val="20"/>
        </w:rPr>
        <w:t>Cabe destacar que el fortalecimiento de ese vínculo tiene lugar después de la renegociación de OpenAI con Microsoft, su mayor accionista.</w:t>
      </w:r>
    </w:p>
    <w:p>
      <w:pPr>
        <w:spacing w:before="20"/>
        <w:ind w:left="360"/>
      </w:pPr>
      <w:r>
        <w:rPr>
          <w:color w:val="222222"/>
          <w:sz w:val="20"/>
        </w:rPr>
        <w:t>Este lunes ambas partes acordaron una flexibilización de las clausulas de exclusividad, lo que le permitiría a la startup desarrollar una serie de alianzas con empresas rivales para vender sus modelos y adquirir capacidad de centros de datos.</w:t>
      </w:r>
    </w:p>
    <w:p>
      <w:pPr>
        <w:spacing w:before="40" w:after="120"/>
      </w:pPr>
      <w:r>
        <w:rPr>
          <w:color w:val="CCCCCC"/>
        </w:rPr>
        <w:t>· · ·</w:t>
      </w:r>
    </w:p>
    <w:p/>
    <w:p>
      <w:pPr>
        <w:pStyle w:val="Heading1"/>
      </w:pPr>
      <w:r>
        <w:rPr>
          <w:color w:val="E65000"/>
        </w:rPr>
        <w:t>🔹 Innovación</w:t>
      </w:r>
    </w:p>
    <w:p>
      <w:r>
        <w:rPr>
          <w:b/>
          <w:color w:val="E65000"/>
        </w:rPr>
        <w:t xml:space="preserve">1. </w:t>
      </w:r>
      <w:r>
        <w:rPr>
          <w:b/>
          <w:sz w:val="22"/>
        </w:rPr>
        <w:t>Cómo ChatGPT, Claude y Gemini entregaron a científicos instrucciones para crear armas biológicas</w:t>
      </w:r>
      <w:r>
        <w:rPr>
          <w:color w:val="CC7700"/>
          <w:sz w:val="18"/>
        </w:rPr>
        <w:t xml:space="preserve">  [⭐ Destacada]</w:t>
      </w:r>
    </w:p>
    <w:p>
      <w:pPr>
        <w:spacing w:before="0"/>
      </w:pPr>
      <w:r>
        <w:rPr>
          <w:color w:val="0056B3"/>
          <w:sz w:val="18"/>
        </w:rPr>
        <w:t>https://www.df.cl/df-lab/mundo/como-chatgpt-claude-y-gemini-entregaron-a-cientificos-instrucciones-para</w:t>
      </w:r>
    </w:p>
    <w:p>
      <w:pPr>
        <w:spacing w:before="20"/>
        <w:ind w:left="360"/>
      </w:pPr>
      <w:r>
        <w:rPr>
          <w:color w:val="222222"/>
          <w:sz w:val="20"/>
        </w:rPr>
        <w:t>Un reportaje de The New York Times reveló transcripciones de expertos en bioseguridad contratados por OpenAI, Anthropic y Google en que los modelos describieron, paso a paso, cómo fabricar patógenos letales y desplegarlos en espacios públicos. Algunos incluso propusieron formas de eludir la detección.</w:t>
      </w:r>
    </w:p>
    <w:p>
      <w:pPr>
        <w:spacing w:before="20"/>
        <w:ind w:left="360"/>
      </w:pPr>
      <w:r>
        <w:rPr>
          <w:color w:val="222222"/>
          <w:sz w:val="20"/>
        </w:rPr>
        <w:t>Publicado: Miércoles 29 de abril de 2026 a las 08:36 hrs.</w:t>
      </w:r>
    </w:p>
    <w:p>
      <w:pPr>
        <w:spacing w:before="20"/>
        <w:ind w:left="360"/>
      </w:pPr>
      <w:r>
        <w:rPr>
          <w:color w:val="222222"/>
          <w:sz w:val="20"/>
        </w:rPr>
        <w:t>Una investigación publicada este miércoles por The New York Times (NYT) reveló quelos principaleschatbotsde inteligencia artificial -ChatGPT de OpenAI, Gemini de Google y Claude de Anthropic- entregaron a científicos instrucciones detalladas para fabricar y desplegar armas biológicas, en pruebas realizadas por expertos en bioseguridad contratados por las propias compañías para auditar sus productos.</w:t>
      </w:r>
    </w:p>
    <w:p>
      <w:pPr>
        <w:spacing w:before="20"/>
        <w:ind w:left="360"/>
      </w:pPr>
      <w:r>
        <w:rPr>
          <w:color w:val="222222"/>
          <w:sz w:val="20"/>
        </w:rPr>
        <w:t>El reportaje recoge más de una docena de transcripciones en las que los asistentes describieron, paso a paso,cómo adquirir material genético en bruto, transformarlo en patógenos letales y desplegarlos en espacios públicos.Algunos modelos incluso sugirieron formas de eludir la detección.</w:t>
      </w:r>
    </w:p>
    <w:p>
      <w:pPr>
        <w:spacing w:before="20"/>
        <w:ind w:left="360"/>
      </w:pPr>
      <w:r>
        <w:rPr>
          <w:color w:val="222222"/>
          <w:sz w:val="20"/>
        </w:rPr>
        <w:t>Uno de los casos más graves lo documentóDavid Relman, un microbiólogo de Stanford y asesor del gobierno de Estados Unidos en amenazas biológicas.Unchatbot-cuyo nombre no reveló por un acuerdo de confidencialidad- le explicócómo modificar un patógeno conocido para que resistiera los tratamientos disponibles, identificó una falla de seguridad en un sistema de transporte público y trazó un plan para maximizar víctimas y minimizar las chances de captura.</w:t>
      </w:r>
    </w:p>
    <w:p>
      <w:pPr>
        <w:spacing w:before="20"/>
        <w:ind w:left="360"/>
      </w:pPr>
      <w:r>
        <w:rPr>
          <w:color w:val="222222"/>
          <w:sz w:val="20"/>
        </w:rPr>
        <w:t>"Estaba respondiendo preguntas que ni siquiera se me había ocurrido hacerle, con un nivel de astucia que me resultó escalofriante", dijo Relman al diario.</w:t>
      </w:r>
    </w:p>
    <w:p>
      <w:pPr>
        <w:spacing w:before="20"/>
        <w:ind w:left="360"/>
      </w:pPr>
      <w:r>
        <w:rPr>
          <w:color w:val="222222"/>
          <w:sz w:val="20"/>
        </w:rPr>
        <w:t>Kevin Esvelt, ingeniero genético del MIT, compartió chats en los queChatGPT explicó cómo usar un globo meteorológico para esparcir cargas biológicas sobre una ciudad estadounidense, mientras Gemini ordenó patógenos según su capacidad de daño a la industria ganadera y porcina. Claude, por su parte, generó la receta de una nueva toxina adaptada de un fármaco oncológico.</w:t>
      </w:r>
    </w:p>
    <w:p>
      <w:pPr>
        <w:spacing w:before="20"/>
        <w:ind w:left="360"/>
      </w:pPr>
      <w:r>
        <w:rPr>
          <w:color w:val="222222"/>
          <w:sz w:val="20"/>
        </w:rPr>
        <w:t>Anthropic, OpenAI y Google dijeron al NYT que mejoran continuamente sus sistemas y que las transcripciones no contienen suficiente detalle para causar daño real. Lalíder de seguridad en Anthropic, Alexandra Sanderford, afirmó que "hay una diferencia enorme entre que un modelo produzca un texto que suena plausible y darle a alguien lo que necesitaría para actuar",aunque reconoció que la startup fijó umbrales agresivos de rechazo "aceptando algo de exceso de rechazo por precaución".</w:t>
      </w:r>
    </w:p>
    <w:p>
      <w:pPr>
        <w:spacing w:before="20"/>
        <w:ind w:left="360"/>
      </w:pPr>
      <w:r>
        <w:rPr>
          <w:color w:val="222222"/>
          <w:sz w:val="20"/>
        </w:rPr>
        <w:t>El propioCEO de Anthropic y biólogo de formación, Dario Amodei, escribió en enero que "la biología es por lejos el área que más me preocupa, por su enorme potencial de destrucción y la dificultad para defenderse contra ella".</w:t>
      </w:r>
    </w:p>
    <w:p>
      <w:pPr>
        <w:spacing w:before="20"/>
        <w:ind w:left="360"/>
      </w:pPr>
      <w:r>
        <w:rPr>
          <w:color w:val="222222"/>
          <w:sz w:val="20"/>
        </w:rPr>
        <w:t>El reportaje también documenta que los modelos líderes siguen siendo vulnerables aljailbreaking-promptsdiseñados para eludir filtros- y que las versiones antiguas, con menos resguardos, suelen quedar disponibles.Cassidy Nelson, del Center for Long-Term Resilience, comparó las salvaguardas con "una endeble cerca de madera fácil de superar".</w:t>
      </w:r>
    </w:p>
    <w:p>
      <w:pPr>
        <w:spacing w:before="20"/>
        <w:ind w:left="360"/>
      </w:pPr>
      <w:r>
        <w:rPr>
          <w:color w:val="222222"/>
          <w:sz w:val="20"/>
        </w:rPr>
        <w:t>Un estudio citado por el NYT reveló queChatGPT superó al 94% de los virólogos expertos en un test de protocolos de laboratorio, y otro publicado en Science mostró que herramientas de IA pueden generar miles de variantes de secuencias peligrosas que el software de las empresas vendedoras de ADN sintético no logra detectar.</w:t>
      </w:r>
    </w:p>
    <w:p>
      <w:pPr>
        <w:spacing w:before="40" w:after="120"/>
      </w:pPr>
      <w:r>
        <w:rPr>
          <w:color w:val="CCCCCC"/>
        </w:rPr>
        <w:t>· · ·</w:t>
      </w:r>
    </w:p>
    <w:p>
      <w:r>
        <w:rPr>
          <w:b/>
          <w:color w:val="E65000"/>
        </w:rPr>
        <w:t xml:space="preserve">2. </w:t>
      </w:r>
      <w:r>
        <w:rPr>
          <w:b/>
          <w:sz w:val="22"/>
        </w:rPr>
        <w:t>Británica Forest levanta capital con siete family offices chilenos para liderar el mercado de e-bikes en Londres</w:t>
      </w:r>
      <w:r>
        <w:rPr>
          <w:color w:val="CC7700"/>
          <w:sz w:val="18"/>
        </w:rPr>
        <w:t xml:space="preserve">  [⭐ Destacada]</w:t>
      </w:r>
    </w:p>
    <w:p>
      <w:pPr>
        <w:spacing w:before="0"/>
      </w:pPr>
      <w:r>
        <w:rPr>
          <w:color w:val="0056B3"/>
          <w:sz w:val="18"/>
        </w:rPr>
        <w:t>https://www.df.cl/df-lab/tech-empresas/britanica-forest-levanta-capital-con-siete-family-offices-chilenos-para</w:t>
      </w:r>
    </w:p>
    <w:p>
      <w:pPr>
        <w:spacing w:before="20"/>
        <w:ind w:left="360"/>
      </w:pPr>
      <w:r>
        <w:rPr>
          <w:color w:val="222222"/>
          <w:sz w:val="20"/>
        </w:rPr>
        <w:t>La startup fundada por chilenos superó en cobertura a Lime, su principal competidor en el arriendo de bicicletas eléctricas. Entre los inversionistas están las familias Cueto, Yurazseck, Matte, Vial y Guilisasti.</w:t>
      </w:r>
    </w:p>
    <w:p>
      <w:pPr>
        <w:spacing w:before="20"/>
        <w:ind w:left="360"/>
      </w:pPr>
      <w:r>
        <w:rPr>
          <w:color w:val="222222"/>
          <w:sz w:val="20"/>
        </w:rPr>
        <w:t>Publicado: Miércoles 29 de abril de 2026 a las 04:00 hrs.</w:t>
      </w:r>
    </w:p>
    <w:p>
      <w:pPr>
        <w:spacing w:before="20"/>
        <w:ind w:left="360"/>
      </w:pPr>
      <w:r>
        <w:rPr>
          <w:color w:val="222222"/>
          <w:sz w:val="20"/>
        </w:rPr>
        <w:t>Agustín Guilisasti (a la derecha de la bicicleta) junto al equipo de Forest en Londres.</w:t>
      </w:r>
    </w:p>
    <w:p>
      <w:pPr>
        <w:spacing w:before="20"/>
        <w:ind w:left="360"/>
      </w:pPr>
      <w:r>
        <w:rPr>
          <w:color w:val="222222"/>
          <w:sz w:val="20"/>
        </w:rPr>
        <w:t>Forest, la empresa fundada en Londres, Reino Unido, por los chilenos Agustín Guilisasti e Ignacio Gutiérrez -que combina el arriendo de bicicletas eléctricas con una plataforma de publicidad digital- concretó una ronda de inversión serie B por US$ 54 millones.</w:t>
      </w:r>
    </w:p>
    <w:p>
      <w:pPr>
        <w:spacing w:before="20"/>
        <w:ind w:left="360"/>
      </w:pPr>
      <w:r>
        <w:rPr>
          <w:color w:val="222222"/>
          <w:sz w:val="20"/>
        </w:rPr>
        <w:t>La operación fue liderada por el fabricante global chino de e-bikes, OKAI, e incluyó a siete family offices chilenos: Santa Cecilia (Yurazseck), Costa Verde (Cueto), Vial (ligado a Leonidas Vial), Larraín (Grupo Concha y Toro), Matte, Guilisasti, y Gutiérrez (Grupo Multiexport); además de Fen Ventures, Güil Mobility Ventures (Grupo Kaufmann) y B8 Venture Partners.</w:t>
      </w:r>
    </w:p>
    <w:p>
      <w:pPr>
        <w:spacing w:before="20"/>
        <w:ind w:left="360"/>
      </w:pPr>
      <w:r>
        <w:rPr>
          <w:color w:val="222222"/>
          <w:sz w:val="20"/>
        </w:rPr>
        <w:t>La mitad de la ronda se estructuró mediante financiamiento de activos con Fintex Capital, donde la flota de bicicletas opera como garantía.</w:t>
      </w:r>
    </w:p>
    <w:p>
      <w:pPr>
        <w:spacing w:before="20"/>
        <w:ind w:left="360"/>
      </w:pPr>
      <w:r>
        <w:rPr>
          <w:color w:val="222222"/>
          <w:sz w:val="20"/>
        </w:rPr>
        <w:t>Guilisasti, CEO de Forest, dijo que “esta es la primera vez que un fabricante (OKAI) invierte en un operador como socio estratégico. Al final, nos podemos meter desde la cadena de producción de la bicicleta, que es donde está el mayor costo, hasta tenerla en la calle”.</w:t>
      </w:r>
    </w:p>
    <w:p>
      <w:pPr>
        <w:spacing w:before="20"/>
        <w:ind w:left="360"/>
      </w:pPr>
      <w:r>
        <w:rPr>
          <w:color w:val="222222"/>
          <w:sz w:val="20"/>
        </w:rPr>
        <w:t>El modelo de arriendo de bicicletas se complementa con la plataforma de publicidad donde los usuarios obtienen minutos gratis de viaje por consumir contenidos de las marcas anunciantes.</w:t>
      </w:r>
    </w:p>
    <w:p>
      <w:pPr>
        <w:spacing w:before="20"/>
        <w:ind w:left="360"/>
      </w:pPr>
      <w:r>
        <w:rPr>
          <w:color w:val="222222"/>
          <w:sz w:val="20"/>
        </w:rPr>
        <w:t>Guilisasti comentó que la inyección de capital la destinarán a mejorar la flota, a aumentar la cobertura territorial y a incrementar la eficiencia operacional.</w:t>
      </w:r>
    </w:p>
    <w:p>
      <w:pPr>
        <w:spacing w:before="20"/>
        <w:ind w:left="360"/>
      </w:pPr>
      <w:r>
        <w:rPr>
          <w:color w:val="222222"/>
          <w:sz w:val="20"/>
        </w:rPr>
        <w:t>Con parte de los recursos adquirieron 10 mil bicicletas, alcanzando una flota total de 25 mil unidades operativas, “superando la cantidad de black cabs (taxis negros) y buses en Londres”, afirmó el emprendedor.</w:t>
      </w:r>
    </w:p>
    <w:p>
      <w:pPr>
        <w:spacing w:before="20"/>
        <w:ind w:left="360"/>
      </w:pPr>
      <w:r>
        <w:rPr>
          <w:color w:val="222222"/>
          <w:sz w:val="20"/>
        </w:rPr>
        <w:t>Otra porción la destinarán a mejorar la plataforma de software -desarrollada en Chile-, con una nueva aplicación de monitoreo de operaciones para “bajar costos operacionales” y optimizar la aplicación de usuarios para que sea “más rápida”.</w:t>
      </w:r>
    </w:p>
    <w:p>
      <w:pPr>
        <w:spacing w:before="20"/>
        <w:ind w:left="360"/>
      </w:pPr>
      <w:r>
        <w:rPr>
          <w:color w:val="222222"/>
          <w:sz w:val="20"/>
        </w:rPr>
        <w:t>También financiarán proyectos para actualizar el parque de bicicletas y mejorar la calidad de este medio de transporte, lo que incrementará su vida útil “de cinco a 10 años, y dejará la flota más antigua como nueva”, afirmó.</w:t>
      </w:r>
    </w:p>
    <w:p>
      <w:pPr>
        <w:spacing w:before="20"/>
        <w:ind w:left="360"/>
      </w:pPr>
      <w:r>
        <w:rPr>
          <w:color w:val="222222"/>
          <w:sz w:val="20"/>
        </w:rPr>
        <w:t>Guilisasti dijo que recientemente se adjudicaron un contrato con la comuna de Richmond y que el plan es llegar a más zonas de Londres. Con este hito superaron a la estadounidense Lime –su principal competidor- en cobertura territorial, alcanzando 19 de los 32 distritos de la ciudad.</w:t>
      </w:r>
    </w:p>
    <w:p>
      <w:pPr>
        <w:spacing w:before="20"/>
        <w:ind w:left="360"/>
      </w:pPr>
      <w:r>
        <w:rPr>
          <w:color w:val="222222"/>
          <w:sz w:val="20"/>
        </w:rPr>
        <w:t>Guilisasti explicó que la estrategia a 2028 se enfoca en aumentar la eficiencia operacional. “Queremos ser más eficientes que Lime. Incluso con menos bicicletas, podemos hacer más”, dijo.</w:t>
      </w:r>
    </w:p>
    <w:p>
      <w:pPr>
        <w:spacing w:before="20"/>
        <w:ind w:left="360"/>
      </w:pPr>
      <w:r>
        <w:rPr>
          <w:color w:val="222222"/>
          <w:sz w:val="20"/>
        </w:rPr>
        <w:t>Una de las acciones es incrementar el número de trayectos por bicicleta. Para ello están impulsando un esquema de “descuentos dinámicos”, que ajusta los minutos gratis de viaje según uso y ubicación. Esto les ha permitido pasar de un modelo fijo de 10 minutos diarios a rangos variables de hasta 30 minutos gratuitos, según la demanda.</w:t>
      </w:r>
    </w:p>
    <w:p>
      <w:pPr>
        <w:spacing w:before="20"/>
        <w:ind w:left="360"/>
      </w:pPr>
      <w:r>
        <w:rPr>
          <w:color w:val="222222"/>
          <w:sz w:val="20"/>
        </w:rPr>
        <w:t>Gutiérrez, director de Forest, comentó que también buscan expandir la presencia de Forest en el segmento B2B bajo un esquema de Cycle to Work -impulsado por el gobierno británico-, que permite a las empresas financiar suscripciones para que sus trabajadores usen las e-bikes con beneficios tributarios. “Tenemos cerca de mil compañías” que operan bajo este modelo.</w:t>
      </w:r>
    </w:p>
    <w:p>
      <w:pPr>
        <w:spacing w:before="20"/>
        <w:ind w:left="360"/>
      </w:pPr>
      <w:r>
        <w:rPr>
          <w:color w:val="222222"/>
          <w:sz w:val="20"/>
        </w:rPr>
        <w:t>Respecto del negocio, Guilisasti señaló que este año esperan duplicar las ventas y alcanzar US$ 65,8 millones, y superar los US$ 100 millones en 2027.</w:t>
      </w:r>
    </w:p>
    <w:p>
      <w:pPr>
        <w:spacing w:before="40" w:after="120"/>
      </w:pPr>
      <w:r>
        <w:rPr>
          <w:color w:val="CCCCCC"/>
        </w:rPr>
        <w:t>· · ·</w:t>
      </w:r>
    </w:p>
    <w:p/>
    <w:p>
      <w:pPr>
        <w:pStyle w:val="Heading1"/>
      </w:pPr>
      <w:r>
        <w:rPr>
          <w:color w:val="E65000"/>
        </w:rPr>
        <w:t>🔹 Opinión</w:t>
      </w:r>
    </w:p>
    <w:p>
      <w:r>
        <w:rPr>
          <w:b/>
          <w:color w:val="E65000"/>
        </w:rPr>
        <w:t xml:space="preserve">1. </w:t>
      </w:r>
      <w:r>
        <w:rPr>
          <w:b/>
          <w:sz w:val="22"/>
        </w:rPr>
        <w:t>Crédito tributario al empleo</w:t>
      </w:r>
      <w:r>
        <w:rPr>
          <w:color w:val="990000"/>
          <w:sz w:val="18"/>
        </w:rPr>
        <w:t xml:space="preserve">  [🔒 paywall]</w:t>
      </w:r>
    </w:p>
    <w:p>
      <w:pPr>
        <w:spacing w:before="0"/>
      </w:pPr>
      <w:r>
        <w:rPr>
          <w:color w:val="0056B3"/>
          <w:sz w:val="18"/>
        </w:rPr>
        <w:t>https://www.df.cl/opinion/editorial/p/1</w:t>
      </w:r>
    </w:p>
    <w:p>
      <w:pPr>
        <w:spacing w:before="40" w:after="120"/>
      </w:pPr>
      <w:r>
        <w:rPr>
          <w:color w:val="CCCCCC"/>
        </w:rPr>
        <w:t>· · ·</w:t>
      </w:r>
    </w:p>
    <w:p>
      <w:r>
        <w:rPr>
          <w:b/>
          <w:color w:val="E65000"/>
        </w:rPr>
        <w:t xml:space="preserve">2. </w:t>
      </w:r>
      <w:r>
        <w:rPr>
          <w:b/>
          <w:sz w:val="22"/>
        </w:rPr>
        <w:t>Crédito tributario al empleo</w:t>
      </w:r>
    </w:p>
    <w:p>
      <w:pPr>
        <w:spacing w:before="0"/>
      </w:pPr>
      <w:r>
        <w:rPr>
          <w:color w:val="0056B3"/>
          <w:sz w:val="18"/>
        </w:rPr>
        <w:t>https://www.df.cl/opinion/editorial/credito-tributario-al-empleo</w:t>
      </w:r>
    </w:p>
    <w:p>
      <w:pPr>
        <w:spacing w:before="20"/>
        <w:ind w:left="360"/>
      </w:pPr>
      <w:r>
        <w:rPr>
          <w:color w:val="222222"/>
          <w:sz w:val="20"/>
        </w:rPr>
        <w:t>Por:Equipo DFPublicado: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El crédito tributario al empleo propuesto por el gobierno en el plan de reconstrucción ha abierto un intenso debate sobre su costo fiscal y su capacidad para impactar en el empleo, en una discusión en la que se ha tendido a perder de vista su ubicación dentro del diseño general de la iniciativa. No se trata de una política aislada, sino que forma parte de un conjunto más amplio de medidas orientadas a reactivar el crecimiento y, a partir de ello el empleo, marco en el que debiera situarse la discusión legislativa, en un contexto en el que existe coincidencia en que en que el mercado laboral enfrenta debilidades persistentes, que requieren abordarse con urgencia.</w:t>
      </w:r>
    </w:p>
    <w:p>
      <w:pPr>
        <w:spacing w:before="20"/>
        <w:ind w:left="360"/>
      </w:pPr>
      <w:r>
        <w:rPr>
          <w:color w:val="222222"/>
          <w:sz w:val="20"/>
        </w:rPr>
        <w:t>De acuerdo con la propuesta del Ejecutivo, la iniciativa busca otorgar un crédito mensual permanente, equivalente al 15% de las remuneraciones de trabajadores con sueldos entre UTM 12 y UTM 7,8, que beneficiaría a cerca de 270 mil contribuyentes. Se estima que 86% de ellos son PYME y que alcanzaría a más de 4 millones de trabajadores. El beneficio operaría, así, como una inyección de liquidez mensual.  Por otro lado, su costo fiscal ha sido estimado en cerca de US$ 1.400 millones, uno de los más altos entre las medidas incluidas en el plan de reactivación, lo que ha centrado gran parte del debate. Diversos expertos han hecho hincapié, además, en un bajo retorno en términos de costo beneficio, ya que está enfocado en retener trabajadores, más que en crear empleo.</w:t>
      </w:r>
    </w:p>
    <w:p>
      <w:pPr>
        <w:spacing w:before="20"/>
        <w:ind w:left="360"/>
      </w:pPr>
      <w:r>
        <w:rPr>
          <w:color w:val="222222"/>
          <w:sz w:val="20"/>
        </w:rPr>
        <w:t>Sin embargo, en un contexto en que el país acumula 38 meses consecutivos con tasas de desempleo sobre 8%, con cerca de 860 mil personas desocupadas, una informalidad que supera los 2,5 millones de personas y donde las Mipyme, un sector intensivo en mano de obra, registró una destrucción de cerca de 155 mil puestos de trabajo en 12 meses, en el último trimestre a febrero, la preservación de empleos formales no parece ser un objetivo menor. Aun así, la recuperación del empleo no puede provenir de un solo instrumento. Y en ese marco, el plan de reconstrucción descansa en una secuencia más amplia, que involucra una nueva arquitectura tributaria, incentivos a la inversión, reducción de la permisología y mayor certeza regulatoria para recomponer las condiciones que impulsen el crecimiento. Sin inversión no hay expansión sostenida de la actividad, sin crecimiento la creación de empleo tiende a estancarse y sin empleo formal, tampoco se consolidan mejoras en ingresos ni en recaudación. Desde esa perspectiva, el crédito tributario al empleo puede entenderse como una herramienta complementaria, orientada a sostener el empleo formal, mientras otras medidas buscan activar el ciclo económico.</w:t>
      </w:r>
    </w:p>
    <w:p>
      <w:pPr>
        <w:spacing w:before="20"/>
        <w:ind w:left="360"/>
      </w:pPr>
      <w:r>
        <w:rPr>
          <w:color w:val="222222"/>
          <w:sz w:val="20"/>
        </w:rPr>
        <w:t>No obstante, ello no exime al instrumento de exigencias. Si el beneficio se concentra en trabajadores ya contratados, su impacto marginal será acotado. Si alcanza a empresas sin riesgo efectivo de ajuste laboral, su costo fiscal será difícil de justificar. Y si se presenta como herramienta de formalización, deberá demostrar capacidad para modificar conductas reales. De ahí que la discusión legislativa deba enfocarse en aspectos como su focalización, gradualidad, mecanismos de evaluación y medición de resultados en términos de empleo retenido, formalizado o creado. Tal como dijo el ministro del Trabajo a DF, el Congreso es el espacio para discutir el instrumento óptimo, lo que no debiera ocurrir es que se transforme en una discusión polarizada que desplace el análisis técnico de su efectividad.</w:t>
      </w:r>
    </w:p>
    <w:p>
      <w:pPr>
        <w:spacing w:before="40" w:after="120"/>
      </w:pPr>
      <w:r>
        <w:rPr>
          <w:color w:val="CCCCCC"/>
        </w:rPr>
        <w:t>· · ·</w:t>
      </w:r>
    </w:p>
    <w:p>
      <w:r>
        <w:rPr>
          <w:b/>
          <w:color w:val="E65000"/>
        </w:rPr>
        <w:t xml:space="preserve">3. </w:t>
      </w:r>
      <w:r>
        <w:rPr>
          <w:b/>
          <w:sz w:val="22"/>
        </w:rPr>
        <w:t>Regulación desalineada</w:t>
      </w:r>
    </w:p>
    <w:p>
      <w:pPr>
        <w:spacing w:before="0"/>
      </w:pPr>
      <w:r>
        <w:rPr>
          <w:color w:val="0056B3"/>
          <w:sz w:val="18"/>
        </w:rPr>
        <w:t>https://www.df.cl/opinion/cartas/regulacion-desalineada</w:t>
      </w:r>
    </w:p>
    <w:p>
      <w:pPr>
        <w:spacing w:before="20"/>
        <w:ind w:left="360"/>
      </w:pPr>
      <w:r>
        <w:rPr>
          <w:color w:val="222222"/>
          <w:sz w:val="20"/>
        </w:rPr>
        <w:t>Por:Equipo DFPublicado: Miércoles 29 de abril de 2026 a las 04:00 hrs.</w:t>
      </w:r>
    </w:p>
    <w:p>
      <w:pPr>
        <w:spacing w:before="20"/>
        <w:ind w:left="360"/>
      </w:pPr>
      <w:r>
        <w:rPr>
          <w:color w:val="222222"/>
          <w:sz w:val="20"/>
        </w:rPr>
        <w:t>Publicado: Miércoles 29 de abril de 2026 a las 04:00 hrs.</w:t>
      </w:r>
    </w:p>
    <w:p>
      <w:pPr>
        <w:spacing w:before="20"/>
        <w:ind w:left="360"/>
      </w:pPr>
      <w:r>
        <w:rPr>
          <w:color w:val="222222"/>
          <w:sz w:val="20"/>
        </w:rPr>
        <w:t>A raíz de la publicación en DF sobre los llamados de la industria financiera a la CMF para avanzar en la proporcionalidad regulatoria y así en su objetivo de desarrollo de mercado, quisiera agregar un elemento que ilustra la urgencia del debate.</w:t>
      </w:r>
    </w:p>
    <w:p>
      <w:pPr>
        <w:spacing w:before="20"/>
        <w:ind w:left="360"/>
      </w:pPr>
      <w:r>
        <w:rPr>
          <w:color w:val="222222"/>
          <w:sz w:val="20"/>
        </w:rPr>
        <w:t>El 1 de julio entra en vigor la NCG 526 -dictada como parte de la Ley Fintech- que establece nuevos requisitos de capital mínimo y garantías para las administradoras generales de fondos. Esto ocurre cuando el nuevo gobierno apuesta por el crecimiento y la inversión. Mientras tanto, el marco regulatorio financiero avanza hacia exigencias que inmovilizan capital sin evaluar en profundidad el impacto sobre la industria y la inclusión financiera, en un país que ya partía con una estructura de costos comparativamente alta respecto de Europa y EEUU. El resultado es predecible: freno a la baja de comisiones y mayores barreras de entrada. No es casual que la conversación en la industria de las AGF gire hoy en torno a fusiones y adquisiciones, no a mayor competencia.</w:t>
      </w:r>
    </w:p>
    <w:p>
      <w:pPr>
        <w:spacing w:before="20"/>
        <w:ind w:left="360"/>
      </w:pPr>
      <w:r>
        <w:rPr>
          <w:color w:val="222222"/>
          <w:sz w:val="20"/>
        </w:rPr>
        <w:t>Un estudio que realizamos junto al economista Claudio Raddatz documenta que la regulación chilena es inusual en exigir simultáneamente capital mínimo y garantías que no tengan un tope máximo, con niveles significativamente más altos que los de mercados comparables. Hoy pareciera que la regulación no se alinea con los objetivos que nos planteamos como país.</w:t>
      </w:r>
    </w:p>
    <w:p>
      <w:pPr>
        <w:spacing w:before="40" w:after="120"/>
      </w:pPr>
      <w:r>
        <w:rPr>
          <w:color w:val="CCCCCC"/>
        </w:rPr>
        <w:t>· · ·</w:t>
      </w:r>
    </w:p>
    <w:p/>
    <w:p>
      <w:r>
        <w:br w:type="page"/>
      </w:r>
    </w:p>
    <w:p>
      <w:pPr>
        <w:jc w:val="center"/>
      </w:pPr>
      <w:r>
        <w:rPr>
          <w:color w:val="888888"/>
        </w:rPr>
        <w:t>Generado el 29/04/2026 a las 12:01</w:t>
        <w:br/>
        <w:t>Fuente: www.df.cl  |  Paywall: archive.today (Option 1 RemovePaywalls)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