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Thursday 30 De April De 2026</w:t>
      </w:r>
    </w:p>
    <w:p/>
    <w:p>
      <w:pPr>
        <w:jc w:val="center"/>
      </w:pPr>
      <w:r>
        <w:rPr>
          <w:color w:val="444444"/>
        </w:rPr>
        <w:t>Noticias: 33  |  Con contenido: 32  |  Via archive.today: 0</w:t>
      </w:r>
    </w:p>
    <w:p>
      <w:r>
        <w:rPr>
          <w:color w:val="E65000"/>
        </w:rPr>
        <w:t>────────────────────────────────────────────────────────────────────────────────</w:t>
      </w:r>
    </w:p>
    <w:p>
      <w:r>
        <w:br w:type="page"/>
      </w:r>
    </w:p>
    <w:p>
      <w:pPr>
        <w:pStyle w:val="Heading1"/>
      </w:pPr>
      <w:r>
        <w:rPr>
          <w:color w:val="E65000"/>
        </w:rPr>
        <w:t>🔹 Mercados</w:t>
      </w:r>
    </w:p>
    <w:p>
      <w:r>
        <w:rPr>
          <w:b/>
          <w:color w:val="E65000"/>
        </w:rPr>
        <w:t xml:space="preserve">1. </w:t>
      </w:r>
      <w:r>
        <w:rPr>
          <w:b/>
          <w:sz w:val="22"/>
        </w:rPr>
        <w:t>IPSA abre al alza tras negativa racha por el conflicto en Medio Oriente y Wall Street reacciona a resultados de grandes tecnológicas</w:t>
      </w:r>
      <w:r>
        <w:rPr>
          <w:color w:val="CC7700"/>
          <w:sz w:val="18"/>
        </w:rPr>
        <w:t xml:space="preserve">  [⭐ Destacada]</w:t>
      </w:r>
    </w:p>
    <w:p>
      <w:pPr>
        <w:spacing w:before="0"/>
      </w:pPr>
      <w:r>
        <w:rPr>
          <w:color w:val="0056B3"/>
          <w:sz w:val="18"/>
        </w:rPr>
        <w:t>https://www.df.cl/mercados/bolsa-monedas/sin-titulo-87555416</w:t>
      </w:r>
    </w:p>
    <w:p>
      <w:pPr>
        <w:spacing w:before="20"/>
        <w:ind w:left="360"/>
      </w:pPr>
      <w:r>
        <w:rPr>
          <w:color w:val="222222"/>
          <w:sz w:val="20"/>
        </w:rPr>
        <w:t>Las acciones de Alphabet figuraban como las más premiadas, por el sólido crecimiento de ventas de Google Cloud. Por el contrario, Meta se llevaba la peor parte, tras incumplir las estimaciones de gasto de capital.</w:t>
      </w:r>
    </w:p>
    <w:p>
      <w:pPr>
        <w:spacing w:before="20"/>
        <w:ind w:left="360"/>
      </w:pPr>
      <w:r>
        <w:rPr>
          <w:color w:val="222222"/>
          <w:sz w:val="20"/>
        </w:rPr>
        <w:t>Publicado: Jueves 30 de abril de 2026 a las 09:50 hrs.</w:t>
      </w:r>
    </w:p>
    <w:p>
      <w:pPr>
        <w:spacing w:before="20"/>
        <w:ind w:left="360"/>
      </w:pPr>
      <w:r>
        <w:rPr>
          <w:color w:val="222222"/>
          <w:sz w:val="20"/>
        </w:rPr>
        <w:t>Las bolsas occidentales subían este jueves, a medida que se modera el alto nerviosismo de mitad de semana con respecto a la crisis del golfo Pérsico, y los agentes toman nota de los últimos resultados de las grandes tecnológicas estadounidenses.</w:t>
      </w:r>
    </w:p>
    <w:p>
      <w:pPr>
        <w:spacing w:before="20"/>
        <w:ind w:left="360"/>
      </w:pPr>
      <w:r>
        <w:rPr>
          <w:color w:val="222222"/>
          <w:sz w:val="20"/>
        </w:rPr>
        <w:t>El S&amp;P IPSA chileno remontaba 0,7% a 10.929,68 en los primeros negocios, trascerrar en rojo por tercera sesión. En Wall Street,el Dow Jones recuperaba 0,7%y el S&amp;P 500 seguía plano, al igual que el tecnológico Nasdaq. En Europa,el FTSE 100 saltaba 1,5%, y el Euro Stoxx 50 ganaba 0,4%. Al cierre de Asia,el Hang Seng perdió 1,3% y el Nikkei 1,1%.</w:t>
      </w:r>
    </w:p>
    <w:p>
      <w:pPr>
        <w:spacing w:before="20"/>
        <w:ind w:left="360"/>
      </w:pPr>
      <w:r>
        <w:rPr>
          <w:color w:val="222222"/>
          <w:sz w:val="20"/>
        </w:rPr>
        <w:t>Las acciones deAlphabet (7,6%)figuraban como las más premiadas de esta última tanda de resultados de grandes tecnológicas, por el sólidocrecimiento de ventas de Google Cloud.Amazon (2,2%), quevio su mayor salto desde 2022 en las ventas de la nube, también vio una buena recepción del mercado.</w:t>
      </w:r>
    </w:p>
    <w:p>
      <w:pPr>
        <w:spacing w:before="20"/>
        <w:ind w:left="360"/>
      </w:pPr>
      <w:r>
        <w:rPr>
          <w:color w:val="222222"/>
          <w:sz w:val="20"/>
        </w:rPr>
        <w:t>Por el contrario,Microsoft (-3,3%)caía ante la preocupación de que no esté aprovechando plenamente la demanda de servicios de IA, por uncrecimiento de Azure que no se ajustó a las expectativas más exigentes.Meta (-8,9%)se llevaba la peor parte, trasincumplir las estimaciones de gasto de capital.</w:t>
      </w:r>
    </w:p>
    <w:p>
      <w:pPr>
        <w:spacing w:before="20"/>
        <w:ind w:left="360"/>
      </w:pPr>
      <w:r>
        <w:rPr>
          <w:color w:val="222222"/>
          <w:sz w:val="20"/>
        </w:rPr>
        <w:t>Los mercados siguen atentos a los desarrollos en Medio Oriente, que este miércoles propiciaron una jornada de alta tensión, haciendo que el petróleo Brentsuperara los US$ 120 el barrilpor primera vez desde mediados de 2022. Ahora,el precio aflojaba 3,2% a US$ 114, yel dólar global se debilitaba.</w:t>
      </w:r>
    </w:p>
    <w:p>
      <w:pPr>
        <w:spacing w:before="20"/>
        <w:ind w:left="360"/>
      </w:pPr>
      <w:r>
        <w:rPr>
          <w:color w:val="222222"/>
          <w:sz w:val="20"/>
        </w:rPr>
        <w:t>Donald Trumpha manifestado queEEUU perseverará en su estrategia de asfixiar a la economía iraní mediante un bloqueo de sus puertos en el estrecho de Ormuz, y que se consideró una breve ola de ataques militares contra la república islámica, tras rechazar su última propuesta de paz.</w:t>
      </w:r>
    </w:p>
    <w:p>
      <w:pPr>
        <w:spacing w:before="20"/>
        <w:ind w:left="360"/>
      </w:pPr>
      <w:r>
        <w:rPr>
          <w:color w:val="222222"/>
          <w:sz w:val="20"/>
        </w:rPr>
        <w:t>El líder supremo de Irán,Mojtaba Jamenei, instó a no abandonar la tecnología nuclear y de misiles (temas que están en el centro de la discusión con Washington), y a mantener el control del estrecho de Ormuz, según una declaración escrita publicada este jueves.</w:t>
      </w:r>
    </w:p>
    <w:p>
      <w:pPr>
        <w:spacing w:before="20"/>
        <w:ind w:left="360"/>
      </w:pPr>
      <w:r>
        <w:rPr>
          <w:color w:val="222222"/>
          <w:sz w:val="20"/>
        </w:rPr>
        <w:t>Publicado esta mañana, el PIB estadounidensemostró un crecimiento de 2% anualizadoen la primera estimación oficial del trimestre a marzo de 2026, tres décimas por debajo de lo que habían anticipado en general las encuestas.</w:t>
      </w:r>
    </w:p>
    <w:p>
      <w:pPr>
        <w:spacing w:before="20"/>
        <w:ind w:left="360"/>
      </w:pPr>
      <w:r>
        <w:rPr>
          <w:color w:val="222222"/>
          <w:sz w:val="20"/>
        </w:rPr>
        <w:t>También se dio a conocer el informe de gastos en consumo personal, dondeel indicador de precios subyacente -conocido como "el dato de inflación favorito de la Reserva Federal"- tuvo un alza de 0,3% mensual, en línea con los pronósticos.</w:t>
      </w:r>
    </w:p>
    <w:p>
      <w:pPr>
        <w:spacing w:before="20"/>
        <w:ind w:left="360"/>
      </w:pPr>
      <w:r>
        <w:rPr>
          <w:color w:val="222222"/>
          <w:sz w:val="20"/>
        </w:rPr>
        <w:t>Tal como hizo el Banco de Japón al inicio de la semana, despuésel Banco Central de Chileymás tarde la Fed, el Banco de Inglaterra y el Banco Central Europeo anunciaron este jueves que mantienen las tasas de interés, atentos a los efectos inflacionarios del shock energético producto de la guerra en Medio Oriente.</w:t>
      </w:r>
    </w:p>
    <w:p>
      <w:pPr>
        <w:spacing w:before="40" w:after="120"/>
      </w:pPr>
      <w:r>
        <w:rPr>
          <w:color w:val="CCCCCC"/>
        </w:rPr>
        <w:t>· · ·</w:t>
      </w:r>
    </w:p>
    <w:p>
      <w:r>
        <w:rPr>
          <w:b/>
          <w:color w:val="E65000"/>
        </w:rPr>
        <w:t xml:space="preserve">2. </w:t>
      </w:r>
      <w:r>
        <w:rPr>
          <w:b/>
          <w:sz w:val="22"/>
        </w:rPr>
        <w:t>Dólar abre en baja atento al bloqueo de Ormuz mientras se asienta el polvo tras jornada de fuerte demanda por la divisa</w:t>
      </w:r>
      <w:r>
        <w:rPr>
          <w:color w:val="CC7700"/>
          <w:sz w:val="18"/>
        </w:rPr>
        <w:t xml:space="preserve">  [⭐ Destacada]</w:t>
      </w:r>
    </w:p>
    <w:p>
      <w:pPr>
        <w:spacing w:before="0"/>
      </w:pPr>
      <w:r>
        <w:rPr>
          <w:color w:val="0056B3"/>
          <w:sz w:val="18"/>
        </w:rPr>
        <w:t>https://www.df.cl/mercados/bolsa-monedas/dolar-hoy-o98pr</w:t>
      </w:r>
    </w:p>
    <w:p>
      <w:pPr>
        <w:spacing w:before="20"/>
        <w:ind w:left="360"/>
      </w:pPr>
      <w:r>
        <w:rPr>
          <w:color w:val="222222"/>
          <w:sz w:val="20"/>
        </w:rPr>
        <w:t>El dollar index en particular devolvía con creces su alza de la víspera, por la significativa apreciación del yen, después de que la máxima autoridad de divisas de Japón lanzara un ultimátum a los especuladores.</w:t>
      </w:r>
    </w:p>
    <w:p>
      <w:pPr>
        <w:spacing w:before="20"/>
        <w:ind w:left="360"/>
      </w:pPr>
      <w:r>
        <w:rPr>
          <w:color w:val="222222"/>
          <w:sz w:val="20"/>
        </w:rPr>
        <w:t>Publicado: Jueves 30 de abril de 2026 a las 08:35 hrs.</w:t>
      </w:r>
    </w:p>
    <w:p>
      <w:pPr>
        <w:spacing w:before="20"/>
        <w:ind w:left="360"/>
      </w:pPr>
      <w:r>
        <w:rPr>
          <w:color w:val="222222"/>
          <w:sz w:val="20"/>
        </w:rPr>
        <w:t>El precio del dólar abrió a la baja este jueves en Chile, dado que los ánimos se están calmando un poco en relación con la crisis del Golfo Pérsico, que de todas formas sigue teniendo a los inversionistas en alerta.</w:t>
      </w:r>
    </w:p>
    <w:p>
      <w:pPr>
        <w:spacing w:before="20"/>
        <w:ind w:left="360"/>
      </w:pPr>
      <w:r>
        <w:rPr>
          <w:color w:val="222222"/>
          <w:sz w:val="20"/>
        </w:rPr>
        <w:t>Después decerrar a mitad de semana con un alza de casi $ 20,el tipo de cambio local abrió con una caída de $ 3,3 hasta los $ 905,5 en las pantallas de Bloomberg. Este será su cierre semanal, ya que el viernes 1 de mayo es feriado en Chile y en gran parte del mundo por el Día Internacional de los Trabajadores.</w:t>
      </w:r>
    </w:p>
    <w:p>
      <w:pPr>
        <w:spacing w:before="20"/>
        <w:ind w:left="360"/>
      </w:pPr>
      <w:r>
        <w:rPr>
          <w:color w:val="222222"/>
          <w:sz w:val="20"/>
        </w:rPr>
        <w:t>Eldollar indexcaía 0,6% a 98,4 puntos, mientras el rendimiento del Tesoro estadounidense a dos años caía 5,5 puntos base.El petróleo Brent retrocedía 3,4% a US$ 114 el barril, y el cobre Comex subía 0,9% para bordear los US$ 6 por libra. Los futuros de Wall Street avanzaban, tras los resultados de cuatro grandes tecnológicas.</w:t>
      </w:r>
    </w:p>
    <w:p>
      <w:pPr>
        <w:spacing w:before="20"/>
        <w:ind w:left="360"/>
      </w:pPr>
      <w:r>
        <w:rPr>
          <w:color w:val="222222"/>
          <w:sz w:val="20"/>
        </w:rPr>
        <w:t>Todos movimientos contrarios a lo que se vio este miércoles, en una jornada de alta tensión donde el Brent superó los US$ 120 por la expectativa -respaldada en dichos deDonald Trump- de queWashington perseverará en su estrategia de asfixiar a la economía iraní mediante un bloqueo de sus puertos en el estrecho de Ormuz, tras rechazar la última propuesta de paz de Teherán, y está considerando una breve ola de ataques militares.</w:t>
      </w:r>
    </w:p>
    <w:p>
      <w:pPr>
        <w:spacing w:before="20"/>
        <w:ind w:left="360"/>
      </w:pPr>
      <w:r>
        <w:rPr>
          <w:color w:val="222222"/>
          <w:sz w:val="20"/>
        </w:rPr>
        <w:t>Eldollar indexen particular devolvía con creces su alza de la víspera, por la significativa apreciación delyen (2,5%), después de que la máxima autoridad de divisas de Japón lanzara un ultimátum a los especuladores. Una señal de firme disposición a intervenir el mercado, presumiblemente con la venia de EEUU, luego de que el yen se depreciara este miércoles a su peor nivel desde 2024.</w:t>
      </w:r>
    </w:p>
    <w:p>
      <w:pPr>
        <w:spacing w:before="20"/>
        <w:ind w:left="360"/>
      </w:pPr>
      <w:r>
        <w:rPr>
          <w:color w:val="222222"/>
          <w:sz w:val="20"/>
        </w:rPr>
        <w:t>Recién publicado, el PIB estadounidensemostró un crecimiento de 2% anualizadoen la primera estimación oficial del trimestre a marzo de 2026, tres décimas por debajo de lo que habían anticipado en general las encuestas.</w:t>
      </w:r>
    </w:p>
    <w:p>
      <w:pPr>
        <w:spacing w:before="20"/>
        <w:ind w:left="360"/>
      </w:pPr>
      <w:r>
        <w:rPr>
          <w:color w:val="222222"/>
          <w:sz w:val="20"/>
        </w:rPr>
        <w:t>También se dio a conocer el informe de gastos en consumo personal, dondeel indicador de precios subyacente -conocido como "el dato de inflación favorito de la Reserva Federal"- tuvo un alza de 0,3% mensual, en línea con los pronósticos.</w:t>
      </w:r>
    </w:p>
    <w:p>
      <w:pPr>
        <w:spacing w:before="20"/>
        <w:ind w:left="360"/>
      </w:pPr>
      <w:r>
        <w:rPr>
          <w:color w:val="222222"/>
          <w:sz w:val="20"/>
        </w:rPr>
        <w:t>Tal como hizo el Banco de Japón al inicio de la semana, despuésel Banco Central de Chileymás tarde la Fed, el Banco de Inglaterra y el Banco Central Europeo anunciaron este jueves que mantienen las tasas de interés, atentos a los efectos inflacionarios del shock energético producto de la guerra en Medio Oriente.</w:t>
      </w:r>
    </w:p>
    <w:p>
      <w:pPr>
        <w:spacing w:before="40" w:after="120"/>
      </w:pPr>
      <w:r>
        <w:rPr>
          <w:color w:val="CCCCCC"/>
        </w:rPr>
        <w:t>· · ·</w:t>
      </w:r>
    </w:p>
    <w:p>
      <w:r>
        <w:rPr>
          <w:b/>
          <w:color w:val="E65000"/>
        </w:rPr>
        <w:t xml:space="preserve">3. </w:t>
      </w:r>
      <w:r>
        <w:rPr>
          <w:b/>
          <w:sz w:val="22"/>
        </w:rPr>
        <w:t>Nueva ley impulsa ingreso de mujeres en directorios: 19 de las 33 compañías IPSA cumplen con presencia mínima de 20%</w:t>
      </w:r>
      <w:r>
        <w:rPr>
          <w:color w:val="CC7700"/>
          <w:sz w:val="18"/>
        </w:rPr>
        <w:t xml:space="preserve">  [⭐ Destacada]</w:t>
      </w:r>
    </w:p>
    <w:p>
      <w:pPr>
        <w:spacing w:before="0"/>
      </w:pPr>
      <w:r>
        <w:rPr>
          <w:color w:val="0056B3"/>
          <w:sz w:val="18"/>
        </w:rPr>
        <w:t>https://www.df.cl/mercados/bolsa-monedas/tras-renovacion-en-el-ipsa-presencia-de-mujeres-en-directorios-sube-a</w:t>
      </w:r>
    </w:p>
    <w:p>
      <w:pPr>
        <w:spacing w:before="20"/>
        <w:ind w:left="360"/>
      </w:pPr>
      <w:r>
        <w:rPr>
          <w:color w:val="222222"/>
          <w:sz w:val="20"/>
        </w:rPr>
        <w:t>De acuerdo a Redmad, los perfiles femeninos lideraron los ingresos del año con el 68,4% de las nuevas incorporaciones a las mesas. Para la organización, aumentar la densidad es el desafío pendiente.</w:t>
      </w:r>
    </w:p>
    <w:p>
      <w:pPr>
        <w:spacing w:before="20"/>
        <w:ind w:left="360"/>
      </w:pPr>
      <w:r>
        <w:rPr>
          <w:color w:val="222222"/>
          <w:sz w:val="20"/>
        </w:rPr>
        <w:t>Publicado: Jueves 30 de abril de 2026 a las 04:00 hrs.</w:t>
      </w:r>
    </w:p>
    <w:p>
      <w:pPr>
        <w:spacing w:before="20"/>
        <w:ind w:left="360"/>
      </w:pPr>
      <w:r>
        <w:rPr>
          <w:color w:val="222222"/>
          <w:sz w:val="20"/>
        </w:rPr>
        <w:t>La temporada de juntas de accionistas de empresas pertenecientes al IPSA dejó 16 renovaciones en sus directorios, con nuevos avances de presencia femenina en las mesas de las 33 compañías listadas en bolsa más grandes del país.</w:t>
      </w:r>
    </w:p>
    <w:p>
      <w:pPr>
        <w:spacing w:before="20"/>
        <w:ind w:left="360"/>
      </w:pPr>
      <w:r>
        <w:rPr>
          <w:color w:val="222222"/>
          <w:sz w:val="20"/>
        </w:rPr>
        <w:t>De acuerdo a un catastro realizado por la Red Mujeres Alta Dirección (Redmad),  el 96,97% de las empresas tiene al menos una mujer en su directorio -es decir, 32 de 33-.</w:t>
      </w:r>
    </w:p>
    <w:p>
      <w:pPr>
        <w:spacing w:before="20"/>
        <w:ind w:left="360"/>
      </w:pPr>
      <w:r>
        <w:rPr>
          <w:color w:val="222222"/>
          <w:sz w:val="20"/>
        </w:rPr>
        <w:t>Así, solo queda una sin representación femenina: Tricot.Hasta el año pasado, además del retailer, tanto Banco Itaú como CCU no tenían presencia femenina.</w:t>
      </w:r>
    </w:p>
    <w:p>
      <w:pPr>
        <w:spacing w:before="20"/>
        <w:ind w:left="360"/>
      </w:pPr>
      <w:r>
        <w:rPr>
          <w:color w:val="222222"/>
          <w:sz w:val="20"/>
        </w:rPr>
        <w:t>De esta manera, la participación neta femenina creció de 20,3% en 2025, a 22,6% este año, con 65 mujeres directoras en total.</w:t>
      </w:r>
    </w:p>
    <w:p>
      <w:pPr>
        <w:spacing w:before="20"/>
        <w:ind w:left="360"/>
      </w:pPr>
      <w:r>
        <w:rPr>
          <w:color w:val="222222"/>
          <w:sz w:val="20"/>
        </w:rPr>
        <w:t>El aumento se da en medio de la implementación de la Ley Más Mujeres en Directorios, que establece un mínimo de participación femenina del 20% hasta 2028, para luego subir al 40% en seis años.</w:t>
      </w:r>
    </w:p>
    <w:p>
      <w:pPr>
        <w:spacing w:before="20"/>
        <w:ind w:left="360"/>
      </w:pPr>
      <w:r>
        <w:rPr>
          <w:color w:val="222222"/>
          <w:sz w:val="20"/>
        </w:rPr>
        <w:t>Según el análisis de Redmad, de las 33 empresas IPSA, 19 cumplen con tener al menos el 20% de mujeres en sus mesas, un 57,58% del total.</w:t>
      </w:r>
    </w:p>
    <w:p>
      <w:pPr>
        <w:spacing w:before="20"/>
        <w:ind w:left="360"/>
      </w:pPr>
      <w:r>
        <w:rPr>
          <w:color w:val="222222"/>
          <w:sz w:val="20"/>
        </w:rPr>
        <w:t>Mientras que el movimiento se intensificó mediante los recambios de mesas directivas de este año, marcados por salidas netas de hombres.</w:t>
      </w:r>
    </w:p>
    <w:p>
      <w:pPr>
        <w:spacing w:before="20"/>
        <w:ind w:left="360"/>
      </w:pPr>
      <w:r>
        <w:rPr>
          <w:color w:val="222222"/>
          <w:sz w:val="20"/>
        </w:rPr>
        <w:t>En detalle, el 68,4% de los nuevos directores incorporados en 2026 fueron mujeres (13 de 19 ingresos efectivos), arrojó el catastro.Es decir, por cada hombre que ingresó a una mesa este año, se incorporaron dos perfiles femeninos.</w:t>
      </w:r>
    </w:p>
    <w:p>
      <w:pPr>
        <w:spacing w:before="20"/>
        <w:ind w:left="360"/>
      </w:pPr>
      <w:r>
        <w:rPr>
          <w:color w:val="222222"/>
          <w:sz w:val="20"/>
        </w:rPr>
        <w:t>En cuanto a recorridos profesionales, Redmad destacó que las 13 entradas femeninas de este año reflejaron una diversificación de trayectorias, destacando perfiles provenientes de la política pública y el sector gubernamental.</w:t>
      </w:r>
    </w:p>
    <w:p>
      <w:pPr>
        <w:spacing w:before="20"/>
        <w:ind w:left="360"/>
      </w:pPr>
      <w:r>
        <w:rPr>
          <w:color w:val="222222"/>
          <w:sz w:val="20"/>
        </w:rPr>
        <w:t>Y por industrias, servicios financieros y el mundo del retail empatan en el liderazgo absoluto con 9 directoras cada uno.</w:t>
      </w:r>
    </w:p>
    <w:p>
      <w:pPr>
        <w:spacing w:before="20"/>
        <w:ind w:left="360"/>
      </w:pPr>
      <w:r>
        <w:rPr>
          <w:color w:val="222222"/>
          <w:sz w:val="20"/>
        </w:rPr>
        <w:t>El escenario es protagonizado este año por el sector bancario, en el que se suman nuevas integrantes en Banco Santander (3), BCI y Banco de Chile. En específico, Banco Santander es la empresa con mayor apertura, incorporando a Gloria Hutt Hesse, Mónica López-Monis Gallego y María Francisca Yáñez.</w:t>
      </w:r>
    </w:p>
    <w:p>
      <w:pPr>
        <w:spacing w:before="20"/>
        <w:ind w:left="360"/>
      </w:pPr>
      <w:r>
        <w:rPr>
          <w:color w:val="222222"/>
          <w:sz w:val="20"/>
        </w:rPr>
        <w:t>Para la presidenta de Redmad, María Ana Matthias, los resultados de 2026 anotarían un punto de inflexión en la composición de los directorios del IPSA, “lo que confirma que la incorporación de mujeres está dejando de ser una excepción y pasando a ser parte del estándar de gobernanza”.</w:t>
      </w:r>
    </w:p>
    <w:p>
      <w:pPr>
        <w:spacing w:before="20"/>
        <w:ind w:left="360"/>
      </w:pPr>
      <w:r>
        <w:rPr>
          <w:color w:val="222222"/>
          <w:sz w:val="20"/>
        </w:rPr>
        <w:t>Aunque aún se mantendrían una serie de desafíos. “El avance sigue siendo gradual y todavía está lejos de niveles de complementariedad de género”, aclaró la timonel de la organización.</w:t>
      </w:r>
    </w:p>
    <w:p>
      <w:pPr>
        <w:spacing w:before="20"/>
        <w:ind w:left="360"/>
      </w:pPr>
      <w:r>
        <w:rPr>
          <w:color w:val="222222"/>
          <w:sz w:val="20"/>
        </w:rPr>
        <w:t>En esta línea, apuntó que el progreso se explica principalmente por ingresos ante vacantes, mientras que el principal frente se encuentra en no solo aumentar presencia, sino que también la densidad.</w:t>
      </w:r>
    </w:p>
    <w:p>
      <w:pPr>
        <w:spacing w:before="20"/>
        <w:ind w:left="360"/>
      </w:pPr>
      <w:r>
        <w:rPr>
          <w:color w:val="222222"/>
          <w:sz w:val="20"/>
        </w:rPr>
        <w:t>“La evidencia muestra que para que la complementariedad de género genere cambios significativos en la cultura y las decisiones de los directorios se requiere alcanzar una masa crítica, que la literatura sitúa en torno al 30%”, afirmó Matthias.</w:t>
      </w:r>
    </w:p>
    <w:p>
      <w:pPr>
        <w:spacing w:before="20"/>
        <w:ind w:left="360"/>
      </w:pPr>
      <w:r>
        <w:rPr>
          <w:color w:val="222222"/>
          <w:sz w:val="20"/>
        </w:rPr>
        <w:t>En concreto, pese a que casi todas las empresas tienen al menos una mujer, muchas mantienen solo un asiento femenino.Entre las de mayor densidad de presencia destacan Aguas Andinas (5 mujeres), Banco Santander (4) y un grupo de 8 empresas con 3 mujeres: Cencosud, Embotelladora Andina, Concha y Toro, SMU, Falabella, Engie Energía Chile, Enel Chile y SONDA.</w:t>
      </w:r>
    </w:p>
    <w:p>
      <w:pPr>
        <w:spacing w:before="20"/>
        <w:ind w:left="360"/>
      </w:pPr>
      <w:r>
        <w:rPr>
          <w:color w:val="222222"/>
          <w:sz w:val="20"/>
        </w:rPr>
        <w:t>Así, “el reto para los próximos ciclos es avanzar desde la incorporación hacia una participación que permita construir agenda y generar impacto colectivo”, añadió la presidenta de Redmad.</w:t>
      </w:r>
    </w:p>
    <w:p>
      <w:pPr>
        <w:spacing w:before="20"/>
        <w:ind w:left="360"/>
      </w:pPr>
      <w:r>
        <w:rPr>
          <w:color w:val="222222"/>
          <w:sz w:val="20"/>
        </w:rPr>
        <w:t>“Ante los desafíos pendientes, sería muy valioso extender el análisis a las restantes compañías que reportan a la CMF, y profundizar en los factores que ayudarían a mover la aguja en aquellas que aún no cumplen con la normativa”, concluyó Matthias.</w:t>
      </w:r>
    </w:p>
    <w:p>
      <w:pPr>
        <w:spacing w:before="40" w:after="120"/>
      </w:pPr>
      <w:r>
        <w:rPr>
          <w:color w:val="CCCCCC"/>
        </w:rPr>
        <w:t>· · ·</w:t>
      </w:r>
    </w:p>
    <w:p/>
    <w:p>
      <w:pPr>
        <w:pStyle w:val="Heading1"/>
      </w:pPr>
      <w:r>
        <w:rPr>
          <w:color w:val="E65000"/>
        </w:rPr>
        <w:t>🔹 Empresas</w:t>
      </w:r>
    </w:p>
    <w:p>
      <w:r>
        <w:rPr>
          <w:b/>
          <w:color w:val="E65000"/>
        </w:rPr>
        <w:t xml:space="preserve">1. </w:t>
      </w:r>
      <w:r>
        <w:rPr>
          <w:b/>
          <w:sz w:val="22"/>
        </w:rPr>
        <w:t>SMA inicia investigación contra ENAP Refinerías Aconcagua tras denuncia de manipulación de datos de cumplimiento ambiental</w:t>
      </w:r>
      <w:r>
        <w:rPr>
          <w:color w:val="CC7700"/>
          <w:sz w:val="18"/>
        </w:rPr>
        <w:t xml:space="preserve">  [⭐ Destacada]</w:t>
      </w:r>
    </w:p>
    <w:p>
      <w:pPr>
        <w:spacing w:before="0"/>
      </w:pPr>
      <w:r>
        <w:rPr>
          <w:color w:val="0056B3"/>
          <w:sz w:val="18"/>
        </w:rPr>
        <w:t>https://www.df.cl/empresas/medio-ambiente/sma-inicia-investigacion-contra-enap-refinerias-aconcagua-tras-denuncia-de</w:t>
      </w:r>
    </w:p>
    <w:p>
      <w:pPr>
        <w:spacing w:before="20"/>
        <w:ind w:left="360"/>
      </w:pPr>
      <w:r>
        <w:rPr>
          <w:color w:val="222222"/>
          <w:sz w:val="20"/>
        </w:rPr>
        <w:t>La entidad fiscalizadora realizó este miércoles un requerimiento de información tras la decisión del directorio de la estatal de ejercer acciones legales por la entrega de información falsa a la entidad.</w:t>
      </w:r>
    </w:p>
    <w:p>
      <w:pPr>
        <w:spacing w:before="20"/>
        <w:ind w:left="360"/>
      </w:pPr>
      <w:r>
        <w:rPr>
          <w:color w:val="222222"/>
          <w:sz w:val="20"/>
        </w:rPr>
        <w:t>Publicado: Jueves 30 de abril de 2026 a las 11:29 hrs.</w:t>
      </w:r>
    </w:p>
    <w:p>
      <w:pPr>
        <w:spacing w:before="20"/>
        <w:ind w:left="360"/>
      </w:pPr>
      <w:r>
        <w:rPr>
          <w:color w:val="222222"/>
          <w:sz w:val="20"/>
        </w:rPr>
        <w:t>La Superintendencia del Medio Ambiente (SMA) confirmó este jueves su intervención en el conflictoque destapó este miércoles la ministra de Energía,Ximena Rincón, tras participar en la junta de accionistasde la Empresa Nacional del Petróleo (ENAP) que se realiza de forma cerrada. Esto,respecto a la decisión del directorio de la estatal de ejercer acciones legales por -según dijo- contingencias legales ambientales que considera "graves".</w:t>
      </w:r>
    </w:p>
    <w:p>
      <w:pPr>
        <w:spacing w:before="20"/>
        <w:ind w:left="360"/>
      </w:pPr>
      <w:r>
        <w:rPr>
          <w:color w:val="222222"/>
          <w:sz w:val="20"/>
        </w:rPr>
        <w:t>En concreto, según aclararon fuentes posteriormente,las acciones están dirigidas contra ejecutivos y personal de la petroleraque habrían manipulado datos de cumplimiento ambiental, lo que implicó entregar información falsa a la entidad fiscalizadora, respecto de los niveles de contaminantes en la refinería Aconcagua, en el marco del Plan de Prevención y/o Descontaminación Atmosférica (PPDA) que rige para las comunas de Concón, Quintero y Puchuncaví, en la Región de Valparaíso.</w:t>
      </w:r>
    </w:p>
    <w:p>
      <w:pPr>
        <w:spacing w:before="120"/>
        <w:ind w:left="360"/>
      </w:pPr>
      <w:r>
        <w:rPr>
          <w:b/>
          <w:color w:val="E65000"/>
          <w:sz w:val="26"/>
        </w:rPr>
        <w:t xml:space="preserve"> </w:t>
      </w:r>
    </w:p>
    <w:p>
      <w:pPr>
        <w:spacing w:before="20"/>
        <w:ind w:left="360"/>
      </w:pPr>
      <w:r>
        <w:rPr>
          <w:color w:val="222222"/>
          <w:sz w:val="20"/>
        </w:rPr>
        <w:t>Este jueves, en una escueta declaración, la SMA informó que, en relación con la información difundida en medios de comunicación sobre la entrega de antecedentes presuntamente falsos a la entidad por parte de ENAP Refinerías Aconcagua,se "ha iniciado la correspondiente investigación".</w:t>
      </w:r>
    </w:p>
    <w:p>
      <w:pPr>
        <w:spacing w:before="20"/>
        <w:ind w:left="360"/>
      </w:pPr>
      <w:r>
        <w:rPr>
          <w:color w:val="222222"/>
          <w:sz w:val="20"/>
        </w:rPr>
        <w:t>En este marco, se añadió,"el día de ayer fue realizado un requerimiento de información a ENAP Refinerías Aconcagua, con el objeto de recopilar todos los antecedentes necesarios para esclarecer los hechos y evaluar las acciones que procedan conforme a las competencias de este Servicio".</w:t>
      </w:r>
    </w:p>
    <w:p>
      <w:pPr>
        <w:spacing w:before="20"/>
        <w:ind w:left="360"/>
      </w:pPr>
      <w:r>
        <w:rPr>
          <w:color w:val="222222"/>
          <w:sz w:val="20"/>
        </w:rPr>
        <w:t>Frente a la situación revelada ayer en la junta de accionistas por el directorio del directorio de ENAP, Cristián Muga, Rincón comentó tras la cita que como accionistas se solicitó un informe que tiene que ser evacuado a la brevedad en un máximo de 15 días, "sin perjuicios a las acciones legales que se están ejerciendo en los próximos días".</w:t>
      </w:r>
    </w:p>
    <w:p>
      <w:pPr>
        <w:spacing w:before="40" w:after="120"/>
      </w:pPr>
      <w:r>
        <w:rPr>
          <w:color w:val="CCCCCC"/>
        </w:rPr>
        <w:t>· · ·</w:t>
      </w:r>
    </w:p>
    <w:p>
      <w:r>
        <w:rPr>
          <w:b/>
          <w:color w:val="E65000"/>
        </w:rPr>
        <w:t xml:space="preserve">2. </w:t>
      </w:r>
      <w:r>
        <w:rPr>
          <w:b/>
          <w:sz w:val="22"/>
        </w:rPr>
        <w:t>Macario Valdés debuta como CEO de Quiñenco y se abre a “inversiones tanto en Chile como en el extranjero”</w:t>
      </w:r>
      <w:r>
        <w:rPr>
          <w:color w:val="CC7700"/>
          <w:sz w:val="18"/>
        </w:rPr>
        <w:t xml:space="preserve">  [⭐ Destacada]</w:t>
      </w:r>
    </w:p>
    <w:p>
      <w:pPr>
        <w:spacing w:before="0"/>
      </w:pPr>
      <w:r>
        <w:rPr>
          <w:color w:val="0056B3"/>
          <w:sz w:val="18"/>
        </w:rPr>
        <w:t>https://www.df.cl/empresas/juntas-de-accionistas/macario-valdes-debuta-como-ceo-de-quinenco-y-se-abre-a-inversiones-tanto</w:t>
      </w:r>
    </w:p>
    <w:p>
      <w:pPr>
        <w:spacing w:before="20"/>
        <w:ind w:left="360"/>
      </w:pPr>
      <w:r>
        <w:rPr>
          <w:color w:val="222222"/>
          <w:sz w:val="20"/>
        </w:rPr>
        <w:t>Andrónico Luksic Lederer, quien asumió como vicepresidente de la matriz industrial del grupo Luksic, también hizo su primera aparición pública en la junta de accionistas.</w:t>
      </w:r>
    </w:p>
    <w:p>
      <w:pPr>
        <w:spacing w:before="20"/>
        <w:ind w:left="360"/>
      </w:pPr>
      <w:r>
        <w:rPr>
          <w:color w:val="222222"/>
          <w:sz w:val="20"/>
        </w:rPr>
        <w:t>Por:Catalina VicuñaPublicado: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Andrónico Luksic Lederer, vicepresidente, y Macario Valdés, CEO de Quiñenco. Foto: Julio Castro.</w:t>
      </w:r>
    </w:p>
    <w:p>
      <w:pPr>
        <w:spacing w:before="20"/>
        <w:ind w:left="360"/>
      </w:pPr>
      <w:r>
        <w:rPr>
          <w:color w:val="222222"/>
          <w:sz w:val="20"/>
        </w:rPr>
        <w:t>El Hotel Ritz Carlton fue sede y testigo del debut del nuevo CEO de Quiñenco, Macario Valdés. Pese a que el ejecutivo asumió en enero pasado como gerente general del holding ligado al grupo Luksic –cargo que previamente fue ocupado por el actual canciller, Francisco Pérez Mackenna, por casi tres décadas– este miércoles encabezó su primera junta de accionistas.</w:t>
      </w:r>
    </w:p>
    <w:p>
      <w:pPr>
        <w:spacing w:before="20"/>
        <w:ind w:left="360"/>
      </w:pPr>
      <w:r>
        <w:rPr>
          <w:color w:val="222222"/>
          <w:sz w:val="20"/>
        </w:rPr>
        <w:t>Acompañado del presidente de la firma, Pablo Granifo, el ejecutivo tomó la batuta de la reunión y emitió sus primeras palabras hacia los accionistas presentes: “Hoy doy cuenta de un período que si bien no gestioné directamente, sí es el punto de partida de esta nueva etapa que me toca liderar”.</w:t>
      </w:r>
    </w:p>
    <w:p>
      <w:pPr>
        <w:spacing w:before="20"/>
        <w:ind w:left="360"/>
      </w:pPr>
      <w:r>
        <w:rPr>
          <w:color w:val="222222"/>
          <w:sz w:val="20"/>
        </w:rPr>
        <w:t>En el encuentro también se hizo presente Andrónico Luksic Lederer como vicepresidente de Quiñenco, tercera generación de la familia que, en el contexto del rearme del holding, comenzó a tomar cargos. Además, reemplazó a su padre, Andrónico Luksic Craig, en el directorio de Antofagasta plc.</w:t>
      </w:r>
    </w:p>
    <w:p>
      <w:pPr>
        <w:spacing w:before="20"/>
        <w:ind w:left="360"/>
      </w:pPr>
      <w:r>
        <w:rPr>
          <w:color w:val="222222"/>
          <w:sz w:val="20"/>
        </w:rPr>
        <w:t>Terminada la junta, el exgerente general de SAAM (compañía logística del grupo), profundizó en lo que han sido estos meses tras su desembarco.</w:t>
      </w:r>
    </w:p>
    <w:p>
      <w:pPr>
        <w:spacing w:before="20"/>
        <w:ind w:left="360"/>
      </w:pPr>
      <w:r>
        <w:rPr>
          <w:color w:val="222222"/>
          <w:sz w:val="20"/>
        </w:rPr>
        <w:t>Detalló que en esta “fase de instalación” ha puesto foco en tres ejes: conocer a las personas y los equipos; saber de los activos y las empresas del portafolio; y buscar oportunidades de inversión.</w:t>
      </w:r>
    </w:p>
    <w:p>
      <w:pPr>
        <w:spacing w:before="20"/>
        <w:ind w:left="360"/>
      </w:pPr>
      <w:r>
        <w:rPr>
          <w:color w:val="222222"/>
          <w:sz w:val="20"/>
        </w:rPr>
        <w:t>Con activos bajo administración por más de US$ 112 mil millones y 74 mil personas empleadas, Valdés planteó que “lo responsable en esta fase es entender bien la compañía de nuestro portafolio, la dinámica de la industria, los desafíos, las oportunidades”.</w:t>
      </w:r>
    </w:p>
    <w:p>
      <w:pPr>
        <w:spacing w:before="20"/>
        <w:ind w:left="360"/>
      </w:pPr>
      <w:r>
        <w:rPr>
          <w:color w:val="222222"/>
          <w:sz w:val="20"/>
        </w:rPr>
        <w:t>Respecto a los focos de crecimiento, dijo que “estamos hoy en condiciones de realizar inversiones tanto en Chile como en el extranjero y es lo que estamos buscando”.</w:t>
      </w:r>
    </w:p>
    <w:p>
      <w:pPr>
        <w:spacing w:before="20"/>
        <w:ind w:left="360"/>
      </w:pPr>
      <w:r>
        <w:rPr>
          <w:color w:val="222222"/>
          <w:sz w:val="20"/>
        </w:rPr>
        <w:t>Según sus resultados financieros 2025, Quiñenco cerró el año pasado con una caja cercana a los $ 1.895.039 millones (unos US$ 2.131 millones al dólar de hoy), cifra que ha continuado creciendo por la desinversión progresiva de parte del grupo en la francesa Nexans, que le han permitido al holding recaudar, en total, unos US$ 1.220 millones.</w:t>
      </w:r>
    </w:p>
    <w:p>
      <w:pPr>
        <w:spacing w:before="20"/>
        <w:ind w:left="360"/>
      </w:pPr>
      <w:r>
        <w:rPr>
          <w:color w:val="222222"/>
          <w:sz w:val="20"/>
        </w:rPr>
        <w:t>Sobre los plazos en los que se ejecutarán estas inversiones, Valdés aseguró que “no hay que apurarse”. Y sobre sectores y mercados, explicó que “buscamos activos de largo plazo, buscamos buenas marcas. Somos un grupo que está abierto a socios y buscamos oportunidades”.</w:t>
      </w:r>
    </w:p>
    <w:p>
      <w:pPr>
        <w:spacing w:before="20"/>
        <w:ind w:left="360"/>
      </w:pPr>
      <w:r>
        <w:rPr>
          <w:color w:val="222222"/>
          <w:sz w:val="20"/>
        </w:rPr>
        <w:t>Dichas apuestas se realizarán en un contexto internacional que hoy “está bien convulsionado, (hay) harta incertidumbre, harta volatilidad, el precio del petróleo, combustible (está) subiendo mucho (...) Pero en ese contexto de alta incertidumbre, la verdad que nuestros activos y nuestra diversificación son un atributo importante que nos permite mirar de manera positiva lo que está por delante”.</w:t>
      </w:r>
    </w:p>
    <w:p>
      <w:pPr>
        <w:spacing w:before="20"/>
        <w:ind w:left="360"/>
      </w:pPr>
      <w:r>
        <w:rPr>
          <w:color w:val="222222"/>
          <w:sz w:val="20"/>
        </w:rPr>
        <w:t>Consultado por el Plan de Reconstrucción Nacional, Valdés afirmó que desde Quiñenco creen que debe discutirse “adecuadamente” y “con altura de miras en el Congreso”.</w:t>
      </w:r>
    </w:p>
    <w:p>
      <w:pPr>
        <w:spacing w:before="20"/>
        <w:ind w:left="360"/>
      </w:pPr>
      <w:r>
        <w:rPr>
          <w:color w:val="222222"/>
          <w:sz w:val="20"/>
        </w:rPr>
        <w:t>“Chile necesita recuperar la competitividad y, para eso, es importante la certeza jurídica y que eso permite crear inversiones, crear empleo y que Chile vuelva a crecer. Así que creemos que la ley que se está presentando apunta en la dirección correcta”.</w:t>
      </w:r>
    </w:p>
    <w:p>
      <w:pPr>
        <w:spacing w:before="40" w:after="120"/>
      </w:pPr>
      <w:r>
        <w:rPr>
          <w:color w:val="CCCCCC"/>
        </w:rPr>
        <w:t>· · ·</w:t>
      </w:r>
    </w:p>
    <w:p>
      <w:r>
        <w:rPr>
          <w:b/>
          <w:color w:val="E65000"/>
        </w:rPr>
        <w:t xml:space="preserve">3. </w:t>
      </w:r>
      <w:r>
        <w:rPr>
          <w:b/>
          <w:sz w:val="22"/>
        </w:rPr>
        <w:t>Desafíos en el vecindario: embotelladoras delinean retos en Bolivia y Argentina</w:t>
      </w:r>
      <w:r>
        <w:rPr>
          <w:color w:val="CC7700"/>
          <w:sz w:val="18"/>
        </w:rPr>
        <w:t xml:space="preserve">  [⭐ Destacada]</w:t>
      </w:r>
    </w:p>
    <w:p>
      <w:pPr>
        <w:spacing w:before="0"/>
      </w:pPr>
      <w:r>
        <w:rPr>
          <w:color w:val="0056B3"/>
          <w:sz w:val="18"/>
        </w:rPr>
        <w:t>https://www.df.cl/empresas/juntas-de-accionistas/desafios-en-el-vecindario-embotelladoras-delinean-retos-en-bolivia-y</w:t>
      </w:r>
    </w:p>
    <w:p>
      <w:pPr>
        <w:spacing w:before="20"/>
        <w:ind w:left="360"/>
      </w:pPr>
      <w:r>
        <w:rPr>
          <w:color w:val="222222"/>
          <w:sz w:val="20"/>
        </w:rPr>
        <w:t>CCU acusó impactos en rentabilidad por desempeño en Argentina y Embonor registró caídas del 10% en ingresos en Bolivia.</w:t>
      </w:r>
    </w:p>
    <w:p>
      <w:pPr>
        <w:spacing w:before="20"/>
        <w:ind w:left="360"/>
      </w:pPr>
      <w:r>
        <w:rPr>
          <w:color w:val="222222"/>
          <w:sz w:val="20"/>
        </w:rPr>
        <w:t>Por:Catalina VicuñaPublicado: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Rodrigo Paz, presidente de Bolivia; Bruno Pietracci, presidente de Coca Cola América Latina; y Andrés Vicuña, presidente Coca Cola Embonor</w:t>
      </w:r>
    </w:p>
    <w:p>
      <w:pPr>
        <w:spacing w:before="20"/>
        <w:ind w:left="360"/>
      </w:pPr>
      <w:r>
        <w:rPr>
          <w:color w:val="222222"/>
          <w:sz w:val="20"/>
        </w:rPr>
        <w:t>El adverso escenario político y económico que se vive en ciertos países de Latinoamérica fue un tema que se repitieron en las principales embotelladoras de la región.</w:t>
      </w:r>
    </w:p>
    <w:p>
      <w:pPr>
        <w:spacing w:before="20"/>
        <w:ind w:left="360"/>
      </w:pPr>
      <w:r>
        <w:rPr>
          <w:color w:val="222222"/>
          <w:sz w:val="20"/>
        </w:rPr>
        <w:t>Coca Cola Embonor, por ejemplo, compañía que hoy tiene presencia en Chile y Bolivia, enfrentó un año con una caída del 10% de sus ingresos en ventas en el país vecino.</w:t>
      </w:r>
    </w:p>
    <w:p>
      <w:pPr>
        <w:spacing w:before="20"/>
        <w:ind w:left="360"/>
      </w:pPr>
      <w:r>
        <w:rPr>
          <w:color w:val="222222"/>
          <w:sz w:val="20"/>
        </w:rPr>
        <w:t>Esto, explicó su presidente Andrés Vicuña, debido a una “profundización de la crisis económica evidenciada por la escasez de dólares y combustible, inflación de dos dígitos, restricciones operativas, sumado a conflictos sociales”. Al día siguiente de la junta, el directivo chileno viajó hasta Bolivia para reunirse –junto a más representantes ligados a la firma Coca Cola– con el nuevo presidente del país, Rodrigo Paz.</w:t>
      </w:r>
    </w:p>
    <w:p>
      <w:pPr>
        <w:spacing w:before="20"/>
        <w:ind w:left="360"/>
      </w:pPr>
      <w:r>
        <w:rPr>
          <w:color w:val="222222"/>
          <w:sz w:val="20"/>
        </w:rPr>
        <w:t>Sobre dicho encuentro, desde Embonor afirmaron a DF que valoran positivamente las señales del gobierno entrante, “particularmente en materia de apertura, modernización y fortalecimiento institucional”. Así, ven con optimismo el rumbo planteado, y que para este año tienen perspectivas “más positivas”, pues evidencian una mejora en la dinámica de ventas. En esta línea, desde Embonor anunciaron un plan de inversión de US$ 382 millones al 2030, dirigido a sus operaciones del país.</w:t>
      </w:r>
    </w:p>
    <w:p>
      <w:pPr>
        <w:spacing w:before="20"/>
        <w:ind w:left="360"/>
      </w:pPr>
      <w:r>
        <w:rPr>
          <w:color w:val="222222"/>
          <w:sz w:val="20"/>
        </w:rPr>
        <w:t>Otra firma que hizo hincapié en un país vecino fue CCU, ligada al grupo Luksic. Su presidente, Pablo Granifo, destacó que los resultados 2025 reflejaron un escenario desafiante en materia de rentabilidad, “particularmente en Argentina”.</w:t>
      </w:r>
    </w:p>
    <w:p>
      <w:pPr>
        <w:spacing w:before="20"/>
        <w:ind w:left="360"/>
      </w:pPr>
      <w:r>
        <w:rPr>
          <w:color w:val="222222"/>
          <w:sz w:val="20"/>
        </w:rPr>
        <w:t>Llevado a resultados concretos, afirmó que el segmento de operación en negocios internacionales de CCU redujo su Ebitda en un 29,5% durante 2025, “principalmente por la contracción de la industria de cervezas en Argentina y por la depreciación de la moneda”, explicó. En su memoria anual, la compañía profundizó asegurando que sus operaciones allá “están expuestas a un entorno regulatorio y macroeconómico volátil”.</w:t>
      </w:r>
    </w:p>
    <w:p>
      <w:pPr>
        <w:spacing w:before="40" w:after="120"/>
      </w:pPr>
      <w:r>
        <w:rPr>
          <w:color w:val="CCCCCC"/>
        </w:rPr>
        <w:t>· · ·</w:t>
      </w:r>
    </w:p>
    <w:p>
      <w:r>
        <w:rPr>
          <w:b/>
          <w:color w:val="E65000"/>
        </w:rPr>
        <w:t xml:space="preserve">4. </w:t>
      </w:r>
      <w:r>
        <w:rPr>
          <w:b/>
          <w:sz w:val="22"/>
        </w:rPr>
        <w:t>Nuevos directorios, focos estratégicos y riesgos externos marcan la temporada de juntas de accionistas 2026</w:t>
      </w:r>
    </w:p>
    <w:p>
      <w:pPr>
        <w:spacing w:before="0"/>
      </w:pPr>
      <w:r>
        <w:rPr>
          <w:color w:val="0056B3"/>
          <w:sz w:val="18"/>
        </w:rPr>
        <w:t>https://www.df.cl/empresas/juntas-de-accionistas/nuevos-directorios-focos-estrategicos-y-riesgos-externos-marcan-temporada</w:t>
      </w:r>
    </w:p>
    <w:p>
      <w:pPr>
        <w:spacing w:before="20"/>
        <w:ind w:left="360"/>
      </w:pPr>
      <w:r>
        <w:rPr>
          <w:color w:val="222222"/>
          <w:sz w:val="20"/>
        </w:rPr>
        <w:t>Las asambleas dieron cuenta de un tono más favorable hacia la inversión, el apoyo a reformas procrecimiento y la preocupación por el contexto internacional.</w:t>
      </w:r>
    </w:p>
    <w:p>
      <w:pPr>
        <w:spacing w:before="20"/>
        <w:ind w:left="360"/>
      </w:pPr>
      <w:r>
        <w:rPr>
          <w:color w:val="222222"/>
          <w:sz w:val="20"/>
        </w:rPr>
        <w:t>Por:Equipo EmpresasPublicado: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Cecilia Pérez, presidenta Azul Azul. Manfred Paulmann, presidente Cencosud, Fernando de Peña, presidente Falabella, Óscar Hasbún, presidente Sud Americana de Vapores, Cristián Muga, presidente Enap.</w:t>
      </w:r>
    </w:p>
    <w:p>
      <w:pPr>
        <w:spacing w:before="20"/>
        <w:ind w:left="360"/>
      </w:pPr>
      <w:r>
        <w:rPr>
          <w:color w:val="222222"/>
          <w:sz w:val="20"/>
        </w:rPr>
        <w:t>A mediados de marzo comenzó una nueva temporada de juntas ordinarias de accionistas, que ya entra en su recta final.</w:t>
      </w:r>
    </w:p>
    <w:p>
      <w:pPr>
        <w:spacing w:before="20"/>
        <w:ind w:left="360"/>
      </w:pPr>
      <w:r>
        <w:rPr>
          <w:color w:val="222222"/>
          <w:sz w:val="20"/>
        </w:rPr>
        <w:t>Durante cerca de un mes y medio, los principales ejecutivos y accionistas de grandes compañías se reunieron para votar una extensa agenda de materias corporativas, pero también para revisar el desempeño de 2025 y delinear las prioridades para este año.</w:t>
      </w:r>
    </w:p>
    <w:p>
      <w:pPr>
        <w:spacing w:before="20"/>
        <w:ind w:left="360"/>
      </w:pPr>
      <w:r>
        <w:rPr>
          <w:color w:val="222222"/>
          <w:sz w:val="20"/>
        </w:rPr>
        <w:t>Así, en estos encuentros algunas firmas expusieron su preocupación por la contingencia internacional, pero también se refirieron al acontecer local. De cara al nuevo gobierno, en las citas sedestacó un clima más propicio para la inversión y el crecimiento económico, se respaldó el proyecto de ley miscelánea y se valoró el giro a una mayor agilidad en la gestión ambiental.</w:t>
      </w:r>
    </w:p>
    <w:p>
      <w:pPr>
        <w:spacing w:before="120"/>
        <w:ind w:left="360"/>
      </w:pPr>
      <w:r>
        <w:rPr>
          <w:b/>
          <w:color w:val="E65000"/>
          <w:sz w:val="26"/>
        </w:rPr>
        <w:t xml:space="preserve"> </w:t>
      </w:r>
    </w:p>
    <w:p>
      <w:pPr>
        <w:spacing w:before="20"/>
        <w:ind w:left="360"/>
      </w:pPr>
      <w:r>
        <w:rPr>
          <w:color w:val="222222"/>
          <w:sz w:val="20"/>
        </w:rPr>
        <w:t>En lo sectorial,las compañías eléctricas como EnelyColbúnaprovecharon la ocasión para pedir reforma a la distribución y una regulación más eficiente.Las empresas ligadas a la construcción mostraron un tono más optimista de cara a 2026, mientras la minería saca cuentas alegres ante el nuevo ciclo de inversión. Junto con ello, otro eje marcó la temporada: una relevante renovación en las altas cúpulas y presidencias de varias firmas.</w:t>
      </w:r>
    </w:p>
    <w:p>
      <w:pPr>
        <w:spacing w:before="20"/>
        <w:ind w:left="360"/>
      </w:pPr>
      <w:r>
        <w:rPr>
          <w:color w:val="222222"/>
          <w:sz w:val="20"/>
        </w:rPr>
        <w:t>En esta temporada de juntas,al menos 12 empresas -privadas y estatales- renovaron la presidencia de sus directorios, marcando la salida de históricos líderes y la llegada de nuevos nombres a la cabeza de sus mesas.</w:t>
      </w:r>
    </w:p>
    <w:p>
      <w:pPr>
        <w:spacing w:before="20"/>
        <w:ind w:left="360"/>
      </w:pPr>
      <w:r>
        <w:rPr>
          <w:color w:val="222222"/>
          <w:sz w:val="20"/>
        </w:rPr>
        <w:t>En el retail, por ejemplo, dos de los mayores grupos del país movieron sus piezas. EnCencosud,el brasileño Julio Moura dejó la presidencia y fue reemplazado por Manfred Paulmann Koepfer, hijo del fundador Horst Paulmann. A su vez, enCencosud Shopping, la salida del primogénito dio paso al histórico director Jaime Soler. En paralelo, enFalabella, tras tres años,Enrique Ostalé dejó la presidenciay fue sucedido porFernando de Peña, exgerente general de Mallplaza.</w:t>
      </w:r>
    </w:p>
    <w:p>
      <w:pPr>
        <w:spacing w:before="20"/>
        <w:ind w:left="360"/>
      </w:pPr>
      <w:r>
        <w:rPr>
          <w:color w:val="222222"/>
          <w:sz w:val="20"/>
        </w:rPr>
        <w:t>El fútbol tampoco quedó al margen de esta rotación. EnCruzados,Juan Tagle dejó el cargo tras una década y fue reemplazado por Matías Claro Figueroa. A ello se sumóAzul Azul, donde la salida de Michael Clark dio paso a Cecilia Pérez, primera mujer en liderar un club de fútbol en el país.</w:t>
      </w:r>
    </w:p>
    <w:p>
      <w:pPr>
        <w:spacing w:before="20"/>
        <w:ind w:left="360"/>
      </w:pPr>
      <w:r>
        <w:rPr>
          <w:color w:val="222222"/>
          <w:sz w:val="20"/>
        </w:rPr>
        <w:t>En el frente industrial, enCementos Polpaicose cerró la etapa deMarcos Büchiyasumió Sebastián Ríos Rivas. A su vez, enGrupo CAP,Juan Enrique Rassmuss cedió el puesto a Jorge Salvatierra Pacheco, quien ya había sido presidente de la empresa.</w:t>
      </w:r>
    </w:p>
    <w:p>
      <w:pPr>
        <w:spacing w:before="20"/>
        <w:ind w:left="360"/>
      </w:pPr>
      <w:r>
        <w:rPr>
          <w:color w:val="222222"/>
          <w:sz w:val="20"/>
        </w:rPr>
        <w:t>En la misma línea,Metrogasdejó atrás la presidencia de Pedro Larrea y nombró a Javier Fernández. Mientras, en laCompañía Sud Americana de Vapores (CSAV),Óscar Hasbún fue ratificado tras reemplazar en enero al actual ministro de Relaciones Exteriores, Francisco Pérez Mackenna.</w:t>
      </w:r>
    </w:p>
    <w:p>
      <w:pPr>
        <w:spacing w:before="20"/>
        <w:ind w:left="360"/>
      </w:pPr>
      <w:r>
        <w:rPr>
          <w:color w:val="222222"/>
          <w:sz w:val="20"/>
        </w:rPr>
        <w:t>Las mesas de las estatales también vieron un reordenamiento tras la llegada del Presidente José Antonio Kast a La Moneda. EnMetro de Santiago,la salida de Guillermo Muñoz abrió paso a Patricio Rey. EnENAP, en tanto,arribó Cristián Muga en reemplazo de Gloria Maldonado. A ello se sumóEFE,donde asumió Jorge Claude.</w:t>
      </w:r>
    </w:p>
    <w:p>
      <w:pPr>
        <w:spacing w:before="20"/>
        <w:ind w:left="360"/>
      </w:pPr>
      <w:r>
        <w:rPr>
          <w:color w:val="222222"/>
          <w:sz w:val="20"/>
        </w:rPr>
        <w:t>Con todo, aún quedan nombramientos pendientes. Entre ellos,la próxima presidencia de Entel -donde los nombres que suenan son Richard Büchi y Luis Felipe Gazitúa- y la de Codelco, donde el mercado apunta a Bernardo Fontaine.</w:t>
      </w:r>
    </w:p>
    <w:p>
      <w:pPr>
        <w:spacing w:before="40" w:after="120"/>
      </w:pPr>
      <w:r>
        <w:rPr>
          <w:color w:val="CCCCCC"/>
        </w:rPr>
        <w:t>· · ·</w:t>
      </w:r>
    </w:p>
    <w:p>
      <w:r>
        <w:rPr>
          <w:b/>
          <w:color w:val="E65000"/>
        </w:rPr>
        <w:t xml:space="preserve">5. </w:t>
      </w:r>
      <w:r>
        <w:rPr>
          <w:b/>
          <w:sz w:val="22"/>
        </w:rPr>
        <w:t>Guerra de Irán y cierre del estrecho de Ormuz nublan el panorama de las compañías</w:t>
      </w:r>
    </w:p>
    <w:p>
      <w:pPr>
        <w:spacing w:before="0"/>
      </w:pPr>
      <w:r>
        <w:rPr>
          <w:color w:val="0056B3"/>
          <w:sz w:val="18"/>
        </w:rPr>
        <w:t>https://www.df.cl/empresas/industria/guerra-de-iran-y-cierre-del-estrecho-de-ormuz-nublan-el-panorama-de-las</w:t>
      </w:r>
    </w:p>
    <w:p>
      <w:pPr>
        <w:spacing w:before="20"/>
        <w:ind w:left="360"/>
      </w:pPr>
      <w:r>
        <w:rPr>
          <w:color w:val="222222"/>
          <w:sz w:val="20"/>
        </w:rPr>
        <w:t>El conflicto bélico encarece los costos de combustible, los seguros y obliga a cambiar rutas de las navieras.</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Aunque el conflicto bélico en Medio Oriente afecta a todas las empresas a través del alza en los costos del transporte y la energía, hay compañías que explicitaron el impacto en la reunión con sus accionistas. En el caso de CSAV, la firma ligada al grupo Luksic y que tiene un 30% de la propiedad de Hapag-Lloyd, hay efectos por cambios de ruta, seguros y combustible. Concretamente Hapag-Lloyd declaró mayores costos entre US$ 40 millones y US$ 50 millones semanales como consecuencia de los costos adicionales de los seguros y las interrupciones derivadas del conflicto en Medio Oriente.</w:t>
      </w:r>
    </w:p>
    <w:p>
      <w:pPr>
        <w:spacing w:before="20"/>
        <w:ind w:left="360"/>
      </w:pPr>
      <w:r>
        <w:rPr>
          <w:color w:val="222222"/>
          <w:sz w:val="20"/>
        </w:rPr>
        <w:t>En el caso de Latam Airlines, su CEO Roberto Alvo precisó que, hasta ahora, no han tenido efectos directos en sus operaciones, ya que su presencia es menor en la región tanto en pasajeros como en carga, pero sí están sufriendo los efectos indirectos del alza de combustibles que encarece los costos operativos. “Dada la incertidumbre que todos enfrentamos, es prácticamente imposible prever el impacto que esto tendrá para Latam y para la industria”, afirmó.</w:t>
      </w:r>
    </w:p>
    <w:p>
      <w:pPr>
        <w:spacing w:before="20"/>
        <w:ind w:left="360"/>
      </w:pPr>
      <w:r>
        <w:rPr>
          <w:color w:val="222222"/>
          <w:sz w:val="20"/>
        </w:rPr>
        <w:t>En SQM, una de las pocas compañías que se ven beneficiadas por la guerra de Irán -según analistas el alza del petróleo impulsa el litio y neutraliza a sus competidores directos en fertilizantes- no se refirieron al conflicto en la junta de accionistas.</w:t>
      </w:r>
    </w:p>
    <w:p>
      <w:pPr>
        <w:spacing w:before="40" w:after="120"/>
      </w:pPr>
      <w:r>
        <w:rPr>
          <w:color w:val="CCCCCC"/>
        </w:rPr>
        <w:t>· · ·</w:t>
      </w:r>
    </w:p>
    <w:p>
      <w:r>
        <w:rPr>
          <w:b/>
          <w:color w:val="E65000"/>
        </w:rPr>
        <w:t xml:space="preserve">6. </w:t>
      </w:r>
      <w:r>
        <w:rPr>
          <w:b/>
          <w:sz w:val="22"/>
        </w:rPr>
        <w:t>Constructoras elevan inversiones para 2026 ante mejores perspectivas y ciclo minero al alza</w:t>
      </w:r>
    </w:p>
    <w:p>
      <w:pPr>
        <w:spacing w:before="0"/>
      </w:pPr>
      <w:r>
        <w:rPr>
          <w:color w:val="0056B3"/>
          <w:sz w:val="18"/>
        </w:rPr>
        <w:t>https://www.df.cl/empresas/construccion/constructoras-elevan-inversiones-para-2026-ante-mejores-perspectivas-y</w:t>
      </w:r>
    </w:p>
    <w:p>
      <w:pPr>
        <w:spacing w:before="20"/>
        <w:ind w:left="360"/>
      </w:pPr>
      <w:r>
        <w:rPr>
          <w:color w:val="222222"/>
          <w:sz w:val="20"/>
        </w:rPr>
        <w:t>Los planes para este año contemplan desembolsos por cientos de millones de dólares y alzas de hasta 75% frente al ejercicio pasado.</w:t>
      </w:r>
    </w:p>
    <w:p>
      <w:pPr>
        <w:spacing w:before="20"/>
        <w:ind w:left="360"/>
      </w:pPr>
      <w:r>
        <w:rPr>
          <w:color w:val="222222"/>
          <w:sz w:val="20"/>
        </w:rPr>
        <w:t>Publicado: Jueves 30 de abril de 2026 a las 04:00 hrs.</w:t>
      </w:r>
    </w:p>
    <w:p>
      <w:pPr>
        <w:spacing w:before="20"/>
        <w:ind w:left="360"/>
      </w:pPr>
      <w:r>
        <w:rPr>
          <w:color w:val="222222"/>
          <w:sz w:val="20"/>
        </w:rPr>
        <w:t>Después de varios años marcados por una crisis sin precedentes,la industria inmobiliaria y de la construcción comenzó a mostrar señales más claras de recuperación.</w:t>
      </w:r>
    </w:p>
    <w:p>
      <w:pPr>
        <w:spacing w:before="20"/>
        <w:ind w:left="360"/>
      </w:pPr>
      <w:r>
        <w:rPr>
          <w:color w:val="222222"/>
          <w:sz w:val="20"/>
        </w:rPr>
        <w:t>Ese cambio de ánimo se hizo evidente en las últimas juntas de accionistas del sector, donde el foco ya no estuvo solo en dejar atrás los años más complejos, sino en volver a crecer. Los números, de hecho, acompañaron ese giro: varias compañías anunciaron para 2026 planes de inversión por sobre los del ejercicio pasado.</w:t>
      </w:r>
    </w:p>
    <w:p>
      <w:pPr>
        <w:spacing w:before="20"/>
        <w:ind w:left="360"/>
      </w:pPr>
      <w:r>
        <w:rPr>
          <w:color w:val="222222"/>
          <w:sz w:val="20"/>
        </w:rPr>
        <w:t>Uno de los casos más claros fue el deEcheverría Izquierdo,que proyectó inversiones por cerca de US$ 120 millones para este año, lo que representa un alza de 75% frente a 2025. En la misma línea,Besalcodesembolsará unos US$ 400 millones, un 18% más que el ejercicio anterior, mientras quePaz Corp anticipó que elevará su inversión en torno a 20%.</w:t>
      </w:r>
    </w:p>
    <w:p>
      <w:pPr>
        <w:spacing w:before="20"/>
        <w:ind w:left="360"/>
      </w:pPr>
      <w:r>
        <w:rPr>
          <w:color w:val="222222"/>
          <w:sz w:val="20"/>
        </w:rPr>
        <w:t>Este mayor gasto responde a varios factores. Entre ellos,las señales de reactivación que comenzó a impulsar el Gobierno y que, en el sector, empezaron a mirar con algo más de optimismo.</w:t>
      </w:r>
    </w:p>
    <w:p>
      <w:pPr>
        <w:spacing w:before="120"/>
        <w:ind w:left="360"/>
      </w:pPr>
      <w:r>
        <w:rPr>
          <w:b/>
          <w:color w:val="E65000"/>
          <w:sz w:val="26"/>
        </w:rPr>
        <w:t xml:space="preserve"> </w:t>
      </w:r>
    </w:p>
    <w:p>
      <w:pPr>
        <w:spacing w:before="20"/>
        <w:ind w:left="360"/>
      </w:pPr>
      <w:r>
        <w:rPr>
          <w:color w:val="222222"/>
          <w:sz w:val="20"/>
        </w:rPr>
        <w:t>El presidente de Echeverría Izquierdo, Fernando Echeverría, sostuvo que las medidas van en la dirección correcta para reactivar una industria que arrastra varios años de contracción.</w:t>
      </w:r>
    </w:p>
    <w:p>
      <w:pPr>
        <w:spacing w:before="20"/>
        <w:ind w:left="360"/>
      </w:pPr>
      <w:r>
        <w:rPr>
          <w:color w:val="222222"/>
          <w:sz w:val="20"/>
        </w:rPr>
        <w:t>En Besalco transmitieron una visión similar y valoraron las propuestas del Ejecutivo, señalando que, si avanzan, podrían ayudar a reducir en torno a 10% el precio de las viviendas, uno de los principales factores que hoy sigue frenando la demanda.</w:t>
      </w:r>
    </w:p>
    <w:p>
      <w:pPr>
        <w:spacing w:before="20"/>
        <w:ind w:left="360"/>
      </w:pPr>
      <w:r>
        <w:rPr>
          <w:color w:val="222222"/>
          <w:sz w:val="20"/>
        </w:rPr>
        <w:t>A ello se suma el nuevo ciclo de inversión minera que comienza a tomar forma para los próximos años, con una cartera relevante de proyectos en carpeta.Varias de las grandes firmas del rubro -como Besalco y Echeverría Izquierdo- llevan años reforzando su exposición a ese negocio, por lo que el mayor dinamismo que anticipan también requerirá un mayor nivel de inversión.</w:t>
      </w:r>
    </w:p>
    <w:p>
      <w:pPr>
        <w:spacing w:before="20"/>
        <w:ind w:left="360"/>
      </w:pPr>
      <w:r>
        <w:rPr>
          <w:color w:val="222222"/>
          <w:sz w:val="20"/>
        </w:rPr>
        <w:t>Una señal similar entregóSigdo Koppersen su junta de accionistas. En la compañía remarcaron que2026 estará marcado por una recuperación más visible de la actividad minera, en un escenario que, según anticiparon, debiera traducirse en mayores oportunidades de crecimiento para sus distintas líneas de negocio.</w:t>
      </w:r>
    </w:p>
    <w:p>
      <w:pPr>
        <w:spacing w:before="40" w:after="120"/>
      </w:pPr>
      <w:r>
        <w:rPr>
          <w:color w:val="CCCCCC"/>
        </w:rPr>
        <w:t>· · ·</w:t>
      </w:r>
    </w:p>
    <w:p>
      <w:r>
        <w:rPr>
          <w:b/>
          <w:color w:val="E65000"/>
        </w:rPr>
        <w:t xml:space="preserve">7. </w:t>
      </w:r>
      <w:r>
        <w:rPr>
          <w:b/>
          <w:sz w:val="22"/>
        </w:rPr>
        <w:t>Cristalerías de Chile reporta sus resultados a marzo de 2026</w:t>
      </w:r>
    </w:p>
    <w:p>
      <w:pPr>
        <w:spacing w:before="0"/>
      </w:pPr>
      <w:r>
        <w:rPr>
          <w:color w:val="0056B3"/>
          <w:sz w:val="18"/>
        </w:rPr>
        <w:t>https://www.df.cl/empresas/juntas-de-accionistas/cristalerias-de-chile-reporta-sus-resultados-a-marzo-de-2026</w:t>
      </w:r>
    </w:p>
    <w:p>
      <w:pPr>
        <w:spacing w:before="20"/>
        <w:ind w:left="360"/>
      </w:pPr>
      <w:r>
        <w:rPr>
          <w:color w:val="222222"/>
          <w:sz w:val="20"/>
        </w:rPr>
        <w:t>Ingresos disminuyen 10,8% el primer trimestre, con menores ventas del segmento vidrios (-15,8%), y Viña Santa Rita (-1,7%), pero compensado en parte por un alza de Ediciones Financieras (20,3%).</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Cristalerías de Chile reportó a la Comisión para el Mercado Financiero (CMF) sus resultados correspondientes al primer trimestre de 2026. En el periodo, las ventas consolidadas tuvieron una disminución de 10,8% alcanzando $ 78.708 millones, que se comparan con $ 88.216 millones para el mismo período del año 2025. Esta menor venta se debe principalmente a una disminución de ingreso de Cristalchile en el segmento vidrios (-15,8%) y un menor ingreso de S.A. Viña Santa Rita en el segmento vinos (-1,7%), lo anterior compensado en parte por un alza de Ediciones Financieras (20,3%). La empresa -relacionada a Grupo DF-detalló que el menor ingreso del segmento vidrios se explica principalmente “por una menor venta de envases del sector cervezas, compensados en parte por un mejor desempeño en el sector de vinos, alimentos y exportaciones. Adicionalmente, los ingresos del periodo se vieron afectados por un menor precio promedio de venta, el cual disminuyó un 8,9% en comparación con el año anterior, como consecuencia de un cambio en el mix de venta y una caída del tipo de cambio promedio de 8,1%, el cual impacta la determinación de los precios de venta”.</w:t>
      </w:r>
    </w:p>
    <w:p>
      <w:pPr>
        <w:spacing w:before="20"/>
        <w:ind w:left="360"/>
      </w:pPr>
      <w:r>
        <w:rPr>
          <w:color w:val="222222"/>
          <w:sz w:val="20"/>
        </w:rPr>
        <w:t>Cristalerías reportó una disminución de su deuda financiera neta por $8.590 millones, lo que contribuyó al menor gasto financiero del periodo.</w:t>
      </w:r>
    </w:p>
    <w:p>
      <w:pPr>
        <w:spacing w:before="20"/>
        <w:ind w:left="360"/>
      </w:pPr>
      <w:r>
        <w:rPr>
          <w:color w:val="222222"/>
          <w:sz w:val="20"/>
        </w:rPr>
        <w:t>De esta forma, el resultado atribuible a los propietarios de la controladora fue una pérdida de $6.891 millones a marzo de 2026, comparado con una pérdida de $ 2.755 millones en el mismo período del año anterior.</w:t>
      </w:r>
    </w:p>
    <w:p>
      <w:pPr>
        <w:spacing w:before="40" w:after="120"/>
      </w:pPr>
      <w:r>
        <w:rPr>
          <w:color w:val="CCCCCC"/>
        </w:rPr>
        <w:t>· · ·</w:t>
      </w:r>
    </w:p>
    <w:p>
      <w:r>
        <w:rPr>
          <w:b/>
          <w:color w:val="E65000"/>
        </w:rPr>
        <w:t xml:space="preserve">8. </w:t>
      </w:r>
      <w:r>
        <w:rPr>
          <w:b/>
          <w:sz w:val="22"/>
        </w:rPr>
        <w:t>Juan Manuel Santa Cruz deja presidencia de LipiAndes tras 12 años y asume Mario Vinagre</w:t>
      </w:r>
    </w:p>
    <w:p>
      <w:pPr>
        <w:spacing w:before="0"/>
      </w:pPr>
      <w:r>
        <w:rPr>
          <w:color w:val="0056B3"/>
          <w:sz w:val="18"/>
        </w:rPr>
        <w:t>https://www.df.cl/empresas/juntas-de-accionistas/juan-manuel-santa-cruz-deja-presidencia-de-lipiandes-tras-12-anos-y-asume</w:t>
      </w:r>
    </w:p>
    <w:p>
      <w:pPr>
        <w:spacing w:before="20"/>
        <w:ind w:left="360"/>
      </w:pPr>
      <w:r>
        <w:rPr>
          <w:color w:val="222222"/>
          <w:sz w:val="20"/>
        </w:rPr>
        <w:t>Juan Ignacio Noguera quedó como primer vicepresidente de la firma.</w:t>
      </w:r>
    </w:p>
    <w:p>
      <w:pPr>
        <w:spacing w:before="20"/>
        <w:ind w:left="360"/>
      </w:pPr>
      <w:r>
        <w:rPr>
          <w:color w:val="222222"/>
          <w:sz w:val="20"/>
        </w:rPr>
        <w:t>Publicado: Jueves 30 de abril de 2026 a las 04:00 hrs.</w:t>
      </w:r>
    </w:p>
    <w:p>
      <w:pPr>
        <w:spacing w:before="20"/>
        <w:ind w:left="360"/>
      </w:pPr>
      <w:r>
        <w:rPr>
          <w:color w:val="222222"/>
          <w:sz w:val="20"/>
        </w:rPr>
        <w:t>LipiAndes -antes conocida como Lipigas- anunció cambios en la presidencia de su directorio, tras doce años de Juan Manuel Santa Cruz Munizaga a la cabeza del grupo.</w:t>
      </w:r>
    </w:p>
    <w:p>
      <w:pPr>
        <w:spacing w:before="20"/>
        <w:ind w:left="360"/>
      </w:pPr>
      <w:r>
        <w:rPr>
          <w:color w:val="222222"/>
          <w:sz w:val="20"/>
        </w:rPr>
        <w:t>Luego de la junta de accionistas realizada este miércoles, en la que se eligieron a los integrantes de la mesa directiva por un nuevo periodo de tres años -2026-2029- el directorio sesionó y eligió a Mario Vinagre como como chairman, a Juan Ignacio Noguera como primer vicepresidente y a Juan Manuel Santa Cruz Munizaga como segundo vicepresidente.</w:t>
      </w:r>
    </w:p>
    <w:p>
      <w:pPr>
        <w:spacing w:before="20"/>
        <w:ind w:left="360"/>
      </w:pPr>
      <w:r>
        <w:rPr>
          <w:color w:val="222222"/>
          <w:sz w:val="20"/>
        </w:rPr>
        <w:t>Los demás miembros del directorio se mantienen: Jaime Santa Cruz Negri, Ignacio Binimellis Yaconi, Patricio Rojas Ramos y Pilar Lamana Gaete. La mesa directiva agradeció a Santa Cruz por sus doce años como presidente, periodo en el cual destacan distintos hitos, como el inicio de la cotización de las acciones en la Bolsa; la consolidación de sus operaciones en Colombia y Perú; el desarrollo de nuevas líneas de negocio en electricidad y logística; el ingreso a Ecuador en 2025.</w:t>
      </w:r>
    </w:p>
    <w:p>
      <w:pPr>
        <w:spacing w:before="40" w:after="120"/>
      </w:pPr>
      <w:r>
        <w:rPr>
          <w:color w:val="CCCCCC"/>
        </w:rPr>
        <w:t>· · ·</w:t>
      </w:r>
    </w:p>
    <w:p>
      <w:r>
        <w:rPr>
          <w:b/>
          <w:color w:val="E65000"/>
        </w:rPr>
        <w:t xml:space="preserve">9. </w:t>
      </w:r>
      <w:r>
        <w:rPr>
          <w:b/>
          <w:sz w:val="22"/>
        </w:rPr>
        <w:t>Probidad pública en debate: expertos advierten que la ley no basta para asegurar integridad</w:t>
      </w:r>
    </w:p>
    <w:p>
      <w:pPr>
        <w:spacing w:before="0"/>
      </w:pPr>
      <w:r>
        <w:rPr>
          <w:color w:val="0056B3"/>
          <w:sz w:val="18"/>
        </w:rPr>
        <w:t>https://www.df.cl/empresas/entre-codigos/probidad-publica-en-debate-expertos-advierten-que-la-ley-no-basta-para</w:t>
      </w:r>
    </w:p>
    <w:p>
      <w:pPr>
        <w:spacing w:before="20"/>
        <w:ind w:left="360"/>
      </w:pPr>
      <w:r>
        <w:rPr>
          <w:color w:val="222222"/>
          <w:sz w:val="20"/>
        </w:rPr>
        <w:t>En un conversatorio del Segundo Tribunal Ambiental, especialistas coincidieron en que el desafío no solo es normativo, sino también cultural.</w:t>
      </w:r>
    </w:p>
    <w:p>
      <w:pPr>
        <w:spacing w:before="20"/>
        <w:ind w:left="360"/>
      </w:pPr>
      <w:r>
        <w:rPr>
          <w:color w:val="222222"/>
          <w:sz w:val="20"/>
        </w:rPr>
        <w:t>Publicado: Jueves 30 de abril de 2026 a las 04:00 hrs.</w:t>
      </w:r>
    </w:p>
    <w:p>
      <w:pPr>
        <w:spacing w:before="20"/>
        <w:ind w:left="360"/>
      </w:pPr>
      <w:r>
        <w:rPr>
          <w:color w:val="222222"/>
          <w:sz w:val="20"/>
        </w:rPr>
        <w:t>El uso indebido de licencias médicas y las influencias que mueven los nombramientos en el Poder Judicial son algunos de los casos que marcaron el año 2025, encendiendo el debate respecto a la probidad e integridad en la función pública.</w:t>
      </w:r>
    </w:p>
    <w:p>
      <w:pPr>
        <w:spacing w:before="20"/>
        <w:ind w:left="360"/>
      </w:pPr>
      <w:r>
        <w:rPr>
          <w:color w:val="222222"/>
          <w:sz w:val="20"/>
        </w:rPr>
        <w:t>Este martes, en el marco de la Cuenta Pública del Segundo Tribunal Ambiental, donde se destacó que en 2025 el Tribunal experimentó un incremento porcentual de un 67% respecto de los ingresos del período anterior- se realizó el conversatorio “Probidad, integridad y justicia ambiental: estándares, desafíos y buenas prácticas”, instancia en que se intentó delinear las fórmulas para fortalecer la integridad pública.</w:t>
      </w:r>
    </w:p>
    <w:p>
      <w:pPr>
        <w:spacing w:before="20"/>
        <w:ind w:left="360"/>
      </w:pPr>
      <w:r>
        <w:rPr>
          <w:color w:val="222222"/>
          <w:sz w:val="20"/>
        </w:rPr>
        <w:t>Marcos Lima, expresidente ejecutivo de Codelco, planteó que “lo central no es prohibir absolutamente (los conflictos de interés), sino más bien declararlos”, ya que en un país pequeño como Chile existirán. En esa línea, la directora de la Escuela de Gobierno y Gestión Pública de la Universidad de Chile, Lorena Oyarzún, advirtió que “cuando hablamos de probidad, también hablamos de legitimidad”. “La legitimidad no se da solamente porque se conozca, porque se haya hecho una norma o que exista una ley, sino que tiene que haber un consenso y una cultura”, alertó.</w:t>
      </w:r>
    </w:p>
    <w:p>
      <w:pPr>
        <w:spacing w:before="20"/>
        <w:ind w:left="360"/>
      </w:pPr>
      <w:r>
        <w:rPr>
          <w:color w:val="222222"/>
          <w:sz w:val="20"/>
        </w:rPr>
        <w:t>Incluso, complementó el secretario ejecutivo de la Comisión Asesora Presidencial para la Integridad Pública y Transparencia, Carlos Guazzini, “si lo llevamos al nivel legal, se define como falta de probidad también la falta de razonabilidad en las decisiones”. Y recalcó: “Si la regulación actual es buena, mala, suficiente, insuficiente, es algo que podemos discutir. Y hay proyectos que están en la línea de mejorar. Pero el conflicto de interés existe, siempre va a existir y lo importante es cómo lo regulamos y cómo conseguimos que las decisiones públicas que se tomen, satisfagan el interés público”.</w:t>
      </w:r>
    </w:p>
    <w:p>
      <w:pPr>
        <w:spacing w:before="20"/>
        <w:ind w:left="360"/>
      </w:pPr>
      <w:r>
        <w:rPr>
          <w:color w:val="222222"/>
          <w:sz w:val="20"/>
        </w:rPr>
        <w:t>Pero el presidente del Colegio de Abogados y excontralor General de la República, Ramiro Mendoza, puso un matiz. “Tenemos la idea de que la ley nos arregla todo y que la ley nos va a poner la investidura moral correcta”, dijo. A su juicio, “los problemas en realidad se van a arreglar en la medida en que bajemos culturalmente al interior de nuestras organizaciones la forma de Estado que queremos, el servicio público que queremos, el funcionamiento correcto que queremos”.</w:t>
      </w:r>
    </w:p>
    <w:p>
      <w:pPr>
        <w:spacing w:before="20"/>
        <w:ind w:left="360"/>
      </w:pPr>
      <w:r>
        <w:rPr>
          <w:color w:val="222222"/>
          <w:sz w:val="20"/>
        </w:rPr>
        <w:t>Frente a los casos que marcaron el 2025 en materia de probidad, Mendoza reconoce que el abogado Luis Hermosilla “nos puso a todos en la palestra desde el punto de vista del ejercicio de la profesión”, pero -dijo- “creo que sacamos pocas lecciones”. Comentó que en el sentido de cuestionar esta mala praxis, los tribunales se encierran en sí mismo. “Hay que realmente tener muralla, pero hay que tener puertas que se sepan abrir y que se sepan abrir para todos”, indicó.</w:t>
      </w:r>
    </w:p>
    <w:p>
      <w:pPr>
        <w:spacing w:before="20"/>
        <w:ind w:left="360"/>
      </w:pPr>
      <w:r>
        <w:rPr>
          <w:color w:val="222222"/>
          <w:sz w:val="20"/>
        </w:rPr>
        <w:t>Lima replicó que de seguro muchas personas estaban en antecedentes de ciertas prácticas irregulares. “Esto afecta a todos. Este no es un problema solo del Poder Judicial”, afirmó. Y dijo sentir que “más de alguien debiera haber levantado la mano”.</w:t>
      </w:r>
    </w:p>
    <w:p>
      <w:pPr>
        <w:spacing w:before="20"/>
        <w:ind w:left="360"/>
      </w:pPr>
      <w:r>
        <w:rPr>
          <w:color w:val="222222"/>
          <w:sz w:val="20"/>
        </w:rPr>
        <w:t>En el caso de los Tribunales Ambientales, Guazzini indicó que, si una finalidad valiosa para la ciudadanía es bajar los tiempos de tramitación, “hay que ver de qué modo con las nuevas tecnologías, con Inteligencia Artificial (IA) es posible”. Sobre el uso de la IA, Oyarzún aseguró: “Lo importante es la regulación y la reflexión crítica sobre ese uso”.</w:t>
      </w:r>
    </w:p>
    <w:p>
      <w:pPr>
        <w:spacing w:before="20"/>
        <w:ind w:left="360"/>
      </w:pPr>
      <w:r>
        <w:rPr>
          <w:color w:val="222222"/>
          <w:sz w:val="20"/>
        </w:rPr>
        <w:t>Mendoza fue más allá. Advirtió que los Tribunales Ambientales tienen un problema mayor con los nombramientos y la salida de los jueces. En el primer caso, dijo, “es un problema enorme para la calidad de la justicia y la productividad de la justicia ambiental. Creo que ahí tenemos que decir algo”. Mientras, en el segundo, “la salida de un juez de un tribunal ambiental o la salida de un juez de un Tribunal Tributario y Aduanero (el problema) es para el mercado”.</w:t>
      </w:r>
    </w:p>
    <w:p>
      <w:pPr>
        <w:spacing w:before="40" w:after="120"/>
      </w:pPr>
      <w:r>
        <w:rPr>
          <w:color w:val="CCCCCC"/>
        </w:rPr>
        <w:t>· · ·</w:t>
      </w:r>
    </w:p>
    <w:p/>
    <w:p>
      <w:pPr>
        <w:pStyle w:val="Heading1"/>
      </w:pPr>
      <w:r>
        <w:rPr>
          <w:color w:val="E65000"/>
        </w:rPr>
        <w:t>🔹 Economía</w:t>
      </w:r>
    </w:p>
    <w:p>
      <w:r>
        <w:rPr>
          <w:b/>
          <w:color w:val="E65000"/>
        </w:rPr>
        <w:t xml:space="preserve">1. </w:t>
      </w:r>
      <w:r>
        <w:rPr>
          <w:b/>
          <w:sz w:val="22"/>
        </w:rPr>
        <w:t>Camino a la APEC 2026: Consejo Asesor Empresarial define a sus nuevos representantes</w:t>
      </w:r>
      <w:r>
        <w:rPr>
          <w:color w:val="CC7700"/>
          <w:sz w:val="18"/>
        </w:rPr>
        <w:t xml:space="preserve">  [⭐ Destacada]</w:t>
      </w:r>
    </w:p>
    <w:p>
      <w:pPr>
        <w:spacing w:before="0"/>
      </w:pPr>
      <w:r>
        <w:rPr>
          <w:color w:val="0056B3"/>
          <w:sz w:val="18"/>
        </w:rPr>
        <w:t>https://www.df.cl/economia-y-politica/comercio-exterior/camino-a-la-apec-2026-consejo-asesor-empresarial-define-a-sus-nuevos</w:t>
      </w:r>
    </w:p>
    <w:p>
      <w:pPr>
        <w:spacing w:before="20"/>
        <w:ind w:left="360"/>
      </w:pPr>
      <w:r>
        <w:rPr>
          <w:color w:val="222222"/>
          <w:sz w:val="20"/>
        </w:rPr>
        <w:t>Los tres integrantes titulares del consejo serán el presidente de Freeport-McMoRaN Chile, Mario Larenas; la presidenta del directorio de SQM, Gina Ocqueteau; y el presidente de Frutas de Chile, Iván Marambio.</w:t>
      </w:r>
    </w:p>
    <w:p>
      <w:pPr>
        <w:spacing w:before="20"/>
        <w:ind w:left="360"/>
      </w:pPr>
      <w:r>
        <w:rPr>
          <w:color w:val="222222"/>
          <w:sz w:val="20"/>
        </w:rPr>
        <w:t>Publicado: Jueves 30 de abril de 2026 a las 11:30 hrs.</w:t>
      </w:r>
    </w:p>
    <w:p>
      <w:pPr>
        <w:spacing w:before="20"/>
        <w:ind w:left="360"/>
      </w:pPr>
      <w:r>
        <w:rPr>
          <w:color w:val="222222"/>
          <w:sz w:val="20"/>
        </w:rPr>
        <w:t>ElForo de Cooperación Económica Asia Pacífico (APEC) y su arista empresarialya empieza a tomar forma.</w:t>
      </w:r>
    </w:p>
    <w:p>
      <w:pPr>
        <w:spacing w:before="20"/>
        <w:ind w:left="360"/>
      </w:pPr>
      <w:r>
        <w:rPr>
          <w:color w:val="222222"/>
          <w:sz w:val="20"/>
        </w:rPr>
        <w:t>El Consejo Asesor Empresarial de APEC (ABAC, su siglas en inglés) chileno ya fue confirmado por la Subsecretaría de Relaciones Económicas Internacionales (Subrei) y cuenta con nuevos nombres para su representación en lo que será el camino al encuentro en Shenzhen, China, a finales de este año.</w:t>
      </w:r>
    </w:p>
    <w:p>
      <w:pPr>
        <w:spacing w:before="20"/>
        <w:ind w:left="360"/>
      </w:pPr>
      <w:r>
        <w:rPr>
          <w:color w:val="222222"/>
          <w:sz w:val="20"/>
        </w:rPr>
        <w:t>De esta forma, la Fundación Chilena del Pacífico -que ejerce el rol de secretaría nacional de ABAC en Chile- informó quelos tres integrantes titulares del consejo serán el presidente de Freeport-McMoRaN Chile, Mario Larenas; la presidenta del directorio de SQM, Gina Ocqueteau; y el presidente de Frutas de Chile, Iván Marambio.</w:t>
      </w:r>
    </w:p>
    <w:p>
      <w:pPr>
        <w:spacing w:before="20"/>
        <w:ind w:left="360"/>
      </w:pPr>
      <w:r>
        <w:rPr>
          <w:color w:val="222222"/>
          <w:sz w:val="20"/>
        </w:rPr>
        <w:t>En tanto, los tres alternos seránel CEO de Falabella, Alejandro González; el presidente de Empresas Juan Yarur, Diego Yarur; y la presidenta de la Confederación de la Producción y del Comercio (CPC), Susana Jiménez.</w:t>
      </w:r>
    </w:p>
    <w:p>
      <w:pPr>
        <w:spacing w:before="20"/>
        <w:ind w:left="360"/>
      </w:pPr>
      <w:r>
        <w:rPr>
          <w:color w:val="222222"/>
          <w:sz w:val="20"/>
        </w:rPr>
        <w:t>ABAC es una instancia formal dentro de la estructura de APEC y cumple una función del más alto nivel: asesorar a los líderes en temas relevantes para el desarrollo de negocios en la región del Asia Pacífio. La agenda de trabajo del Consejo se avanza a lo largo de todo el año, con cuatro reuniones anuales como principales hitos y su instancia más significativa es el denominado Diálogo de ABAC con los Líderes, que se realizará este año en Shenzhen, China.</w:t>
      </w:r>
    </w:p>
    <w:p>
      <w:pPr>
        <w:spacing w:before="40" w:after="120"/>
      </w:pPr>
      <w:r>
        <w:rPr>
          <w:color w:val="CCCCCC"/>
        </w:rPr>
        <w:t>· · ·</w:t>
      </w:r>
    </w:p>
    <w:p>
      <w:r>
        <w:rPr>
          <w:b/>
          <w:color w:val="E65000"/>
        </w:rPr>
        <w:t xml:space="preserve">2. </w:t>
      </w:r>
      <w:r>
        <w:rPr>
          <w:b/>
          <w:sz w:val="22"/>
        </w:rPr>
        <w:t>Poduje se rebela ante los recortes propuestos por Hacienda: “Tengo un solo jefe, que es el Presidente. Quiroz es un ministro más”</w:t>
      </w:r>
      <w:r>
        <w:rPr>
          <w:color w:val="CC7700"/>
          <w:sz w:val="18"/>
        </w:rPr>
        <w:t xml:space="preserve">  [⭐ Destacada]</w:t>
      </w:r>
    </w:p>
    <w:p>
      <w:pPr>
        <w:spacing w:before="0"/>
      </w:pPr>
      <w:r>
        <w:rPr>
          <w:color w:val="0056B3"/>
          <w:sz w:val="18"/>
        </w:rPr>
        <w:t>https://www.df.cl/economia-y-politica/macro/poduje-se-rebela-ante-los-recortes-propuestos-por-hacienda-tengo-un-solo</w:t>
      </w:r>
    </w:p>
    <w:p>
      <w:pPr>
        <w:spacing w:before="20"/>
        <w:ind w:left="360"/>
      </w:pPr>
      <w:r>
        <w:rPr>
          <w:color w:val="222222"/>
          <w:sz w:val="20"/>
        </w:rPr>
        <w:t>El ministro de Vivienda afirmó que hoy se le acaba la plata para la reconstrucción en zonas afectadas por incendios, por lo cual “vamos a tener que hacer algunas reasignaciones y espero que el ministro Quiroz nos entregue la plata”.</w:t>
      </w:r>
    </w:p>
    <w:p>
      <w:pPr>
        <w:spacing w:before="20"/>
        <w:ind w:left="360"/>
      </w:pPr>
      <w:r>
        <w:rPr>
          <w:color w:val="222222"/>
          <w:sz w:val="20"/>
        </w:rPr>
        <w:t>Publicado: Jueves 30 de abril de 2026 a las 10:57 hrs.</w:t>
      </w:r>
    </w:p>
    <w:p>
      <w:pPr>
        <w:spacing w:before="20"/>
        <w:ind w:left="360"/>
      </w:pPr>
      <w:r>
        <w:rPr>
          <w:color w:val="222222"/>
          <w:sz w:val="20"/>
        </w:rPr>
        <w:t>En un estado de rebeldía se encuentra el ministro de Vivienda y Urbanismo, Iván Poduje, ante los recortes que está sugiriendo el Ministerio de Hacienda.</w:t>
      </w:r>
    </w:p>
    <w:p>
      <w:pPr>
        <w:spacing w:before="20"/>
        <w:ind w:left="360"/>
      </w:pPr>
      <w:r>
        <w:rPr>
          <w:color w:val="222222"/>
          <w:sz w:val="20"/>
        </w:rPr>
        <w:t>Esta mañana, el secretario de Estado enfatizó que él tiene un solo jefe, que es el Presidente de la República, José Antonio Kast, y que su par de Hacienda, Jorge Quiroz, es uno más del gabinete.</w:t>
      </w:r>
    </w:p>
    <w:p>
      <w:pPr>
        <w:spacing w:before="20"/>
        <w:ind w:left="360"/>
      </w:pPr>
      <w:r>
        <w:rPr>
          <w:color w:val="222222"/>
          <w:sz w:val="20"/>
        </w:rPr>
        <w:t>En entrevista con radio Infinita,Poduje explicó que los recursos del ministerio para la reconstrucción de viviendas afectadas por los incendios forestales en Valparaíso y Biobío se terminan en esta jornaday que por lo mismo“vamos a tener que hacer algunas reasignaciones y espero que el ministro Quiroz nos entregue la plata”.</w:t>
      </w:r>
    </w:p>
    <w:p>
      <w:pPr>
        <w:spacing w:before="20"/>
        <w:ind w:left="360"/>
      </w:pPr>
      <w:r>
        <w:rPr>
          <w:color w:val="222222"/>
          <w:sz w:val="20"/>
        </w:rPr>
        <w:t>Poduje reveló que su par de Hacienda le ha comentado que está en eso y que por mientras“tengo que hacer una serie de cosas que él me pidió, que algunas las vamos a hacer, pero otras no las vamos a hacer” y puso como ejemplo que “no vamos a cortar los programas de pavimento participativo” y tampoco el de mejoramiento de condominios sociales.</w:t>
      </w:r>
    </w:p>
    <w:p>
      <w:pPr>
        <w:spacing w:before="120"/>
        <w:ind w:left="360"/>
      </w:pPr>
      <w:r>
        <w:rPr>
          <w:b/>
          <w:color w:val="E65000"/>
          <w:sz w:val="26"/>
        </w:rPr>
        <w:t xml:space="preserve"> </w:t>
      </w:r>
    </w:p>
    <w:p>
      <w:pPr>
        <w:spacing w:before="20"/>
        <w:ind w:left="360"/>
      </w:pPr>
      <w:r>
        <w:rPr>
          <w:color w:val="222222"/>
          <w:sz w:val="20"/>
        </w:rPr>
        <w:t>Consultado por la respuesta de Quiroz ante su negativa de recortar algunos programas, Poduje reveló que le dijo que“tenemos que ver la forma en que vamos a sacar los recursos para financiar el plan de reconstrucción. En eso estamos”.</w:t>
      </w:r>
    </w:p>
    <w:p>
      <w:pPr>
        <w:spacing w:before="20"/>
        <w:ind w:left="360"/>
      </w:pPr>
      <w:r>
        <w:rPr>
          <w:color w:val="222222"/>
          <w:sz w:val="20"/>
        </w:rPr>
        <w:t>Pero Poduje también trazó una línea cuando le preguntaron si está obligado a acceder a los recortes del titular de Hacienda.“No, yo tengo un solo jefe, se llama José Antonio Kast, es el Presidente de Chile, él es mi único jefe, yo me debo a él y a los chilenos”y agregó que“el ministro Quiroz es un ministro más entre muchos de los que hay, pero el únicoprimus inter pareses el Presidente de la República, él es mi jefe”.</w:t>
      </w:r>
    </w:p>
    <w:p>
      <w:pPr>
        <w:spacing w:before="20"/>
        <w:ind w:left="360"/>
      </w:pPr>
      <w:r>
        <w:rPr>
          <w:color w:val="222222"/>
          <w:sz w:val="20"/>
        </w:rPr>
        <w:t>La tarde del miércoles Quiroz y Poduje participaron de una reunión convocada por el ministro del Interior, Claudio Alvarado, en La Moneda en la cual también estuvo el director de Presupuestos, José Pablo Gómez, y el jefe de asesores del Segundo Piso, Alejandro Irarrázaval, oportunidad en que habrían tratado este tema.</w:t>
      </w:r>
    </w:p>
    <w:p>
      <w:pPr>
        <w:spacing w:before="40" w:after="120"/>
      </w:pPr>
      <w:r>
        <w:rPr>
          <w:color w:val="CCCCCC"/>
        </w:rPr>
        <w:t>· · ·</w:t>
      </w:r>
    </w:p>
    <w:p>
      <w:r>
        <w:rPr>
          <w:b/>
          <w:color w:val="E65000"/>
        </w:rPr>
        <w:t xml:space="preserve">3. </w:t>
      </w:r>
      <w:r>
        <w:rPr>
          <w:b/>
          <w:sz w:val="22"/>
        </w:rPr>
        <w:t>La producción industrial cae por sexto mes consecutivo en marzo, mientras que el comercio sigue al alza</w:t>
      </w:r>
      <w:r>
        <w:rPr>
          <w:color w:val="CC7700"/>
          <w:sz w:val="18"/>
        </w:rPr>
        <w:t xml:space="preserve">  [⭐ Destacada]</w:t>
      </w:r>
    </w:p>
    <w:p>
      <w:pPr>
        <w:spacing w:before="0"/>
      </w:pPr>
      <w:r>
        <w:rPr>
          <w:color w:val="0056B3"/>
          <w:sz w:val="18"/>
        </w:rPr>
        <w:t>https://www.df.cl/economia-y-politica/macro/produccion-industrial-cae-por-sexto-mes-consecutivo-en-marzo-mientras-que</w:t>
      </w:r>
    </w:p>
    <w:p>
      <w:pPr>
        <w:spacing w:before="20"/>
        <w:ind w:left="360"/>
      </w:pPr>
      <w:r>
        <w:rPr>
          <w:color w:val="222222"/>
          <w:sz w:val="20"/>
        </w:rPr>
        <w:t>El Índice de Producción Industrial (IPI) marcó un retroceso anual de 3,4% en el tercer mes del año, debido a la incidencia negativa de dos de los tres sectores que lo componen.</w:t>
      </w:r>
    </w:p>
    <w:p>
      <w:pPr>
        <w:spacing w:before="20"/>
        <w:ind w:left="360"/>
      </w:pPr>
      <w:r>
        <w:rPr>
          <w:color w:val="222222"/>
          <w:sz w:val="20"/>
        </w:rPr>
        <w:t>Publicado: Jueves 30 de abril de 2026 a las 09:28 hrs.</w:t>
      </w:r>
    </w:p>
    <w:p>
      <w:pPr>
        <w:spacing w:before="20"/>
        <w:ind w:left="360"/>
      </w:pPr>
      <w:r>
        <w:rPr>
          <w:color w:val="222222"/>
          <w:sz w:val="20"/>
        </w:rPr>
        <w:t>Marzo volvió a mostrar cifras dispares para la actividad económica chilena.</w:t>
      </w:r>
    </w:p>
    <w:p>
      <w:pPr>
        <w:spacing w:before="20"/>
        <w:ind w:left="360"/>
      </w:pPr>
      <w:r>
        <w:rPr>
          <w:color w:val="222222"/>
          <w:sz w:val="20"/>
        </w:rPr>
        <w:t>ElÍndice de Producción Industrial (IPI) marcó un retroceso anual de 3,4% en el tercer mes del año,debido a la incidencia negativa de dos de los tres sectores que lo componen, según informó esta mañana el Instituto Nacional de Estadísticas (INE).</w:t>
      </w:r>
    </w:p>
    <w:p>
      <w:pPr>
        <w:spacing w:before="20"/>
        <w:ind w:left="360"/>
      </w:pPr>
      <w:r>
        <w:rPr>
          <w:color w:val="222222"/>
          <w:sz w:val="20"/>
        </w:rPr>
        <w:t>Este es el sexto mes consecutivo a la baja que tiene el indicador.</w:t>
      </w:r>
    </w:p>
    <w:p>
      <w:pPr>
        <w:spacing w:before="20"/>
        <w:ind w:left="360"/>
      </w:pPr>
      <w:r>
        <w:rPr>
          <w:color w:val="222222"/>
          <w:sz w:val="20"/>
        </w:rPr>
        <w:t>El mayor descenso se produjo en elÍndice de Producción Manufacturera (IPMan), con 4,5% en doce meses, explicado en gran medida, por la baja de 11,9% en elaboración de productos alimenticios,</w:t>
      </w:r>
    </w:p>
    <w:p>
      <w:pPr>
        <w:spacing w:before="20"/>
        <w:ind w:left="360"/>
      </w:pPr>
      <w:r>
        <w:rPr>
          <w:color w:val="222222"/>
          <w:sz w:val="20"/>
        </w:rPr>
        <w:t>Le siguió elÍndice de Producción Minera (IPMin)que presentó una disminución de 3,7% en marzo, como consecuencia de la menor actividad registrada en dos de los tres tipos de que lo componen y destacando la caída de 6,5% en minería metálica.</w:t>
      </w:r>
    </w:p>
    <w:p>
      <w:pPr>
        <w:spacing w:before="20"/>
        <w:ind w:left="360"/>
      </w:pPr>
      <w:r>
        <w:rPr>
          <w:color w:val="222222"/>
          <w:sz w:val="20"/>
        </w:rPr>
        <w:t>En tanto, elÍndice de Producción de Electricidad, Gas y Agua (IPEGA)creció 1,4% respecto de marzo del año pasado, debido a que dos de las tres actividades que lo componen presentaron aumentos. De estas, destacaron electricidad, que se incrementó 1,9%.</w:t>
      </w:r>
    </w:p>
    <w:p>
      <w:pPr>
        <w:spacing w:before="120"/>
        <w:ind w:left="360"/>
      </w:pPr>
      <w:r>
        <w:rPr>
          <w:b/>
          <w:color w:val="E65000"/>
          <w:sz w:val="26"/>
        </w:rPr>
        <w:t xml:space="preserve"> </w:t>
      </w:r>
    </w:p>
    <w:p>
      <w:pPr>
        <w:spacing w:before="20"/>
        <w:ind w:left="360"/>
      </w:pPr>
      <w:r>
        <w:rPr>
          <w:color w:val="222222"/>
          <w:sz w:val="20"/>
        </w:rPr>
        <w:t>Por otra parte, el comercio anotó cifras positivas en marzo.</w:t>
      </w:r>
    </w:p>
    <w:p>
      <w:pPr>
        <w:spacing w:before="20"/>
        <w:ind w:left="360"/>
      </w:pPr>
      <w:r>
        <w:rPr>
          <w:color w:val="222222"/>
          <w:sz w:val="20"/>
        </w:rPr>
        <w:t>Según también informó el INE, elÍndice de Actividad del Comercio (IAC) a precios constantes marcó un alza de 4,4%en el tercer mes del año, incidido por el incremento de las tres divisiones que lo componen.</w:t>
      </w:r>
    </w:p>
    <w:p>
      <w:pPr>
        <w:spacing w:before="20"/>
        <w:ind w:left="360"/>
      </w:pPr>
      <w:r>
        <w:rPr>
          <w:color w:val="222222"/>
          <w:sz w:val="20"/>
        </w:rPr>
        <w:t>La división al por mayor, excepto el de vehículos automotores y motocicletas, registró un crecimiento de 6,2%. Mientras que al por menor se expandió 3,5% en doce meses.</w:t>
      </w:r>
    </w:p>
    <w:p>
      <w:pPr>
        <w:spacing w:before="20"/>
        <w:ind w:left="360"/>
      </w:pPr>
      <w:r>
        <w:rPr>
          <w:color w:val="222222"/>
          <w:sz w:val="20"/>
        </w:rPr>
        <w:t>Por su parte, la división al por mayor y al por menor y reparación de vehículos automotores y motocicletas presentó un incremento interanual de 6%.</w:t>
      </w:r>
    </w:p>
    <w:p>
      <w:pPr>
        <w:spacing w:before="20"/>
        <w:ind w:left="360"/>
      </w:pPr>
      <w:r>
        <w:rPr>
          <w:color w:val="222222"/>
          <w:sz w:val="20"/>
        </w:rPr>
        <w:t>En tanto, elÍndice de Ventas de Supermercados (ISUP) a precios constantes presentó un decrecimiento de 0,9%,acumulando una expansión de 0,2% al tercer mes del año; mientras que la serie desestacionalizada y corregida de efecto calendario anotó una expansión de 1,0% respecto al mes anterior, y un crecimiento interanual de 1,2%.</w:t>
      </w:r>
    </w:p>
    <w:p>
      <w:pPr>
        <w:spacing w:before="20"/>
        <w:ind w:left="360"/>
      </w:pPr>
      <w:r>
        <w:rPr>
          <w:color w:val="222222"/>
          <w:sz w:val="20"/>
        </w:rPr>
        <w:t>En el caso delÍndice del Comercio Electrónico Minorista (ICEM)a precios corrientes registró un alza de 19,4%, acumulando un crecimiento de 16,3% en lo que va del año. La línea de productos que más impactó en el aumento del índice fue productos electrónicos, para el equipamiento del hogar y tecnológicos.</w:t>
      </w:r>
    </w:p>
    <w:p>
      <w:pPr>
        <w:spacing w:before="40" w:after="120"/>
      </w:pPr>
      <w:r>
        <w:rPr>
          <w:color w:val="CCCCCC"/>
        </w:rPr>
        <w:t>· · ·</w:t>
      </w:r>
    </w:p>
    <w:p>
      <w:r>
        <w:rPr>
          <w:b/>
          <w:color w:val="E65000"/>
        </w:rPr>
        <w:t xml:space="preserve">4. </w:t>
      </w:r>
      <w:r>
        <w:rPr>
          <w:b/>
          <w:sz w:val="22"/>
        </w:rPr>
        <w:t>CFA entrega recomendaciones para perfeccionar regla que rige el gasto del sector público</w:t>
      </w:r>
      <w:r>
        <w:rPr>
          <w:color w:val="990000"/>
          <w:sz w:val="18"/>
        </w:rPr>
        <w:t xml:space="preserve">  [🔒 paywall]</w:t>
      </w:r>
    </w:p>
    <w:p>
      <w:pPr>
        <w:spacing w:before="0"/>
      </w:pPr>
      <w:r>
        <w:rPr>
          <w:color w:val="0056B3"/>
          <w:sz w:val="18"/>
        </w:rPr>
        <w:t>https://www.df.cl/economia-y-politica/pais/cfa-entrega-recomendaciones-para-perfeccionar-regla-que-rige-el-gasto-del</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40" w:after="120"/>
      </w:pPr>
      <w:r>
        <w:rPr>
          <w:color w:val="CCCCCC"/>
        </w:rPr>
        <w:t>· · ·</w:t>
      </w:r>
    </w:p>
    <w:p>
      <w:r>
        <w:rPr>
          <w:b/>
          <w:color w:val="E65000"/>
        </w:rPr>
        <w:t xml:space="preserve">5. </w:t>
      </w:r>
      <w:r>
        <w:rPr>
          <w:b/>
          <w:sz w:val="22"/>
        </w:rPr>
        <w:t>Gobierno busca reordenar filas para contener críticas a recortes sugeridos a programas sociales y la PGU</w:t>
      </w:r>
    </w:p>
    <w:p>
      <w:pPr>
        <w:spacing w:before="0"/>
      </w:pPr>
      <w:r>
        <w:rPr>
          <w:color w:val="0056B3"/>
          <w:sz w:val="18"/>
        </w:rPr>
        <w:t>https://www.df.cl/economia-y-politica/pais/gobierno-busca-reordenar-filas-para-contener-criticas-a-recortes-sugeridos</w:t>
      </w:r>
    </w:p>
    <w:p>
      <w:pPr>
        <w:spacing w:before="20"/>
        <w:ind w:left="360"/>
      </w:pPr>
      <w:r>
        <w:rPr>
          <w:color w:val="222222"/>
          <w:sz w:val="20"/>
        </w:rPr>
        <w:t>“Aquí no se va a tocar ningún beneficio, ninguno”, dijo Quiroz antes de participar en una reunión con su par de Interior, el titular de Vivienda y el director de Presupuestos en La Moneda.</w:t>
      </w:r>
    </w:p>
    <w:p>
      <w:pPr>
        <w:spacing w:before="20"/>
        <w:ind w:left="360"/>
      </w:pPr>
      <w:r>
        <w:rPr>
          <w:color w:val="222222"/>
          <w:sz w:val="20"/>
        </w:rPr>
        <w:t>Por:S. VALDENEGRO Y R. CARRASCOPublicado: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El ministro del Interior, Claudio Alvarado, y su par de Hacienda, Jorge Quiroz. Foto: Aton.</w:t>
      </w:r>
    </w:p>
    <w:p>
      <w:pPr>
        <w:spacing w:before="20"/>
        <w:ind w:left="360"/>
      </w:pPr>
      <w:r>
        <w:rPr>
          <w:color w:val="222222"/>
          <w:sz w:val="20"/>
        </w:rPr>
        <w:t>La polémica por los recortes del gasto público, que podrían afectar beneficios sociales, caló hondo en La Moneda. Y, en consecuencia,el ministro del Interior, Claudio Alvarado, convocó a una reunión este miércoles a sus pares de Hacienda, Jorge Quiroz, y al de Vivienda, Iván Poduje. A ellos se unieron el director de Presupuestos, José Pablo Gómez, y el jefe de asesores del Segundo Piso, Alejandro Irarrázaval.</w:t>
      </w:r>
    </w:p>
    <w:p>
      <w:pPr>
        <w:spacing w:before="20"/>
        <w:ind w:left="360"/>
      </w:pPr>
      <w:r>
        <w:rPr>
          <w:color w:val="222222"/>
          <w:sz w:val="20"/>
        </w:rPr>
        <w:t>En el encuentro, que se extendió por una hora,no hubo recriminaciones, según trascendió, pero sí tensión, la cual dio paso al compromiso de buscar una mejor coordinación y encauzar un relato que dé cuenta de que el ajuste fiscal no va a implicar reducción de prestaciones sociales.</w:t>
      </w:r>
    </w:p>
    <w:p>
      <w:pPr>
        <w:spacing w:before="20"/>
        <w:ind w:left="360"/>
      </w:pPr>
      <w:r>
        <w:rPr>
          <w:color w:val="222222"/>
          <w:sz w:val="20"/>
        </w:rPr>
        <w:t>El óptimo, se reconoció, es evitar que todos los días haya que explicar lo que está haciendo la administración Kast en pos de recuperar espacio en las arcas del sector público.</w:t>
      </w:r>
    </w:p>
    <w:p>
      <w:pPr>
        <w:spacing w:before="20"/>
        <w:ind w:left="360"/>
      </w:pPr>
      <w:r>
        <w:rPr>
          <w:color w:val="222222"/>
          <w:sz w:val="20"/>
        </w:rPr>
        <w:t>Todo esto, en momentos en que persisten los cuestionamientos hacia Quiroz por el oficio enviado la semana pasada a los distintos ministerios con recomendaciones de hacer ajustes a algunas iniciativas, en busca de generar ahorros por US$ 3.000 millones este añoo, de poder reducir un 3% en cada cartera.</w:t>
      </w:r>
    </w:p>
    <w:p>
      <w:pPr>
        <w:spacing w:before="120"/>
        <w:ind w:left="360"/>
      </w:pPr>
      <w:r>
        <w:rPr>
          <w:b/>
          <w:color w:val="E65000"/>
          <w:sz w:val="26"/>
        </w:rPr>
        <w:t xml:space="preserve"> </w:t>
      </w:r>
    </w:p>
    <w:p>
      <w:pPr>
        <w:spacing w:before="20"/>
        <w:ind w:left="360"/>
      </w:pPr>
      <w:r>
        <w:rPr>
          <w:color w:val="222222"/>
          <w:sz w:val="20"/>
        </w:rPr>
        <w:t>En este marco, por ejemplo, se conoció el planteamiento de “rebajar presupuesto” a la Pensión Garantizada Universal (PGU). Ya en la campaña el hoy Presidente José Antonio Kast desestimó cambios y lanzó el eslogan “Te amo PGU”.</w:t>
      </w:r>
    </w:p>
    <w:p>
      <w:pPr>
        <w:spacing w:before="20"/>
        <w:ind w:left="360"/>
      </w:pPr>
      <w:r>
        <w:rPr>
          <w:color w:val="222222"/>
          <w:sz w:val="20"/>
        </w:rPr>
        <w:t>En medio de trascendidos de los recortes ya acordados en los programas del Ministerio de Desarrollo Social,Alvarado solicitó tener un mayor control de la agenda, para lo cual instruyó como jefe de gabinete a tener más consideraciones políticas y no solo una mirada técnica.</w:t>
      </w:r>
    </w:p>
    <w:p>
      <w:pPr>
        <w:spacing w:before="20"/>
        <w:ind w:left="360"/>
      </w:pPr>
      <w:r>
        <w:rPr>
          <w:color w:val="222222"/>
          <w:sz w:val="20"/>
        </w:rPr>
        <w:t>Tras la cita, Gómez y Poduje abandonaron La Moneda sin hacer declaraciones, mientras que Irarrázaval y Quiroz se reunieron por algunos minutos en la oficina del jefe de asesores del Presidente.</w:t>
      </w:r>
    </w:p>
    <w:p>
      <w:pPr>
        <w:spacing w:before="20"/>
        <w:ind w:left="360"/>
      </w:pPr>
      <w:r>
        <w:rPr>
          <w:color w:val="222222"/>
          <w:sz w:val="20"/>
        </w:rPr>
        <w:t>Al mediodía de este miércoles, y tras participar en la junta de accionistas de ENAP, Quiroz ya había hecho un nuevo intento por contener la ansiedad de la prensa. “Quiero decir con todas sus letras, y esto no solo para la PGU, sino para todo tipo de programas: aquí no se va a tocar ningún beneficio social de la población, ninguno en absoluto”.</w:t>
      </w:r>
    </w:p>
    <w:p>
      <w:pPr>
        <w:spacing w:before="20"/>
        <w:ind w:left="360"/>
      </w:pPr>
      <w:r>
        <w:rPr>
          <w:color w:val="222222"/>
          <w:sz w:val="20"/>
        </w:rPr>
        <w:t>Lo único, reforzó, es que lo que “estamos haciendo en todos los casos es buscar eficiencia y también prevenir lo que ustedes ya conocen como el fraude social o el malgasto”.</w:t>
      </w:r>
    </w:p>
    <w:p>
      <w:pPr>
        <w:spacing w:before="20"/>
        <w:ind w:left="360"/>
      </w:pPr>
      <w:r>
        <w:rPr>
          <w:color w:val="222222"/>
          <w:sz w:val="20"/>
        </w:rPr>
        <w:t>El secretario de Estado planteó que hasta el minutono se ha firmado ni enviado a Contraloría el decreto que hace oficial el recorte del monto en beneficios como la PGU, señalando que es solo parte de una recomendación remitida al Ministerio del Trabajo.</w:t>
      </w:r>
    </w:p>
    <w:p>
      <w:pPr>
        <w:spacing w:before="20"/>
        <w:ind w:left="360"/>
      </w:pPr>
      <w:r>
        <w:rPr>
          <w:color w:val="222222"/>
          <w:sz w:val="20"/>
        </w:rPr>
        <w:t>“El oficio no es más que un conjunto de orientaciones que se imparten a los ministerios para que los tengan en cuenta para su elaboración del Presupuesto del año 2027. Y el decreto, en cambio, es el resultado de todas las conversaciones que ha habido entre Ministerio de Hacienda y los ministerios respecto de cómo llevar adelante el ajuste del 10% en todos los presupuestos. Y con distintos ministerios se ha podido llegar a distintos acuerdos. Los ministerios han visto que se puede reducir, donde se pueden buscar eficiencia y, como resultado de ese acuerdo, es que salen los decretos, porque estos decretos son imperativos y se refieren a cómo se vive el ajuste, que en promedio alcanza un 2%. Nos está faltando todavía un 1%”, explicó.</w:t>
      </w:r>
    </w:p>
    <w:p>
      <w:pPr>
        <w:spacing w:before="20"/>
        <w:ind w:left="360"/>
      </w:pPr>
      <w:r>
        <w:rPr>
          <w:color w:val="222222"/>
          <w:sz w:val="20"/>
        </w:rPr>
        <w:t>Ante la insistencia de los periodistas,Quiroz manifestó que “no hay recorte en ningún beneficio, ningún pensionado”.</w:t>
      </w:r>
    </w:p>
    <w:p>
      <w:pPr>
        <w:spacing w:before="20"/>
        <w:ind w:left="360"/>
      </w:pPr>
      <w:r>
        <w:rPr>
          <w:color w:val="222222"/>
          <w:sz w:val="20"/>
        </w:rPr>
        <w:t>Consultado respecto al por qué de la “sugerencia” de ajustar el erario de la PGU, el ministro apuntó a medidas de eficiencia y de eventuales fraudes.</w:t>
      </w:r>
    </w:p>
    <w:p>
      <w:pPr>
        <w:spacing w:before="20"/>
        <w:ind w:left="360"/>
      </w:pPr>
      <w:r>
        <w:rPr>
          <w:color w:val="222222"/>
          <w:sz w:val="20"/>
        </w:rPr>
        <w:t>“Pudiese haber tal vez gente que obtuvo eso y que no debería obtenerlo al tenor de la Ley”, expuso.</w:t>
      </w:r>
    </w:p>
    <w:p>
      <w:pPr>
        <w:spacing w:before="20"/>
        <w:ind w:left="360"/>
      </w:pPr>
      <w:r>
        <w:rPr>
          <w:color w:val="222222"/>
          <w:sz w:val="20"/>
        </w:rPr>
        <w:t>Alineado, el ministro del Trabajo, Tomás Rau, reiteró que hay solo “recomendaciones”, pero que no pueden reducir beneficios que están establecidos por Ley: “Que las personas lo tengan súper claro”. Y si bien reconoció que “el lenguaje tampoco ayudó, nosotros vamos a cumplir la Ley”.</w:t>
      </w:r>
    </w:p>
    <w:p>
      <w:pPr>
        <w:spacing w:before="20"/>
        <w:ind w:left="360"/>
      </w:pPr>
      <w:r>
        <w:rPr>
          <w:color w:val="222222"/>
          <w:sz w:val="20"/>
        </w:rPr>
        <w:t>Uno de los protagonistas de la batahola de este miércoles, fueel Ministerio de Desarrollo Social y Familia, que salió a aclarar la rebaja del 3% de su presupuesto 2026.</w:t>
      </w:r>
    </w:p>
    <w:p>
      <w:pPr>
        <w:spacing w:before="20"/>
        <w:ind w:left="360"/>
      </w:pPr>
      <w:r>
        <w:rPr>
          <w:color w:val="222222"/>
          <w:sz w:val="20"/>
        </w:rPr>
        <w:t>A través de un comunicado, la cartera afirmó que se aplicará un ajuste menor al exigido por Hacienda y finalmente será del 2,24% con el objetivo de resguardar las áreas más sensibles de la política social.</w:t>
      </w:r>
    </w:p>
    <w:p>
      <w:pPr>
        <w:spacing w:before="20"/>
        <w:ind w:left="360"/>
      </w:pPr>
      <w:r>
        <w:rPr>
          <w:color w:val="222222"/>
          <w:sz w:val="20"/>
        </w:rPr>
        <w:t>De esta manera, señalaron que la medida se focaliza en programas con baja ejecución histórica, sobreasignación de recursos o debilidades de diseño, y no considera reducciones en beneficios ni coberturas.</w:t>
      </w:r>
    </w:p>
    <w:p>
      <w:pPr>
        <w:spacing w:before="20"/>
        <w:ind w:left="360"/>
      </w:pPr>
      <w:r>
        <w:rPr>
          <w:color w:val="222222"/>
          <w:sz w:val="20"/>
        </w:rPr>
        <w:t>“En un contexto de estrechez fiscal, nuestra prioridad es clara: no vamos a tocar los beneficios sociales. Estamos ordenando el gasto para que el Estado llegue mejor, más rápido y con mayor impacto a las personas”, dijo el subsecretario de Servicios Sociales, Alejandro Fernández.</w:t>
      </w:r>
    </w:p>
    <w:p>
      <w:pPr>
        <w:spacing w:before="20"/>
        <w:ind w:left="360"/>
      </w:pPr>
      <w:r>
        <w:rPr>
          <w:color w:val="222222"/>
          <w:sz w:val="20"/>
        </w:rPr>
        <w:t>Los principales cambios están en el programa de ajuar, la línea de diagnóstico clínico en niñez y el Instituto Nacional de la Juventud (Injuv).</w:t>
      </w:r>
    </w:p>
    <w:p>
      <w:pPr>
        <w:spacing w:before="20"/>
        <w:ind w:left="360"/>
      </w:pPr>
      <w:r>
        <w:rPr>
          <w:color w:val="222222"/>
          <w:sz w:val="20"/>
        </w:rPr>
        <w:t>En el caso del ajuar para recién nacidos, el ministerio indicó que será un recorte en un 10,5%, respaldado por la caída de la natalidad y asociado a un stock de reserva sobredimensionado. No obstante, precisaron que se mantendrá “íntegramente” la entrega a las familias y no se reducirá la cobertura.</w:t>
      </w:r>
    </w:p>
    <w:p>
      <w:pPr>
        <w:spacing w:before="20"/>
        <w:ind w:left="360"/>
      </w:pPr>
      <w:r>
        <w:rPr>
          <w:color w:val="222222"/>
          <w:sz w:val="20"/>
        </w:rPr>
        <w:t>Mientras que el diagnóstico clínico en niñez tendrá un ajuste en 23,6% y responde a una caída del 42% en las derivaciones judiciales y a una menor utilización del programa, lo que ha generado recursos sin ejecutar.</w:t>
      </w:r>
    </w:p>
    <w:p>
      <w:pPr>
        <w:spacing w:before="20"/>
        <w:ind w:left="360"/>
      </w:pPr>
      <w:r>
        <w:rPr>
          <w:color w:val="222222"/>
          <w:sz w:val="20"/>
        </w:rPr>
        <w:t>Por su parte, el Injuv tendrá un recorte de 47,7%. Se puso énfasis en que el 75% de su presupuesto se destina al pago de remuneraciones.</w:t>
      </w:r>
    </w:p>
    <w:p>
      <w:pPr>
        <w:spacing w:before="40" w:after="120"/>
      </w:pPr>
      <w:r>
        <w:rPr>
          <w:color w:val="CCCCCC"/>
        </w:rPr>
        <w:t>· · ·</w:t>
      </w:r>
    </w:p>
    <w:p>
      <w:r>
        <w:rPr>
          <w:b/>
          <w:color w:val="E65000"/>
        </w:rPr>
        <w:t xml:space="preserve">6. </w:t>
      </w:r>
      <w:r>
        <w:rPr>
          <w:b/>
          <w:sz w:val="22"/>
        </w:rPr>
        <w:t>Más desocupados y más informalidad destacan entre los 10 frentes que reflejan el mal momento del mercado laboral</w:t>
      </w:r>
    </w:p>
    <w:p>
      <w:pPr>
        <w:spacing w:before="0"/>
      </w:pPr>
      <w:r>
        <w:rPr>
          <w:color w:val="0056B3"/>
          <w:sz w:val="18"/>
        </w:rPr>
        <w:t>https://www.df.cl/economia-y-politica/laboral-personas/mas-desocupados-y-mas-informalidad-destacan-entre-los-10-frentes-que</w:t>
      </w:r>
    </w:p>
    <w:p>
      <w:pPr>
        <w:spacing w:before="20"/>
        <w:ind w:left="360"/>
      </w:pPr>
      <w:r>
        <w:rPr>
          <w:color w:val="222222"/>
          <w:sz w:val="20"/>
        </w:rPr>
        <w:t>Un sabor amargo dejó entre los economistas el aumento del desempleo a 8,9% al cierre del primer trimestre. El escenario es más difícil para las mujeres, las que anotaron una tasa de 10%.</w:t>
      </w:r>
    </w:p>
    <w:p>
      <w:pPr>
        <w:spacing w:before="20"/>
        <w:ind w:left="360"/>
      </w:pPr>
      <w:r>
        <w:rPr>
          <w:color w:val="222222"/>
          <w:sz w:val="20"/>
        </w:rPr>
        <w:t>Por:C. LEÓN y A. SANTILLÁNPublicado: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Datos poco alentadores trajo la última edición de la Encuesta Nacional de Empleo (ENE) que elabora el Instituto Nacional de Estadísticas (INE). Y es que si bien existe consenso entre los analistas respecto a que el mercado laboral no está pasando por su mejor momento y enfrenta retos en materia de generación de puestos de trabajo, las cifras correspondientes al trimestre móvil enero-marzo de 2026 se leyeron como un deterioro adicional y aún más generalizado.</w:t>
      </w:r>
    </w:p>
    <w:p>
      <w:pPr>
        <w:spacing w:before="20"/>
        <w:ind w:left="360"/>
      </w:pPr>
      <w:r>
        <w:rPr>
          <w:color w:val="222222"/>
          <w:sz w:val="20"/>
        </w:rPr>
        <w:t>Un difícil escenario que ya va más allá de solo la tasa de desocupación.</w:t>
      </w:r>
    </w:p>
    <w:p>
      <w:pPr>
        <w:spacing w:before="20"/>
        <w:ind w:left="360"/>
      </w:pPr>
      <w:r>
        <w:rPr>
          <w:color w:val="222222"/>
          <w:sz w:val="20"/>
        </w:rPr>
        <w:t>De acuerdo con el INE, en el trimestre la tasa de desocupación nacional se ubicó en 8,9%, una cifra que es 0,2 punto porcentual (pp.) mayor en comparación con el mismo período de 2025.</w:t>
      </w:r>
    </w:p>
    <w:p>
      <w:pPr>
        <w:spacing w:before="20"/>
        <w:ind w:left="360"/>
      </w:pPr>
      <w:r>
        <w:rPr>
          <w:color w:val="222222"/>
          <w:sz w:val="20"/>
        </w:rPr>
        <w:t>De hecho, según explicó el subdirector técnico del INE, Leonardo González, las personas desocupadas se incrementaron 3,3% en 12 meses, lo que corresponde a 29.438 desocupados más, totalizando así 925.111 personas.</w:t>
      </w:r>
    </w:p>
    <w:p>
      <w:pPr>
        <w:spacing w:before="20"/>
        <w:ind w:left="360"/>
      </w:pPr>
      <w:r>
        <w:rPr>
          <w:color w:val="222222"/>
          <w:sz w:val="20"/>
        </w:rPr>
        <w:t>“Las personas que buscan trabajo por primera vez han ganado peso relativo en el aumento de los desocupados en los últimos trimestres móviles, anotando seis trimestres móviles al alza y superan las 100 mil personas”, agregó.</w:t>
      </w:r>
    </w:p>
    <w:p>
      <w:pPr>
        <w:spacing w:before="20"/>
        <w:ind w:left="360"/>
      </w:pPr>
      <w:r>
        <w:rPr>
          <w:color w:val="222222"/>
          <w:sz w:val="20"/>
        </w:rPr>
        <w:t>Y los cesantes volvieron a superar los 800 mil al subir 2% en términos anuales.</w:t>
      </w:r>
    </w:p>
    <w:p>
      <w:pPr>
        <w:spacing w:before="20"/>
        <w:ind w:left="360"/>
      </w:pPr>
      <w:r>
        <w:rPr>
          <w:color w:val="222222"/>
          <w:sz w:val="20"/>
        </w:rPr>
        <w:t>Los ocupados registraron una baja trimestral de 0,2%, lo que equivale a 14.451 personas con empleo menos.</w:t>
      </w:r>
    </w:p>
    <w:p>
      <w:pPr>
        <w:spacing w:before="20"/>
        <w:ind w:left="360"/>
      </w:pPr>
      <w:r>
        <w:rPr>
          <w:color w:val="222222"/>
          <w:sz w:val="20"/>
        </w:rPr>
        <w:t>Por género, los hombres y las mujeres presentaron disminuciones en la ocupación con respecto al trimestre móvil anterior de -0,2% y -0,1%, equivalentes a 10.717 hombres y 3.734 mujeres, respectivamente.</w:t>
      </w:r>
    </w:p>
    <w:p>
      <w:pPr>
        <w:spacing w:before="20"/>
        <w:ind w:left="360"/>
      </w:pPr>
      <w:r>
        <w:rPr>
          <w:color w:val="222222"/>
          <w:sz w:val="20"/>
        </w:rPr>
        <w:t>Al mirar el panorama anual, si bien hubo generación de empleo, esta fue solo de 0,5%. Este incremento se fundamentó en actividades de salud (6,1%), actividades profesionales (8,8%), comercio (1,1%) y actividades inmobiliarias (18,8%).</w:t>
      </w:r>
    </w:p>
    <w:p>
      <w:pPr>
        <w:spacing w:before="20"/>
        <w:ind w:left="360"/>
      </w:pPr>
      <w:r>
        <w:rPr>
          <w:color w:val="222222"/>
          <w:sz w:val="20"/>
        </w:rPr>
        <w:t>“Esto no solo confirma una marcada desaceleración en la creación de empleo formal, sino que además marca el inicio de un deterioro más significativo”, alertaron desde Clapes UC.</w:t>
      </w:r>
    </w:p>
    <w:p>
      <w:pPr>
        <w:spacing w:before="20"/>
        <w:ind w:left="360"/>
      </w:pPr>
      <w:r>
        <w:rPr>
          <w:color w:val="222222"/>
          <w:sz w:val="20"/>
        </w:rPr>
        <w:t>“Si bien se crearon 45 mil empleos en 12 meses, esta cifra refleja una marcada desaceleración y, además, la totalidad de los nuevos puestos corresponde a ocupaciones informales, principalmente asalariados privados y trabajadores por cuenta propia”, agregó la investigadora de Clapes UC, Carmen Cifuentes.</w:t>
      </w:r>
    </w:p>
    <w:p>
      <w:pPr>
        <w:spacing w:before="20"/>
        <w:ind w:left="360"/>
      </w:pPr>
      <w:r>
        <w:rPr>
          <w:color w:val="222222"/>
          <w:sz w:val="20"/>
        </w:rPr>
        <w:t>La débil expansión de la ocupación en el último año, fue incidida, únicamente, por el segmento informal, con un alza de 3,2%, correspondiente a 78.632 personas.</w:t>
      </w:r>
    </w:p>
    <w:p>
      <w:pPr>
        <w:spacing w:before="20"/>
        <w:ind w:left="360"/>
      </w:pPr>
      <w:r>
        <w:rPr>
          <w:color w:val="222222"/>
          <w:sz w:val="20"/>
        </w:rPr>
        <w:t>En la vereda contraria, los formales disminuyeron un 0,5% anual, los que son 33.277 personas menos.</w:t>
      </w:r>
    </w:p>
    <w:p>
      <w:pPr>
        <w:spacing w:before="20"/>
        <w:ind w:left="360"/>
      </w:pPr>
      <w:r>
        <w:rPr>
          <w:color w:val="222222"/>
          <w:sz w:val="20"/>
        </w:rPr>
        <w:t>Así, la tasa de ocupación informal se situó en 26,5%, con un incremento de 0,7 pp. en un año y sin variación respecto al trimestre móvil anterior.</w:t>
      </w:r>
    </w:p>
    <w:p>
      <w:pPr>
        <w:spacing w:before="20"/>
        <w:ind w:left="360"/>
      </w:pPr>
      <w:r>
        <w:rPr>
          <w:color w:val="222222"/>
          <w:sz w:val="20"/>
        </w:rPr>
        <w:t>Según destacó el director del Observatorio del Contexto Económico de la UDP, Juan Bravo, lo más complejo tras el aumento de la informalidad, es que esta no tiene que ver ni con un alza de los vendedores ambulantes ni las personas que emprenden por redes sociales.</w:t>
      </w:r>
    </w:p>
    <w:p>
      <w:pPr>
        <w:spacing w:before="20"/>
        <w:ind w:left="360"/>
      </w:pPr>
      <w:r>
        <w:rPr>
          <w:color w:val="222222"/>
          <w:sz w:val="20"/>
        </w:rPr>
        <w:t>“Esa no es la informalidad que hoy día está aumentando, y tampoco tiene que ver con el emprendimiento por cuenta propia. Acá lo que sube es el asalariado informal en el sector privado, que aumentó en más de 92 mil en el último año. Este empleo es bajo subordinación, pero el empleador no paga las cotizaciones de salud o pensión al trabajador. Y eso es lo que está aumentando la informalidad hoy en día”, dijo.</w:t>
      </w:r>
    </w:p>
    <w:p>
      <w:pPr>
        <w:spacing w:before="20"/>
        <w:ind w:left="360"/>
      </w:pPr>
      <w:r>
        <w:rPr>
          <w:color w:val="222222"/>
          <w:sz w:val="20"/>
        </w:rPr>
        <w:t>Los últimos datos del INE, además, expusieron el mal escenario laboral que están enfrentando las mujeres, quienes nuevamente llegaron a una tasa de desempleo de dos dígitos.</w:t>
      </w:r>
    </w:p>
    <w:p>
      <w:pPr>
        <w:spacing w:before="20"/>
        <w:ind w:left="360"/>
      </w:pPr>
      <w:r>
        <w:rPr>
          <w:color w:val="222222"/>
          <w:sz w:val="20"/>
        </w:rPr>
        <w:t>La tasa de desocupación para ellas llegó a 10%, anotando un alza de 0,5 punto porcentual en 12 meses, reportó el INE.</w:t>
      </w:r>
    </w:p>
    <w:p>
      <w:pPr>
        <w:spacing w:before="20"/>
        <w:ind w:left="360"/>
      </w:pPr>
      <w:r>
        <w:rPr>
          <w:color w:val="222222"/>
          <w:sz w:val="20"/>
        </w:rPr>
        <w:t>Este resultado se explicó, dijo la entidad, por el alza de 1,8% de la fuerza de trabajo, mayor al incremento de 1,2% registrado por las ocupadas.</w:t>
      </w:r>
    </w:p>
    <w:p>
      <w:pPr>
        <w:spacing w:before="20"/>
        <w:ind w:left="360"/>
      </w:pPr>
      <w:r>
        <w:rPr>
          <w:color w:val="222222"/>
          <w:sz w:val="20"/>
        </w:rPr>
        <w:t>En paralelo, las desocupadas aumentaron 7,4%, incididas tanto por las cesantes (7,3%) y por quienes buscan trabajo por primera vez (7,9%).</w:t>
      </w:r>
    </w:p>
    <w:p>
      <w:pPr>
        <w:spacing w:before="20"/>
        <w:ind w:left="360"/>
      </w:pPr>
      <w:r>
        <w:rPr>
          <w:color w:val="222222"/>
          <w:sz w:val="20"/>
        </w:rPr>
        <w:t>Los hombres alcanzaron una tasa de desocupación de 8,1%, sin presentar variación en 12 meses.</w:t>
      </w:r>
    </w:p>
    <w:p>
      <w:pPr>
        <w:spacing w:before="20"/>
        <w:ind w:left="360"/>
      </w:pPr>
      <w:r>
        <w:rPr>
          <w:color w:val="222222"/>
          <w:sz w:val="20"/>
        </w:rPr>
        <w:t>Otro indicador que continuó deteriorándose fue la tasa de desempleo para aquellas personas entre 15 a 24 años.</w:t>
      </w:r>
    </w:p>
    <w:p>
      <w:pPr>
        <w:spacing w:before="20"/>
        <w:ind w:left="360"/>
      </w:pPr>
      <w:r>
        <w:rPr>
          <w:color w:val="222222"/>
          <w:sz w:val="20"/>
        </w:rPr>
        <w:t>De hecho, si en el trimestre enero-marzo de 2025 la tasa de desocupación para este grupo se ubicaba en 21,9%, en el presente año subió a 23,3%.</w:t>
      </w:r>
    </w:p>
    <w:p>
      <w:pPr>
        <w:spacing w:before="20"/>
        <w:ind w:left="360"/>
      </w:pPr>
      <w:r>
        <w:rPr>
          <w:color w:val="222222"/>
          <w:sz w:val="20"/>
        </w:rPr>
        <w:t>La tasa de desempleo no solo preocupa por sus niveles, sino que por la realidad que hay detrás.</w:t>
      </w:r>
    </w:p>
    <w:p>
      <w:pPr>
        <w:spacing w:before="20"/>
        <w:ind w:left="360"/>
      </w:pPr>
      <w:r>
        <w:rPr>
          <w:color w:val="222222"/>
          <w:sz w:val="20"/>
        </w:rPr>
        <w:t>De acuerdo a Clapes, las personas desempleadas de larga duración (aquellas que llevan al menos 12 meses sin trabajo) alcanzaron aproximadamente las 157 mil.</w:t>
      </w:r>
    </w:p>
    <w:p>
      <w:pPr>
        <w:spacing w:before="20"/>
        <w:ind w:left="360"/>
      </w:pPr>
      <w:r>
        <w:rPr>
          <w:color w:val="222222"/>
          <w:sz w:val="20"/>
        </w:rPr>
        <w:t>En una línea similar, desde el OCEC complementaron que un 19,7% de las personas desocupadas está afecta a una situación de larga duración.</w:t>
      </w:r>
    </w:p>
    <w:p>
      <w:pPr>
        <w:spacing w:before="20"/>
        <w:ind w:left="360"/>
      </w:pPr>
      <w:r>
        <w:rPr>
          <w:color w:val="222222"/>
          <w:sz w:val="20"/>
        </w:rPr>
        <w:t>El promedio del desempleo, de hecho, se ubicó en siete meses.</w:t>
      </w:r>
    </w:p>
    <w:p>
      <w:pPr>
        <w:spacing w:before="20"/>
        <w:ind w:left="360"/>
      </w:pPr>
      <w:r>
        <w:rPr>
          <w:color w:val="222222"/>
          <w:sz w:val="20"/>
        </w:rPr>
        <w:t>Otro aspecto de monitoreo es la alta presencia de subempleo, fenómeno que corresponde a aquellos ocupados que trabajan a jornada parcial, pero en forma involuntaria ya que les gustaría y están disponibles para desenvolverse por más horas en el muy corto plazo; o, bien, personas ocupadas con educación superior completa que desarrollan labores de mediana o baja calificación.</w:t>
      </w:r>
    </w:p>
    <w:p>
      <w:pPr>
        <w:spacing w:before="20"/>
        <w:ind w:left="360"/>
      </w:pPr>
      <w:r>
        <w:rPr>
          <w:color w:val="222222"/>
          <w:sz w:val="20"/>
        </w:rPr>
        <w:t>De acuerdo con datos rescatados por el OCEC, este grupo pasó de 1.863.516 personas en el trimestre enero-marzo de 2025, a un total de 2.000.008 en el último trimestre, lo que corresponde a 136.492 personas más en esta categoría.</w:t>
      </w:r>
    </w:p>
    <w:p>
      <w:pPr>
        <w:spacing w:before="20"/>
        <w:ind w:left="360"/>
      </w:pPr>
      <w:r>
        <w:rPr>
          <w:color w:val="222222"/>
          <w:sz w:val="20"/>
        </w:rPr>
        <w:t>Al mirar la tasa de participación con igual trimestre de años anteriores, los datos exhiben que si bien esta es significativamente más alta respecto al período 2021 a 2023, sigue siendo más baja respecto a 2019.</w:t>
      </w:r>
    </w:p>
    <w:p>
      <w:pPr>
        <w:spacing w:before="20"/>
        <w:ind w:left="360"/>
      </w:pPr>
      <w:r>
        <w:rPr>
          <w:color w:val="222222"/>
          <w:sz w:val="20"/>
        </w:rPr>
        <w:t>Los hombres, de hecho, presentan una brecha para recuperar la tasa de participación prepandemia de -2,4 pp, mientras que en las mujeres la sobrepasaron en 1,5 pp.</w:t>
      </w:r>
    </w:p>
    <w:p>
      <w:pPr>
        <w:spacing w:before="20"/>
        <w:ind w:left="360"/>
      </w:pPr>
      <w:r>
        <w:rPr>
          <w:color w:val="222222"/>
          <w:sz w:val="20"/>
        </w:rPr>
        <w:t>Algo similar ocurre con la tasa de ocupación, la cual en relación con 2019 sigue siendo estadísticamente menor en 1,5 pp, lo que equivale a 239 mil personas ocupadas menos aproximadamente.</w:t>
      </w:r>
    </w:p>
    <w:p>
      <w:pPr>
        <w:spacing w:before="20"/>
        <w:ind w:left="360"/>
      </w:pPr>
      <w:r>
        <w:rPr>
          <w:color w:val="222222"/>
          <w:sz w:val="20"/>
        </w:rPr>
        <w:t>Para los hombres esta brecha es de -3,4 pp, lo que equivale a 278 mil personas menos, mientras que las mujeres sobrepasaron en 0,5 pp. su tasa prepandemia, en 39 mil ocupadas más.</w:t>
      </w:r>
    </w:p>
    <w:p>
      <w:pPr>
        <w:spacing w:before="20"/>
        <w:ind w:left="360"/>
      </w:pPr>
      <w:r>
        <w:rPr>
          <w:color w:val="222222"/>
          <w:sz w:val="20"/>
        </w:rPr>
        <w:t>Para el investigador del Instituto de Políticas Económicas (IPE) UNAB, Benjamín Villena, el “escenario muestra un preocupante debilitamiento del mercado laboral. Las fuentes de crecimiento del empleo se concentran en la informalidad y la escasez de puestos de trabajo parecen configurar un panorama preocupante que debemos seguir observando”.</w:t>
      </w:r>
    </w:p>
    <w:p>
      <w:pPr>
        <w:spacing w:before="20"/>
        <w:ind w:left="360"/>
      </w:pPr>
      <w:r>
        <w:rPr>
          <w:color w:val="222222"/>
          <w:sz w:val="20"/>
        </w:rPr>
        <w:t>Al mirar lo que ocurre de norte a sur, el escenario tampoco es del todo alentador.</w:t>
      </w:r>
    </w:p>
    <w:p>
      <w:pPr>
        <w:spacing w:before="20"/>
        <w:ind w:left="360"/>
      </w:pPr>
      <w:r>
        <w:rPr>
          <w:color w:val="222222"/>
          <w:sz w:val="20"/>
        </w:rPr>
        <w:t>De las 16 regiones del país, ocho mostraron incrementos en su tasa de desocupación, destacando entre ellas Arica y Parinacota (que pasó de 7,2% a 7,7%), Valparaíso (9,1% a 9,8%), Biobío (9% a 10%) y Magallanes, que subió de 4,8% a 6,6%, el mayor avance.</w:t>
      </w:r>
    </w:p>
    <w:p>
      <w:pPr>
        <w:spacing w:before="20"/>
        <w:ind w:left="360"/>
      </w:pPr>
      <w:r>
        <w:rPr>
          <w:color w:val="222222"/>
          <w:sz w:val="20"/>
        </w:rPr>
        <w:t>En la vereda contraria, seis regiones exhibieron descensos y solo dos se mantuvieron sin variaciones.</w:t>
      </w:r>
    </w:p>
    <w:p>
      <w:pPr>
        <w:spacing w:before="20"/>
        <w:ind w:left="360"/>
      </w:pPr>
      <w:r>
        <w:rPr>
          <w:color w:val="222222"/>
          <w:sz w:val="20"/>
        </w:rPr>
        <w:t>Con relación a las expectativas, son varios los actores que alertan que este débil escenario permanecerá por un tiempo más.</w:t>
      </w:r>
    </w:p>
    <w:p>
      <w:pPr>
        <w:spacing w:before="20"/>
        <w:ind w:left="360"/>
      </w:pPr>
      <w:r>
        <w:rPr>
          <w:color w:val="222222"/>
          <w:sz w:val="20"/>
        </w:rPr>
        <w:t>“Si bien se han anunciado medidas pro empleo que van en la dirección correcta, su impacto podría ser limitado sin un mayor dinamismo de la actividad económica”, advirtió Cifuentes.</w:t>
      </w:r>
    </w:p>
    <w:p>
      <w:pPr>
        <w:spacing w:before="20"/>
        <w:ind w:left="360"/>
      </w:pPr>
      <w:r>
        <w:rPr>
          <w:color w:val="222222"/>
          <w:sz w:val="20"/>
        </w:rPr>
        <w:t>De hecho, desde Coopeuch esperan que la tasa de desempleo del trimestre móvil finalizado en abril se mantenga en un 8,9%.</w:t>
      </w:r>
    </w:p>
    <w:p>
      <w:pPr>
        <w:spacing w:before="20"/>
        <w:ind w:left="360"/>
      </w:pPr>
      <w:r>
        <w:rPr>
          <w:color w:val="222222"/>
          <w:sz w:val="20"/>
        </w:rPr>
        <w:t>Lectura más bien pesimista que también plantearon desde Santander. “La tasa de desempleo sin ajuste estacional aumentó a 8,9%, por lo que hacia adelante, ya solo por factores estacionales, es probable que supere el 9%”, alertaron.</w:t>
      </w:r>
    </w:p>
    <w:p>
      <w:pPr>
        <w:spacing w:before="40" w:after="120"/>
      </w:pPr>
      <w:r>
        <w:rPr>
          <w:color w:val="CCCCCC"/>
        </w:rPr>
        <w:t>· · ·</w:t>
      </w:r>
    </w:p>
    <w:p>
      <w:r>
        <w:rPr>
          <w:b/>
          <w:color w:val="E65000"/>
        </w:rPr>
        <w:t xml:space="preserve">7. </w:t>
      </w:r>
      <w:r>
        <w:rPr>
          <w:b/>
          <w:sz w:val="22"/>
        </w:rPr>
        <w:t>DF Tax | El eterno debate de las contribuciones</w:t>
      </w:r>
    </w:p>
    <w:p>
      <w:pPr>
        <w:spacing w:before="0"/>
      </w:pPr>
      <w:r>
        <w:rPr>
          <w:color w:val="0056B3"/>
          <w:sz w:val="18"/>
        </w:rPr>
        <w:t>https://www.df.cl/opinion/columnistas/df-tax-el-eterno-debate-de-las-contribuciones</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Ya se acerca la fecha para el pago de la primera cuota de contribuciones o impuesto territorial, y probablemente volverá a encenderse el debate respecto a los criterios de equidad o inequidad que subyacen a este impuesto, y que justifican su permanencia en el tiempo.</w:t>
      </w:r>
    </w:p>
    <w:p>
      <w:pPr>
        <w:spacing w:before="20"/>
        <w:ind w:left="360"/>
      </w:pPr>
      <w:r>
        <w:rPr>
          <w:color w:val="222222"/>
          <w:sz w:val="20"/>
        </w:rPr>
        <w:t>Sabemos que la opinión pública lo percibe como una verdadera expropiación, pues están pagando impuesto sobre activos que fueron adquiridos con rentas que en su momento ya tributaron con el impuesto respectivo. A ello se suma el incremento del avalúo fiscal de las propiedades a un nivel no menor en los años recientes, y más aún, sin que el propio Servicio de Impuestos Internos haya podido transparentar la metodología a través de la cual determina dichos avalúos fiscales o su reajuste en el tiempo, todo lo cual, como ya sabemos, provocó un bochorno de proporciones, que culminó con la renuncia del director de la autoridad tributaria de la época.</w:t>
      </w:r>
    </w:p>
    <w:p>
      <w:pPr>
        <w:spacing w:before="20"/>
        <w:ind w:left="360"/>
      </w:pPr>
      <w:r>
        <w:rPr>
          <w:color w:val="222222"/>
          <w:sz w:val="20"/>
        </w:rPr>
        <w:t>Todo ello, ha llevado a que el nuevo Gobierno, entre sus propuestas tributarias, considere la exención del pago de contribuciones a la primera vivienda, sin que se conozcan aún los detalles específicos de dicha propuesta. Probablemente, sin embargo, surgirán los detractores de siempre que sostendrán que eliminar por completo las contribuciones no es la solución y que ello producirá una merma importante en las arcas fiscales o municipales. Bueno, quizá, no es necesario eliminar las contribuciones del todo, sino simplemente modificar la base sobre la cual se calculan las mismas.</w:t>
      </w:r>
    </w:p>
    <w:p>
      <w:pPr>
        <w:spacing w:before="20"/>
        <w:ind w:left="360"/>
      </w:pPr>
      <w:r>
        <w:rPr>
          <w:color w:val="222222"/>
          <w:sz w:val="20"/>
        </w:rPr>
        <w:t>Una de las cosas que más se escucha actualmente como queja de parte de los contribuyentes, es que pagan contribuciones sobre un inmueble “que no les pertenece”, porque el mismo “aún es del banco”, refiriéndose a la existencia de crédito hipotecario, y de la garantía real que subyace al mismo. Jurídicamente, sabemos que el propietario del inmueble es indefectiblemente el deudor, no el banco, el cual simplemente es titular de una garantía, en carácter de derecho real, sobre el bien objeto de la deuda, lo que le permite recuperarlo y rematarlo para obtener el pago del crédito si el mismo no se satisface. Sin embargo, comercialmente hablando, es razonable entender lo que las personas señalan en lenguaje coloquial: “el banco es todavía el dueño de mi casa, y yo debo pagar contribuciones sobre ella”.</w:t>
      </w:r>
    </w:p>
    <w:p>
      <w:pPr>
        <w:spacing w:before="20"/>
        <w:ind w:left="360"/>
      </w:pPr>
      <w:r>
        <w:rPr>
          <w:color w:val="222222"/>
          <w:sz w:val="20"/>
        </w:rPr>
        <w:t>Tomando en consideración esta situación, hay dos soluciones que eventualmente podrían analizarse: (i) Que el propietario del inmueble tribute sobre el avalúo fiscal neto del inmueble, es decir, descontado el pasivo o deuda que aún se mantiene vigente con el banco. Con ello, estaría pagando impuesto estrictamente por el valor del activo que ha pagado hasta la fecha, y su contribución aumentaría progresivamente con el tiempo, en la medida que una mayor fracción del activo estuviera pagado; y/o (ii) Que, en tanto esté vigente el crédito hipotecario, una proporción de la contribución al menos sea soportada por el banco, es decir, que la carga tributaria por este concepto sea compartida entre el contribuyente y la entidad acreedora.</w:t>
      </w:r>
    </w:p>
    <w:p>
      <w:pPr>
        <w:spacing w:before="20"/>
        <w:ind w:left="360"/>
      </w:pPr>
      <w:r>
        <w:rPr>
          <w:color w:val="222222"/>
          <w:sz w:val="20"/>
        </w:rPr>
        <w:t>De esta forma, quizá se aminora el impacto en las arcas fiscales (municipales principalmente), y se considera un parámetro de mayor equidad en el tratamiento de los contribuyentes. En proponer y pedir no hay engaño, veamos qué dice el soberano.</w:t>
      </w:r>
    </w:p>
    <w:p>
      <w:pPr>
        <w:spacing w:before="40" w:after="120"/>
      </w:pPr>
      <w:r>
        <w:rPr>
          <w:color w:val="CCCCCC"/>
        </w:rPr>
        <w:t>· · ·</w:t>
      </w:r>
    </w:p>
    <w:p>
      <w:r>
        <w:rPr>
          <w:b/>
          <w:color w:val="E65000"/>
        </w:rPr>
        <w:t xml:space="preserve">8. </w:t>
      </w:r>
      <w:r>
        <w:rPr>
          <w:b/>
          <w:sz w:val="22"/>
        </w:rPr>
        <w:t>DF Tax | Lo que el radar tributario no alcanza a ver: cómo se explican los resultados la litigiosidad tributaria</w:t>
      </w:r>
    </w:p>
    <w:p>
      <w:pPr>
        <w:spacing w:before="0"/>
      </w:pPr>
      <w:r>
        <w:rPr>
          <w:color w:val="0056B3"/>
          <w:sz w:val="18"/>
        </w:rPr>
        <w:t>https://www.df.cl/opinion/columnistas/df-tax-lo-que-el-radar-tributario-no-alcanza-a-ver-como-se-explican-los</w:t>
      </w:r>
    </w:p>
    <w:p>
      <w:pPr>
        <w:spacing w:before="20"/>
        <w:ind w:left="360"/>
      </w:pPr>
      <w:r>
        <w:rPr>
          <w:color w:val="222222"/>
          <w:sz w:val="20"/>
        </w:rPr>
        <w:t>Por Patricio Casas, director de Solución de Controversias Tributarias de Fischer y Cía.</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El reciente Informe N°86 del Observatorio Judicial ofrece una radiografía cuantitativa valiosa del sistema de justicia tributaria chileno. Sus datos son sólidos, sus tendencias reveladoras. Si bien toda estadística captura lo sucedido, no necesariamente da cuenta del porqué. Este análisis agrega capas explicativas a los fenómenos que el informe identifica pero no alcanza a descifrar.</w:t>
      </w:r>
    </w:p>
    <w:p>
      <w:pPr>
        <w:spacing w:before="20"/>
        <w:ind w:left="360"/>
      </w:pPr>
      <w:r>
        <w:rPr>
          <w:color w:val="222222"/>
          <w:sz w:val="20"/>
        </w:rPr>
        <w:t>El impuesto territorial y el reavalúo que ya no existe</w:t>
      </w:r>
    </w:p>
    <w:p>
      <w:pPr>
        <w:spacing w:before="20"/>
        <w:ind w:left="360"/>
      </w:pPr>
      <w:r>
        <w:rPr>
          <w:color w:val="222222"/>
          <w:sz w:val="20"/>
        </w:rPr>
        <w:t>El informe dedica una sección al procedimiento de reclamo por avalúos de bienes raíces, constatando que es el único procedimiento ante los TTA donde el contribuyente obtiene resultado favorable en más de la mitad de los casos (54,4%). Sin embargo, omite un cambio institucional relevante que podría tener un impacto futuro, pues con la Ley N°21.713 de 2024, el procedimiento de reavalúo fue reformulado hacia el Procedimiento General de Reclamaciones (PGR). Con ello desaparecieron también los tribunales especiales de alzada que operaban como segunda instancia en esos casos.</w:t>
      </w:r>
    </w:p>
    <w:p>
      <w:pPr>
        <w:spacing w:before="20"/>
        <w:ind w:left="360"/>
      </w:pPr>
      <w:r>
        <w:rPr>
          <w:color w:val="222222"/>
          <w:sz w:val="20"/>
        </w:rPr>
        <w:t>El procedimiento anterior tenía causales taxativas de impugnación, lo que generaba una rigidez estructural con consecuencias prácticas importantes. Esa misma rigidez empujó a los litigantes a replantear sus reclamos usando no sólo el procedimiento especial, sino también la vía de la vulneración de derechos, especialmente a partir del reavalúo de 2022.</w:t>
      </w:r>
    </w:p>
    <w:p>
      <w:pPr>
        <w:spacing w:before="20"/>
        <w:ind w:left="360"/>
      </w:pPr>
      <w:r>
        <w:rPr>
          <w:color w:val="222222"/>
          <w:sz w:val="20"/>
        </w:rPr>
        <w:t>La RAV, el recurso jerárquico y los desplazamientos temporales</w:t>
      </w:r>
    </w:p>
    <w:p>
      <w:pPr>
        <w:spacing w:before="20"/>
        <w:ind w:left="360"/>
      </w:pPr>
      <w:r>
        <w:rPr>
          <w:color w:val="222222"/>
          <w:sz w:val="20"/>
        </w:rPr>
        <w:t>El gráfico más llamativo del informe es la curva en forma de U de los ingresos de causas: caída sostenida entre 2013 y 2021, seguida de un rebote de 110% hasta 2025. El informe propone como hipótesis que la baja expectativa de éxito del contribuyente habría desincentivado la litigación, y que la mejora en esa tasa explicaría la recuperación posterior. Es una hipótesis plausible, pero habría que agregar otros elementos.</w:t>
      </w:r>
    </w:p>
    <w:p>
      <w:pPr>
        <w:spacing w:before="20"/>
        <w:ind w:left="360"/>
      </w:pPr>
      <w:r>
        <w:rPr>
          <w:color w:val="222222"/>
          <w:sz w:val="20"/>
        </w:rPr>
        <w:t>La reforma de 2017, con la extensión de la Revisión Administrativa Voluntaria (RAV) y la suspensión de los plazos para reclamar, generó dos efectos simultáneos que el informe no captura. Primero, desplazó hacia la sede administrativa una parte relevante de los conflictos, resolviendo controversias que de otro modo habrían llegado a los TTA. Segundo, al suspender los plazos de reclamación, aplazó temporalmente las causas. Adicionalmente, desde 2020, el efecto del recurso jerárquico incorporó un filtro adicional antes de la vía judicial, reduciendo y/o postergando el flujo del ingreso de causas.</w:t>
      </w:r>
    </w:p>
    <w:p>
      <w:pPr>
        <w:spacing w:before="20"/>
        <w:ind w:left="360"/>
      </w:pPr>
      <w:r>
        <w:rPr>
          <w:color w:val="222222"/>
          <w:sz w:val="20"/>
        </w:rPr>
        <w:t>A ello se suma el efecto pandemia, ya que la Ley N°21.226 suspendió los términos probatorios de todos los juicios y la menor actividad fiscalizadora del período redujo el universo de actos reclamables, distorsionando los registros de 2020–2021 de un modo que va más allá de la simple caída por Covid.</w:t>
      </w:r>
    </w:p>
    <w:p>
      <w:pPr>
        <w:spacing w:before="20"/>
        <w:ind w:left="360"/>
      </w:pPr>
      <w:r>
        <w:rPr>
          <w:color w:val="222222"/>
          <w:sz w:val="20"/>
        </w:rPr>
        <w:t>Las liquidaciones automáticas y el big data fiscalizador</w:t>
      </w:r>
    </w:p>
    <w:p>
      <w:pPr>
        <w:spacing w:before="20"/>
        <w:ind w:left="360"/>
      </w:pPr>
      <w:r>
        <w:rPr>
          <w:color w:val="222222"/>
          <w:sz w:val="20"/>
        </w:rPr>
        <w:t>Desde 2021, el SII intensificó la emisión de liquidaciones centralizadas mediante procesos automatizados que cruzan la información declarada por el contribuyente con la aportada por terceros. Este fenómeno tiene una doble consecuencia: por un lado, amplía el universo de actos reclamables, explicando en parte el aumento de ingresos de causas. Por otro, las liquidaciones automatizadas exhiben defectos típicos de emisión -problemas de motivación, errores en la imputación de créditos, inconsistencias en el cruce de información- que incrementan las probabilidades de éxito del contribuyente. La tendencia al alza en la tasa de acogimiento desde 2021 podría no ser solo el resultado de mejor litigación o cambios interpretativos, sino la consecuencia de la emisión de actos administrativos menos rigurosos que los de fiscalización selectiva.</w:t>
      </w:r>
    </w:p>
    <w:p>
      <w:pPr>
        <w:spacing w:before="20"/>
        <w:ind w:left="360"/>
      </w:pPr>
      <w:r>
        <w:rPr>
          <w:color w:val="222222"/>
          <w:sz w:val="20"/>
        </w:rPr>
        <w:t>Los giros del impuesto al lujo: una anomalía con nombre propio</w:t>
      </w:r>
    </w:p>
    <w:p>
      <w:pPr>
        <w:spacing w:before="20"/>
        <w:ind w:left="360"/>
      </w:pPr>
      <w:r>
        <w:rPr>
          <w:color w:val="222222"/>
          <w:sz w:val="20"/>
        </w:rPr>
        <w:t>El informe señala que los giros son el tipo de acto reclamado con mayor tasa de éxito (57,3%) y el único donde los acogimientos superan a los rechazos. Esto podría tener dos explicaciones: Por un parte, la restrictividad de las causales de impugnación directa del giro relacionada fundamentalmente con la discordancia con la liquidación que le precede, lo que supone un error evidente fácil de resolver.</w:t>
      </w:r>
    </w:p>
    <w:p>
      <w:pPr>
        <w:spacing w:before="20"/>
        <w:ind w:left="360"/>
      </w:pPr>
      <w:r>
        <w:rPr>
          <w:color w:val="222222"/>
          <w:sz w:val="20"/>
        </w:rPr>
        <w:t>La segunda razón, que el informe omite y que justifica una parte relevante del resultado, es la existencia de los giros por impuesto al lujo emitidos antes de la reforma de la Ley N°21.713 que se aplicaron en muchos casos sin el reglamento que la propia ley exigía como condición de procedencia. Ese defecto formal fue sistemático, lo que llevó a que prácticamente la totalidad de esos reclamos fuera acogida. Se trata de un evento concentrado en el tiempo que aumenta artificialmente la tasa de acogimiento.</w:t>
      </w:r>
    </w:p>
    <w:p>
      <w:pPr>
        <w:spacing w:before="20"/>
        <w:ind w:left="360"/>
      </w:pPr>
      <w:r>
        <w:rPr>
          <w:color w:val="222222"/>
          <w:sz w:val="20"/>
        </w:rPr>
        <w:t>La Corte Suprema y el problema de fondo en la prueba tributaria</w:t>
      </w:r>
    </w:p>
    <w:p>
      <w:pPr>
        <w:spacing w:before="20"/>
        <w:ind w:left="360"/>
      </w:pPr>
      <w:r>
        <w:rPr>
          <w:color w:val="222222"/>
          <w:sz w:val="20"/>
        </w:rPr>
        <w:t>El informe constata que la Corte Suprema acoge apenas el 5,9% de las casaciones interpuestas por contribuyentes y lo explica -correctamente- por la naturaleza del recurso de casación como control de legalidad, no como tercera instancia. Pero esa explicación es incompleta si no se atiende a un problema estructural que cruza todas las instancias: la capacidad e idoneidad para revisar la prueba tributaria y contable.</w:t>
      </w:r>
    </w:p>
    <w:p>
      <w:pPr>
        <w:spacing w:before="20"/>
        <w:ind w:left="360"/>
      </w:pPr>
      <w:r>
        <w:rPr>
          <w:color w:val="222222"/>
          <w:sz w:val="20"/>
        </w:rPr>
        <w:t>La prueba en materia tributaria es técnica y especializada. Los TTA presentan niveles variables de comprensión de esa prueba, pero el problema se agrava en las cortes sin salas especializadas -a excepción de Santiago- y se vuelve crítico en casación. Al ser un recurso de derecho estricto, la Corte Suprema rechaza sistemáticamente los recursos que no denuncian, o que denuncian inadecuadamente, infracción a normas reguladoras de la prueba, aun cuando lo que se cuestiona es precisamente la valoración de esa prueba.</w:t>
      </w:r>
    </w:p>
    <w:p>
      <w:pPr>
        <w:spacing w:before="20"/>
        <w:ind w:left="360"/>
      </w:pPr>
      <w:r>
        <w:rPr>
          <w:color w:val="222222"/>
          <w:sz w:val="20"/>
        </w:rPr>
        <w:t>Esto tiene una implicancia práctica que el informe sugiere pero no enuncia con claridad: para el contribuyente promedio, la primera instancia no es solo el momento más importante del litigio tributario, es prácticamente el único.</w:t>
      </w:r>
    </w:p>
    <w:p>
      <w:pPr>
        <w:spacing w:before="20"/>
        <w:ind w:left="360"/>
      </w:pPr>
      <w:r>
        <w:rPr>
          <w:color w:val="222222"/>
          <w:sz w:val="20"/>
        </w:rPr>
        <w:t>La vulneración de derechos: lo que el informe no vio</w:t>
      </w:r>
    </w:p>
    <w:p>
      <w:pPr>
        <w:spacing w:before="20"/>
        <w:ind w:left="360"/>
      </w:pPr>
      <w:r>
        <w:rPr>
          <w:color w:val="222222"/>
          <w:sz w:val="20"/>
        </w:rPr>
        <w:t>El Informe N°86 analiza cuatro procedimientos ante los TTA, pero deja fuera el de vulneración de derechos. La omisión no es trivial. Ese procedimiento creció significativamente en el período analizado, en parte porque las causales taxativas del procedimiento de avalúos empujaron a muchos contribuyentes a replantear sus reclamos de impuesto territorial por esa vía, especialmente desde 2022. Lo que el informe no ve en las estadísticas de avalúos puede estar migrando, en parte, hacia un procedimiento que no fue incluido en el análisis.</w:t>
      </w:r>
    </w:p>
    <w:p>
      <w:pPr>
        <w:spacing w:before="20"/>
        <w:ind w:left="360"/>
      </w:pPr>
      <w:r>
        <w:rPr>
          <w:color w:val="222222"/>
          <w:sz w:val="20"/>
        </w:rPr>
        <w:t>Un análisis propio sobre 142 causas del período 2023-2025 revela además una tensión difícil de ignorar: pese a su naturaleza cautelar, el TTA del Biobío promedió 640 días por causa y el 3° TTA de Santiago, 562. Estos plazos contrastan con la premura que justificó la creación del procedimiento y plantean preguntas que trascienden la estadística. Dado que esta jurisprudencia cruza impuesto territorial, facultades fiscalizadoras y derechos del contribuyente en un mismo cauce procesal, una edición futura del Radar haría bien en incorporarla.</w:t>
      </w:r>
    </w:p>
    <w:p>
      <w:pPr>
        <w:spacing w:before="20"/>
        <w:ind w:left="360"/>
      </w:pPr>
      <w:r>
        <w:rPr>
          <w:color w:val="222222"/>
          <w:sz w:val="20"/>
        </w:rPr>
        <w:t>El Informe N°86 del Observatorio Judicial es un aporte genuino al debate sobre el sistema de justicia tributaria chileno. Sus datos permiten identificar patrones, anomalías y preguntas que la comunidad jurídica debería atender. Sin embargo, es importante apoyar los números con un contexto institucional y normativo que contribuya a evitar diagnósticos parciales. Incorporar las distintas dimensiones que justifican los resultados no resta mérito al análisis estadístico; sino que lo completa.</w:t>
      </w:r>
    </w:p>
    <w:p>
      <w:pPr>
        <w:spacing w:before="40" w:after="120"/>
      </w:pPr>
      <w:r>
        <w:rPr>
          <w:color w:val="CCCCCC"/>
        </w:rPr>
        <w:t>· · ·</w:t>
      </w:r>
    </w:p>
    <w:p/>
    <w:p>
      <w:pPr>
        <w:pStyle w:val="Heading1"/>
      </w:pPr>
      <w:r>
        <w:rPr>
          <w:color w:val="E65000"/>
        </w:rPr>
        <w:t>🔹 Internacional</w:t>
      </w:r>
    </w:p>
    <w:p>
      <w:r>
        <w:rPr>
          <w:b/>
          <w:color w:val="E65000"/>
        </w:rPr>
        <w:t xml:space="preserve">1. </w:t>
      </w:r>
      <w:r>
        <w:rPr>
          <w:b/>
          <w:sz w:val="22"/>
        </w:rPr>
        <w:t>Presidenta de México asegura que irá a Brasil a firmar acuerdo entre Pemex y Petrobras</w:t>
      </w:r>
      <w:r>
        <w:rPr>
          <w:color w:val="CC7700"/>
          <w:sz w:val="18"/>
        </w:rPr>
        <w:t xml:space="preserve">  [⭐ Destacada]</w:t>
      </w:r>
    </w:p>
    <w:p>
      <w:pPr>
        <w:spacing w:before="0"/>
      </w:pPr>
      <w:r>
        <w:rPr>
          <w:color w:val="0056B3"/>
          <w:sz w:val="18"/>
        </w:rPr>
        <w:t>https://www.df.cl/df-sud/presidenta-de-mexico-asegura-que-ira-a-brasil-a-firmar-acuerdo-entre-pemex</w:t>
      </w:r>
    </w:p>
    <w:p>
      <w:pPr>
        <w:spacing w:before="20"/>
        <w:ind w:left="360"/>
      </w:pPr>
      <w:r>
        <w:rPr>
          <w:color w:val="222222"/>
          <w:sz w:val="20"/>
        </w:rPr>
        <w:t>La semana pasada la mandataria se reunió con directivos de la petrolera estatal brasileña para hablar sobre una "colaboración" en exploración, producción y transformación de crudo.</w:t>
      </w:r>
    </w:p>
    <w:p>
      <w:pPr>
        <w:spacing w:before="20"/>
        <w:ind w:left="360"/>
      </w:pPr>
      <w:r>
        <w:rPr>
          <w:color w:val="222222"/>
          <w:sz w:val="20"/>
        </w:rPr>
        <w:t>Por:ReutersPublicado: Jueves 30 de abril de 2026 a las 11:55 hrs.</w:t>
      </w:r>
    </w:p>
    <w:p>
      <w:pPr>
        <w:spacing w:before="20"/>
        <w:ind w:left="360"/>
      </w:pPr>
      <w:r>
        <w:rPr>
          <w:color w:val="222222"/>
          <w:sz w:val="20"/>
        </w:rPr>
        <w:t>Publicado: Jueves 30 de abril de 2026 a las 11:55 hrs.</w:t>
      </w:r>
    </w:p>
    <w:p>
      <w:pPr>
        <w:spacing w:before="20"/>
        <w:ind w:left="360"/>
      </w:pPr>
      <w:r>
        <w:rPr>
          <w:color w:val="222222"/>
          <w:sz w:val="20"/>
        </w:rPr>
        <w:t>La Presidenta de México,Claudia Sheinbaum,aseguró que espera que las petroleras Pemex y Petrobras alcancen unacuerdo de entendimiento de "colaboración y cooperación"y que ella viajaría a Brasil a firmarlo con su colega Luiz Inácio Lula da Silva, en una fecha que aún no ha sido definida.</w:t>
      </w:r>
    </w:p>
    <w:p>
      <w:pPr>
        <w:spacing w:before="20"/>
        <w:ind w:left="360"/>
      </w:pPr>
      <w:r>
        <w:rPr>
          <w:color w:val="222222"/>
          <w:sz w:val="20"/>
        </w:rPr>
        <w:t>La semana pasada la mandatariase reunió en Ciudad de México con directivos de la petrolera estatal brasileña, encabezados porsu presidenta, Magda Chambriard,cuando hablaron sobre el establecimiento de una "colaboración" con Pemex en la exploración, producción y transformación de crudo.</w:t>
      </w:r>
    </w:p>
    <w:p>
      <w:pPr>
        <w:spacing w:before="20"/>
        <w:ind w:left="360"/>
      </w:pPr>
      <w:r>
        <w:rPr>
          <w:color w:val="222222"/>
          <w:sz w:val="20"/>
        </w:rPr>
        <w:t>Sheinbaum dijo que a mediados de mayo un equipo técnico de Petrobras estará en México para ver temas de producción, exploración, transformación y biocombustibles.</w:t>
      </w:r>
    </w:p>
    <w:p>
      <w:pPr>
        <w:spacing w:before="120"/>
        <w:ind w:left="360"/>
      </w:pPr>
      <w:r>
        <w:rPr>
          <w:b/>
          <w:color w:val="E65000"/>
          <w:sz w:val="26"/>
        </w:rPr>
        <w:t xml:space="preserve"> </w:t>
      </w:r>
    </w:p>
    <w:p>
      <w:pPr>
        <w:spacing w:before="40" w:after="120"/>
      </w:pPr>
      <w:r>
        <w:rPr>
          <w:color w:val="CCCCCC"/>
        </w:rPr>
        <w:t>· · ·</w:t>
      </w:r>
    </w:p>
    <w:p>
      <w:r>
        <w:rPr>
          <w:b/>
          <w:color w:val="E65000"/>
        </w:rPr>
        <w:t xml:space="preserve">2. </w:t>
      </w:r>
      <w:r>
        <w:rPr>
          <w:b/>
          <w:sz w:val="22"/>
        </w:rPr>
        <w:t>Brasileña Braskem nombra a CEO de Petrobras como nueva presidenta del directorio</w:t>
      </w:r>
      <w:r>
        <w:rPr>
          <w:color w:val="CC7700"/>
          <w:sz w:val="18"/>
        </w:rPr>
        <w:t xml:space="preserve">  [⭐ Destacada]</w:t>
      </w:r>
    </w:p>
    <w:p>
      <w:pPr>
        <w:spacing w:before="0"/>
      </w:pPr>
      <w:r>
        <w:rPr>
          <w:color w:val="0056B3"/>
          <w:sz w:val="18"/>
        </w:rPr>
        <w:t>https://www.df.cl/df-sud/multilatinas/brasilena-braskem-nombra-a-ceo-de-petrobras-como-nueva-presidenta-del</w:t>
      </w:r>
    </w:p>
    <w:p>
      <w:pPr>
        <w:spacing w:before="20"/>
        <w:ind w:left="360"/>
      </w:pPr>
      <w:r>
        <w:rPr>
          <w:color w:val="222222"/>
          <w:sz w:val="20"/>
        </w:rPr>
        <w:t>En una nueva junta, los accionistas de la petroquímica eligieron a Magda Chambriard.</w:t>
      </w:r>
    </w:p>
    <w:p>
      <w:pPr>
        <w:spacing w:before="20"/>
        <w:ind w:left="360"/>
      </w:pPr>
      <w:r>
        <w:rPr>
          <w:color w:val="222222"/>
          <w:sz w:val="20"/>
        </w:rPr>
        <w:t>Publicado: Jueves 30 de abril de 2026 a las 11:30 hrs.</w:t>
      </w:r>
    </w:p>
    <w:p>
      <w:pPr>
        <w:spacing w:before="20"/>
        <w:ind w:left="360"/>
      </w:pPr>
      <w:r>
        <w:rPr>
          <w:color w:val="222222"/>
          <w:sz w:val="20"/>
        </w:rPr>
        <w:t>En una nueva junta, los accionistas de la petroquímica brasileñaBraskemeligieron a Magda Chambriard, CEO de la petrolera estatal Petrobras,como nueva presidenta del directorio de la compañía.</w:t>
      </w:r>
    </w:p>
    <w:p>
      <w:pPr>
        <w:spacing w:before="20"/>
        <w:ind w:left="360"/>
      </w:pPr>
      <w:r>
        <w:rPr>
          <w:color w:val="222222"/>
          <w:sz w:val="20"/>
        </w:rPr>
        <w:t>La medida se produce después de queel conglomeradoNovonorfirmara la semana pasada un acuerdo para vender su participación mayoritaria en Braskem al fondo de capital privado Shine I,controlado por la gestora de activos IG4 Capital.</w:t>
      </w:r>
    </w:p>
    <w:p>
      <w:pPr>
        <w:spacing w:before="20"/>
        <w:ind w:left="360"/>
      </w:pPr>
      <w:r>
        <w:rPr>
          <w:color w:val="222222"/>
          <w:sz w:val="20"/>
        </w:rPr>
        <w:t>De acuerdo con lo informado en ese entonces,el acuerdo contempló la venta del 50,1% de las acciones con derecho a voto de Braskemy del 34,3% del capital total de la firma.</w:t>
      </w:r>
    </w:p>
    <w:p>
      <w:pPr>
        <w:spacing w:before="120"/>
        <w:ind w:left="360"/>
      </w:pPr>
      <w:r>
        <w:rPr>
          <w:b/>
          <w:color w:val="E65000"/>
          <w:sz w:val="26"/>
        </w:rPr>
        <w:t xml:space="preserve"> </w:t>
      </w:r>
    </w:p>
    <w:p>
      <w:pPr>
        <w:spacing w:before="20"/>
        <w:ind w:left="360"/>
      </w:pPr>
      <w:r>
        <w:rPr>
          <w:color w:val="222222"/>
          <w:sz w:val="20"/>
        </w:rPr>
        <w:t>En esa línea, el contrato establecía que Shine I deberá solicitar el registro de una oferta pública de adquisición (OPA) para comprar hasta la totalidad de las acciones ordinarias y preferentes en circulación de Braskem.</w:t>
      </w:r>
    </w:p>
    <w:p>
      <w:pPr>
        <w:spacing w:before="20"/>
        <w:ind w:left="360"/>
      </w:pPr>
      <w:r>
        <w:rPr>
          <w:color w:val="222222"/>
          <w:sz w:val="20"/>
        </w:rPr>
        <w:t>Actualmente,Petrobrasposee el 47% del capital con derecho a voto de Braskem y el 36,1% de su capital total.</w:t>
      </w:r>
    </w:p>
    <w:p>
      <w:pPr>
        <w:spacing w:before="20"/>
        <w:ind w:left="360"/>
      </w:pPr>
      <w:r>
        <w:rPr>
          <w:color w:val="222222"/>
          <w:sz w:val="20"/>
        </w:rPr>
        <w:t>La petrolera estatal señaló que está evaluando los términos de la operación para definir si ejercerá sus derechos de preferencia para asumir el control osi hará uso de la cláusula detag along, que le permitiría sumarse a la venta en condiciones similares.</w:t>
      </w:r>
    </w:p>
    <w:p>
      <w:pPr>
        <w:spacing w:before="40" w:after="120"/>
      </w:pPr>
      <w:r>
        <w:rPr>
          <w:color w:val="CCCCCC"/>
        </w:rPr>
        <w:t>· · ·</w:t>
      </w:r>
    </w:p>
    <w:p>
      <w:r>
        <w:rPr>
          <w:b/>
          <w:color w:val="E65000"/>
        </w:rPr>
        <w:t xml:space="preserve">3. </w:t>
      </w:r>
      <w:r>
        <w:rPr>
          <w:b/>
          <w:sz w:val="22"/>
        </w:rPr>
        <w:t>La economía estadounidense decepciona con un crecimiento de 2% en el primer trimestre, aunque mejora tras el cierre de 2025</w:t>
      </w:r>
      <w:r>
        <w:rPr>
          <w:color w:val="CC7700"/>
          <w:sz w:val="18"/>
        </w:rPr>
        <w:t xml:space="preserve">  [⭐ Destacada]</w:t>
      </w:r>
    </w:p>
    <w:p>
      <w:pPr>
        <w:spacing w:before="0"/>
      </w:pPr>
      <w:r>
        <w:rPr>
          <w:color w:val="0056B3"/>
          <w:sz w:val="18"/>
        </w:rPr>
        <w:t>https://www.df.cl/internacional/ft/la-economia-estadounidense-decepciona-con-un-crecimiento-de-2-en-el-primer</w:t>
      </w:r>
    </w:p>
    <w:p>
      <w:pPr>
        <w:spacing w:before="20"/>
        <w:ind w:left="360"/>
      </w:pPr>
      <w:r>
        <w:rPr>
          <w:color w:val="222222"/>
          <w:sz w:val="20"/>
        </w:rPr>
        <w:t>La expansión se queda por debajo del 2,2% previsto por los economistas, pero supone una recuperación tras el débil final del año pasado.</w:t>
      </w:r>
    </w:p>
    <w:p>
      <w:pPr>
        <w:spacing w:before="20"/>
        <w:ind w:left="360"/>
      </w:pPr>
      <w:r>
        <w:rPr>
          <w:color w:val="222222"/>
          <w:sz w:val="20"/>
        </w:rPr>
        <w:t>Por:Financial TimesPublicado: Jueves 30 de abril de 2026 a las 08:51 hrs.</w:t>
      </w:r>
    </w:p>
    <w:p>
      <w:pPr>
        <w:spacing w:before="20"/>
        <w:ind w:left="360"/>
      </w:pPr>
      <w:r>
        <w:rPr>
          <w:color w:val="222222"/>
          <w:sz w:val="20"/>
        </w:rPr>
        <w:t>Publicado: Jueves 30 de abril de 2026 a las 08:51 hrs.</w:t>
      </w:r>
    </w:p>
    <w:p>
      <w:pPr>
        <w:spacing w:before="20"/>
        <w:ind w:left="360"/>
      </w:pPr>
      <w:r>
        <w:rPr>
          <w:color w:val="222222"/>
          <w:sz w:val="20"/>
        </w:rPr>
        <w:t>La cifra publicada el jueves por la Oficina de Análisis Económico (EBA) representa un aumento con respecto al crecimiento del 0,5% del último trimestre del año pasado. (Foto: Reuters)</w:t>
      </w:r>
    </w:p>
    <w:p>
      <w:pPr>
        <w:spacing w:before="20"/>
        <w:ind w:left="360"/>
      </w:pPr>
      <w:r>
        <w:rPr>
          <w:color w:val="222222"/>
          <w:sz w:val="20"/>
        </w:rPr>
        <w:t>La economía de Estados Unidos creció a una tasa anualizada del 2% en el primer trimestre, por debajo de las expectativas de Wall Street, a pesar de la recuperación tras un final de año débil hasta 2025.</w:t>
      </w:r>
    </w:p>
    <w:p>
      <w:pPr>
        <w:spacing w:before="20"/>
        <w:ind w:left="360"/>
      </w:pPr>
      <w:r>
        <w:rPr>
          <w:color w:val="222222"/>
          <w:sz w:val="20"/>
        </w:rPr>
        <w:t>La cifra publicada el jueves por la Oficina de Análisis Económico (EBA)representa un aumento con respecto al crecimiento del 0,5% del último trimestre del año pasado, pero se sitúa por debajo del 2,2% previsto en una encuesta de economistas realizada por Bloomberg.</w:t>
      </w:r>
    </w:p>
    <w:p>
      <w:pPr>
        <w:spacing w:before="20"/>
        <w:ind w:left="360"/>
      </w:pPr>
      <w:r>
        <w:rPr>
          <w:color w:val="222222"/>
          <w:sz w:val="20"/>
        </w:rPr>
        <w:t>Estos datos se publican después de que tanto el Banco Central Europeo como el Banco de Inglaterra mantuvieran los tipos de interés sin cambios el jueves, mientras las autoridades esperan más pruebas del impacto inflacionario de la guerra en Medio Oriente.</w:t>
      </w:r>
    </w:p>
    <w:p>
      <w:pPr>
        <w:spacing w:before="20"/>
        <w:ind w:left="360"/>
      </w:pPr>
      <w:r>
        <w:rPr>
          <w:color w:val="222222"/>
          <w:sz w:val="20"/>
        </w:rPr>
        <w:t>La Reserva Federal también anunció el día anterior quemantendría los costos de endeudamiento sin cambios.</w:t>
      </w:r>
    </w:p>
    <w:p>
      <w:pPr>
        <w:spacing w:before="120"/>
        <w:ind w:left="360"/>
      </w:pPr>
      <w:r>
        <w:rPr>
          <w:b/>
          <w:color w:val="E65000"/>
          <w:sz w:val="26"/>
        </w:rPr>
        <w:t xml:space="preserve"> </w:t>
      </w:r>
    </w:p>
    <w:p>
      <w:pPr>
        <w:spacing w:before="20"/>
        <w:ind w:left="360"/>
      </w:pPr>
      <w:r>
        <w:rPr>
          <w:color w:val="222222"/>
          <w:sz w:val="20"/>
        </w:rPr>
        <w:t>El gobernador del Banco de Inglaterra, Andrew Bailey, afirmó que mantener las tasas sin cambios en el 3,75% era una decisión razonable dada la situación económica y la imprevisibilidad de los acontecimientos en Oriente Medio. Añadió: "Seguiremos vigilando muy de cerca la situación y su impacto en la economía del Reino Unido".</w:t>
      </w:r>
    </w:p>
    <w:p>
      <w:pPr>
        <w:spacing w:before="20"/>
        <w:ind w:left="360"/>
      </w:pPr>
      <w:r>
        <w:rPr>
          <w:color w:val="222222"/>
          <w:sz w:val="20"/>
        </w:rPr>
        <w:t>El BCE declaró: "Cuanto más se prolongue la guerra y más altos se mantengan los precios de la energía, mayor será el impacto probable en la inflación general y en la economía".</w:t>
      </w:r>
    </w:p>
    <w:p>
      <w:pPr>
        <w:spacing w:before="20"/>
        <w:ind w:left="360"/>
      </w:pPr>
      <w:r>
        <w:rPr>
          <w:color w:val="222222"/>
          <w:sz w:val="20"/>
        </w:rPr>
        <w:t>Las decisiones de los bancos centrales se producen en medio de una intensa jornada de publicación de datos económicos que ofrecen una visión de cómo la guerra, que ya dura dos meses, está afectando a Europa y Estados Unidos.</w:t>
      </w:r>
    </w:p>
    <w:p>
      <w:pPr>
        <w:spacing w:before="20"/>
        <w:ind w:left="360"/>
      </w:pPr>
      <w:r>
        <w:rPr>
          <w:color w:val="222222"/>
          <w:sz w:val="20"/>
        </w:rPr>
        <w:t>Los datos publicados el jueves mostraron que la inflación en la eurozona aumentó más de lo previsto, hasta el 3%, en abril, debido al impacto de la crisis energética en la economía.</w:t>
      </w:r>
    </w:p>
    <w:p>
      <w:pPr>
        <w:spacing w:before="20"/>
        <w:ind w:left="360"/>
      </w:pPr>
      <w:r>
        <w:rPr>
          <w:color w:val="222222"/>
          <w:sz w:val="20"/>
        </w:rPr>
        <w:t>Cifras separadas mostraron que el crecimiento de la eurozona se desaceleró hasta el 0,1% en el primer trimestre.</w:t>
      </w:r>
    </w:p>
    <w:p>
      <w:pPr>
        <w:spacing w:before="40" w:after="120"/>
      </w:pPr>
      <w:r>
        <w:rPr>
          <w:color w:val="CCCCCC"/>
        </w:rPr>
        <w:t>· · ·</w:t>
      </w:r>
    </w:p>
    <w:p>
      <w:r>
        <w:rPr>
          <w:b/>
          <w:color w:val="E65000"/>
        </w:rPr>
        <w:t xml:space="preserve">4. </w:t>
      </w:r>
      <w:r>
        <w:rPr>
          <w:b/>
          <w:sz w:val="22"/>
        </w:rPr>
        <w:t>¿Aliento a Ozempic?: Las nuevas drogas para adelgazar aumentan las ventas de caramelos de menta y chicles</w:t>
      </w:r>
    </w:p>
    <w:p>
      <w:pPr>
        <w:spacing w:before="0"/>
      </w:pPr>
      <w:r>
        <w:rPr>
          <w:color w:val="0056B3"/>
          <w:sz w:val="18"/>
        </w:rPr>
        <w:t>https://www.df.cl/internacional/multinacionales/aliento-a-ozempic-las-nuevas-drogas-para-adelgazar-aumentan-las-ventas</w:t>
      </w:r>
    </w:p>
    <w:p>
      <w:pPr>
        <w:spacing w:before="20"/>
        <w:ind w:left="360"/>
      </w:pPr>
      <w:r>
        <w:rPr>
          <w:color w:val="222222"/>
          <w:sz w:val="20"/>
        </w:rPr>
        <w:t>Debido a que los medicamentos GLP-1 ralentizan la digestión, los usuarios pueden experimentar efectos secundarios, como náuseas, sequedad bucal y un fenómeno conocido como "aliento a Ozempic" o eructos.</w:t>
      </w:r>
    </w:p>
    <w:p>
      <w:pPr>
        <w:spacing w:before="20"/>
        <w:ind w:left="360"/>
      </w:pPr>
      <w:r>
        <w:rPr>
          <w:color w:val="222222"/>
          <w:sz w:val="20"/>
        </w:rPr>
        <w:t>Por:BloombergPublicado: Jueves 30 de abril de 2026 a las 08:20 hrs.</w:t>
      </w:r>
    </w:p>
    <w:p>
      <w:pPr>
        <w:spacing w:before="20"/>
        <w:ind w:left="360"/>
      </w:pPr>
      <w:r>
        <w:rPr>
          <w:color w:val="222222"/>
          <w:sz w:val="20"/>
        </w:rPr>
        <w:t>Publicado: Jueves 30 de abril de 2026 a las 08:20 hrs.</w:t>
      </w:r>
    </w:p>
    <w:p>
      <w:pPr>
        <w:spacing w:before="20"/>
        <w:ind w:left="360"/>
      </w:pPr>
      <w:r>
        <w:rPr>
          <w:color w:val="222222"/>
          <w:sz w:val="20"/>
        </w:rPr>
        <w:t>Los medicamentos GLP-1 le han dado un nuevo impulso a los caramelos de menta y chicles. (Foto: Bloomberg)</w:t>
      </w:r>
    </w:p>
    <w:p>
      <w:pPr>
        <w:spacing w:before="40" w:after="120"/>
      </w:pPr>
      <w:r>
        <w:rPr>
          <w:color w:val="CCCCCC"/>
        </w:rPr>
        <w:t>· · ·</w:t>
      </w:r>
    </w:p>
    <w:p>
      <w:r>
        <w:rPr>
          <w:b/>
          <w:color w:val="E65000"/>
        </w:rPr>
        <w:t xml:space="preserve">5. </w:t>
      </w:r>
      <w:r>
        <w:rPr>
          <w:b/>
          <w:sz w:val="22"/>
        </w:rPr>
        <w:t>La guerra en Irán y El Niño amenazan el suministro global del alimento más consumido en el mundo</w:t>
      </w:r>
    </w:p>
    <w:p>
      <w:pPr>
        <w:spacing w:before="0"/>
      </w:pPr>
      <w:r>
        <w:rPr>
          <w:color w:val="0056B3"/>
          <w:sz w:val="18"/>
        </w:rPr>
        <w:t>https://www.df.cl/internacional/economia/la-guerra-en-iran-y-el-nino-amenazan-el-suministro-mundial-de-arroz-la-fao</w:t>
      </w:r>
    </w:p>
    <w:p>
      <w:pPr>
        <w:spacing w:before="20"/>
        <w:ind w:left="360"/>
      </w:pPr>
      <w:r>
        <w:rPr>
          <w:color w:val="222222"/>
          <w:sz w:val="20"/>
        </w:rPr>
        <w:t>El arroz es fundamental para la seguridad alimentaria mundial, e incluso pequeñas interrupciones en el suministro pueden tener un efecto dominó en los países, elevando los precios y ejerciendo presión sobre los presupuestos familiares.</w:t>
      </w:r>
    </w:p>
    <w:p>
      <w:pPr>
        <w:spacing w:before="20"/>
        <w:ind w:left="360"/>
      </w:pPr>
      <w:r>
        <w:rPr>
          <w:color w:val="222222"/>
          <w:sz w:val="20"/>
        </w:rPr>
        <w:t>Por:ReutersPublicado: Jueves 30 de abril de 2026 a las 07:10 hrs.</w:t>
      </w:r>
    </w:p>
    <w:p>
      <w:pPr>
        <w:spacing w:before="20"/>
        <w:ind w:left="360"/>
      </w:pPr>
      <w:r>
        <w:rPr>
          <w:color w:val="222222"/>
          <w:sz w:val="20"/>
        </w:rPr>
        <w:t>Publicado: Jueves 30 de abril de 2026 a las 07:10 hrs.</w:t>
      </w:r>
    </w:p>
    <w:p>
      <w:pPr>
        <w:spacing w:before="20"/>
        <w:ind w:left="360"/>
      </w:pPr>
      <w:r>
        <w:rPr>
          <w:color w:val="222222"/>
          <w:sz w:val="20"/>
        </w:rPr>
        <w:t>El arroz es el alimento básico más consumido del mundo. (Foto: Bloomberg)</w:t>
      </w:r>
    </w:p>
    <w:p>
      <w:pPr>
        <w:spacing w:before="20"/>
        <w:ind w:left="360"/>
      </w:pPr>
      <w:r>
        <w:rPr>
          <w:color w:val="222222"/>
          <w:sz w:val="20"/>
        </w:rPr>
        <w:t>Se prevé que el suministro de arroz disminuya este año, a medida que los agricultores reducen la superficie de cultivo en toda Asia debido ala escasez de fertilizantes y al aumento vertiginoso de los costos del combustible provocado por la guerra en Irán, a lo que se suma la aparición de unfenómeno de El Niñoque también reducirá la producción delalimento básico más consumido del mundo.</w:t>
      </w:r>
    </w:p>
    <w:p>
      <w:pPr>
        <w:spacing w:before="20"/>
        <w:ind w:left="360"/>
      </w:pPr>
      <w:r>
        <w:rPr>
          <w:color w:val="222222"/>
          <w:sz w:val="20"/>
        </w:rPr>
        <w:t>El arroz es fundamental para la seguridad alimentaria mundial, e incluso pequeñas interrupciones en el suministro pueden tener un efecto dominó en los países,elevando los precios y ejerciendo presión sobre los presupuestos familiares, especialmente entre los consumidores sensibles a los precios de Asia y África.</w:t>
      </w:r>
    </w:p>
    <w:p>
      <w:pPr>
        <w:spacing w:before="20"/>
        <w:ind w:left="360"/>
      </w:pPr>
      <w:r>
        <w:rPr>
          <w:color w:val="222222"/>
          <w:sz w:val="20"/>
        </w:rPr>
        <w:t>La Organización de las Naciones Unidas para la Alimentación y la Agricultura (FAO, por sus siglas en inglés) pronosticó en abril quela producción de arroz aumentaría un 2%, hasta alcanzar un máximo histórico en 2025/26.</w:t>
      </w:r>
    </w:p>
    <w:p>
      <w:pPr>
        <w:spacing w:before="20"/>
        <w:ind w:left="360"/>
      </w:pPr>
      <w:r>
        <w:rPr>
          <w:color w:val="222222"/>
          <w:sz w:val="20"/>
        </w:rPr>
        <w:t>Los efectos de la guerra de Irán están afectando a los agricultores de los principales exportadores, Tailandia y Vietnam, así como a Filipinas e Indonesia, que dependen de las importaciones, según dijeron productores y traders. La guerra ha reducido el flujo de combustible y fertilizantes a través del estrecho de Ormuz, un punto de estrangulamiento clave que conecta el golfo Pérsico con los mercados mundiales.</w:t>
      </w:r>
    </w:p>
    <w:p>
      <w:pPr>
        <w:spacing w:before="20"/>
        <w:ind w:left="360"/>
      </w:pPr>
      <w:r>
        <w:rPr>
          <w:color w:val="222222"/>
          <w:sz w:val="20"/>
        </w:rPr>
        <w:t>Los agricultores del sudeste asiático, en su mayoría pequeños productores, también se enfrentan a una presión creciente, ya queel fenómeno meteorológico de El Niño traerá condiciones más cálidas y secas a la región en la segunda mitad del año.</w:t>
      </w:r>
    </w:p>
    <w:p>
      <w:pPr>
        <w:spacing w:before="120"/>
        <w:ind w:left="360"/>
      </w:pPr>
      <w:r>
        <w:rPr>
          <w:b/>
          <w:color w:val="E65000"/>
          <w:sz w:val="26"/>
        </w:rPr>
        <w:t xml:space="preserve"> </w:t>
      </w:r>
    </w:p>
    <w:p>
      <w:pPr>
        <w:spacing w:before="20"/>
        <w:ind w:left="360"/>
      </w:pPr>
      <w:r>
        <w:rPr>
          <w:color w:val="222222"/>
          <w:sz w:val="20"/>
        </w:rPr>
        <w:t>"Los agricultores ya han comenzado a plantar arroz en algunos países y están utilizando menos insumos porque los precios han subido", afirmó Máximo Torero, economista jefe de la FAO de la ONU. "Vamos a asistir a una situación de mayor escasez de la oferta mundial en la segunda mitad del año y a principios del próximo".</w:t>
      </w:r>
    </w:p>
    <w:p>
      <w:pPr>
        <w:spacing w:before="20"/>
        <w:ind w:left="360"/>
      </w:pPr>
      <w:r>
        <w:rPr>
          <w:color w:val="222222"/>
          <w:sz w:val="20"/>
        </w:rPr>
        <w:t>En 2008, las restricciones a la exportación impuestas por los principales proveedores duplicaron con creces los precios hasta situarlos en torno a los US$ 1.000 por tonelada métrica RI-THBKN5-P1 , lo que desencadenó disturbios en varios países. Más recientemente, la escasez de suministro entre 2022 y 2023, agravada por las restricciones a la exportación de India, hizo subir los precios y provocó compras motivadas por el pánico.</w:t>
      </w:r>
    </w:p>
    <w:p>
      <w:pPr>
        <w:spacing w:before="20"/>
        <w:ind w:left="360"/>
      </w:pPr>
      <w:r>
        <w:rPr>
          <w:color w:val="222222"/>
          <w:sz w:val="20"/>
        </w:rPr>
        <w:t>Los envíos de arroz ya se enfrentan a cuellos de botella en la cadena de suministro.</w:t>
      </w:r>
    </w:p>
    <w:p>
      <w:pPr>
        <w:spacing w:before="20"/>
        <w:ind w:left="360"/>
      </w:pPr>
      <w:r>
        <w:rPr>
          <w:color w:val="222222"/>
          <w:sz w:val="20"/>
        </w:rPr>
        <w:t>"La logística se ha convertido en una pesadilla, especialmente en Asia, ya que hay escasez de sacos de polipropileno, la disponibilidad de camiones para transportar el arroz a los puertos es limitada y el propio transporte marítimo se ha visto interrumpido", dijo un operador en Singapur de una de las principales empresas comerciales de arroz a nivel mundial, que pidió permanecer en el anonimato, ya que no está autorizado a hablar con los medios de comunicación.</w:t>
      </w:r>
    </w:p>
    <w:p>
      <w:pPr>
        <w:spacing w:before="20"/>
        <w:ind w:left="360"/>
      </w:pPr>
      <w:r>
        <w:rPr>
          <w:color w:val="222222"/>
          <w:sz w:val="20"/>
        </w:rPr>
        <w:t>Si bien la escasez de fertilizantes y la sequía ya están reduciendo los rendimientos de las cosechas más pequeñas que se están recogiendo en el sudeste asiático, es probable que la próxima cosecha se enfrente a una reducción aún mayor.</w:t>
      </w:r>
    </w:p>
    <w:p>
      <w:pPr>
        <w:spacing w:before="20"/>
        <w:ind w:left="360"/>
      </w:pPr>
      <w:r>
        <w:rPr>
          <w:color w:val="222222"/>
          <w:sz w:val="20"/>
        </w:rPr>
        <w:t>India, Tailandia y Filipinas plantan sus principales cultivos en junio y julio, mientras que Vietnam e Indonesia están sembrando ahora sus cultivos de segunda temporada.</w:t>
      </w:r>
    </w:p>
    <w:p>
      <w:pPr>
        <w:spacing w:before="40" w:after="120"/>
      </w:pPr>
      <w:r>
        <w:rPr>
          <w:color w:val="CCCCCC"/>
        </w:rPr>
        <w:t>· · ·</w:t>
      </w:r>
    </w:p>
    <w:p>
      <w:r>
        <w:rPr>
          <w:b/>
          <w:color w:val="E65000"/>
        </w:rPr>
        <w:t xml:space="preserve">6. </w:t>
      </w:r>
      <w:r>
        <w:rPr>
          <w:b/>
          <w:sz w:val="22"/>
        </w:rPr>
        <w:t>Uber incorpora la reserva de hoteles con Expedia en su estrategia de convertirse en una “superaplicación”</w:t>
      </w:r>
    </w:p>
    <w:p>
      <w:pPr>
        <w:spacing w:before="0"/>
      </w:pPr>
      <w:r>
        <w:rPr>
          <w:color w:val="0056B3"/>
          <w:sz w:val="18"/>
        </w:rPr>
        <w:t>https://www.df.cl/internacional/ft/uber-incorpora-la-reserva-de-hoteles-con-expedia-en-su-estrategia-de</w:t>
      </w:r>
    </w:p>
    <w:p>
      <w:pPr>
        <w:spacing w:before="20"/>
        <w:ind w:left="360"/>
      </w:pPr>
      <w:r>
        <w:rPr>
          <w:color w:val="222222"/>
          <w:sz w:val="20"/>
        </w:rPr>
        <w:t>El CEO Dara Khosrowshahi afirmó que este acuerdo ayudará a la empresa de transporte a vender suscripciones de pago.</w:t>
      </w:r>
    </w:p>
    <w:p>
      <w:pPr>
        <w:spacing w:before="20"/>
        <w:ind w:left="360"/>
      </w:pPr>
      <w:r>
        <w:rPr>
          <w:color w:val="222222"/>
          <w:sz w:val="20"/>
        </w:rPr>
        <w:t>Por:Rafe Rosner-UddinPublicado: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Uber se expandirá al sector de reservas hoteleras con el grupo turístico Expedia, con el objetivo de convertirse en una “superaplicación” y aumentar las ventas de suscripciones premium.</w:t>
      </w:r>
    </w:p>
    <w:p>
      <w:pPr>
        <w:spacing w:before="20"/>
        <w:ind w:left="360"/>
      </w:pPr>
      <w:r>
        <w:rPr>
          <w:color w:val="222222"/>
          <w:sz w:val="20"/>
        </w:rPr>
        <w:t>La aplicación de transporte anunció este miércoles que permitirá a sus clientes reservar y pagar hoteles a través de Expedia dentro de la aplicación de Uber, ofreciendo descuentos y reembolsos en forma de créditos para viajes como incentivos para impulsar el servicio.</w:t>
      </w:r>
    </w:p>
    <w:p>
      <w:pPr>
        <w:spacing w:before="20"/>
        <w:ind w:left="360"/>
      </w:pPr>
      <w:r>
        <w:rPr>
          <w:color w:val="222222"/>
          <w:sz w:val="20"/>
        </w:rPr>
        <w:t>El CEO de Uber, Dara Khosrowshahi, quien anteriormente dirigió Expedia, declaró a Financial Times que la “gran mayoría” de los ingresos del acuerdo se destinarán a ofrecer descuentos e incentivos en hoteles a los miembros de Uber One.</w:t>
      </w:r>
    </w:p>
    <w:p>
      <w:pPr>
        <w:spacing w:before="20"/>
        <w:ind w:left="360"/>
      </w:pPr>
      <w:r>
        <w:rPr>
          <w:color w:val="222222"/>
          <w:sz w:val="20"/>
        </w:rPr>
        <w:t>“Esperamos que esto continúe mejorando la propuesta de Uber One e incremente el número de miembros”, afirmó Khosrowshahi. “A largo plazo, será financieramente atractivo, pero no se trata de resultados a corto plazo”.</w:t>
      </w:r>
    </w:p>
    <w:p>
      <w:pPr>
        <w:spacing w:before="20"/>
        <w:ind w:left="360"/>
      </w:pPr>
      <w:r>
        <w:rPr>
          <w:color w:val="222222"/>
          <w:sz w:val="20"/>
        </w:rPr>
        <w:t>El programa de membresía de pago cuenta actualmente con cerca de 50 millones de miembros. Uber no quiso revelar con qué porcentaje de las reservas realizadas a través de su aplicación se quedará.</w:t>
      </w:r>
    </w:p>
    <w:p>
      <w:pPr>
        <w:spacing w:before="20"/>
        <w:ind w:left="360"/>
      </w:pPr>
      <w:r>
        <w:rPr>
          <w:color w:val="222222"/>
          <w:sz w:val="20"/>
        </w:rPr>
        <w:t>Uber lleva años intentando integrar una variedad de servicios en su aplicación, siguiendo el ejemplo de las “superaplicaciones” asiáticas como Grab (con sede en Singapur) y WeChat (de China), que combinan productos que van desde la banca hasta la mensajería instantánea.</w:t>
      </w:r>
    </w:p>
    <w:p>
      <w:pPr>
        <w:spacing w:before="20"/>
        <w:ind w:left="360"/>
      </w:pPr>
      <w:r>
        <w:rPr>
          <w:color w:val="222222"/>
          <w:sz w:val="20"/>
        </w:rPr>
        <w:t>En 2019, el grupo añadió el reparto de comida a la aplicación principal de Uber, manteniendo a la vez la aplicación independiente Uber Eats. Desde entonces, se ha expandido al sector de la alimentación y las compras, ofreciendo acceso a grandes marcas y gigantes minoristas, como Best Buy y Walmart.</w:t>
      </w:r>
    </w:p>
    <w:p>
      <w:pPr>
        <w:spacing w:before="20"/>
        <w:ind w:left="360"/>
      </w:pPr>
      <w:r>
        <w:rPr>
          <w:color w:val="222222"/>
          <w:sz w:val="20"/>
        </w:rPr>
        <w:t>Khosrowshahi, quien asumió el cargo en 2017 tras dirigir Expedia, aprovechó los nuevos servicios para ayudar a Uber a obtener beneficios en 2023.</w:t>
      </w:r>
    </w:p>
    <w:p>
      <w:pPr>
        <w:spacing w:before="20"/>
        <w:ind w:left="360"/>
      </w:pPr>
      <w:r>
        <w:rPr>
          <w:color w:val="222222"/>
          <w:sz w:val="20"/>
        </w:rPr>
        <w:t>“Cuando asumí el cargo (de director ejecutivo), el 90 % de nuestro negocio era movilidad”, declaró Khosrowshahi. “Ahora nuestro negocio de reparto es tan grande como el de movilidad, e incluso podría serlo más”.</w:t>
      </w:r>
    </w:p>
    <w:p>
      <w:pPr>
        <w:spacing w:before="20"/>
        <w:ind w:left="360"/>
      </w:pPr>
      <w:r>
        <w:rPr>
          <w:color w:val="222222"/>
          <w:sz w:val="20"/>
        </w:rPr>
        <w:t>Los negocios de movilidad de Uber -que incluyen arriendo de autos, transporte compartido, bicicletas y patinetes eléctricos- representan aproximadamente la mitad de sus reservas brutas.</w:t>
      </w:r>
    </w:p>
    <w:p>
      <w:pPr>
        <w:spacing w:before="20"/>
        <w:ind w:left="360"/>
      </w:pPr>
      <w:r>
        <w:rPr>
          <w:color w:val="222222"/>
          <w:sz w:val="20"/>
        </w:rPr>
        <w:t>Sin embargo, Estados Unidos y otros mercados occidentales se han mostrado menos receptivos a las “superaplicaciones”, y algunos inversionistas temen que los usuarios sean reacios a interactuar con una experiencia recargada y estén apegados a las redes sociales y otras plataformas ya establecidas.</w:t>
      </w:r>
    </w:p>
    <w:p>
      <w:pPr>
        <w:spacing w:before="20"/>
        <w:ind w:left="360"/>
      </w:pPr>
      <w:r>
        <w:rPr>
          <w:color w:val="222222"/>
          <w:sz w:val="20"/>
        </w:rPr>
        <w:t>Tras el acuerdo con Expedia, Uber añadirá una pestaña de “hoteles” a su aplicación y rediseñará su función de búsqueda para que los clientes puedan explorar diferentes servicios.</w:t>
      </w:r>
    </w:p>
    <w:p>
      <w:pPr>
        <w:spacing w:before="20"/>
        <w:ind w:left="360"/>
      </w:pPr>
      <w:r>
        <w:rPr>
          <w:color w:val="222222"/>
          <w:sz w:val="20"/>
        </w:rPr>
        <w:t>Según una fuente cercana al asunto, Khosrowshahi, quien sigue formando parte del directorio de Expedia, no participó en las conversaciones para determinar con qué socio de reservas hoteleras se asociaría la empresa. Uber no invertirá en Expedia como parte del acuerdo.</w:t>
      </w:r>
    </w:p>
    <w:p>
      <w:pPr>
        <w:spacing w:before="40" w:after="120"/>
      </w:pPr>
      <w:r>
        <w:rPr>
          <w:color w:val="CCCCCC"/>
        </w:rPr>
        <w:t>· · ·</w:t>
      </w:r>
    </w:p>
    <w:p>
      <w:r>
        <w:rPr>
          <w:b/>
          <w:color w:val="E65000"/>
        </w:rPr>
        <w:t xml:space="preserve">7. </w:t>
      </w:r>
      <w:r>
        <w:rPr>
          <w:b/>
          <w:sz w:val="22"/>
        </w:rPr>
        <w:t>Elon Musk admite que fue “un tonto” al financiar el lanzamiento de OpenAI</w:t>
      </w:r>
    </w:p>
    <w:p>
      <w:pPr>
        <w:spacing w:before="0"/>
      </w:pPr>
      <w:r>
        <w:rPr>
          <w:color w:val="0056B3"/>
          <w:sz w:val="18"/>
        </w:rPr>
        <w:t>https://www.df.cl/internacional/ft/elon-musk-admite-que-fue-un-tonto-al-financiar-el-lanzamiento-de-openai</w:t>
      </w:r>
    </w:p>
    <w:p>
      <w:pPr>
        <w:spacing w:before="20"/>
        <w:ind w:left="360"/>
      </w:pPr>
      <w:r>
        <w:rPr>
          <w:color w:val="222222"/>
          <w:sz w:val="20"/>
        </w:rPr>
        <w:t>Dijo que Sam Altman buscaba el prestigio de una organización sin fines de lucro mientras se enriquecía.</w:t>
      </w:r>
    </w:p>
    <w:p>
      <w:pPr>
        <w:spacing w:before="20"/>
        <w:ind w:left="360"/>
      </w:pPr>
      <w:r>
        <w:rPr>
          <w:color w:val="222222"/>
          <w:sz w:val="20"/>
        </w:rPr>
        <w:t>Por:Cristina CriddlePublicado: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Elon Musk declaró ante un jurado este miércoles que fue “un tonto” al proporcionar el financiamiento inicial a OpenAI, alegando que creía que la empresa creadora de ChatGPT, valorada en US$ 850 mil millones, seguiría siendo una organización sin fines de lucro.</w:t>
      </w:r>
    </w:p>
    <w:p>
      <w:pPr>
        <w:spacing w:before="20"/>
        <w:ind w:left="360"/>
      </w:pPr>
      <w:r>
        <w:rPr>
          <w:color w:val="222222"/>
          <w:sz w:val="20"/>
        </w:rPr>
        <w:t>El multimillonario testificó ante un tribunal federal en Oakland, California, como primer testigo en su demanda contra Sam Altman, OpenAI y su principal accionista, Microsoft.</w:t>
      </w:r>
    </w:p>
    <w:p>
      <w:pPr>
        <w:spacing w:before="20"/>
        <w:ind w:left="360"/>
      </w:pPr>
      <w:r>
        <w:rPr>
          <w:color w:val="222222"/>
          <w:sz w:val="20"/>
        </w:rPr>
        <w:t>“Fui un ingenuo al proporcionarles financiamiento gratuito para crear una startup”, afirmó Musk. “Les di US$ 38 millones, prácticamente gratis, que utilizaron para crear una empresa con fines de lucro”.</w:t>
      </w:r>
    </w:p>
    <w:p>
      <w:pPr>
        <w:spacing w:before="20"/>
        <w:ind w:left="360"/>
      </w:pPr>
      <w:r>
        <w:rPr>
          <w:color w:val="222222"/>
          <w:sz w:val="20"/>
        </w:rPr>
        <w:t>Musk presentó la demanda alegando que fue engañado mediante una táctica fraudulenta: OpenAI se creó como una organización sin fines de lucro con su apoyo y posteriormente se convirtió en una empresa con fines de lucro, que desde entonces se ha convertido en una de las startups más valiosas del mundo.</w:t>
      </w:r>
    </w:p>
    <w:p>
      <w:pPr>
        <w:spacing w:before="20"/>
        <w:ind w:left="360"/>
      </w:pPr>
      <w:r>
        <w:rPr>
          <w:color w:val="222222"/>
          <w:sz w:val="20"/>
        </w:rPr>
        <w:t>Este miércoles, sus abogados mostraron al jurado correos electrónicos intercambiados entre Musk, el director ejecutivo de OpenAI, Altman, y el presidente, Greg Brockman, ambos presentes en la sala.</w:t>
      </w:r>
    </w:p>
    <w:p>
      <w:pPr>
        <w:spacing w:before="20"/>
        <w:ind w:left="360"/>
      </w:pPr>
      <w:r>
        <w:rPr>
          <w:color w:val="222222"/>
          <w:sz w:val="20"/>
        </w:rPr>
        <w:t>Los mensajes de 2017 incluían conversaciones iniciales sobre la creación de una empresa con fines de lucro y una propuesta de reparto de la propiedad según la cual Musk habría poseído algo más de la mitad de la compañía.</w:t>
      </w:r>
    </w:p>
    <w:p>
      <w:pPr>
        <w:spacing w:before="20"/>
        <w:ind w:left="360"/>
      </w:pPr>
      <w:r>
        <w:rPr>
          <w:color w:val="222222"/>
          <w:sz w:val="20"/>
        </w:rPr>
        <w:t>Tras la oposición de los empleados de OpenAI, Musk dio por terminada la conversación. “Chicos, ya he tenido suficiente… O emprenden algo por su cuenta o continúan con OpenAI como una organización sin fineso de lucro”, escribió en septiembre de 2017, añadiendo que no se trataba de un “ultimátum” y que la estructura propuesta estaba “descartada”.</w:t>
      </w:r>
    </w:p>
    <w:p>
      <w:pPr>
        <w:spacing w:before="20"/>
        <w:ind w:left="360"/>
      </w:pPr>
      <w:r>
        <w:rPr>
          <w:color w:val="222222"/>
          <w:sz w:val="20"/>
        </w:rPr>
        <w:t>Altman respondió: “¡Sigo entusiasmado con la estructura sin fines de lucro!”.</w:t>
      </w:r>
    </w:p>
    <w:p>
      <w:pPr>
        <w:spacing w:before="20"/>
        <w:ind w:left="360"/>
      </w:pPr>
      <w:r>
        <w:rPr>
          <w:color w:val="222222"/>
          <w:sz w:val="20"/>
        </w:rPr>
        <w:t>Musk declaró en su testimonio que se refería a que los fundadores de OpenAI no podían “tenerlo todo”. No podían beneficiarse del “efecto positivo de ser una organización benéfica sin fines de lucro y enriquecerse, añadió.</w:t>
      </w:r>
    </w:p>
    <w:p>
      <w:pPr>
        <w:spacing w:before="20"/>
        <w:ind w:left="360"/>
      </w:pPr>
      <w:r>
        <w:rPr>
          <w:color w:val="222222"/>
          <w:sz w:val="20"/>
        </w:rPr>
        <w:t>Tras la dimisión de Musk del directorio en 2018, OpenAI recibió una inversión de US$ 1.000 millones de Microsoft en 2019, con un acuerdo de beneficios limitados.</w:t>
      </w:r>
    </w:p>
    <w:p>
      <w:pPr>
        <w:spacing w:before="40" w:after="120"/>
      </w:pPr>
      <w:r>
        <w:rPr>
          <w:color w:val="CCCCCC"/>
        </w:rPr>
        <w:t>· · ·</w:t>
      </w:r>
    </w:p>
    <w:p>
      <w:r>
        <w:rPr>
          <w:b/>
          <w:color w:val="E65000"/>
        </w:rPr>
        <w:t xml:space="preserve">8. </w:t>
      </w:r>
      <w:r>
        <w:rPr>
          <w:b/>
          <w:sz w:val="22"/>
        </w:rPr>
        <w:t>Habilitan continuidad de proyecto minero de BHP y Lundin en Argentina</w:t>
      </w:r>
    </w:p>
    <w:p>
      <w:pPr>
        <w:spacing w:before="0"/>
      </w:pPr>
      <w:r>
        <w:rPr>
          <w:color w:val="0056B3"/>
          <w:sz w:val="18"/>
        </w:rPr>
        <w:t>https://www.df.cl/internacional/multinacionales/habilitan-continuidad-de-proyecto-minero-de-bhp-y-lundin-en-argentina</w:t>
      </w:r>
    </w:p>
    <w:p>
      <w:pPr>
        <w:spacing w:before="20"/>
        <w:ind w:left="360"/>
      </w:pPr>
      <w:r>
        <w:rPr>
          <w:color w:val="222222"/>
          <w:sz w:val="20"/>
        </w:rPr>
        <w:t>La justicia acogió la cautelar presentada por las compañías en conflicto con la provincia de La Rioja.</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La justicia de la provincia argentina de San Juan habilitó la continuidad del proyecto minero Vicuña, una iniciativa de cobre y oro valorizada en US$ 18 mil millones y desarrollada por BHP y Lundin Mining.</w:t>
      </w:r>
    </w:p>
    <w:p>
      <w:pPr>
        <w:spacing w:before="20"/>
        <w:ind w:left="360"/>
      </w:pPr>
      <w:r>
        <w:rPr>
          <w:color w:val="222222"/>
          <w:sz w:val="20"/>
        </w:rPr>
        <w:t>La decisión responde a una medida cautelar presentada por ambas compañías tras un conflicto con la provincia de La Rioja, jurisdicción que había impuesto restricciones al tránsito en una ruta provincial clave para el desarrollo de las faenas.</w:t>
      </w:r>
    </w:p>
    <w:p>
      <w:pPr>
        <w:spacing w:before="20"/>
        <w:ind w:left="360"/>
      </w:pPr>
      <w:r>
        <w:rPr>
          <w:color w:val="222222"/>
          <w:sz w:val="20"/>
        </w:rPr>
        <w:t>Frente a ello, los equipos legales de las mineras acudieron a los tribunales de San Juan para solicitar resguardo judicial que permitiera mantener las actividades.</w:t>
      </w:r>
    </w:p>
    <w:p>
      <w:pPr>
        <w:spacing w:before="20"/>
        <w:ind w:left="360"/>
      </w:pPr>
      <w:r>
        <w:rPr>
          <w:color w:val="222222"/>
          <w:sz w:val="20"/>
        </w:rPr>
        <w:t>El juzgado de primera instancia falló a favor de las empresas y sostuvo que solo las autoridades sanjuaninas tienen facultades para suspender o bloquear la operación, dado que la habilitación minera vigente fue otorgada por el Ministerio de Minería de esa provincia.</w:t>
      </w:r>
    </w:p>
    <w:p>
      <w:pPr>
        <w:spacing w:before="20"/>
        <w:ind w:left="360"/>
      </w:pPr>
      <w:r>
        <w:rPr>
          <w:color w:val="222222"/>
          <w:sz w:val="20"/>
        </w:rPr>
        <w:t>El proyecto Vicuña es considerado uno de los desarrollos cupríferos más relevantes a nivel global, tanto por su escala como por el impacto económico en la región.</w:t>
      </w:r>
    </w:p>
    <w:p>
      <w:pPr>
        <w:spacing w:before="20"/>
        <w:ind w:left="360"/>
      </w:pPr>
      <w:r>
        <w:rPr>
          <w:color w:val="222222"/>
          <w:sz w:val="20"/>
        </w:rPr>
        <w:t>Según las estimaciones difundidas, durante la etapa de construcción podría generar hasta 6 mil empleos, con un promedio de 4 mil en el peak de actividad. En la fase operativa, en tanto, se proyectan unos 800 puestos de trabajo directos especializados.</w:t>
      </w:r>
    </w:p>
    <w:p>
      <w:pPr>
        <w:spacing w:before="20"/>
        <w:ind w:left="360"/>
      </w:pPr>
      <w:r>
        <w:rPr>
          <w:color w:val="222222"/>
          <w:sz w:val="20"/>
        </w:rPr>
        <w:t>La controversia también escaló al plano político. Los diputados argentinos Nancy Picón y Carlos Jaime impulsaron iniciativas en el Congreso orientadas a otorgar mayor previsibilidad jurídica, evitar choques interjurisdiccionales y reforzar reglas claras para inversiones estratégicas.</w:t>
      </w:r>
    </w:p>
    <w:p>
      <w:pPr>
        <w:spacing w:before="40" w:after="120"/>
      </w:pPr>
      <w:r>
        <w:rPr>
          <w:color w:val="CCCCCC"/>
        </w:rPr>
        <w:t>· · ·</w:t>
      </w:r>
    </w:p>
    <w:p/>
    <w:p>
      <w:pPr>
        <w:pStyle w:val="Heading1"/>
      </w:pPr>
      <w:r>
        <w:rPr>
          <w:color w:val="E65000"/>
        </w:rPr>
        <w:t>🔹 Innovación</w:t>
      </w:r>
    </w:p>
    <w:p>
      <w:r>
        <w:rPr>
          <w:b/>
          <w:color w:val="E65000"/>
        </w:rPr>
        <w:t xml:space="preserve">1. </w:t>
      </w:r>
      <w:r>
        <w:rPr>
          <w:b/>
          <w:sz w:val="22"/>
        </w:rPr>
        <w:t>ChileBio afirma que el país tiene el potencial de convertirse en un “hub de semillas editadas genéticamente”</w:t>
      </w:r>
      <w:r>
        <w:rPr>
          <w:color w:val="CC7700"/>
          <w:sz w:val="18"/>
        </w:rPr>
        <w:t xml:space="preserve">  [⭐ Destacada]</w:t>
      </w:r>
    </w:p>
    <w:p>
      <w:pPr>
        <w:spacing w:before="0"/>
      </w:pPr>
      <w:r>
        <w:rPr>
          <w:color w:val="0056B3"/>
          <w:sz w:val="18"/>
        </w:rPr>
        <w:t>https://www.df.cl/df-lab/innovacion-y-startups/chilebio-afirma-que-el-pais-tiene-el-potencial-de-convertirse-en-un-hub-de</w:t>
      </w:r>
    </w:p>
    <w:p>
      <w:pPr>
        <w:spacing w:before="20"/>
        <w:ind w:left="360"/>
      </w:pPr>
      <w:r>
        <w:rPr>
          <w:color w:val="222222"/>
          <w:sz w:val="20"/>
        </w:rPr>
        <w:t>Se está incubando una nueva industria a partir de la investigación y desarrollo de variedades vegetales con ADN editado para mejorar sus propiedades o hacerlas resistentes a enfermedades y al cambio climático.</w:t>
      </w:r>
    </w:p>
    <w:p>
      <w:pPr>
        <w:spacing w:before="20"/>
        <w:ind w:left="360"/>
      </w:pPr>
      <w:r>
        <w:rPr>
          <w:color w:val="222222"/>
          <w:sz w:val="20"/>
        </w:rPr>
        <w:t>Publicado: Jueves 30 de abril de 2026 a las 04:00 hrs.</w:t>
      </w:r>
    </w:p>
    <w:p>
      <w:pPr>
        <w:spacing w:before="20"/>
        <w:ind w:left="360"/>
      </w:pPr>
      <w:r>
        <w:rPr>
          <w:color w:val="222222"/>
          <w:sz w:val="20"/>
        </w:rPr>
        <w:t>Trigo alto en fibra de Neocrop Technologies. Foto: Neocrop Technologies</w:t>
      </w:r>
    </w:p>
    <w:p>
      <w:pPr>
        <w:spacing w:before="20"/>
        <w:ind w:left="360"/>
      </w:pPr>
      <w:r>
        <w:rPr>
          <w:color w:val="222222"/>
          <w:sz w:val="20"/>
        </w:rPr>
        <w:t>Una nueva industria comienza a incubarse en Chile: las semillas editadas genéticamente. Si bien aún no hay productos en el mercado, hay universidades y startups que están investigando y desarrollando nuevas variedades vegetales con propiedades mejoradas, que se proyectan como una alternativa para avanzar en la seguridad alimentaria.</w:t>
      </w:r>
    </w:p>
    <w:p>
      <w:pPr>
        <w:spacing w:before="20"/>
        <w:ind w:left="360"/>
      </w:pPr>
      <w:r>
        <w:rPr>
          <w:color w:val="222222"/>
          <w:sz w:val="20"/>
        </w:rPr>
        <w:t>La edición genética permite modificar el material genético de un organismo -como sus genes y proteínas- para obtener nuevas características, por ejemplo, para desarrollar variedades resistentes a enfermedades y a fenómenos climáticos. Se diferencian de los organismos genéticamente modificados (OGM) o transgénicos, que durante años han generado debate en torno a su impacto en el medio ambiente, porque incorporan ADN proveniente de otras especies para adquirir una nueva característica.</w:t>
      </w:r>
    </w:p>
    <w:p>
      <w:pPr>
        <w:spacing w:before="20"/>
        <w:ind w:left="360"/>
      </w:pPr>
      <w:r>
        <w:rPr>
          <w:color w:val="222222"/>
          <w:sz w:val="20"/>
        </w:rPr>
        <w:t>El director ejecutivo de ChileBio -gremio que agrupa a las compañías de biotecnología agrícola Bayer, BASF, Corteva y Syngenta- Miguel Ángel Sánchez, dijo que Chile tiene el potencial para convertirse en un “hub biotecnológico de semillas”, en el desarrollo y validación de variedades obtenidas mediante edición genética, por las investigaciones en curso, el marco regulatorio vigente y las condiciones geográficas para hacer pruebas.</w:t>
      </w:r>
    </w:p>
    <w:p>
      <w:pPr>
        <w:spacing w:before="20"/>
        <w:ind w:left="360"/>
      </w:pPr>
      <w:r>
        <w:rPr>
          <w:color w:val="222222"/>
          <w:sz w:val="20"/>
        </w:rPr>
        <w:t>Comentó que desde 2017 existe un marco regulatorio del Servicio Agrícola y Ganadero (SAG) para las variedades vegetales desarrolladas mediante “nuevas técnicas de mejoramiento genético”, que incluyen la edición genética. Este enfoque, dijo, ha permitido posicionar al país como un promotor de la biotecnología e innovación agrícola en la región.</w:t>
      </w:r>
    </w:p>
    <w:p>
      <w:pPr>
        <w:spacing w:before="20"/>
        <w:ind w:left="360"/>
      </w:pPr>
      <w:r>
        <w:rPr>
          <w:color w:val="222222"/>
          <w:sz w:val="20"/>
        </w:rPr>
        <w:t>Miguel ángel Sánchez,director ejecutivo de ChileBio.</w:t>
      </w:r>
    </w:p>
    <w:p>
      <w:pPr>
        <w:spacing w:before="20"/>
        <w:ind w:left="360"/>
      </w:pPr>
      <w:r>
        <w:rPr>
          <w:color w:val="222222"/>
          <w:sz w:val="20"/>
        </w:rPr>
        <w:t>“Chile ofrece características que no hay en muchas partes del mundo. Por ejemplo, si quieres probar la tolerancia a la sequía (en una variedad vegetal), tienes Arica. Tenemos condiciones geográficas favorables y capital humano avanzado (…) Es el principal país que lleva a cabo investigación de campo con semillas editadas genéticamente”, afirmó Sánchez.</w:t>
      </w:r>
    </w:p>
    <w:p>
      <w:pPr>
        <w:spacing w:before="20"/>
        <w:ind w:left="360"/>
      </w:pPr>
      <w:r>
        <w:rPr>
          <w:color w:val="222222"/>
          <w:sz w:val="20"/>
        </w:rPr>
        <w:t>En este escenario, comentó que los sistemas basados en CRISPR -técnica que permite cortar el ADN en un sitio específico para después editarlo- son los principales métodos utilizados para la edición genética en el país, especialmente en agricultura y producción de alimentos, debido a su menor costo y rapidez en comparación con otras tecnologías.</w:t>
      </w:r>
    </w:p>
    <w:p>
      <w:pPr>
        <w:spacing w:before="20"/>
        <w:ind w:left="360"/>
      </w:pPr>
      <w:r>
        <w:rPr>
          <w:color w:val="222222"/>
          <w:sz w:val="20"/>
        </w:rPr>
        <w:t>“Los sistemas de CRISPR han permitido desarrollar nuevas variedades en plazos de dos a tres años”, afirmó.</w:t>
      </w:r>
    </w:p>
    <w:p>
      <w:pPr>
        <w:spacing w:before="20"/>
        <w:ind w:left="360"/>
      </w:pPr>
      <w:r>
        <w:rPr>
          <w:color w:val="222222"/>
          <w:sz w:val="20"/>
        </w:rPr>
        <w:t>Según Sánchez, el uso de estos métodos está orientados principalmente a mejorar la calidad, la resistencia a los desafíos climáticos y la producción de los alimentos, desde el aporte nutricional hasta las propiedades organolépticas (como sabor, olor o textura) y la tolerancia a heladas o sequías.</w:t>
      </w:r>
    </w:p>
    <w:p>
      <w:pPr>
        <w:spacing w:before="20"/>
        <w:ind w:left="360"/>
      </w:pPr>
      <w:r>
        <w:rPr>
          <w:color w:val="222222"/>
          <w:sz w:val="20"/>
        </w:rPr>
        <w:t>“El 30% de lo que se intenta producir en el campo se bota a la basura, y eso significa que la producción agrícola global no es sostenible. Se pierde por cuestiones climáticas, plagas, malezas, a pesar de que se aplican herbicidas, insecticidas o control biológico. Por eso son necesarios estos procesos de adaptación climática”, comentó.</w:t>
      </w:r>
    </w:p>
    <w:p>
      <w:pPr>
        <w:spacing w:before="20"/>
        <w:ind w:left="360"/>
      </w:pPr>
      <w:r>
        <w:rPr>
          <w:color w:val="222222"/>
          <w:sz w:val="20"/>
        </w:rPr>
        <w:t>Sánchez señaló que en el mundo existen alrededor de 10 variedades vegetales editadas genéticamente que hoy se comercializan para su producción y consumo. Entre ellas, tomates (Sanatech Seed, en Japón), mostaza (Pairwise, en Estados Unidos) y frutilla (Simplot, en Canadá).</w:t>
      </w:r>
    </w:p>
    <w:p>
      <w:pPr>
        <w:spacing w:before="20"/>
        <w:ind w:left="360"/>
      </w:pPr>
      <w:r>
        <w:rPr>
          <w:color w:val="222222"/>
          <w:sz w:val="20"/>
        </w:rPr>
        <w:t>En el caso de Chile, dijo que si bien, empresas como Syngenta, BASF, Bayer y Corteva han pasado por el proceso regulatorio del SAG y validado variedades editadas genéticamente, no han llegado a la fase comercial porque continúan con la etapa de “registro de variedades, que puede tomar mínimo dos años”.</w:t>
      </w:r>
    </w:p>
    <w:p>
      <w:pPr>
        <w:spacing w:before="20"/>
        <w:ind w:left="360"/>
      </w:pPr>
      <w:r>
        <w:rPr>
          <w:color w:val="222222"/>
          <w:sz w:val="20"/>
        </w:rPr>
        <w:t>Por otro lado, ya existen desarrollos locales basados en técnicas de edición genética que han pasado por el sistema regulatorio y proyectan su salida al mercado.</w:t>
      </w:r>
    </w:p>
    <w:p>
      <w:pPr>
        <w:spacing w:before="20"/>
        <w:ind w:left="360"/>
      </w:pPr>
      <w:r>
        <w:rPr>
          <w:color w:val="222222"/>
          <w:sz w:val="20"/>
        </w:rPr>
        <w:t>Sánchez destacó el caso de Neocrop Technologies, que desarrolló una variedad de trigo alto en fibra, y que “el SAG concluyó que no es un OGM porque no contiene ADN proveniente de otro organismo, por lo que puede ser tratado como una planta común y corriente”. Dijo que actualmente esta variedad está en etapa de ensayos de campo con proyecciones comerciales.</w:t>
      </w:r>
    </w:p>
    <w:p>
      <w:pPr>
        <w:spacing w:before="20"/>
        <w:ind w:left="360"/>
      </w:pPr>
      <w:r>
        <w:rPr>
          <w:color w:val="222222"/>
          <w:sz w:val="20"/>
        </w:rPr>
        <w:t>En tanto, el consorcio tecnológico BioFrutales, en colaboración con la Facultad de Ciencias de la Universidad de Chile, también pasó por el SAG con tres tipos de variedades de manzanas enriquecidas nutricionalmente, que producen precursores de la vitamina A; otras que se oxidan más lento, y una tercera que abarca ambas propiedades.</w:t>
      </w:r>
    </w:p>
    <w:p>
      <w:pPr>
        <w:spacing w:before="20"/>
        <w:ind w:left="360"/>
      </w:pPr>
      <w:r>
        <w:rPr>
          <w:color w:val="222222"/>
          <w:sz w:val="20"/>
        </w:rPr>
        <w:t>Sánchez comentó que el consorcio BioFrutales ha colaborado con el Instituto de Investigaciones Agropecuarias (INIA) y han ingresado tres solicitudes al ente regulatorio vinculadas al desarrollo de vides resistentes a enfermedades causadas por hongos.</w:t>
      </w:r>
    </w:p>
    <w:p>
      <w:pPr>
        <w:spacing w:before="20"/>
        <w:ind w:left="360"/>
      </w:pPr>
      <w:r>
        <w:rPr>
          <w:color w:val="222222"/>
          <w:sz w:val="20"/>
        </w:rPr>
        <w:t>También destacó innovaciones “que no se han dado mucho a conocer” o están en fase de investigación y desarrollo (I+D). “Por ejemplo, Meristem está trabajando en cerezas sin cuesco, sin semilla, y eso es un atributo mejorado, sobre todo para los mercados de exportación”.</w:t>
      </w:r>
    </w:p>
    <w:p>
      <w:pPr>
        <w:spacing w:before="20"/>
        <w:ind w:left="360"/>
      </w:pPr>
      <w:r>
        <w:rPr>
          <w:color w:val="222222"/>
          <w:sz w:val="20"/>
        </w:rPr>
        <w:t>Además, mencionó otros proyectos de I+D, como porotos tolerantes a la sequía desarrollados por la Universidad Autónoma, e iniciativas de la Viña Concha y Toro para mejorar la calidad de las uvas, desde la resistencia a enfermedades hasta mejorar la calidad del vino.</w:t>
      </w:r>
    </w:p>
    <w:p>
      <w:pPr>
        <w:spacing w:before="40" w:after="120"/>
      </w:pPr>
      <w:r>
        <w:rPr>
          <w:color w:val="CCCCCC"/>
        </w:rPr>
        <w:t>· · ·</w:t>
      </w:r>
    </w:p>
    <w:p/>
    <w:p>
      <w:pPr>
        <w:pStyle w:val="Heading1"/>
      </w:pPr>
      <w:r>
        <w:rPr>
          <w:color w:val="E65000"/>
        </w:rPr>
        <w:t>🔹 Opinión</w:t>
      </w:r>
    </w:p>
    <w:p>
      <w:r>
        <w:rPr>
          <w:b/>
          <w:color w:val="E65000"/>
        </w:rPr>
        <w:t xml:space="preserve">1. </w:t>
      </w:r>
      <w:r>
        <w:rPr>
          <w:b/>
          <w:sz w:val="22"/>
        </w:rPr>
        <w:t>Claro mensaje del Banco Central</w:t>
      </w:r>
      <w:r>
        <w:rPr>
          <w:color w:val="990000"/>
          <w:sz w:val="18"/>
        </w:rPr>
        <w:t xml:space="preserve">  [🔒 paywall]</w:t>
      </w:r>
    </w:p>
    <w:p>
      <w:pPr>
        <w:spacing w:before="0"/>
      </w:pPr>
      <w:r>
        <w:rPr>
          <w:color w:val="0056B3"/>
          <w:sz w:val="18"/>
        </w:rPr>
        <w:t>https://www.df.cl/opinion/editorial/p/1</w:t>
      </w:r>
    </w:p>
    <w:p>
      <w:pPr>
        <w:spacing w:before="40" w:after="120"/>
      </w:pPr>
      <w:r>
        <w:rPr>
          <w:color w:val="CCCCCC"/>
        </w:rPr>
        <w:t>· · ·</w:t>
      </w:r>
    </w:p>
    <w:p>
      <w:r>
        <w:rPr>
          <w:b/>
          <w:color w:val="E65000"/>
        </w:rPr>
        <w:t xml:space="preserve">2. </w:t>
      </w:r>
      <w:r>
        <w:rPr>
          <w:b/>
          <w:sz w:val="22"/>
        </w:rPr>
        <w:t>Claro mensaje del Banco Central</w:t>
      </w:r>
    </w:p>
    <w:p>
      <w:pPr>
        <w:spacing w:before="0"/>
      </w:pPr>
      <w:r>
        <w:rPr>
          <w:color w:val="0056B3"/>
          <w:sz w:val="18"/>
        </w:rPr>
        <w:t>https://www.df.cl/opinion/editorial/claro-mensaje-del-banco-central</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Tal como lo venía anticipando el mercado, en su reciente reunión de política monetaria el Consejo del Banco Central resolvió mantener la tasa de interés en 4,5%. Cabe recordar que luego del fuerte ajuste que debió imprimirse a la política monetaria para hacer frente a los desequilibrios que surgieron tras los retiros de fondos previsionales y de los programas de ayuda a las familias en el marco de la pandemia -los que llevaron la tasa de inflación a 11,6%o en 2022-, en 2023 se inició un proceso de paulatina normalización de la política monetaria, que se tradujo en sucesivas disminuciones de la tasa a partir de esa fecha, las que se pausaron a fines del año pasado, manteniéndose en el nivel de 4,5% hasta hoy. Todo esto, buscando encauzar la tasa de inflación hacia la meta de 3% en un horizonte de 24 meses.</w:t>
      </w:r>
    </w:p>
    <w:p>
      <w:pPr>
        <w:spacing w:before="20"/>
        <w:ind w:left="360"/>
      </w:pPr>
      <w:r>
        <w:rPr>
          <w:color w:val="222222"/>
          <w:sz w:val="20"/>
        </w:rPr>
        <w:t>Recuperar el equilibrio inflacionario no ha sido una tarea fácil para el Banco Central, por cuanto los aumentos en los salarios reales que se ha manifestado han presionado al alza los costos, y si a ello se suman los factores inerciales que derivan de la elevada indexación que prevalece en la economía chilena, y también eventos puntuales como el alza en las tarifas eléctricas congeladas durante largo tiempo y, más recientemente, el aumento en el precio de los combustibles por el conflicto en Medio Oriente, obviamente han desviado el curso de la inflación en su trayectoria hacia la meta de 3%.</w:t>
      </w:r>
    </w:p>
    <w:p>
      <w:pPr>
        <w:spacing w:before="20"/>
        <w:ind w:left="360"/>
      </w:pPr>
      <w:r>
        <w:rPr>
          <w:color w:val="222222"/>
          <w:sz w:val="20"/>
        </w:rPr>
        <w:t>Ya en el Informe de Política Monetaria (IPoM) de marzo el instituto emisor advirtió sobre la mayor presión inflacionaria que se manifestaría durante este año, lo que fue una clara señal para el mercado en cuanto a que una nueva baja en la tasa de interés durante 2026 parecía poco probable. Y en su comunicado del martes este mensaje se vio reforzado por parte del Consejo del banco, al señalar que los efectos del conflicto han sido más adversos que los estimados en el escenario central considerado en el IPoM de marzo, y que ha aumentado la probabilidad de resultados más negativos para la inflación y la actividad global. De manera consecuente, se está haciendo ver en forma explícita que eventualmente podría ser necesario introducir cambios en la política monetaria, y que la situación se irá evaluando en cada una de las próximas reuniones de política monetaria.</w:t>
      </w:r>
    </w:p>
    <w:p>
      <w:pPr>
        <w:spacing w:before="20"/>
        <w:ind w:left="360"/>
      </w:pPr>
      <w:r>
        <w:rPr>
          <w:color w:val="222222"/>
          <w:sz w:val="20"/>
        </w:rPr>
        <w:t>El Banco Central hace bien en entregar una señal clara respecto de su compromiso con la meta de inflación, con una disposición a subir la tasa de interés, si fuere necesario, aun cuando ello pudiere, en el margen, incidir negativamente en la evolución de la actividad económica. Más allá de las cifras puntuales que se puedan ir observando en el IPC, el éxito de la política monetaria dependerá fundamentalmente de si se logran mantener las expectativas de inflación “ancladas” en 3% en un horizonte de 24 meses. De no ser esto así, el control de la inflación se hará aún más difícil, requiriéndose ajustes de mayor cuantía en la política monetaria y, por ende, pagándose un costo más elevado en términos de actividad económica.</w:t>
      </w:r>
    </w:p>
    <w:p>
      <w:pPr>
        <w:spacing w:before="40" w:after="120"/>
      </w:pPr>
      <w:r>
        <w:rPr>
          <w:color w:val="CCCCCC"/>
        </w:rPr>
        <w:t>· · ·</w:t>
      </w:r>
    </w:p>
    <w:p>
      <w:r>
        <w:rPr>
          <w:b/>
          <w:color w:val="E65000"/>
        </w:rPr>
        <w:t xml:space="preserve">3. </w:t>
      </w:r>
      <w:r>
        <w:rPr>
          <w:b/>
          <w:sz w:val="22"/>
        </w:rPr>
        <w:t>Uso de la IA en causas judiciales</w:t>
      </w:r>
    </w:p>
    <w:p>
      <w:pPr>
        <w:spacing w:before="0"/>
      </w:pPr>
      <w:r>
        <w:rPr>
          <w:color w:val="0056B3"/>
          <w:sz w:val="18"/>
        </w:rPr>
        <w:t>https://www.df.cl/opinion/cartas/uso-de-la-ia-en-causas-judiciales</w:t>
      </w:r>
    </w:p>
    <w:p>
      <w:pPr>
        <w:spacing w:before="20"/>
        <w:ind w:left="360"/>
      </w:pPr>
      <w:r>
        <w:rPr>
          <w:color w:val="222222"/>
          <w:sz w:val="20"/>
        </w:rPr>
        <w:t>Por:Equipo DFPublicado: Jueves 30 de abril de 2026 a las 04:02 hrs.</w:t>
      </w:r>
    </w:p>
    <w:p>
      <w:pPr>
        <w:spacing w:before="20"/>
        <w:ind w:left="360"/>
      </w:pPr>
      <w:r>
        <w:rPr>
          <w:color w:val="222222"/>
          <w:sz w:val="20"/>
        </w:rPr>
        <w:t>Publicado: Jueves 30 de abril de 2026 a las 04:02 hrs.</w:t>
      </w:r>
    </w:p>
    <w:p>
      <w:pPr>
        <w:spacing w:before="20"/>
        <w:ind w:left="360"/>
      </w:pPr>
      <w:r>
        <w:rPr>
          <w:color w:val="222222"/>
          <w:sz w:val="20"/>
        </w:rPr>
        <w:t>De iniciativa propia y en atención a la presentación de una demanda, el Tribunal de Defensa de la Libre Competencia sancionó con una multa a beneficio fiscal a un abogado patrocinante que, en la presentación de su escrito, transcribió supuestas citas de sentencias del tribunal que no existen. La revisión del escrito deja en evidencia el uso de mecanismos de inteligencia artificial para su redacción.</w:t>
      </w:r>
    </w:p>
    <w:p>
      <w:pPr>
        <w:spacing w:before="20"/>
        <w:ind w:left="360"/>
      </w:pPr>
      <w:r>
        <w:rPr>
          <w:color w:val="222222"/>
          <w:sz w:val="20"/>
        </w:rPr>
        <w:t>El caso pone de relieve, a lo menos, tres aspectos dignos de destacar: la correcta y oportuna iniciativa del tribunal; la posibilidad de que, a petición de parte, se soliciten sanciones frente al mal uso de la IA; y la urgencia de establecer para los actores del sistema judicial un marco de lineamientos en la materia.</w:t>
      </w:r>
    </w:p>
    <w:p>
      <w:pPr>
        <w:spacing w:before="20"/>
        <w:ind w:left="360"/>
      </w:pPr>
      <w:r>
        <w:rPr>
          <w:color w:val="222222"/>
          <w:sz w:val="20"/>
        </w:rPr>
        <w:t>El Pleno de la Corte Suprema advirtió el año pasado que el uso de herramientas de IA en la función jurisdiccional exige la máxima cautela, identificó como uno de sus riesgos la generación de respuestas opacas o inexactas, y entregó orientación práctica que los jueces verifiquen siempre de manera independiente esta información. Esta orientación deberíamos seguirla todos los auxiliares de la administración de justicia.</w:t>
      </w:r>
    </w:p>
    <w:p>
      <w:pPr>
        <w:spacing w:before="20"/>
        <w:ind w:left="360"/>
      </w:pPr>
      <w:r>
        <w:rPr>
          <w:color w:val="222222"/>
          <w:sz w:val="20"/>
        </w:rPr>
        <w:t>Un uso responsable permitirá mantener la confianza en la industria legal y sus principios éticos. No se trata de restringir su uso, sino de encauzarlo bajo criterios claros que aseguren la veracidad de la información, la primacía de la tarea humana y el debido estándar profesional en el ejercicio de la abogacía.</w:t>
      </w:r>
    </w:p>
    <w:p>
      <w:pPr>
        <w:spacing w:before="40" w:after="120"/>
      </w:pPr>
      <w:r>
        <w:rPr>
          <w:color w:val="CCCCCC"/>
        </w:rPr>
        <w:t>· · ·</w:t>
      </w:r>
    </w:p>
    <w:p>
      <w:r>
        <w:rPr>
          <w:b/>
          <w:color w:val="E65000"/>
        </w:rPr>
        <w:t xml:space="preserve">4. </w:t>
      </w:r>
      <w:r>
        <w:rPr>
          <w:b/>
          <w:sz w:val="22"/>
        </w:rPr>
        <w:t>Fin de la franquicia Sence</w:t>
      </w:r>
    </w:p>
    <w:p>
      <w:pPr>
        <w:spacing w:before="0"/>
      </w:pPr>
      <w:r>
        <w:rPr>
          <w:color w:val="0056B3"/>
          <w:sz w:val="18"/>
        </w:rPr>
        <w:t>https://www.df.cl/opinion/cartas/fin-de-la-franquicia-sence</w:t>
      </w:r>
    </w:p>
    <w:p>
      <w:pPr>
        <w:spacing w:before="20"/>
        <w:ind w:left="360"/>
      </w:pPr>
      <w:r>
        <w:rPr>
          <w:color w:val="222222"/>
          <w:sz w:val="20"/>
        </w:rPr>
        <w:t>Por:Equipo DFPublicado: Jueves 30 de abril de 2026 a las 04:00 hrs.</w:t>
      </w:r>
    </w:p>
    <w:p>
      <w:pPr>
        <w:spacing w:before="20"/>
        <w:ind w:left="360"/>
      </w:pPr>
      <w:r>
        <w:rPr>
          <w:color w:val="222222"/>
          <w:sz w:val="20"/>
        </w:rPr>
        <w:t>Publicado: Jueves 30 de abril de 2026 a las 04:00 hrs.</w:t>
      </w:r>
    </w:p>
    <w:p>
      <w:pPr>
        <w:spacing w:before="20"/>
        <w:ind w:left="360"/>
      </w:pPr>
      <w:r>
        <w:rPr>
          <w:color w:val="222222"/>
          <w:sz w:val="20"/>
        </w:rPr>
        <w:t>Durante décadas, la franquicia tributaria del Sence fue una herramienta útil, especialmente para la PYME, pero con el tiempo derivó en prácticas que distorsionaron su propósito. Hoy el desafío es distinto. Chile requiere una política pública renovada, basada en la cooperación entre Estado, trabajadores y empresas, orientada directamente a elevar la productividad, que ha estado estancada más de una década. Sistemas como ChileValora representan avances, pero con cobertura aún insuficiente. La evidencia internacional muestra que modelos duales, como los de Alemania o Dinamarca, integran formación teórica y práctica, alineando capacidades con las necesidades del mercado. Ese es el estándar hacia el cual Chile debería avanzar.</w:t>
      </w:r>
    </w:p>
    <w:p>
      <w:pPr>
        <w:spacing w:before="40" w:after="120"/>
      </w:pPr>
      <w:r>
        <w:rPr>
          <w:color w:val="CCCCCC"/>
        </w:rPr>
        <w:t>· · ·</w:t>
      </w:r>
    </w:p>
    <w:p/>
    <w:p>
      <w:r>
        <w:br w:type="page"/>
      </w:r>
    </w:p>
    <w:p>
      <w:pPr>
        <w:jc w:val="center"/>
      </w:pPr>
      <w:r>
        <w:rPr>
          <w:color w:val="888888"/>
        </w:rPr>
        <w:t>Generado el 30/04/2026 a las 12:21</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