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 De Junio De 2026</w:t>
      </w:r>
    </w:p>
    <w:p>
      <w:pPr>
        <w:jc w:val="center"/>
      </w:pPr>
      <w:r>
        <w:rPr>
          <w:rFonts w:ascii="Arial" w:hAnsi="Arial"/>
          <w:color w:val="999999"/>
          <w:sz w:val="20"/>
        </w:rPr>
        <w:t>6 secciones  ·  28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gira al alza luego que Irán apunta a "bloquear completamente el estrecho de Ormuz" por recientes ataques israelíes en el Líbano</w:t>
      </w:r>
    </w:p>
    <w:p>
      <w:pPr>
        <w:spacing w:before="40" w:after="60"/>
        <w:ind w:left="283"/>
      </w:pPr>
      <w:r>
        <w:rPr>
          <w:rFonts w:ascii="Arial" w:hAnsi="Arial"/>
          <w:color w:val="404040"/>
          <w:sz w:val="21"/>
        </w:rPr>
        <w:t>La amenaza de Irán de bloquear el estrecho de Ormuz y el Bab al Mandeb, en respuesta a la ofensiva israelí en el Líbano y los intercambios de fuego con EEUU en el golfo Pérsico, desencadenó una ola compradora de dólares a nivel global. El petróleo Brent avanzó 6,7% hasta US$ 97,2 por barril y el dollar index subió 0,4%, mientras el tipo de cambio chileno escaló hasta $ 895,5 en máximos de sesión. El efecto fue amplificado por el decepcionante Imacec de abril y la suba generalizada de tasas de interés en Europa de más de 10 puntos base. El cobre, en tanto, cotizaba al alza con una prima en Nueva York que superaba los US$ 500 por tonelada, aunque moderó sus ganancias ante las últimas noticias.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a la baja mientras el petróleo repunta luego que Irán corta diálogo con EEUU por ataques israelíes en el Líbano</w:t>
      </w:r>
    </w:p>
    <w:p>
      <w:pPr>
        <w:spacing w:before="40" w:after="60"/>
        <w:ind w:left="283"/>
      </w:pPr>
      <w:r>
        <w:rPr>
          <w:rFonts w:ascii="Arial" w:hAnsi="Arial"/>
          <w:color w:val="404040"/>
          <w:sz w:val="21"/>
        </w:rPr>
        <w:t>Las bolsas mundiales resentían el lunes el aparente quiebre de las negociaciones de paz entre EEUU e Irán, tras la protesta iraní por la ofensiva israelí sobre Hezbolá en el Líbano. El S&amp;P IPSA abrió con una caída de 0,3% a 10.753 puntos, con Latam Airlines liderando las pérdidas con -3,9%, mientras el Brent subía 4,7% a US$ 95,3 por barril. En Wall Street, el Dow Jones cedía 0,3% y los índices europeos retrocedían hasta 0,8%, presionados también por el alza de tasas de interés globales. El débil Imacec de abril sumó presión adicional al mercado local.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Banco Internacional busca duplicar tamaño a 2030 de la mano de clientes empresas y segmento minorista</w:t>
      </w:r>
    </w:p>
    <w:p>
      <w:pPr>
        <w:spacing w:before="40" w:after="60"/>
        <w:ind w:left="283"/>
      </w:pPr>
      <w:r>
        <w:rPr>
          <w:rFonts w:ascii="Arial" w:hAnsi="Arial"/>
          <w:color w:val="404040"/>
          <w:sz w:val="21"/>
        </w:rPr>
        <w:t>Banco Internacional, controlado por ILC, se propuso duplicar sus activos hacia 2030, con la banca mayorista como principal motor, segmento que representa el 60% de sus colocaciones. La división reorganizó su estructura en cuatro equipos especializados —corporativo, grandes empresas, inmobiliario e institucional— e incorporó ejecutivos de BICE y Security para reforzar el área, que reúne a más de 80 personas. Las oportunidades identificadas se concentran en infraestructura, energía, concesiones, el repunte inmobiliario y financiamientos verdes. Paralelamente, la banca minorista también forma parte de la estrategia, con avances en el negocio hipotecario, financiamiento automotriz y nuevos productos de ahorro.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disputa por las rentas altas: los requisitos y beneficios de la banca para captar a los clientes ABC1</w:t>
      </w:r>
    </w:p>
    <w:p>
      <w:pPr>
        <w:spacing w:before="40" w:after="60"/>
        <w:ind w:left="283"/>
      </w:pPr>
      <w:r>
        <w:rPr>
          <w:rFonts w:ascii="Arial" w:hAnsi="Arial"/>
          <w:color w:val="404040"/>
          <w:sz w:val="21"/>
        </w:rPr>
        <w:t>Los segmentos de altos ingresos son los más disputados de la banca chilena por su mayor rentabilidad y potencial de concentración de productos, lo que ha derivado en una intensa competencia con requisitos de ingreso cada vez más segmentados. Santander exige rentas desde $ 5 millones para su segmento Select, con acceso a cuenta de inversión internacional en Miami; BICE apunta a rentas desde UF 80 (más de $ 3,2 millones); Scotiabank divide su oferta Singular en dos categorías con rentas desde $ 3 y $ 7 millones respectivamente. BCI atiende a clientes desde $ 4 millones con acceso a plataformas internacionales, mientras Itaú concentra su propuesta Personal Bank en ingresos superiores a $ 2,5 millones o inversiones sobre $ 70 millones.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Sernapesca descarta fuga de salmones en lago Llanquihue y concluye que aumento de biomasa se debió a proceso natural</w:t>
      </w:r>
    </w:p>
    <w:p>
      <w:pPr>
        <w:spacing w:before="40" w:after="60"/>
        <w:ind w:left="283"/>
      </w:pPr>
      <w:r>
        <w:rPr>
          <w:rFonts w:ascii="Arial" w:hAnsi="Arial"/>
          <w:color w:val="404040"/>
          <w:sz w:val="21"/>
        </w:rPr>
        <w:t>Sernapesca descartó categóricamente una fuga de salmones desde centros de cultivo en el lago Llanquihue, determinando que la presencia de peces corresponde a un proceso natural de desove de especies asilvestradas. La resolución libera de toda responsabilidad legal y de eventuales multas a Caleta Bay Agua Dulce y Salmones Camanchaca, las dos empresas con concesiones acuícolas en la cuenca. Las auditorías e inspecciones en terreno ratificaron la hipótesis del aumento estacional de flujo de salmónidos silvestres, descartando además que hubiera reportes de escape emitidos por las compañías. El descarte es clave para la industria salmonera, la segunda más importante del mundo, al proteger su estabilidad económica y reputacional.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Guerra por la publicidad exterior en Vitacura: Principales empresas se enfrentan con municipio por alza en tarifas</w:t>
      </w:r>
    </w:p>
    <w:p>
      <w:pPr>
        <w:spacing w:before="40" w:after="60"/>
        <w:ind w:left="283"/>
      </w:pPr>
      <w:r>
        <w:rPr>
          <w:rFonts w:ascii="Arial" w:hAnsi="Arial"/>
          <w:color w:val="404040"/>
          <w:sz w:val="21"/>
        </w:rPr>
        <w:t>JCDecaux, Global Media y Granvía presentaron reclamos de ilegalidad ante la Corte de Apelaciones de Santiago contra la Municipalidad de Vitacura, que duplicó de 3,5 a 7 UTM por metro cuadrado el derecho municipal para publicidad en sitios eriazos a partir de 2026. Las empresas argumentan que el alza de 100% es confiscatoria, carece de fundamentación, y que cobrar por soportes sin publicidad exhibida equivale a crear un impuesto a la tenencia, materia de reserva legal exclusiva. La municipalidad, liderada por Camila Merino, defiende el ajuste señalando que la tarifa anterior estaba bajo el 50% del promedio regional y que el nuevo valor se alinea con lo cobrado por Las Condes y Providencia. La fiscal judicial emitió informes recomendando rechazar los reclamos, argumentando que la ordenanza fue dictada dentro de las competencias municipales.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Costos mineros caen 5,7% en 2025, pero guerra en Irán quiebra esta racha: energía, transporte e insumos inyectan presión este año</w:t>
      </w:r>
    </w:p>
    <w:p>
      <w:pPr>
        <w:spacing w:before="40" w:after="60"/>
        <w:ind w:left="283"/>
      </w:pPr>
      <w:r>
        <w:rPr>
          <w:rFonts w:ascii="Arial" w:hAnsi="Arial"/>
          <w:color w:val="404040"/>
          <w:sz w:val="21"/>
        </w:rPr>
        <w:t>La gran minería del cobre cerró 2025 con un costo neto de US$ 1,8 por libra, una caída de 5,7%, pero Cochilco advierte que la mejora no obedece a eficiencias operacionales sino a factores externos: mayores créditos por subproductos y la fuerte caída de los cargos de tratamiento y refinación, que compensaron alzas reales en electricidad, combustibles, servicios y remuneraciones. El conflicto en Medio Oriente, iniciado en febrero de 2026, ya introduce presiones crecientes: el Banco Mundial proyecta un alza de 24% en precios de energía, el azufre subió 50% y los fletes aumentaron por disrupciones en Ormuz. Codelco vio su costo neto aumentar 10% en lo que va de 2026, explicado por menor producción y mayores gastos en mantenciones. Cochilco llama a priorizar la eficiencia operacional y la gestión de contratos como respuesta de corto plazo.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Hay al menos cuatro países donde Pluxee y Edenred han sido investigados por colusión o anticompetencia</w:t>
      </w:r>
    </w:p>
    <w:p>
      <w:pPr>
        <w:spacing w:before="40" w:after="60"/>
        <w:ind w:left="283"/>
      </w:pPr>
      <w:r>
        <w:rPr>
          <w:rFonts w:ascii="Arial" w:hAnsi="Arial"/>
          <w:color w:val="404040"/>
          <w:sz w:val="21"/>
        </w:rPr>
        <w:t>La investigación de la FNE en Chile contra Pluxee y Edenred por colusión en el mercado de vales de alimentación entre 2013 y 2021 se enmarca en un historial internacional de prácticas similares. En Francia fueron sancionadas en 2001 y en 2019 recibieron multas de casi 415 millones de euros por repartirse el mercado y fijar comisiones entre 2002 y 2018. En Rumania y Turquía existen investigaciones abiertas desde 2023 y 2025 respectivamente, por coordinación en licitaciones y fijación de comisiones a restaurantes. En Brasil, desde julio de 2025 se investiga si usaron descuentos para excluir competidores, a raíz de denuncias de dos fintechs.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Entel agota instancias y va a la Corte Suprema contra WOM por las “chicas 1, 2, 3” y otras campañas</w:t>
      </w:r>
    </w:p>
    <w:p>
      <w:pPr>
        <w:spacing w:before="40" w:after="60"/>
        <w:ind w:left="283"/>
      </w:pPr>
      <w:r>
        <w:rPr>
          <w:rFonts w:ascii="Arial" w:hAnsi="Arial"/>
          <w:color w:val="404040"/>
          <w:sz w:val="21"/>
        </w:rPr>
        <w:t>Fue en abril de 2018 cuando Entel decidió acudir a la justicia e interponer una demanda en contra de WOM por presunta competencia desleal en el mercado de publicidad. Entre otras conductas, la firma ligada a las familias Hurtado, Matte y Fernández reclamó por una proyección no consentida del logo de WOM en su emblemática Torre Entel y la utilización de música y coreografías vinculadas a “las chicas 1, 2, 3”, de Entel. Pero tanto en el 7° Juzgado Civil como en la Corte de Apelaciones, se rechazó la demanda. En primera instancia, en 2022, se estimó que los actos son “admitidos en el mundo publicitario” y descartó que se hubiese buscado desviar clientela. Ahora, Entel jugará sus últimas cartas en la Corte Suprema. El pasado 7 de abril, el máximo tribunal notificó el ingreso de un recurso de casación interpuesto por Entel, en el que la firma plantea que no se consideró una de las pruebas presentadas, como pronunciamientos del Consejo de Autorregulación y Ética Publicitaria, donde –según argumentó Entel– “se sancionaron conductas similares a las de WOM por estimarse que no se condicen con las prácticas y costumbres aceptadas en la publicidad”.</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Gigante china CHEC abre oficinas en Chile y profundiza su apuesta por el país</w:t>
      </w:r>
    </w:p>
    <w:p>
      <w:pPr>
        <w:spacing w:before="40" w:after="60"/>
        <w:ind w:left="283"/>
      </w:pPr>
      <w:r>
        <w:rPr>
          <w:rFonts w:ascii="Arial" w:hAnsi="Arial"/>
          <w:color w:val="404040"/>
          <w:sz w:val="21"/>
        </w:rPr>
        <w:t>China Harbour Engineering Company (CHEC), una de las mayores constructoras de infraestructura del mundo, constituyó formalmente su oficina local en Santiago, instalándose en el edificio Marriott con 489 m² distribuidos en dos plantas. La compañía opera en Chile desde 2013, con trabajos en los terminales portuarios de San Vicente y San Antonio, y en 2018 se adjudicó la concesión del Embalse Las Palmas en Valparaíso. Actualmente está precalificada para el proyecto Puerto Exterior de San Antonio y ha manifestado interés en viviendas sociales, infraestructura penitenciaria y desarrollos ferroviarios.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Cómo se gestó el retorno de Hernán Büchi a la vicepresidencia de SQM</w:t>
      </w:r>
    </w:p>
    <w:p>
      <w:pPr>
        <w:spacing w:before="40" w:after="60"/>
        <w:ind w:left="283"/>
      </w:pPr>
      <w:r>
        <w:rPr>
          <w:rFonts w:ascii="Arial" w:hAnsi="Arial"/>
          <w:color w:val="404040"/>
          <w:sz w:val="21"/>
        </w:rPr>
        <w:t>El nombramiento de Hernán Büchi como vicepresidente del directorio de SQM el 26 de mayo de 2026 fue consecuencia de la renuncia de Gonzalo Guerrero, quien dejó el cargo por incomodidad ante la asimetría de su permanencia tras completar su período como presidente rotativo. Büchi, quien ingresó al directorio en 1993 y acumula más de tres décadas de conocimiento institucional, fue elegido por su visión global y experiencia en momentos críticos de la compañía. Su trayectoria incluye controversias: en 2015 fue multado por la SVS junto a otros directores por no informar oportunamente al mercado sobre los pagos irregulares a políticos, lo que derivó en su salida temporal en 2016. Pese a ello, su perfil pragmático y moderado fue considerado el más adecuado para la vicepresidencia.</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CEO de colombiana Promigas tras su arribo a Chile: “Nosotros llegamos para quedarnos”</w:t>
      </w:r>
    </w:p>
    <w:p>
      <w:pPr>
        <w:spacing w:before="40" w:after="60"/>
        <w:ind w:left="283"/>
      </w:pPr>
      <w:r>
        <w:rPr>
          <w:rFonts w:ascii="Arial" w:hAnsi="Arial"/>
          <w:color w:val="404040"/>
          <w:sz w:val="21"/>
        </w:rPr>
        <w:t>“Estamos acá, no porque haya llegado él (Kast). Veíamos en Chile otra cantidad de cosas muy importantes como país”, dijo Juan Manuel Rojas. Juan Manuel Rojas, CEO de Promigas, en la oficina de la colombiana en Chile. Foto: Julio Castro En una operación valorada en aproximadamente US$ 1.100 millones, el jueves de la semana pasada Zelestra -nacida en España como Solarpack, pero posteriormente comprada por el fondo sueco EQT- completó la venta de su unidad de negocio de latinoamérica a la colombiana Promigas. Así, esta última hizo su arribo oficial a Chile.</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La batalla por el cobre de San Juan: Coquimbo y Atacama compiten por los envíos de la nueva estrella minera de Argentina</w:t>
      </w:r>
    </w:p>
    <w:p>
      <w:pPr>
        <w:spacing w:before="40" w:after="60"/>
        <w:ind w:left="283"/>
      </w:pPr>
      <w:r>
        <w:rPr>
          <w:rFonts w:ascii="Arial" w:hAnsi="Arial"/>
          <w:color w:val="404040"/>
          <w:sz w:val="21"/>
        </w:rPr>
        <w:t>La provincia argentina de San Juan, con cuatro megaproyectos de cobre de escala global, proyecta inversiones de US$ 32 mil millones y exportaciones de US$ 20 mil millones anuales hacia 2035, lo que ha desatado una competencia entre Coquimbo y Atacama por convertirse en su salida al Pacífico. Coquimbo apuesta por su cercanía geográfica de 500 km, la inversión de US$ 110 millones en Terminal Puerto Coquimbo y el Corredor Bioceánico por el paso Agua Negra, aunque quedan 42 km sin pavimentar. Atacama presentó en la Expo Minera de San Juan una oferta coordinada de cuatro puertos junto a Ferronor, y el gobernador impulsa una ruta más directa trasladando el complejo fronterizo a Laguna Verde. Desde Lundin Mining, que desarrolla el proyecto Vicuña con BHP, confirmaron interés en puertos chilenos y valoraron la articulación regional.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Gremios productivos exigen que la comisión de Economía sesione en Biobío para enfrentar la crisis productiva</w:t>
      </w:r>
    </w:p>
    <w:p>
      <w:pPr>
        <w:spacing w:before="40" w:after="60"/>
        <w:ind w:left="283"/>
      </w:pPr>
      <w:r>
        <w:rPr>
          <w:rFonts w:ascii="Arial" w:hAnsi="Arial"/>
          <w:color w:val="404040"/>
          <w:sz w:val="21"/>
        </w:rPr>
        <w:t>Los principales gremios productivos del Biobío solicitaron a parlamentarios que la Comisión de Economía del Senado sesione presencialmente en la región, para que los legisladores conozcan en terreno la magnitud de la crisis en seguridad, certeza jurídica y fomento productivo. El presidente de la CPC Biobío, Álvaro Ananías, subrayó que las políticas de reactivación no pueden discutirse eficazmente desde Valparaíso cuando el 60% de los chilenos vive en regiones. El senador Gastón Saavedra, presidente de la Comisión de Economía, asumió el compromiso de concretar las sesiones en el Biobío y planteó la necesidad de combinar intervención estatal con el sector privado, especialmente en los sectores forestal y de construcción.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Imacec: la actividad económica sorprende en abril con su mayor caída en tres años por la contracción de la minería</w:t>
      </w:r>
    </w:p>
    <w:p>
      <w:pPr>
        <w:spacing w:before="40" w:after="60"/>
        <w:ind w:left="283"/>
      </w:pPr>
      <w:r>
        <w:rPr>
          <w:rFonts w:ascii="Arial" w:hAnsi="Arial"/>
          <w:color w:val="404040"/>
          <w:sz w:val="21"/>
        </w:rPr>
        <w:t>El Imacec de abril se contrajo 1,2% interanual, la mayor caída desde marzo de 2023 y muy por debajo del consenso que esperaba una baja de 0,1%. La caída fue explicada principalmente por la producción minera, que se desplomó 11,8% interanual, mientras el Imacec no minero registró un modesto crecimiento de 0,4%. El comercio mostró un alza de 2,1% y los servicios subieron 0,8%, pero no alcanzaron a compensar el derrumbe minero. Banco Santander señaló que los shocks de oferta positivos de 2025 se han disipado y que la economía se encuentra más cerca de crecer 1,5% que 2% en 2026.</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Economistas confían en un repunte del PIB al cierre del segundo trimestre, pese a las señales de una nueva caída en abril</w:t>
      </w:r>
    </w:p>
    <w:p>
      <w:pPr>
        <w:spacing w:before="40" w:after="60"/>
        <w:ind w:left="283"/>
      </w:pPr>
      <w:r>
        <w:rPr>
          <w:rFonts w:ascii="Arial" w:hAnsi="Arial"/>
          <w:color w:val="404040"/>
          <w:sz w:val="21"/>
        </w:rPr>
        <w:t>A pesar de la nueva caída del Imacec en abril —la cuarta del año—, los analistas prevén una recuperación en mayo y junio gracias a la normalización del sector no minero y una base de comparación menos exigente. Las estimaciones para el segundo trimestre van desde una expansión de 0,5% (Itaú) hasta 1,5% (BICE inversiones) y 1,4% (OCEC UDP). Para el año completo, las proyecciones oscilan entre 1,8% (OCEC) y 2,3% (BICE inversiones), aunque el mayor costo energético por el conflicto en Medio Oriente y condiciones financieras globales más restrictivas introducen sesgo a la baja. Itaú advirtió que los próximos datos de inflación serán clave para evaluar si el alza de combustibles genera efectos de segunda vuelta.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China despliega su potencial tecnológico y comercial en los preparativos de cara a la cumbre APEC 2026</w:t>
      </w:r>
    </w:p>
    <w:p>
      <w:pPr>
        <w:spacing w:before="40" w:after="60"/>
        <w:ind w:left="283"/>
      </w:pPr>
      <w:r>
        <w:rPr>
          <w:rFonts w:ascii="Arial" w:hAnsi="Arial"/>
          <w:color w:val="404040"/>
          <w:sz w:val="21"/>
        </w:rPr>
        <w:t>China se prepara para recibir la cumbre APEC en Shenzhen los días 18 y 19 de noviembre, con un programa de casi 300 encuentros ministeriales y técnicos a lo largo del año, bajo el lema "Construyendo una comunidad de Asia y el Pacífico para prosperar juntos". La agenda prioritaria incluye gobernanza de inteligencia artificial, resiliencia de cadenas de suministro ante el proteccionismo y digitalización para reducir la informalidad. En mayo, los ministros de Comercio sellaron en Suzhou una hoja de ruta para la liberalización de servicios digitales. El bloque APEC representa el 66,9% del comercio total de Chile y el 74,4% de sus exportaciones, con un intercambio anual de US$ 122.703 millones.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Indemnización a todo evento, sala cuna y jornada laboral: los frentes que abre la Sofofa para revivir el empleo</w:t>
      </w:r>
    </w:p>
    <w:p>
      <w:pPr>
        <w:spacing w:before="40" w:after="60"/>
        <w:ind w:left="283"/>
      </w:pPr>
      <w:r>
        <w:rPr>
          <w:rFonts w:ascii="Arial" w:hAnsi="Arial"/>
          <w:color w:val="404040"/>
          <w:sz w:val="21"/>
        </w:rPr>
        <w:t>Sofofa entregó a la mesa de reactivación laboral un documento con cuatro ejes de propuestas para estimular el empleo, en particular el femenino y juvenil. En materia de indemnización, plantea reemplazar el esquema actual por una indemnización a todo evento con aportes mensuales del empleador a una cuenta individual del Seguro de Cesantía, aplicable solo a nuevos contratos indefinidos. Sobre sala cuna, propone eliminar el umbral de 20 trabajadoras, universalizar el derecho para hijos menores de dos años y financiarlo mediante una cotización que extinga totalmente la obligación del empleador. En formación laboral, propone conectar el sistema de capacitación con necesidades reales del mercado, priorizando habilidades en IA, digitalización y transición verde.</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El mercado da a De la Espriella un 81% de probabilidad de convertirse en el próximo Presidente de Colombia</w:t>
      </w:r>
    </w:p>
    <w:p>
      <w:pPr>
        <w:spacing w:before="40" w:after="60"/>
        <w:ind w:left="283"/>
      </w:pPr>
      <w:r>
        <w:rPr>
          <w:rFonts w:ascii="Arial" w:hAnsi="Arial"/>
          <w:color w:val="404040"/>
          <w:sz w:val="21"/>
        </w:rPr>
        <w:t>El independiente de derecha Abelardo de la Espriella sorprendió en la primera vuelta presidencial colombiana, obteniendo el 43,7% de los votos frente al 40,9% del oficialista Iván Cepeda, en una jornada con participación récord de 57,7%. La plataforma Polymarket le asigna un 81% de probabilidad de ganar el balotaje del 21 de junio, considerando que es el favorito para captar los 1,6 millones de votos de Paloma Valencia, candidata del uribismo. Analistas coinciden en que el impulso está de su lado, dado que venció sin respaldo de maquinarias políticas tradicionales y por primera vez en una elección popular. El presidente argentino Javier Milei fue uno de los primeros en felicitarlo.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Jerome Powell advierte que la Reserva Federal atraviesa una “prueba de estrés”</w:t>
      </w:r>
    </w:p>
    <w:p>
      <w:pPr>
        <w:spacing w:before="40" w:after="60"/>
        <w:ind w:left="283"/>
      </w:pPr>
      <w:r>
        <w:rPr>
          <w:rFonts w:ascii="Arial" w:hAnsi="Arial"/>
          <w:color w:val="404040"/>
          <w:sz w:val="21"/>
        </w:rPr>
        <w:t>Al recibir el Premio John F. Kennedy al Coraje Público, el expresidente del organismo afirma que los intentos de Donald Trump por destituir a autoridades del banco central socavan el Estado de derecho. Jerome Powell afirmó que la Reserva Federal atraviesa una “prueba de estrés” que amenaza la fortaleza y estabilidad de la mayor economía del mundo, al sostener quelos intentos de Donald Trump por destituir a autoridades del banco central socavan el Estado de derecho. Powell, quien la semana pasada volvió a desempeñarse como gobernador de la Fed tras un período de ocho años como presidente de la institución, señaló el domingo en Boston que el banco central está “como muchas otras instituciones está sometido a una prueba de estrés”.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SoftBank supera a Toyota como la empresa más valiosa de Japón</w:t>
      </w:r>
    </w:p>
    <w:p>
      <w:pPr>
        <w:spacing w:before="40" w:after="60"/>
        <w:ind w:left="283"/>
      </w:pPr>
      <w:r>
        <w:rPr>
          <w:rFonts w:ascii="Arial" w:hAnsi="Arial"/>
          <w:color w:val="404040"/>
          <w:sz w:val="21"/>
        </w:rPr>
        <w:t>SoftBank desbancó a Toyota como la empresa más valiosa de Japón por primera vez en más de dos décadas, tras un alza de 14% en sus acciones que elevó su capitalización bursátil a 48 billones de yenes (más de US$ 330 mil millones), superando los 46 billones de la automotriz. Las acciones de SoftBank acumulan un alza de más de 90% en el año, impulsadas por el auge de la IA, la cercanía con OpenAI —en la que comprometió cerca de US$ 65 mil millones y obtendrá un 13% hacia octubre— y el anuncio de invertir US$ 87 mil millones en centros de datos de IA en Francia. Toyota, en contraste, cayó más de 10% en 2026, afectada por el alza del petróleo derivada del conflicto con Irán y los desafíos de la transición hacia vehículos eléctricos. Kioxia, fabricante de chips de memoria, también emerge como tercera empresa más valiosa de Japón con 40 billones de yenes.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IA crece más de 2.000% anual en EEUU, pero las lecturas del PIB no logran captarla</w:t>
      </w:r>
    </w:p>
    <w:p>
      <w:pPr>
        <w:spacing w:before="40" w:after="60"/>
        <w:ind w:left="283"/>
      </w:pPr>
      <w:r>
        <w:rPr>
          <w:rFonts w:ascii="Arial" w:hAnsi="Arial"/>
          <w:color w:val="404040"/>
          <w:sz w:val="21"/>
        </w:rPr>
        <w:t>Un informe del Peterson Institute concluye que la economía de la IA en EEUU crece a tasas superiores al 2.000% anual en términos de producción ajustada por calidad, pero esa expansión apenas deja huella en las estadísticas del PIB por limitaciones metodológicas. El gasto nominal en computación para IA escaló de US$ 36.900 millones en 2023 a US$ 219.200 millones en 2025, con tasas de crecimiento de 145% anual, y la capacidad computacional creció más de 200% anual. Los sistemas estadísticos convencionales no capturan los avances de calidad ni la dispersión sectorial de la IA, creando una "brecha de medición" que podría transformarse en una brecha de política pública. El informe propone cuentas satélite específicas, mayor cooperación entre agencias estadísticas y empresas tecnológicas, e incorporación de métricas de IA en proyecciones macroeconómicas.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impacto económico del Mundial de Fútbol 2026 para sus anfitriones</w:t>
      </w:r>
    </w:p>
    <w:p>
      <w:pPr>
        <w:spacing w:before="40" w:after="60"/>
        <w:ind w:left="283"/>
      </w:pPr>
      <w:r>
        <w:rPr>
          <w:rFonts w:ascii="Arial" w:hAnsi="Arial"/>
          <w:color w:val="404040"/>
          <w:sz w:val="21"/>
        </w:rPr>
        <w:t>El Mundial de Fútbol 2026 en EEUU, México y Canadá generaría unos US$ 11 mil millones para la FIFA, 56% más que Qatar 2022, pero el impacto económico para los países anfitriones sería más modesto y temporal que las proyecciones iniciales. En EEUU se estiman ingresos de US$ 17 mil millones, menos del 0,1% del PIB, con efectos concentrados en turismo y consumo local. México proyecta una derrama de hasta US$ 2.570 millones equivalente a 0,13% del PIB, mientras Canadá destinó US$ 1.066 millones en apoyo gubernamental, más del doble del presupuesto original. Analistas de Saxo Bank y Natixis CIB advierten que los grandes eventos deportivos suelen presentar sobrecostes y beneficios reales inferiores a las estimaciones.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Solopreneur y la revolución IA</w:t>
      </w:r>
    </w:p>
    <w:p>
      <w:pPr>
        <w:spacing w:before="40" w:after="60"/>
        <w:ind w:left="283"/>
      </w:pPr>
      <w:r>
        <w:rPr>
          <w:rFonts w:ascii="Arial" w:hAnsi="Arial"/>
          <w:color w:val="404040"/>
          <w:sz w:val="21"/>
        </w:rPr>
        <w:t>El fenómeno del "solopreneur" —una persona que construye y escala un negocio apoyado en IA— comprime radicalmente la cadena de valor integrando marketing, operaciones y atención al cliente en una sola persona asistida por sistemas automatizados. El modelo ofrece acceso a mercados globales con barreras históricamente bajas, pero enfrenta limitaciones estructurales: sin equipo se pierde el contraste intelectual, se amplifican los sesgos y las ventas consultivas o de relaciones de largo plazo siguen requiriendo presencia humana. Muchas de estas iniciativas operan en zonas grises tributarias y regulatorias, en un país como Chile que aún carece de un marco robusto en materia de datos e IA. El verdadero desafío es entender hasta dónde la IA reemplaza —y dónde no— el valor de lo colectivo.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Anthropic dará a la agencia de ciberseguridad de la Unión Europea acceso a Mythos</w:t>
      </w:r>
    </w:p>
    <w:p>
      <w:pPr>
        <w:spacing w:before="40" w:after="60"/>
        <w:ind w:left="283"/>
      </w:pPr>
      <w:r>
        <w:rPr>
          <w:rFonts w:ascii="Arial" w:hAnsi="Arial"/>
          <w:color w:val="404040"/>
          <w:sz w:val="21"/>
        </w:rPr>
        <w:t>Anthropic acordó dar acceso a ENISA, la agencia de ciberseguridad de la UE, a su modelo Mythos —capaz de encontrar y explotar vulnerabilidades en sistemas informáticos— a través del programa restringido Project Glasswing, diseñado para que organizaciones clave lo evalúen antes de su lanzamiento general. La decisión se anunció al ejecutivo europeo después de que la Comisión enviara funcionarios a San Francisco tras varias semanas de gestiones infructuosas. El acceso a Mythos ha sido muy limitado desde su presentación en abril, dado el potencial riesgo para infraestructuras críticas; previamente solo habían obtenido acceso anticipado autoridades estadounidenses, Goldman Sachs y el Instituto de Seguridad de IA del Reino Unido.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Nvidia entra al mercado de laptops con un "superchip" que funcionará con Windows para desafiar a Intel y AMD</w:t>
      </w:r>
    </w:p>
    <w:p>
      <w:pPr>
        <w:spacing w:before="40" w:after="60"/>
        <w:ind w:left="283"/>
      </w:pPr>
      <w:r>
        <w:rPr>
          <w:rFonts w:ascii="Arial" w:hAnsi="Arial"/>
          <w:color w:val="404040"/>
          <w:sz w:val="21"/>
        </w:rPr>
        <w:t>Nvidia anunció en Computex Taipéi su ingreso al mercado de computadoras personales con el superchip RTX Spark, que combina CPU con hasta 20 núcleos y GPU Blackwell con 6.144 núcleos en memoria integrada compartida, fabricado por TSMC en proceso 3N con ayuda de MediaTek. El producto debutará en laptops y desktops de Dell y Lenovo con Windows para Arm, apuntando inicialmente al segmento premium. Las acciones de Intel y AMD cayeron, mientras Nvidia subió cerca de 2%, MediaTek avanzó más de 5% y Arm se disparó más de 7%. Jensen Huang comparó el potencial transformador de RTX Spark con la llegada de los smartphones.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StartupLabs de Corfo: Santiago opera en régimen mientras Valparaíso y Los Lagos afinan puesta en marcha</w:t>
      </w:r>
    </w:p>
    <w:p>
      <w:pPr>
        <w:spacing w:before="40" w:after="60"/>
        <w:ind w:left="283"/>
      </w:pPr>
      <w:r>
        <w:rPr>
          <w:rFonts w:ascii="Arial" w:hAnsi="Arial"/>
          <w:color w:val="404040"/>
          <w:sz w:val="21"/>
        </w:rPr>
        <w:t>El hub startuplab.01 en Santiago ya opera a plena capacidad con 17 startups, laboratorios en funcionamiento y más de 70 postulaciones acumuladas en ventanilla abierta, apuntando a sumar 30 empresas en 2026. Los hubs regionales de Valparaíso (Distrito V21) y Los Lagos (Patagonia Biotech HUB) están pendientes de completar el due diligence de Albemarle —que financiará los proyectos con recursos del acuerdo del litio— para firmar su convenio con Corfo y proyectan abrir en el segundo semestre. El hub de Valparaíso solicitó US$ 10 millones a cinco años para habilitar tres pisos del Parque Tecnológico en Viña del Mar; el de Los Lagos solicitó cerca de US$ 3 millones para escalar su operación existente en Puerto Varas, con foco en acuicultura, agroindustria y forestal.</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La urgencia de recuperar el empleo femenino</w:t>
      </w:r>
    </w:p>
    <w:p>
      <w:pPr>
        <w:spacing w:before="40" w:after="60"/>
        <w:ind w:left="283"/>
      </w:pPr>
      <w:r>
        <w:rPr>
          <w:rFonts w:ascii="Arial" w:hAnsi="Arial"/>
          <w:color w:val="404040"/>
          <w:sz w:val="21"/>
        </w:rPr>
        <w:t>La tasa de desocupación chilena llegó a 9,1% en el trimestre febrero-abril, con un deterioro marcadamente femenino: el desempleo de mujeres alcanzó el 10,5%, mientras el masculino retrocedió a 8%, y el número de mujeres desocupadas creció 10,1% en un año. La normativa vigente de sala cuna —que obliga a empresas con más de 20 trabajadoras a financiar el beneficio— ha generado desincentivos documentados a la contratación femenina, mayor informalidad y brechas laborales persistentes. Existe hoy un consenso transversal —gobierno, oposición y sociedad civil— para reemplazarla por un mecanismo de financiamiento solidario que elimine el castigo implícito a contratar mujeres. Estudios citados por ChileMujeres estiman que una mayor participación laboral femenina podría aportar entre 0,1 y 0,8 puntos porcentuales adicionales al PIB.</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