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10 De Junio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Bci revaloriza acción de CAP y estima potencial alcista de 20% por precios del hierro, negocio con AZA y participación en Aclara</w:t>
      </w:r>
    </w:p>
    <w:p>
      <w:pPr>
        <w:spacing w:before="40" w:after="60"/>
        <w:ind w:left="283"/>
      </w:pPr>
      <w:r>
        <w:rPr>
          <w:rFonts w:ascii="Arial" w:hAnsi="Arial"/>
          <w:color w:val="404040"/>
          <w:sz w:val="21"/>
        </w:rPr>
        <w:t>Bci Corredor de Bolsa elevó el precio objetivo de CAP de $7.300 a $8.000 por acción, lo que implica un potencial alcista de 20% hacia fines de 2026, manteniendo la recomendación neutral con riesgo alto. La corredora proyecta que el Ebitda de la siderúrgica crezca 20% este año hasta US$552 millones y otro 20% en 2027 hasta US$666 millones, con precios promedio del hierro de US$105 por tonelada en 2026 y US$101 en 2027. La valorización incorpora el acuerdo con Aceros AZA por Huachipato, que aportaría a CAP unos US$105 millones entre efectivo diferido, un 15% de la empresa combinada y un pago contingente, equivalente a cerca de 8% del valor consolidado. Además, el negocio de tierras raras vía Aclara y el Módulo Penco recién aprobado ambientalmente sumaría unos US$190 millones, un 14% de la valorización total de la compañía.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insiste en recuperar terreno mientras bolsas mundiales caen en medio de la incertidumbre geopolítica</w:t>
      </w:r>
    </w:p>
    <w:p>
      <w:pPr>
        <w:spacing w:before="40" w:after="60"/>
        <w:ind w:left="283"/>
      </w:pPr>
      <w:r>
        <w:rPr>
          <w:rFonts w:ascii="Arial" w:hAnsi="Arial"/>
          <w:color w:val="404040"/>
          <w:sz w:val="21"/>
        </w:rPr>
        <w:t>El S&amp;P IPSA abrió este miércoles con un alza de 0,2% hasta los 10.520 puntos, desmarcándose de las bolsas globales, tras anotar el martes su mayor avance en 14 meses luego de siete jornadas consecutivas de pérdidas. Falabella, Banco de Chile y Santander lideraban las alzas locales, mientras en Wall Street el Nasdaq cedía 0,7% y el S&amp;P 500 retrocedía 0,5%, presionados por la escalada bélica entre Estados Unidos e Irán. El petróleo Brent subía 1,2% hasta US$92,5 por barril después de que EEUU bombardeara Irán y Teherán respondiera con misiles contra bases estadounidenses en Jordania, Bahrein y Kuwait. Los inversionistas evalúan si las amenazas de Trump, quien advirtió que Irán deberá "pagar el precio" por dilatar las negociaciones, sepultan las opciones de un acuerdo de paz que reabra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plano tras IPC sin grandes sorpresas en EEUU y mientras sigue la expectativa de acuerdo en Medio Oriente pese al fuego cruzado</w:t>
      </w:r>
    </w:p>
    <w:p>
      <w:pPr>
        <w:spacing w:before="40" w:after="60"/>
        <w:ind w:left="283"/>
      </w:pPr>
      <w:r>
        <w:rPr>
          <w:rFonts w:ascii="Arial" w:hAnsi="Arial"/>
          <w:color w:val="404040"/>
          <w:sz w:val="21"/>
        </w:rPr>
        <w:t>El dólar-peso cotizaba estable en torno a $917,8 este miércoles, sin variaciones relevantes pese al intercambio de ataques entre Estados Unidos e Irán, sostenido por las esperanzas de que aún prospere un acuerdo de paz en Medio Oriente. El IPC estadounidense de mayo subió 0,5% mensual y 4,2% anual, cifras alineadas con el consenso, mientras la medición subyacente avanzó 0,2% mensual y 2,9% en doce meses, una décima bajo lo esperado en su variación mensual. La reaceleración inflacionaria responde al encarecimiento de la energía por la guerra que ya supera los 100 días, con el Brent subiendo 1,4% hasta US$92,7 por barril. El cobre Comex, en tanto, retrocedía 1% hasta US$6,26 por libra, en una jornada de escasos movimientos del dólar global y de los rendimientos del Tesoro.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Superintendencia de Pensiones advierte por vendedores que ofrecen bonos de dinero para cambiarse de AFP</w:t>
      </w:r>
    </w:p>
    <w:p>
      <w:pPr>
        <w:spacing w:before="40" w:after="60"/>
        <w:ind w:left="283"/>
      </w:pPr>
      <w:r>
        <w:rPr>
          <w:rFonts w:ascii="Arial" w:hAnsi="Arial"/>
          <w:color w:val="404040"/>
          <w:sz w:val="21"/>
        </w:rPr>
        <w:t>Una investigación de DF reveló que supuestos agentes previsionales ofrecen por redes sociales bonos en efectivo de entre $60 mil y $300 mil, o gift cards de retail, a cambio de traspasar el ahorro obligatorio a otra AFP, práctica expresamente prohibida por el artículo 23 del DL 3.500. En Facebook operan decenas de grupos públicos con miles de miembros donde se detallan requisitos de renta imponible según la gestora de destino y permanencias mínimas de hasta dos años. Un vendedor contratado por una AFP reconoció que reparte parte de su comisión con los clientes traspasados para cumplir metas mensuales, y que la práctica no es fiscalizada internamente. La Superintendencia de Pensiones calificó estos incentivos como una infracción a la normativa previsional e instruyó a las administradoras a reforzar el control sobre sus fuerzas de venta, aunque precisó que no ha recibido denuncias sobre casos particulares.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Ministro Campos y presidente de la SNA se lanzan contra tasas de EEUU: "No podemos aceptar cambios arancelarios injustificados"</w:t>
      </w:r>
    </w:p>
    <w:p>
      <w:pPr>
        <w:spacing w:before="40" w:after="60"/>
        <w:ind w:left="283"/>
      </w:pPr>
      <w:r>
        <w:rPr>
          <w:rFonts w:ascii="Arial" w:hAnsi="Arial"/>
          <w:color w:val="404040"/>
          <w:sz w:val="21"/>
        </w:rPr>
        <w:t>El ministro de Agricultura, Campos, y el presidente de la Sociedad Nacional de Agricultura criticaron en un seminario del sector los aranceles aplicados por Estados Unidos, calificándolos de cambios injustificados que el país no puede aceptar. El titular de la cartera agrícola cuestionó las políticas proteccionistas que algunos países han levantado, señalando que sus resultados hacen dudar de su efectividad. Las declaraciones reflejan la creciente preocupación del agro chileno por el impacto de las barreras comerciales estadounidenses sobre las exportaciones del sector.</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Cobro de IVA a casinos online vuelve a encender el debate por la falta de regulación en la industria</w:t>
      </w:r>
    </w:p>
    <w:p>
      <w:pPr>
        <w:spacing w:before="40" w:after="60"/>
        <w:ind w:left="283"/>
      </w:pPr>
      <w:r>
        <w:rPr>
          <w:rFonts w:ascii="Arial" w:hAnsi="Arial"/>
          <w:color w:val="404040"/>
          <w:sz w:val="21"/>
        </w:rPr>
        <w:t>La resolución N°69 del SII, que habilita a casas de apuestas y casinos online sin domicilio en Chile a pagar el IVA Digital, reabrió la polémica porque coincide con la tramitación en el Senado de la ley que regula estas plataformas y con el mandato de la Corte Suprema de 2025 que ordenó bloquear los sitios por ilegales. La presidenta de la Asociación de Casinos, Cecilia Valdés, tildó la señal de profundamente contradictoria, pues recaudar antes de regular puede leerse como una validación indirecta de operadores ilícitos. Wes Himes, ejecutivo del Betting and Gambling Council del Reino Unido, advirtió que cobrar impuestos a plataformas no reconocidas legalmente deja una enorme interrogante jurídica, ya que los operadores que paguen no obtienen protección legal alguna, y recordó que el estándar internacional es otorgar licencias primero y gravar después. El director del SII, Jorge Trujillo, defendió la medida ante el Senado argumentando que al organismo solo le corresponde fiscalizar el cumplimiento tributario de actividades efectivamente realizadas, sin pronunciarse sobre su licitud.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Lider, Google y Metro lideran como las marcas con mejor valoración ciudadana en Chile</w:t>
      </w:r>
    </w:p>
    <w:p>
      <w:pPr>
        <w:spacing w:before="40" w:after="60"/>
        <w:ind w:left="283"/>
      </w:pPr>
      <w:r>
        <w:rPr>
          <w:rFonts w:ascii="Arial" w:hAnsi="Arial"/>
          <w:color w:val="404040"/>
          <w:sz w:val="21"/>
        </w:rPr>
        <w:t>El estudio Marcas Ciudadanas de Cadem, respaldado por DF y Deloitte, evaluó 385 marcas en 52 categorías con 18.000 encuestados entre el 4 y 20 de mayo, y distinguió a 42 empresas como compañías con imagen positiva y aporte reconocido por la sociedad. Lider encabezó el ranking tras subir diez puestos desde la medición anterior, seguido por Google, que debuta en el estudio, y Metro de Santiago, con Mercado Libre, Cencosud y Farmacias del Dr. Simi completando los primeros lugares. El gerente general de Cadem, Roberto Izikson, explicó que Lider representa lo esencial con su relación justa de precio y calidad en un año de incertidumbre económica y alzas de precios, mientras Google encarna lo emergente a través de la inteligencia artificial. En innovación lidera Mercado Libre, en publicidad memorable Coca Cola, y en apoyo a causas sociales destaca Banco de Chile.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Rodrigo O’Ryan presidente de la Corporación Chilena de la Madera (Corma): “Que nos digan (al sector forestal) que hacemos pedazos el medioambiente, nos duele y frustra”</w:t>
      </w:r>
    </w:p>
    <w:p>
      <w:pPr>
        <w:spacing w:before="40" w:after="60"/>
        <w:ind w:left="283"/>
      </w:pPr>
      <w:r>
        <w:rPr>
          <w:rFonts w:ascii="Arial" w:hAnsi="Arial"/>
          <w:color w:val="404040"/>
          <w:sz w:val="21"/>
        </w:rPr>
        <w:t>El presidente de Corma sostiene que la industria forestal chilena es injustamente asociada a la depredación ambiental, cuando en realidad absorbe el 50% de las emisiones anuales de CO2 del país, emplea a 250 mil trabajadores, representa el 1,5% del PIB y exporta US$6 mil millones al año. Rebate los mitos contra el sector señalando que de las 2,5 millones de hectáreas de plantaciones solo 300 mil están en deuda con el bosque nativo y se están devolviendo, mientras la superficie de bosque nativo alcanza 14,7 millones de hectáreas. Advierte que está en juego la supervivencia de la industria: la superficie plantada ya cayó 20%, se pierden 3.200 empleos al año, y a ello se suman bajos precios de la celulosa, aranceles y la caída mundial de la construcción. Pide al gobierno fomento forestal, impulso a la construcción en madera y seguridad, destacando que tras la Ley de Robo de Madera los atentados bajaron de 102 a 15 anuales, además de un mea culpa gremial por no haber comunicado bien su aporte.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Gerente general de Aclara tras visto bueno de Coeva a proyecto: “Chile puede entregar 35% de la brecha de suministro de tierras raras pesadas”</w:t>
      </w:r>
    </w:p>
    <w:p>
      <w:pPr>
        <w:spacing w:before="40" w:after="60"/>
        <w:ind w:left="283"/>
      </w:pPr>
      <w:r>
        <w:rPr>
          <w:rFonts w:ascii="Arial" w:hAnsi="Arial"/>
          <w:color w:val="404040"/>
          <w:sz w:val="21"/>
        </w:rPr>
        <w:t>Tras la aprobación unánime de la Comisión de Evaluación Ambiental del Biobío al proyecto de tierras raras de Aclara y Grupo CAP en Penco, el primero de su tipo en Chile, el gerente general Enrique Donoso afirmó que el país puede cubrir 35% de la brecha mundial de suministro de tierras raras pesadas a 2030. La iniciativa contempla una inversión inicial de US$130 millones, 2.200 empleos y la extracción de 1.700 toneladas anuales desde 2028, en un contexto donde China concentra 69% del suministro global. Donoso destacó que al procesar el mineral localmente hasta aleaciones para electromovilidad y energía eólica, Chile accede a un mercado regido por contratos de largo plazo con firmas tecnológicas y no por los vaivenes de los commodities tradicionales. La empresa ya capacitó a más de 250 vecinos de Penco, comprometió 40% de contrataciones locales y aspira a que este módulo sea el primero de varios, pese a la resistencia del alcalde de la comuna.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Mercado aplica fuerte recorte a proyección de crecimiento de este año y modera sus perspectivas de inflación</w:t>
      </w:r>
    </w:p>
    <w:p>
      <w:pPr>
        <w:spacing w:before="40" w:after="60"/>
        <w:ind w:left="283"/>
      </w:pPr>
      <w:r>
        <w:rPr>
          <w:rFonts w:ascii="Arial" w:hAnsi="Arial"/>
          <w:color w:val="404040"/>
          <w:sz w:val="21"/>
        </w:rPr>
        <w:t>La Encuesta de Expectativas Económicas del Banco Central mostró que los analistas recortaron la proyección de crecimiento del PIB para 2026 desde 2% a 1,6%, mientras moderaron la estimación de inflación a diciembre desde 4,3% a 4,1%, con retorno a la meta de 3% recién en diciembre de 2027. Para junio se espera una variación nula del IPC, un Imacec de mayo de apenas 0,2% y una expansión de 0,5% en el segundo trimestre. La perspectiva de inversión para fines de año también se redujo levemente, de 4,2% a 4%. En materia monetaria, el mercado anticipa que el Banco Central mantenga la tasa de política en 4,5% en su reunión de la próxima semana y hasta diciembre, con un recorte a 4,25% en un horizonte de once meses, mientras el tipo de cambio convergería a $896 en dos meses y a $870 en once.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¿Meta creíble? Mercado valora sinceramiento, pero advierte que se sobrepasará límite prudente de la deuda pública</w:t>
      </w:r>
    </w:p>
    <w:p>
      <w:pPr>
        <w:spacing w:before="40" w:after="60"/>
        <w:ind w:left="283"/>
      </w:pPr>
      <w:r>
        <w:rPr>
          <w:rFonts w:ascii="Arial" w:hAnsi="Arial"/>
          <w:color w:val="404040"/>
          <w:sz w:val="21"/>
        </w:rPr>
        <w:t>Los economistas coinciden en que la nueva trayectoria fiscal del ministro Jorge Quiroz, que abandona el balance estructural prometido en campaña y apunta a reducir el déficit desde 2,6% del PIB este año a 1,5% en 2030, es creíble y alcanzable, aunque desafiante. Especialistas como Andrés Pérez de Itaú y Cecilia Cifuentes del CEF advierten que el cumplimiento exige un fuerte ajuste de gasto en 2027, de 0,8 punto del PIB, cuya factibilidad genera dudas considerando el impacto fiscal negativo del proyecto de reconstrucción. La principal preocupación es que la deuda pública superaría el límite prudente de 45% del PIB entre 2027 y 2028, con o sin ese proyecto, según el exdirector de Presupuestos Matías Acevedo. Aun así, varios analistas estiman que traspasar transitoriamente ese umbral no sería dramático en lo macroeconómico, aunque constituiría una mala señal para la institucionalidad fiscal chilena.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Felipe Larraín respalda a Quiroz en entrevista con DF al Cierre tras el decreto fiscal: “Me parece realista lo que hizo el ministro”</w:t>
      </w:r>
    </w:p>
    <w:p>
      <w:pPr>
        <w:spacing w:before="40" w:after="60"/>
        <w:ind w:left="283"/>
      </w:pPr>
      <w:r>
        <w:rPr>
          <w:rFonts w:ascii="Arial" w:hAnsi="Arial"/>
          <w:color w:val="404040"/>
          <w:sz w:val="21"/>
        </w:rPr>
        <w:t>El exministro de Hacienda Felipe Larraín respaldó la decisión de Jorge Quiroz de sincerar que el gobierno no alcanzará el balance fiscal comprometido en campaña y fijar una meta de déficit estructural de 1,5% del PIB a 2030, calificándola de realista y razonable dado el punto de partida de 3,7% de deterioro en 2025. Argumentó que prometer déficit cero habría sido poco creíble y exigido una contracción de gasto enorme, y que lo esencial para recuperar la institucionalidad fiscal, dañada por tres años de incumplimientos, es volver a cumplir las metas. Advirtió que la economía enfrenta una tríada negativa de deterioro fiscal, desempleo de 9,1% y crecimiento inferior a 2%, y recordó que cada punto adicional de crecimiento recauda US$800 millones, acumulando US$8.000 millones en cuatro años, más que una reforma tributaria. Sobre el proyecto de reconstrucción del gobierno, lo consideró importante pero insuficiente por sí solo para alcanzar el crecimiento de 4% a 2030.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Comisión de Hacienda del Senado despacha salario mínimo y lo deja listo para votación en Sala</w:t>
      </w:r>
    </w:p>
    <w:p>
      <w:pPr>
        <w:spacing w:before="40" w:after="60"/>
        <w:ind w:left="283"/>
      </w:pPr>
      <w:r>
        <w:rPr>
          <w:rFonts w:ascii="Arial" w:hAnsi="Arial"/>
          <w:color w:val="404040"/>
          <w:sz w:val="21"/>
        </w:rPr>
        <w:t>La Comisión de Hacienda del Senado aprobó el proyecto de reajuste del salario mínimo y lo despachó a la Sala para su votación definitiva. La propuesta eleva el monto en forma retroactiva a $553.553 desde el 1 de mayo de 2026, un alza de 2,7%, y establece que desde el 1 de enero de 2027 se reajustará según la variación del IPC acumulada entre mayo y diciembre de 2026. La CUT no suscribió el acuerdo con el gobierno por considerar insuficiente el incremento frente al costo de la vida, y planteó avanzar hacia un salario vital, además de reactivar el Observatorio de Ingresos, modificar la gratificación legal y eliminar el IVA a los medicamentos.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Inflación de EEUU se empina a máximo de tres años con alza de 4,2% anual en mayo</w:t>
      </w:r>
    </w:p>
    <w:p>
      <w:pPr>
        <w:spacing w:before="40" w:after="60"/>
        <w:ind w:left="283"/>
      </w:pPr>
      <w:r>
        <w:rPr>
          <w:rFonts w:ascii="Arial" w:hAnsi="Arial"/>
          <w:color w:val="404040"/>
          <w:sz w:val="21"/>
        </w:rPr>
        <w:t>El IPC de Estados Unidos subió 0,5% mensual en mayo y alcanzó 4,2% anual, su mayor nivel desde abril de 2023 y la primera vez que supera el umbral de 4% desde entonces, en línea con las expectativas del mercado. El costo de la energía explicó 60% del alza mensual, reflejo del shock de suministro provocado por la guerra en Medio Oriente y el cierre del estrecho de Ormuz, mientras la inflación subyacente avanzó 0,2% mensual y 2,9% interanual. El dato complica a la Reserva Federal de cara a la primera reunión del FOMC presidida por Kevin Warsh la próxima semana, donde se espera que la tasa se mantenga en el rango de 3,50%-3,75%, aunque crecen las apuestas por un alza antes de fin de año. Analistas advierten que el proceso de desinflación se volvió frágil y dependiente de la evolución del conflicto bélico y los precios energéticos.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retoma tono amenazante contra Irán y asegura que tendrá que "pagar el precio" por prolongar las negociaciones</w:t>
      </w:r>
    </w:p>
    <w:p>
      <w:pPr>
        <w:spacing w:before="40" w:after="60"/>
        <w:ind w:left="283"/>
      </w:pPr>
      <w:r>
        <w:rPr>
          <w:rFonts w:ascii="Arial" w:hAnsi="Arial"/>
          <w:color w:val="404040"/>
          <w:sz w:val="21"/>
        </w:rPr>
        <w:t>El Presidente Donald Trump endureció su discurso contra Irán tras una noche de ataques cruzados que tensionaron la frágil tregua de dos meses, escribiendo en su red social que Teherán tardó demasiado en negociar un acuerdo que le habría sido favorable y que ahora deberá pagar el precio. Las hostilidades se reanudaron tras la caída de un helicóptero Apache estadounidense que Washington atribuyó a Irán, acusación que Teherán no ha confirmado. Tras la publicación del mandatario, el petróleo retomó las alzas: el Brent subió 1,45% hasta US$92,66 y el WTI avanzó 1,77% hasta US$89,25 por barril. No queda claro si las declaraciones implican el abandono del cese al fuego, pues Trump ha alternado durante semanas entre anunciar un fin inminente de la guerra y amenazar con ataques a gran escala.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fenómeno de El Niño finalmente aparece y eleva los riesgos climáticos globales</w:t>
      </w:r>
    </w:p>
    <w:p>
      <w:pPr>
        <w:spacing w:before="40" w:after="60"/>
        <w:ind w:left="283"/>
      </w:pPr>
      <w:r>
        <w:rPr>
          <w:rFonts w:ascii="Arial" w:hAnsi="Arial"/>
          <w:color w:val="404040"/>
          <w:sz w:val="21"/>
        </w:rPr>
        <w:t>La Agencia Meteorológica de Japón identificó la formación de El Niño en el Pacífico ecuatorial, el primero desde 2023, que podría convertirse en uno de los más intensos registrados al fortalecerse hacia diciembre o enero y prolongarse al menos hasta fin de año. El fenómeno amenaza con sequías, inundaciones y presión sobre cultivos y redes eléctricas: sus efectos ya se sienten con el retraso del monzón en India y la suspensión de la pesca en Perú, y episodios fuertes han reducido históricamente los rendimientos de palma, café, cacao, algodón y granos. El antecedente de 1997 dejó al menos 30.000 muertos y daños por unos US$100.000 millones, y un estudio de Dartmouth estimó que sus consecuencias persistentes pueden costar billones de dólares a la economía mundial. Una anomalía de temperatura oceánica de 2°C o más configuraría un Super El Niño, escenario que preocupa a especialistas, aunque el fenómeno también podría moderar la temporada de huracanes del Atlántico, con unas 14 tormentas con nombre previstas.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Augusto Álvarez Rodrich, analista político y economista peruano: “Pareciera que falta contabilizar mesas de Lima y del extranjero,lo que favorecería a Fujimori”</w:t>
      </w:r>
    </w:p>
    <w:p>
      <w:pPr>
        <w:spacing w:before="40" w:after="60"/>
        <w:ind w:left="283"/>
      </w:pPr>
      <w:r>
        <w:rPr>
          <w:rFonts w:ascii="Arial" w:hAnsi="Arial"/>
          <w:color w:val="404040"/>
          <w:sz w:val="21"/>
        </w:rPr>
        <w:t>El analista político peruano sostiene que, pese a que con 96% de actas escrutadas la ONPE da 50,12% a Roberto Sánchez contra 49,88% de Keiko Fujimori, la candidata de Fuerza Popular tiene más opciones de ganar porque las mesas pendientes de Lima y del extranjero la favorecerían, en una elección que podría definirse por 20 mil votos o menos. Recuerda que los comicios peruanos de 2016 y 2021 se resolvieron por márgenes de 40 mil y 44 mil votos, y que el empate refleja candidatos con escaso respaldo, pues ninguno superó 25% en primera vuelta, en un país con la mayor desconfianza institucional de la región según el Barómetro de las Américas. A su juicio, Fujimori daría mayor estabilidad por su capacidad de tejer alianzas y sus 22 votos en un Senado de 60 escaños, suficientes para bloquear vacancias. Un eventual gobierno de Sánchez sería más complejo por su bancada heterogénea, con figuras vinculadas a Sendero Luminoso, a la minería ilegal y con ideas que van desde quebrar la independencia del Banco Central hasta impulsar una nueva Constitución.</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Cámara Baja aprueba proyecto de transferencia tecnológica que ingresó Boric y respaldó Kast, y queda listo para ser ley</w:t>
      </w:r>
    </w:p>
    <w:p>
      <w:pPr>
        <w:spacing w:before="40" w:after="60"/>
        <w:ind w:left="283"/>
      </w:pPr>
      <w:r>
        <w:rPr>
          <w:rFonts w:ascii="Arial" w:hAnsi="Arial"/>
          <w:color w:val="404040"/>
          <w:sz w:val="21"/>
        </w:rPr>
        <w:t>La Cámara de Diputados aprobó por 134 votos a favor, cuatro abstenciones y dos en contra el proyecto de transferencia de tecnología y conocimiento, ingresado por el gobierno de Boric en 2024 y respaldado por Kast, dejándolo listo para convertirse en ley. La normativa crea un repositorio nacional de conocimiento científico, fomenta la ciencia abierta y habilita a las universidades y sus investigadores a crear o participar en empresas de base científico-tecnológica surgidas de resultados de investigación. Expertos como Maximiliano Santa Cruz, exdirector de Inapi, valoran que se eliminen barreras para crear empresas desde la academia, pero critican que el artículo 12 empuje al dominio público resultados financiados con fondos públicos que no sean protegidos, calificándolo de retroceso en propiedad intelectual que no resuelve el bajo patentamiento. También se cuestiona que la ley regule solo los fondos de la ANID, dejando fuera instrumentos de Corfo y ministerios, y que su carácter declarativo haga depender el impacto real del reglamento que deberá elaborarse.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disciplina fiscal no admite atajos</w:t>
      </w:r>
    </w:p>
    <w:p>
      <w:pPr>
        <w:spacing w:before="40" w:after="60"/>
        <w:ind w:left="283"/>
      </w:pPr>
      <w:r>
        <w:rPr>
          <w:rFonts w:ascii="Arial" w:hAnsi="Arial"/>
          <w:color w:val="404040"/>
          <w:sz w:val="21"/>
        </w:rPr>
        <w:t>El editorial sostiene que la decisión del gobierno de abandonar la meta de equilibrio fiscal a 2030 es un sinceramiento preferible a insistir en un objetivo poco creíble, pues la credibilidad fiscal se construye sobre compromisos que se cumplen y no sobre anuncios ambiciosos. Advierte, sin embargo, que el realismo no debe confundirse con complacencia: cerrar el mandato con un déficit estructural de 1,5% del PIB sigue implicando un ajuste considerable, mientras la deuda pública se acerca al límite prudente de 45% del PIB. Operar cerca de ese umbral significa más recursos destinados a intereses, menos espacio para prioridades sociales y menor capacidad de respuesta ante crisis, como ha advertido el Consejo Fiscal Autónomo. La verdadera prueba será la capacidad del gobierno de cumplir la nueva senda, que descansa en una recuperación del crecimiento necesaria pero no suficiente, en una tarea que excederá a esta administración.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país de prefijos</w:t>
      </w:r>
    </w:p>
    <w:p>
      <w:pPr>
        <w:spacing w:before="40" w:after="60"/>
        <w:ind w:left="283"/>
      </w:pPr>
      <w:r>
        <w:rPr>
          <w:rFonts w:ascii="Arial" w:hAnsi="Arial"/>
          <w:color w:val="404040"/>
          <w:sz w:val="21"/>
        </w:rPr>
        <w:t>La columna analiza el anuncio de la Subtel de crear el prefijo 702 para llamadas de organismos públicos, municipios y centros de salud, que se suma a los ya existentes 600 y 809. Reconoce que la medida responde a un problema real, pues muchas personas dejaron de contestar números desconocidos por temor al spam y al fraude, pero la califica de reactiva y poco escalable. Cuestiona que se traslade a los ciudadanos la responsabilidad de memorizar una lista creciente de prefijos y plantea la duda de qué otras instituciones pedirán el suyo, concluyendo que el desafío es construir una solución simple, escalable y sostenible en el tiempo.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urgente necesidad de destruir los cigarrillos ilegales</w:t>
      </w:r>
    </w:p>
    <w:p>
      <w:pPr>
        <w:spacing w:before="40" w:after="60"/>
        <w:ind w:left="283"/>
      </w:pPr>
      <w:r>
        <w:rPr>
          <w:rFonts w:ascii="Arial" w:hAnsi="Arial"/>
          <w:color w:val="404040"/>
          <w:sz w:val="21"/>
        </w:rPr>
        <w:t>La columna destaca la mayor incautación de cigarrillos de contrabando de la historia, más de 2.200 millones de cajetillas en un solo operativo de Carabineros en el norte del país, en un contexto donde los decomisos se triplicaron en los últimos años superando los 24 millones de cajetillas anuales, con 50% concentrado en Antofagasta. Plantea que la ley exige destruir con celeridad los productos incautados, pues su acumulación ocupa espacios necesarios para el comercio exterior legal en terminales y recintos extraportuarios, y propone una alianza público-privada para ejecutarla. Aboga además por un presupuesto permanente para la destrucción, argumentando que es una inversión con retorno asegurado por la mayor recaudación fiscal que genera perseguir este delito, golpeando el negocio del crimen organizado.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10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