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20 De Agosto De 2026</w:t>
      </w:r>
    </w:p>
    <w:p>
      <w:pPr>
        <w:jc w:val="center"/>
      </w:pPr>
      <w:r>
        <w:rPr>
          <w:rFonts w:ascii="Arial" w:hAnsi="Arial"/>
          <w:color w:val="999999"/>
          <w:sz w:val="20"/>
        </w:rPr>
        <w:t>6 secciones  ·  25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Bolsa chilena abre con leve caída y arriesga perder su racha alcista por la "guerra económica" de EEUU contra Irán</w:t>
      </w:r>
    </w:p>
    <w:p>
      <w:pPr>
        <w:spacing w:before="40" w:after="60"/>
        <w:ind w:left="283"/>
      </w:pPr>
      <w:r>
        <w:rPr>
          <w:rFonts w:ascii="Arial" w:hAnsi="Arial"/>
          <w:color w:val="404040"/>
          <w:sz w:val="21"/>
        </w:rPr>
        <w:t>El IPSA viene de cerrar una quinta sesión consecutiva de ganancias por sorpresas positivas en la temporada de resultados y el optimismo de los inversionistas en torno a los potenciales efectos de la megarreforma del gobierno. La avanzada de los precios del petróleo ponía en riesgo elrallyde la Bolsa de Santiago en la sesión de este jueves, que está marcada por elanuncio de una guerra económica sin precedentesimpulsada por Estados Unidos. El S&amp;P IPSA caía 0,1% a 11.227,52 puntos, presionado porFalabella (-1,5%) y Latam (-1,1%), que son sensibles a este conflicto geopolítico y tienen una alta ponderación. Fuera del IPSA, la acción dePampa (1,4%)lideraba las alzas de la bolsa, tras conocerse que volverá al selectivo el 1 de septiembre.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Irán menosprecia el "Día D Económico" anunciado por Trump en su contra mientras el petróleo sube hasta US$ 94</w:t>
      </w:r>
    </w:p>
    <w:p>
      <w:pPr>
        <w:spacing w:before="40" w:after="60"/>
        <w:ind w:left="283"/>
      </w:pPr>
      <w:r>
        <w:rPr>
          <w:rFonts w:ascii="Arial" w:hAnsi="Arial"/>
          <w:color w:val="404040"/>
          <w:sz w:val="21"/>
        </w:rPr>
        <w:t>China también reaccionó a las amenazas del presidente estadounidense, señalando que "no contribuyen a solucionar el problema". Irán respondió con desdén a lanueva ofensiva económica anunciada por el presidente de Estados Unidos, Donald Trump, quien el miércoles por la la tarde prometió unacampaña de aislamiento sin precedentes contra Teherány amenazó con consecuencias para los países que continúen prestándole apoyo. La escalada de la retórica tuvo una rápida reacción en los mercados petroleros. Los futuros delBrent subían cerca de 3% este jueves y alcanzaban los US$ 94,31 por barril, mientras el WTI avanzaba3,3%, hasta US$ 88,67.</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abre al alza sobre $ 925 en medio de nuevo avance del petróleo luego de que Trump anuncia una "guerra económica sin precedentes" contra Irán</w:t>
      </w:r>
    </w:p>
    <w:p>
      <w:pPr>
        <w:spacing w:before="40" w:after="60"/>
        <w:ind w:left="283"/>
      </w:pPr>
      <w:r>
        <w:rPr>
          <w:rFonts w:ascii="Arial" w:hAnsi="Arial"/>
          <w:color w:val="404040"/>
          <w:sz w:val="21"/>
        </w:rPr>
        <w:t>El precio del crudo daba impulso a las tasas largas estadounidenses, que repuntaban 7,2 puntos, después de haber caído con fuerza en la víspera por la inyección de liquidez que prometió el Departamento del Tesoro. Las compras de dólares regresaban a Chile este jueves, a medida que Estados Unidos intensifica su campaña de guerra económica contra Irán, hasta el punto de extenderla a sus socios comerciales, entre los que se encuentra China. El precio del dólar subía $ 4,4 hasta los $ 926,6 en la apertura de la sesión, según los datos de Bloomberg, mientrasel petróleo Brent avanzaba 3,1% a US$ 94,5 por barril, alcanzando nuevos máximos de casi un mes.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Pampa Investments entrará al IPSA a partir del 1 de septiembre</w:t>
      </w:r>
    </w:p>
    <w:p>
      <w:pPr>
        <w:spacing w:before="40" w:after="60"/>
        <w:ind w:left="283"/>
      </w:pPr>
      <w:r>
        <w:rPr>
          <w:rFonts w:ascii="Arial" w:hAnsi="Arial"/>
          <w:color w:val="404040"/>
          <w:sz w:val="21"/>
        </w:rPr>
        <w:t>La Bolsa de Santiago confirmó la nueva composición de las empresas que conformará el nuevo selectivo que administrará MSCI. La nueva sociedad del grupo Pampa, aparece en una nómina de 31 emisores, uno más que las 30 acciones del selectivo actual LaBolsa de Santiagopublicó este jueves la composición de los índices "MSCI IPSA y MSCI IGPA", que regirán al mercado accionario chileno desde el1 de septiembre,cuando MSCI asuma la administración, reemplazando a S&amp;P Dow Jones Indices. El selectivo quedó compuesto por 31 emisores, uno más que las actuales 30 acciones del IPSA vigente. La única novedad es el ingreso dePampa Investments,la sociedad que hasta junio se llamaba Oro Blanco y a través de la cual el grupo ligado al empresario Julio Ponce Lerou participa en SQM y que hoy lidera su hija,Francisca Ponce.</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Cómo el rally del precio del cobre y los data centers están impulsando la acción de Caterpillar</w:t>
      </w:r>
    </w:p>
    <w:p>
      <w:pPr>
        <w:spacing w:before="40" w:after="60"/>
        <w:ind w:left="283"/>
      </w:pPr>
      <w:r>
        <w:rPr>
          <w:rFonts w:ascii="Arial" w:hAnsi="Arial"/>
          <w:color w:val="404040"/>
          <w:sz w:val="21"/>
        </w:rPr>
        <w:t>La empresa se ha visto beneficiada por la venta de turbinas y equipos con los que la minería aprovecha el alto valor del metal. Caterpillar, multinacional conocida por sus bulldozers amarillos, acumula un alza de 42,5% en bolsa este año y cotiza en torno a los US$ 900 por papel. Pero el motor de su expansión ya no está solo en la construcción, como solía ser. Ahora el impulso proviene de la infraestructura energética que demandan los centros de datos de inteligencia artificial (IA) y las máquinas con que la minería busca expandir la oferta de cobre, ambos negocios en tendencia.</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Lab Capital se estrena en el mercado local con fondo para edificio mixto en Escuela Militar junto a Greystar</w:t>
      </w:r>
    </w:p>
    <w:p>
      <w:pPr>
        <w:spacing w:before="40" w:after="60"/>
        <w:ind w:left="283"/>
      </w:pPr>
      <w:r>
        <w:rPr>
          <w:rFonts w:ascii="Arial" w:hAnsi="Arial"/>
          <w:color w:val="404040"/>
          <w:sz w:val="21"/>
        </w:rPr>
        <w:t>Invertirá unos US$ 85 millones más deuda en el proyecto Origen. La estadounidense será aportante, junto a FFV y EuroAmerica. Un nuevo edificio llegará a completar el paisaje de Avenida Apoquindo, de la mano de un fondo de inversión local. A casi un año de nacer, tras un cambio societario de la antes Weg AGF, la gestoraLab Capital se estrenó durante agosto con su primer fondo en el mercado chileno. Durante la primera semana del mes, la administradora inscribió en la Comisión para el Mercado Financiero (CMF) su más reciente vehículo,“Rentas Lab Origen”, que invertirá en un activo inmobiliario en el sector de Escuela Militar.</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Desarrollo País, el brazo empresarial del Estado, apuesta por data centers, terrenos en torno al Metro y proyectos inmobiliarios</w:t>
      </w:r>
    </w:p>
    <w:p>
      <w:pPr>
        <w:spacing w:before="40" w:after="60"/>
        <w:ind w:left="283"/>
      </w:pPr>
      <w:r>
        <w:rPr>
          <w:rFonts w:ascii="Arial" w:hAnsi="Arial"/>
          <w:color w:val="404040"/>
          <w:sz w:val="21"/>
        </w:rPr>
        <w:t>La compañía estatal concentra su amplio portafolio en dos áreas, principalmente infraestructura digital y de ciudad. Creado originalmente como un fondo de infraestructura estatal,Desarrollo Países -por ahora- una desconocida empresa del Estado dedicada a desarrollar y financiar proyectos de infraestructura pública, principalmente a través de alianzas con privados. Con el tiempo, su rol se amplió yse ha convertido en una suerte de “brazo inmobiliario” del Ministerio de Hacienda, con una particularidad respecto del aparato público tradicional:puede financiarse con bancos y asociarse directamente con privados.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Un “golpe mediático” para dañar su imagen: Transvip responde a demanda de Cabify en licitación de transporte al aeropuerto</w:t>
      </w:r>
    </w:p>
    <w:p>
      <w:pPr>
        <w:spacing w:before="40" w:after="60"/>
        <w:ind w:left="283"/>
      </w:pPr>
      <w:r>
        <w:rPr>
          <w:rFonts w:ascii="Arial" w:hAnsi="Arial"/>
          <w:color w:val="404040"/>
          <w:sz w:val="21"/>
        </w:rPr>
        <w:t>La firma liderada por Santiago Caicedo acusó que la movida de su competidora sería una manera de “cerrar el círculo” que Transvip abrió en 2024 cuando demandó a la española por competencia desleal. Como una “maniobra de represalia” fue que la empresa de transportesTransvipcatalogóla demanda interpuesta a inicios de agosto en su contra por parte de Maxi Mobility Chile, más conocida como Cabify. En su escrito presentado ante el 11° Juzgado Civil de Santiago, esta última firma de origen españolacusó que su competidor estaría incurriendo en competencia desleal en los trayectos al Aeropuerto de Santiago,donde ambas compañías tienen adjudicadas licitaciones para transportar pasajeros junto a un tercer actor, WeTransport.</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Mineras, IA y hasta defensa: la nutrida agenda de reuniones del embajador Andrés Ergas con compañías estadounidenses</w:t>
      </w:r>
    </w:p>
    <w:p>
      <w:pPr>
        <w:spacing w:before="40" w:after="60"/>
        <w:ind w:left="283"/>
      </w:pPr>
      <w:r>
        <w:rPr>
          <w:rFonts w:ascii="Arial" w:hAnsi="Arial"/>
          <w:color w:val="404040"/>
          <w:sz w:val="21"/>
        </w:rPr>
        <w:t>En España, el exsenador Juan Antonio Coloma también ha estado recibiendo a firmas de ese país, sobre todo del sector energético. A mediados de abril,el empresario Andrés Ergas -destacado sobre todo por su participación como accionista y director en Banco de Chile-fue oficializado como embajador de Chile en EEUU. Más allá de que las relaciones entre ambos países durante los últimos meses han estado protagonizadas por la negociación en torno a la política arancelaria de Donald Trump, Ergas también ha estado llevando unanutrida agenda de reuniones con compañías norteamericanas presentes en Chile.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Industria española de concesiones mira con atención visita de Kast a Concepción por futuro de proyectos por más de US$ 400 millones en Biobío</w:t>
      </w:r>
    </w:p>
    <w:p>
      <w:pPr>
        <w:spacing w:before="40" w:after="60"/>
        <w:ind w:left="283"/>
      </w:pPr>
      <w:r>
        <w:rPr>
          <w:rFonts w:ascii="Arial" w:hAnsi="Arial"/>
          <w:color w:val="404040"/>
          <w:sz w:val="21"/>
        </w:rPr>
        <w:t>El Instituto Coordenadas para la Gobernanza y la Economía Aplicada advirtió que la suspensión de las concesiones adjudicadas a Azvi podría poner en riesgo un modelo que funciona de manera ininterrumpida en Chile desde 1993.</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Contratistas afectados por millonarias deudas de constructora española en Biobío se movilizan con maquinarias frente al municipio y al Serviu</w:t>
      </w:r>
    </w:p>
    <w:p>
      <w:pPr>
        <w:spacing w:before="40" w:after="60"/>
        <w:ind w:left="283"/>
      </w:pPr>
      <w:r>
        <w:rPr>
          <w:rFonts w:ascii="Arial" w:hAnsi="Arial"/>
          <w:color w:val="404040"/>
          <w:sz w:val="21"/>
        </w:rPr>
        <w:t>Además de la manifestación de este jueves la presión de los acreedores continuaría el viernes durante el desarrollo de Impulsa 2026, encuentro empresarial organizado por CPC Biobío, y que este año tendrá como invitado principal al Presidente José Antonio Kast. Con maquinaria frente a la Municipalidad de Concepción y las oficinas del Serviuen Biobío, las más de 50 empresas contratistas, subcontratistas y proveedores que prestaban servicios a laconstructora española Tapusa en Concepción, se movilizaron este jueves como medida de presión ante la ausencia de respuestas concretas al pago deboletas factorizadas por más $ 3 mil millones. La acción buscaexigir la intervención del Estado para revertir el complejo escenario financieroque enfrentan desde que la firma ibérica abandonó las cuatro obras viales que ejecutaba en el Gran Concepción (Eje Colón y reposición del Puente Perales en Talcahuano, el paso superior Esmeralda y la reposición de aceras en Concepción). Desde mayo en adelante, las PYME locales afectadas han buscado instancias de apoyo para cumplir con los compromisos económicos con losfactoringy evitar su quiebra.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Marcela Cuevas, contratista de constructora española que paralizó obras en Biobío: "Irse a juicio significa esperar tres a cuatro años y la verdad no llegamos"</w:t>
      </w:r>
    </w:p>
    <w:p>
      <w:pPr>
        <w:spacing w:before="40" w:after="60"/>
        <w:ind w:left="283"/>
      </w:pPr>
      <w:r>
        <w:rPr>
          <w:rFonts w:ascii="Arial" w:hAnsi="Arial"/>
          <w:color w:val="404040"/>
          <w:sz w:val="21"/>
        </w:rPr>
        <w:t>La dueña y gerenta general de Ingeniería CMX Chile, firma de arriendo de maquinarias y movimiento de tierra, asegura que varias de las PYME que ejecutaban obras para Tapusa no resistieron el impacto de la crisis y ahora "hay otros que están en riesgo de liquidación voluntaria". ¿A quién le cobramos? ¿Quién nos paga? Es la pregunta que las50 empresas contratistas del Biobío se hacen frente a las deudas por aproximadamente $ 3 mil millones dejó en la zona la constructora española Tapusay que en mayo abandonó cuatro obras en la región. Han pasado tres meses desde que elministro de Vivienda, Iván Poduje, anunciara el fin de los contratos de las obras viales en construcción. Tres meses en los queMarcela Cuevas, gerenta general y dueña de Ingeniería CMX Chile, no sabe cómo cubrir los más de$ 600 millones que elfactoringcobra sin dar respiro y que la ha obligado a liquidar parte de sus activos y a recurrir al patrimonio personal para sobrevivir.</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Empresas Copec aclara apoyo en capital a Arauco y sincera valor de Puerto Coronel</w:t>
      </w:r>
    </w:p>
    <w:p>
      <w:pPr>
        <w:spacing w:before="40" w:after="60"/>
        <w:ind w:left="283"/>
      </w:pPr>
      <w:r>
        <w:rPr>
          <w:rFonts w:ascii="Arial" w:hAnsi="Arial"/>
          <w:color w:val="404040"/>
          <w:sz w:val="21"/>
        </w:rPr>
        <w:t>Sobre el contrato de compromiso de aporte de US$ 450 millones para la compañía, indicaron que “no se trata de una inyección directa de capital”. Detalles de los últimos movimientos concretados por la compañía como -por ejemplo-el reciente compromiso de aporte de capital a Arauco, se dieron a conocer este miércoles en el marco de la conferencia telefónica de resultados del segundo trimestre deEmpresas Copec.Lo anterior, mientras el megaproyecto de la forestal en Brasil, Sucuriú, que contempla US$ 4.600 millones, alcanzó un progreso de 74,5%. “No se trata de una inyección de capital, sino de un acuerdo de apoyo de capital vinculado a una línea de crédito contingente de hasta US$ 450 millones, con fondos disponibles desde enero de 2027 hasta diciembre de 2028, que Arauco podrá disponer en función de determinados eventos desencadenantes claramente definidos en el contrato”, sostuvoel gerente de administración y finanzas de Copec, Rodrigo Huidobro.</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Informe de Contraloría por incumplimientos de WOM apunta al exsubsecretario de Telecomunicaciones Claudio Araya</w:t>
      </w:r>
    </w:p>
    <w:p>
      <w:pPr>
        <w:spacing w:before="40" w:after="60"/>
        <w:ind w:left="283"/>
      </w:pPr>
      <w:r>
        <w:rPr>
          <w:rFonts w:ascii="Arial" w:hAnsi="Arial"/>
          <w:color w:val="404040"/>
          <w:sz w:val="21"/>
        </w:rPr>
        <w:t>El organismo instruyó a la Subtel iniciar procedimientos disciplinarios y remitió antecedentes al CDE. La base de la fiscalización aWOM por parte de Subtel por la fibra óptica es un informe de la Contraloría General de la República, donde se estableció quela compañía incumplió los plazos comprometidos en el proyectocuandoesa subsecretaría era dirigida por Claudio Araya. En ese entonces,se dejó de cobrar boletas de garantía por  UF 104.315,73, equivalentes a $3.792.502.457, que hoy ya no pueden hacerse efectivas por estar fuera de plazo.</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Informe advierte que las causas tributarias se demoran hasta 6 años en analizarse en nueva instancia especializada de la Corte Suprema</w:t>
      </w:r>
    </w:p>
    <w:p>
      <w:pPr>
        <w:spacing w:before="40" w:after="60"/>
        <w:ind w:left="283"/>
      </w:pPr>
      <w:r>
        <w:rPr>
          <w:rFonts w:ascii="Arial" w:hAnsi="Arial"/>
          <w:color w:val="404040"/>
          <w:sz w:val="21"/>
        </w:rPr>
        <w:t>El Observatorio Judicial sistematizó el atochado panorama que enfrenta la tabla tributaria del Máximo Tribunal, establecida en noviembre del 2024. El importante atochamiento de casos tributarios que debe analizar la Corte Suprema, derivados de instancias previas como los Tribunales Tributarios y Aduaneros (TTA) y Cortes de Apelaciones, llevó al máximo tribunal a crear en noviembre del 2024 la denominada “tabla tributaria”. Esto implica que habitualmente durante la tarde de los miércoles, los jueces analizan dichas causas y las trasladan a determinadas salas para su revisión y resolución, para así absorber el atraso acumulado de casaciones en la materia. O sea, los recursos legales extraordinarios que se presentan ante el tribunal de más alta jerarquía para anular una sentencia judicial.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revancha del cobre? Arellano traza hoja de ruta para no repetir los errores del superciclo anterior</w:t>
      </w:r>
    </w:p>
    <w:p>
      <w:pPr>
        <w:spacing w:before="40" w:after="60"/>
        <w:ind w:left="283"/>
      </w:pPr>
      <w:r>
        <w:rPr>
          <w:rFonts w:ascii="Arial" w:hAnsi="Arial"/>
          <w:color w:val="404040"/>
          <w:sz w:val="21"/>
        </w:rPr>
        <w:t>“La diferencia entre una bonanza transitoria y un verdadero impulso al desarrollo” dependerá de nuestra capacidad para transformar mayores ingresos en mayor productividad, más inversión, innovación y mejores instituciones, dijo. Arellano fue presidente de Codelco entre 2006 y 2010. Foto: Rodolfo Jara El exdirector de Presupuestos y expresidente ejecutivo de Codelco, José Pablo Arellano, planteó que Chile puede estar entrando en un nuevo ciclo favorable para el cobre -hoy cotizándose en US$ 6,6 la libra- , pero advirtió que la bonanza solo se traducirá en desarrollo si el país fortalece sus finanzas públicas, acelera inversión, eleva la productividad e impulsa la innovación.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Pablo Quezada, socio de Tax Controversy de Deloitte y rebaja del impuesto a las donaciones: "Este no es un beneficio solo para los ricos, es de alcance más amplio"</w:t>
      </w:r>
    </w:p>
    <w:p>
      <w:pPr>
        <w:spacing w:before="40" w:after="60"/>
        <w:ind w:left="283"/>
      </w:pPr>
      <w:r>
        <w:rPr>
          <w:rFonts w:ascii="Arial" w:hAnsi="Arial"/>
          <w:color w:val="404040"/>
          <w:sz w:val="21"/>
        </w:rPr>
        <w:t>En el segundo episodio de La Ruta Tributaria, el experto aborda el alcance de los cambios en la ley de Reconstrucción al impuesto a las donaciones, los efectos esperados y cuándo entran en vigencia. En el segundo episodio deLa Ruta Tributaria, Pablo Quezada, socio de Tax Controversy de Deloitte,aborda el alcance de los cambios en la ley de Reconstrucciónal impuesto a las donaciones, los efectos esperados y cuándo entran en vigencia. Hoy, el gravamen es progresivo y parte con una tasa de 1% para las donaciones que oscilen entre 0 a 80 Unidades Tributarias Anuales (UTA); pasa a 2,5% para las que oscilen entre más de 80 hasta UTA 160; 5% para más de UTA 160 a UTA 320; 7,5% para más de UTA 320 a UTA 480; de 10% para las operaciones superiores a UTA 480 y hasta UTA 640; de 15% para sobre UTA 640 a UTA 800; de 20% para las transacciones sobre UTA 800 hasta UTA 1.200; y de 25% para las valoraciones sobre las UTA 1.200. La ley no entrega facilidades para que los donatarios puedan pagar el tributo mediante préstamos o pagarés otorgados por las sociedades cuyos derechos o acciones se están donando o por empresas relacionadas.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DF Tax | Una baja en la tasa impositiva que también impacta los impuestos diferidos</w:t>
      </w:r>
    </w:p>
    <w:p>
      <w:pPr>
        <w:spacing w:before="40" w:after="60"/>
        <w:ind w:left="283"/>
      </w:pPr>
      <w:r>
        <w:rPr>
          <w:rFonts w:ascii="Arial" w:hAnsi="Arial"/>
          <w:color w:val="404040"/>
          <w:sz w:val="21"/>
        </w:rPr>
        <w:t>Mi papá siempre me decía que las cosas, como todo en la vida, hay que mirarlas desde distintos ángulos y nuestra discusión tributaria de este año 2026 requiere una visión muy amplia. Es por ello por lo que me quise adentrar en el efecto que tendrá en los impuestos diferidos la baja de la tasa impositiva de la denominada Ley de Reconstrucción, pues hasta ahora el debate se ha concentrado, principalmente, en sus efectos sobre la recaudación fiscal directa que afecta el erario nacional. Sin embargo, existen otras consecuencias relevantes que merecen atención: por ejemplo, el impacto que la reducción gradual de la tasa de impuesto de Primera Categoría puede generar en los impuestos diferidos registrados en los estados financieros de las empresas. La ley considera una disminución de la tasa corporativa desde un 27% en 2026 a un 25,5% en 2027, un 24% en 2028 y un 23% desde 2029 en adelante. Este cambio no solo afecta el impuesto que las empresas pagarán en el futuro y la recaudación fiscal directa, sino también la valorización contable de sus activos y pasivos por impuestos diferidos. En términos simples, cuando una empresa o grupo económico mantiene una posición neta activa por impuestos diferidos, una reducción de la tasa tributaria puede disminuir el valor de ese activo. Contablemente, ello puede traducirse en un gasto y, como consecuencia posterior, en una reducción del patrimonio. Este efecto puede ser relevante para la administración, los directorios, los propietarios y también para las instituciones financieras que analizan la solvencia y posición patrimonial de la compañía.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DF Tax | Megarreforma y Ley de Donaciones: una ventana limitada de oportunidades</w:t>
      </w:r>
    </w:p>
    <w:p>
      <w:pPr>
        <w:spacing w:before="40" w:after="60"/>
        <w:ind w:left="283"/>
      </w:pPr>
      <w:r>
        <w:rPr>
          <w:rFonts w:ascii="Arial" w:hAnsi="Arial"/>
          <w:color w:val="404040"/>
          <w:sz w:val="21"/>
        </w:rPr>
        <w:t>La “megarreforma”, despachada por el Congreso hace algunos días, culmina una tramitación extensa y compleja, y está próxima a convertirse en ley. Solo resta el veto presidencial sobre cuatro materias y el pronunciamiento del Tribunal Constitucional. Entre sus contenidos hay uno que ha recibido menos atención pública y que, sin embargo, abrirá una ventana concreta de decisión para muchas familias: los cambios en materia de donaciones. La nueva norma dispone que las donaciones afectas al impuesto contemplado en la Ley Nº 16.271, sobre Impuesto a las Herencias, Asignaciones y Donaciones, tendrán derecho a una rebaja, por una sola vez, del 50% del impuesto determinado, junto con el aprovechamiento del 100% del crédito imputable a una futura herencia. Se trata de un beneficio acotado en el tiempo: una ventana de 12 meses. Las donaciones han sido históricamente una materia de consulta recurrente entre personas con un determinado patrimonio, como alternativa para traspasarlo de manera ordenada. Con la nueva ley es esperable que esas consultas aumenten. Para quienes ya estaban evaluando este tipo de operaciones, el incentivo es relevante y el plazo, acotado.</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SII define la cantidad de instrucciones que emitirá para aplicar la ley de reconstrucción</w:t>
      </w:r>
    </w:p>
    <w:p>
      <w:pPr>
        <w:spacing w:before="40" w:after="60"/>
        <w:ind w:left="283"/>
      </w:pPr>
      <w:r>
        <w:rPr>
          <w:rFonts w:ascii="Arial" w:hAnsi="Arial"/>
          <w:color w:val="404040"/>
          <w:sz w:val="21"/>
        </w:rPr>
        <w:t>Preliminarmente, emitirá 12 circulares y 16 resoluciones sobre los ajustes en impuestos de la normativa. El Consejo Tributario será el “filtro” de la juridicidad de las instrucciones de la entidad. La inminente publicación en el Diario Oficial de laley de reconstrucción nacionaltiene al mundo de los asesores tributarios pendiente, en virtud de la importante cantidad de normas relativas a impuestos que cambia con esa ley. Rebaja del impuesto de Primera Categoría de 27% a 23%; reducción transitoria a la mitad del gravamen a las donaciones; reintegración del sistema tributario de renta personal y de empresas; suspensión por un año del IVA a la vivienda; nuevo régimen para las viviendas DFL-2; y esquemas temporales para repatriar capitales y retirar recursos desde el registro continuador del Fondo de Utilidades Tributarias (FUT) son solo algunos de los cambios en materia tributaria que centrarán los esfuerzos del Servicio de Impuestos Internos.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El Pacto de La Meca: la alianza que abre un nuevo mercado de paraguas nucleares</w:t>
      </w:r>
    </w:p>
    <w:p>
      <w:pPr>
        <w:spacing w:before="40" w:after="60"/>
        <w:ind w:left="283"/>
      </w:pPr>
      <w:r>
        <w:rPr>
          <w:rFonts w:ascii="Arial" w:hAnsi="Arial"/>
          <w:color w:val="404040"/>
          <w:sz w:val="21"/>
        </w:rPr>
        <w:t>El acuerdo de defensa entre Pakistán, Arabia Saudita y Turquía incorpora a dos potencias regionales al radio estratégico de la única potencia atómica del mundo musulmán. Un informe de AthenaLab analiza cómo este arreglo puede transformar la seguridad en Medio Oriente. El 7 de agosto, Arabia Saudita, Turquía y Pakistán sellaron en La Meca un acuerdo de defensa que establece queun ataque armado contra cualquiera de los tres será considerado un ataque contra todos. La fórmula, comparable con el principio de defensa colectiva de la OTAN, cobra especial relevancia porque uno de sus firmantes,Pakistán, es la única potencia nuclear del mundo musulmán, con un arsenal estimado en unas 170 ojivas. Esa combinación lleva a AthenaLab a plantear una consecuencia que va más allá del nuevo acuerdo militar. En su informe El pacto de La Meca y el nuevo mercado de la disuasión, elaborado por Diego Sazo, el centro de la discusión está enla posibilidad de que una potencia nuclear media comience a extender su capacidad disuasiva hacia otros Estados, una función que durante décadas ha estado concentrada principalmente en las grandes potencias.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Tribunal chino condena a cadena perpetua al magnate inmobiliario fundador de la colapsada Evergrande</w:t>
      </w:r>
    </w:p>
    <w:p>
      <w:pPr>
        <w:spacing w:before="40" w:after="60"/>
        <w:ind w:left="283"/>
      </w:pPr>
      <w:r>
        <w:rPr>
          <w:rFonts w:ascii="Arial" w:hAnsi="Arial"/>
          <w:color w:val="404040"/>
          <w:sz w:val="21"/>
        </w:rPr>
        <w:t>Hui Ka Yan llegó a ser el hombre más rico de Asia y se declaró culpable en abril de ocho cargos, entre ellos el uso indebido de fondos, fraudes y soborno. El colapso de la empresa hace cinco años sacudió la economía y los mercados financieros de China. Hui fundó Evergrande en 1996 y la convirtió en la mayor promotora inmobiliaria de China por ventas contratadas, mediante una agresiva acumulación de deuda. (Foto: Bloomberg) El fundador de China Evergrande Group, la promotora inmobiliaria más endeudada del mundo, fue condenado el jueves a cadena perpetua por un tribunal chino, cinco años después de que el colapso de la empresa sacudiera la economía y los mercados financieros del país.</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La IA se infiltró en la Fed... al menos en los debates de política monetaria</w:t>
      </w:r>
    </w:p>
    <w:p>
      <w:pPr>
        <w:spacing w:before="40" w:after="60"/>
        <w:ind w:left="283"/>
      </w:pPr>
      <w:r>
        <w:rPr>
          <w:rFonts w:ascii="Arial" w:hAnsi="Arial"/>
          <w:color w:val="404040"/>
          <w:sz w:val="21"/>
        </w:rPr>
        <w:t>En 15 párrafos dedicados a la discusión de las condiciones actuales y las perspectivas económicas por parte de los funcionarios en las minutas, la IA fue mencionada nada menos que 18 veces. Los funcionarios de la Fed están expresando una preocupación cada vez mayor por lo que la IA podría significar para la inflación. (Foto: Reuters) La ansiedad en torno a la inteligencia artificial está en todas partes, desde los trabajadores preocupados por sus empleos hasta los inversionistas que advierten sobre una burbuja financiera.Ahora comienza a dominar las discusiones en la Reserva Federal.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Expertos descartan que los “escapes” de la IA sean señales de avance hacia la inteligencia general</w:t>
      </w:r>
    </w:p>
    <w:p>
      <w:pPr>
        <w:spacing w:before="40" w:after="60"/>
        <w:ind w:left="283"/>
      </w:pPr>
      <w:r>
        <w:rPr>
          <w:rFonts w:ascii="Arial" w:hAnsi="Arial"/>
          <w:color w:val="404040"/>
          <w:sz w:val="21"/>
        </w:rPr>
        <w:t>Apuntaron a que se trata de una acción de marketing y que una IA capaz de realizar lo que hace un humano aún está lejos, porque falta que comprenda el mundo físico o que sea dotada de sentido común. Ricardo Baeza-Yates, DCC Universidad de Chile; María Francisca Yáñez, directora de empresas y Pablo Barceló, Universidad Católica y Cenia. Crédito: Universidad Católica y Archivo La carrera por liderar la inteligencia artificial (IA) está desatada. Prueba de ello son las capacidades avanzadas de los modelos GPT-5.6 Sol de OpenAI, Mythos de Anthropic o Kimi K3 de Moonshot AI, que lograron eludir sus entornos de prueba (sandboxes), conectarse a internet y exponer vulnerabilidades e incluso hackear a compañías.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Vaca Muerta: Oportunidades para Chile</w:t>
      </w:r>
    </w:p>
    <w:p>
      <w:pPr>
        <w:spacing w:after="80"/>
      </w:pPr>
      <w:r>
        <w:rPr>
          <w:rFonts w:ascii="Arial" w:hAnsi="Arial"/>
          <w:i/>
          <w:color w:val="999999"/>
          <w:sz w:val="20"/>
        </w:rPr>
        <w:t>(Sin detalle disponible.)</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20 de agosto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