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22 De Junio De 2026</w:t>
      </w:r>
    </w:p>
    <w:p>
      <w:pPr>
        <w:jc w:val="center"/>
      </w:pPr>
      <w:r>
        <w:rPr>
          <w:rFonts w:ascii="Arial" w:hAnsi="Arial"/>
          <w:color w:val="999999"/>
          <w:sz w:val="20"/>
        </w:rPr>
        <w:t>6 secciones  ·  27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Bolsas suben y el petróleo cae tras positivo desenlace de ronda diplomática sobre Medio Oriente pese a turbulencias del fin de semana</w:t>
      </w:r>
    </w:p>
    <w:p>
      <w:pPr>
        <w:spacing w:before="40" w:after="60"/>
        <w:ind w:left="283"/>
      </w:pPr>
      <w:r>
        <w:rPr>
          <w:rFonts w:ascii="Arial" w:hAnsi="Arial"/>
          <w:color w:val="404040"/>
          <w:sz w:val="21"/>
        </w:rPr>
        <w:t>Las principales bolsas mundiales abrieron la semana al alza luego de que la primera ronda de conversaciones entre EEUU e Irán en Suiza concluyera con avances hacia un mecanismo que busca evitar violaciones del alto al fuego en el Líbano, lo que alivió la tensión que había escalado el fin de semana con el cierre temporal del estrecho de Ormuz y amenazas de nuevos bombardeos de Trump. El IPSA subía 0,1% pese a la caída de SQM-B tras el desplome del litio, mientras Wall Street mostraba resultados mixtos (Dow Jones +0,4%, S&amp;P 500 +0,1%, Nasdaq -0,3%) y las bolsas asiáticas registraban fuertes alzas, con el Nikkei en récord histórico. El petróleo Brent retrocedía 2,9% hasta US$ 78,3 el barril tras la exención de sanciones que el Tesoro de EEUU otorgó a Irán para exportar crudo durante la ventana de 60 días de negociaciones nucleares. El mercado también está atento a los datos de PIB e inflación de EEUU de esta semana, con apuestas a que la Fed suba tasas hasta 50 pb antes de fin de año.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a la baja tras reunión entre EEUU e Irán que trajo "progresos alentadores" tras un tenso fin de semana</w:t>
      </w:r>
    </w:p>
    <w:p>
      <w:pPr>
        <w:spacing w:before="40" w:after="60"/>
        <w:ind w:left="283"/>
      </w:pPr>
      <w:r>
        <w:rPr>
          <w:rFonts w:ascii="Arial" w:hAnsi="Arial"/>
          <w:color w:val="404040"/>
          <w:sz w:val="21"/>
        </w:rPr>
        <w:t>El dólar abrió a la baja en Chile, cayendo $ 2,8 hasta los $ 903,2, luego de que la primera ronda de diálogo entre EEUU e Irán en Suiza cerrara con "progresos alentadores" y un mecanismo para evitar violaciones del alto al fuego en el Líbano, revirtiendo el alza semanal previa de la divisa. El petróleo Brent bajaba 2,6% a US$ 78,5 por barril, mientras los bonos del Tesoro estadounidense subían cerca de 3,5 pb tras el fin de semana largo. El acuerdo de paz de la semana anterior abrió una ventana de 60 días para negociaciones técnicas sobre el programa nuclear iraní, aunque el camino estuvo marcado por la suspensión temporal de conversaciones, el cierre del estrecho de Ormuz y amenazas de Trump de retomar ataques. Esta semana el mercado además espera la tercera lectura del PIB del primer trimestre de EEUU y datos de gasto personal de mayo, clave para las expectativas sobre el ritmo de alzas de tasas de la Fed.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Alza AGF apuesta por el sector inmobiliario con créditos privados a Socovesa y Eurocorp por más de US$ 20 millones</w:t>
      </w:r>
    </w:p>
    <w:p>
      <w:pPr>
        <w:spacing w:before="40" w:after="60"/>
        <w:ind w:left="283"/>
      </w:pPr>
      <w:r>
        <w:rPr>
          <w:rFonts w:ascii="Arial" w:hAnsi="Arial"/>
          <w:color w:val="404040"/>
          <w:sz w:val="21"/>
        </w:rPr>
        <w:t>La gestora Alza AGF otorgó créditos con garantía inmobiliaria por más de US$ 20 millones a las empresas Socovesa y Eurocorp, a través de los fondos de deuda privada "Deuda Privada V" y "Deuda Privada VI". El primero entregó dos préstamos por UF 243.754 (unos US$ 11,33 millones) con vencimiento en noviembre, garantizados con viviendas en Chillán, Los Ángeles, Puerto Montt y Santiago; el segundo otorgó UF 217.879 (US$ 10,12 millones) garantizado con 193 unidades de un edificio en Santiago Centro. La operación refleja el creciente protagonismo de la deuda privada como fuente de financiamiento para el sector inmobiliario, en un contexto de recuperación: las ventas de viviendas en la Región Metropolitana crecieron 19% en el primer trimestre y la CChC proyecta un alza de 20% a nivel nacional para 2026, con más de 60 mil unidades vendidas, niveles no vistos desde 2019.</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Deuda por cotizaciones previsionales impagas sube 21% en un año y llega a casi US$ 45 mil millones</w:t>
      </w:r>
    </w:p>
    <w:p>
      <w:pPr>
        <w:spacing w:before="40" w:after="60"/>
        <w:ind w:left="283"/>
      </w:pPr>
      <w:r>
        <w:rPr>
          <w:rFonts w:ascii="Arial" w:hAnsi="Arial"/>
          <w:color w:val="404040"/>
          <w:sz w:val="21"/>
        </w:rPr>
        <w:t>La deuda por cotizaciones previsionales impagas en Chile alcanzó US$ 44.270 millones a marzo, un 21% más que un año antes (US$ 36.439 millones), equivalente a 17% del total de los fondos de pensiones del sistema. El 79% de ese stock corresponde a intereses —calculados con interés compuesto desde 1994—, lo que infla artificialmente la cifra, según explicaron representantes de la Asociación de AFP y un exsuperintendente de Pensiones. Solo el 10% de la deuda tiene menos de un año y está en cobranza activa, con una tasa de recuperación de 85%, mientras que el 90% restante mantiene 1,5 millón de juicios vigentes, gran parte de ellos contra empleadores inubicables o en quiebra. La reciente reforma previsional modificó la fórmula de cálculo de intereses para hacerla menos gravosa y creó el Sistema Único de Cobranza de Cotizaciones (SUCC) para centralizar la gestión de cobranza futura entre AFP, Tesorería e IPS.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Cobros por hasta UF 5 mil y ocho meses de trabajo: así funciona el negocio que certifica los modelos de prevención de delitos de la banca</w:t>
      </w:r>
    </w:p>
    <w:p>
      <w:pPr>
        <w:spacing w:before="40" w:after="60"/>
        <w:ind w:left="283"/>
      </w:pPr>
      <w:r>
        <w:rPr>
          <w:rFonts w:ascii="Arial" w:hAnsi="Arial"/>
          <w:color w:val="404040"/>
          <w:sz w:val="21"/>
        </w:rPr>
        <w:t>La entrada en vigencia de la Ley de Delitos Económicos en 2023 eliminó la certificación formal de modelos de prevención de delitos y la reemplazó por evaluaciones de terceros independientes, ampliando el mercado de consultoras —desde firmas especializadas como BH Compliance y Prelafit hasta Big Four y estudios de abogados— que ahora ofrecen este servicio a la banca y otras empresas. Los costos varían entre UF 250 y UF 500 ($ 10-20 millones) para empresas pequeñas y pueden llegar a UF 5 mil (cerca de $ 200 millones) en organizaciones grandes o holdings con múltiples filiales. El proceso de evaluación, que incluye revisión documental, entrevistas y pruebas de procesos críticos, toma entre tres y cuatro meses para el informe inicial, y puede extenderse hasta ocho meses si se agrega una etapa de acompañamiento para implementar mejoras. El caso "Operación Tokio" puso en evidencia públicamente a este mercado, que hasta ahora operaba con bajo perfil.</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Autoridades de Ñuble negocian con Tresmontes Lucchetti constituir un poder comprador para remolacheros que reconviertan sus cultivos al trigo</w:t>
      </w:r>
    </w:p>
    <w:p>
      <w:pPr>
        <w:spacing w:before="40" w:after="60"/>
        <w:ind w:left="283"/>
      </w:pPr>
      <w:r>
        <w:rPr>
          <w:rFonts w:ascii="Arial" w:hAnsi="Arial"/>
          <w:color w:val="404040"/>
          <w:sz w:val="21"/>
        </w:rPr>
        <w:t>Autoridades de la Región de Ñuble iniciaron conversaciones con Tresmontes Lucchetti para que la empresa actúe como comprador de trigo de los remolacheros locales que reconvertirán sus cultivos tras el fin del poder comprador que ejercía Iansa. La compañía, que ya trabaja con más de 60 productores y concentra cerca de 30% de su abastecimiento de hectáreas en la región, manifestó interés en fortalecer su presencia y absorber parte de la capacidad productiva liberada para la temporada 2026-2027. La iniciativa busca replicar el modelo aplicado en la Región del Maule, donde el gobierno coordinó con la empresa porcina Coexca —que duplicará su producción tras una inyección de capital brasileño— la reconversión de 2.500 hectáreas de remolacha a maíz. El objetivo de ambas gestiones es mitigar el impacto económico y laboral en el agro regional tras el repliegue de la industria azucarera.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Tras dos años bajo sospecha, la justicia le da un respiro a Alvaro Jalaff en el caso Audios</w:t>
      </w:r>
    </w:p>
    <w:p>
      <w:pPr>
        <w:spacing w:before="40" w:after="60"/>
        <w:ind w:left="283"/>
      </w:pPr>
      <w:r>
        <w:rPr>
          <w:rFonts w:ascii="Arial" w:hAnsi="Arial"/>
          <w:color w:val="404040"/>
          <w:sz w:val="21"/>
        </w:rPr>
        <w:t>La justicia rebajó la medida cautelar contra Álvaro Jalaff, fundador de Grupo Patio, de arresto nocturno a firma mensual, tras casi dos años de investigación por el caso Audios, a solicitud de la Fiscalía Metropolitana Oriente. Su defensa atribuye la decisión a que el proceso permitió acotar su nivel de participación en los hechos investigados, destacando que Jalaff ha prestado 12 declaraciones ante los fiscales y ha colaborado activamente desde el inicio del caso. En su última declaración, del 4 de junio, Jalaff reconoció haber pagado honorarios al abogado Luis Hermosilla por asesorías a Parque Capital, uno de los proyectos del holding inmobiliario, mientras era CEO de Grupo Patio —reconocimiento que, según su abogado, ya había hecho en una declaración previa de julio de 2025. La defensa enfatizó que Hermosilla mantenía un honorario fijo mensual por servicios prestados durante años a Grupo Patio.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Plan de salvataje de gigante metalúrgica de Talcahuano contempla “potencial cambio de control”</w:t>
      </w:r>
    </w:p>
    <w:p>
      <w:pPr>
        <w:spacing w:before="40" w:after="60"/>
        <w:ind w:left="283"/>
      </w:pPr>
      <w:r>
        <w:rPr>
          <w:rFonts w:ascii="Arial" w:hAnsi="Arial"/>
          <w:color w:val="404040"/>
          <w:sz w:val="21"/>
        </w:rPr>
        <w:t>La metalúrgica Edyce, ligada a la familia Rocco Quiroz y autodenominada la mayor fábrica de estructuras metálicas del país, presentó una nueva propuesta de reorganización concursal a sus acreedores que contempla un "potencial cambio de control" como parte de su plan para evitar la quiebra. La empresa, con pasivos superiores a $ 33 mil millones y entre cuyos principales acreedores están Banco Santander, Hyundai Corporation y la Tesorería, atribuyó sus problemas a la crisis de la construcción, la falta de inversión minera y el alza de costos operativos. El veedor del proceso, Patricio Jamarne, advirtió que en un escenario de liquidación apenas se pagaría 76% de las acreencias garantizadas y los acreedores valistas no recuperarían nada, por lo que calificó el acuerdo de reorganización como claramente más conveniente que la liquidación, aunque señaló que el cambio de control y la reestructuración deben quedar mejor regulados en la propuesta. La compañía mantiene 350 trabajadores y capacidad instalada de más de 2.500 toneladas mensuales en Talcahuano.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Cuando el directorio deja de pensar igual: diversidad de perfiles gana terreno en contexto de máxima incertidumbre en las empresas</w:t>
      </w:r>
    </w:p>
    <w:p>
      <w:pPr>
        <w:spacing w:before="40" w:after="60"/>
        <w:ind w:left="283"/>
      </w:pPr>
      <w:r>
        <w:rPr>
          <w:rFonts w:ascii="Arial" w:hAnsi="Arial"/>
          <w:color w:val="404040"/>
          <w:sz w:val="21"/>
        </w:rPr>
        <w:t>Tres directoras de empresas IPSA —Rosario Navarro (Sonda), Gina Ocqueteau (SQM) y, desde su rol de presidente de mesa, Rafael Guilisasti (Concha y Toro)— coinciden en que la diversidad de formación profesional en los directorios, más allá del tradicional perfil de abogados e ingenieros, se ha vuelto clave para anticipar riesgos y mejorar la calidad de las decisiones en un contexto de alta incertidumbre económica y geopolítica. Guilisasti destaca que la mayor carga regulatoria y de compliance ha reducido el tiempo que los directorios dedican a la estrategia del negocio, lo que afecta especialmente a empresas pequeñas y explicaría que ninguna compañía haya debutado en bolsa en más de una década. Navarro, con formación en Historia y Estética, y Ocqueteau, enfermera de profesión, sostienen que sus trayectorias no tradicionales les permiten incorporar miradas sobre el entorno social, cultural y humano que complementan las visiones financieras y operacionales clásicas. Ambas coinciden en que un directorio homogéneo genera puntos ciegos y que la diversidad de pensamiento mejora la robustez de las decisiones corporativas.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Minvu da primeros pasos para recuperar Mercado Central de Concepción: requiere US$ 48 millones</w:t>
      </w:r>
    </w:p>
    <w:p>
      <w:pPr>
        <w:spacing w:before="40" w:after="60"/>
        <w:ind w:left="283"/>
      </w:pPr>
      <w:r>
        <w:rPr>
          <w:rFonts w:ascii="Arial" w:hAnsi="Arial"/>
          <w:color w:val="404040"/>
          <w:sz w:val="21"/>
        </w:rPr>
        <w:t>El proyecto para recuperar el Mercado Central de Concepción, inutilizable desde un incendio hace más de una década, avanzó en su tramitación luego de que el Serviu de Biobío ingresara una consulta de pertinencia al Servicio de Evaluación Ambiental. La propuesta, valorada en US$ 48 millones, contempla la demolición y reconstrucción de algunas estructuras, la puesta en valor de elementos patrimoniales como la bóveda central y fachadas históricas, y la ampliación con nuevos espacios comerciales, gastronómicos y culturales. La intervención abarcará 2,28 hectáreas con una superficie edificada de 18.140 m2, e incluirá mejoras del espacio público y estacionamientos subterráneos para 214 vehículos.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cruzada de CMPC por revivir desde la extinción al árbol símbolo de Rapa Nui ya rinde sus frutos</w:t>
      </w:r>
    </w:p>
    <w:p>
      <w:pPr>
        <w:spacing w:before="40" w:after="60"/>
        <w:ind w:left="283"/>
      </w:pPr>
      <w:r>
        <w:rPr>
          <w:rFonts w:ascii="Arial" w:hAnsi="Arial"/>
          <w:color w:val="404040"/>
          <w:sz w:val="21"/>
        </w:rPr>
        <w:t>CMPC ha trabajado durante 19 años junto a universidades, Conaf y el Jardín Botánico de Viña del Mar para revivir el toromiro, árbol sagrado de Rapa Nui que se extinguió en estado natural en los años 60 y solo sobrevivió gracias a semillas recolectadas antes de la muerte del último ejemplar. En 2025 el proyecto logró enviar 287 plántulas a Isla de Pascua, que hoy crecen en el vivero de Conaf, lo que la compañía considera un hito de éxito en la reproducción de la especie. Los próximos desafíos son demostrar mediante una prueba piloto que el árbol puede crecer fuera del vivero y desarrollar un plan para entregar plantas a cada familia de la isla, con capacidad actual de producir unas 1.000 plantas anuales y donar entre 2.000 y 3.000 en los próximos años. CMPC también trabaja en la restauración de otras especies nativas amenazadas como la araucaria, el canelo y el quillay.</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Lo ambiental paga: Chile recibe US$ 15 millones por bajar emisiones en sus bosques nativos</w:t>
      </w:r>
    </w:p>
    <w:p>
      <w:pPr>
        <w:spacing w:before="40" w:after="60"/>
        <w:ind w:left="283"/>
      </w:pPr>
      <w:r>
        <w:rPr>
          <w:rFonts w:ascii="Arial" w:hAnsi="Arial"/>
          <w:color w:val="404040"/>
          <w:sz w:val="21"/>
        </w:rPr>
        <w:t>Chile recibió US$ 15 millones del Fondo Cooperativo para el Carbono de los Bosques del Banco Mundial, como segundo pago por resultados del Acuerdo de Pago por Reducción de Emisiones suscrito en 2019, tras verificar una reducción de más de tres millones de toneladas de CO2 equivalente en bosques nativos entre el Maule y Los Lagos durante el período 2022-2023. El tercer reporte de monitoreo, auditado internacionalmente, registró 3.483.190 toneladas reducidas en 2022 y 4.134.150 en 2023, antes de descuentos por buffer e incertidumbre. El ministro de Agricultura, Jaime Campos, y la directora de Conaf, Aída Baldini, destacaron que el pago confirma que la protección forestal genera valor económico, ambiental y social, y consolida a Chile como socio confiable en mecanismos de pago por resultados climáticos.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Francisca Valdés, presidenta de la Unión Social de Empresarios Cristianos (USEC):“Tenemos que ser sostenibles, eficientes, pero no de cualquier manera”</w:t>
      </w:r>
    </w:p>
    <w:p>
      <w:pPr>
        <w:spacing w:before="40" w:after="60"/>
        <w:ind w:left="283"/>
      </w:pPr>
      <w:r>
        <w:rPr>
          <w:rFonts w:ascii="Arial" w:hAnsi="Arial"/>
          <w:color w:val="404040"/>
          <w:sz w:val="21"/>
        </w:rPr>
        <w:t>Francisca Valdés se convirtió en la primera mujer en presidir la Unión Social de Empresarios Cristianos (USEC) en los 78 años de historia de la organización, que agrupa a empresas como Bci, Copec, CMPC y Consorcio, y se propone duplicar el número de socios y fortalecer el rol público de la entidad hacia 2030. Valdés plantea que el crecimiento económico y la adopción de inteligencia artificial en las empresas deben ir acompañados de empleos de calidad y de una incorporación tecnológica que no pierda de vista la formación de los trabajadores, en particular mujeres y jóvenes que podrían quedar rezagados. Sobre el proyecto de Sala Cuna universal —en momentos en que el desempleo femenino llega a 10,5%—, se mostró optimista respecto a la fórmula de cotización adicional de 0,35% propuesta por el gobierno, señalando que destrabar la iniciativa permitiría a más mujeres incorporarse al mercado laboral. También vinculó el debate a la baja tasa de natalidad del país, que calificó como un tema central para USEC y para el futuro del mercado laboral.</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“Yo la crisis no la siento”: Embotelladora Andina invertirá US$ 260 millones al 2030 para crecer en medio de la desaceleración</w:t>
      </w:r>
    </w:p>
    <w:p>
      <w:pPr>
        <w:spacing w:before="40" w:after="60"/>
        <w:ind w:left="283"/>
      </w:pPr>
      <w:r>
        <w:rPr>
          <w:rFonts w:ascii="Arial" w:hAnsi="Arial"/>
          <w:color w:val="404040"/>
          <w:sz w:val="21"/>
        </w:rPr>
        <w:t>Embotelladora Andina anunció un plan de inversión de US$ 260 millones hasta 2030 para seguir creciendo en Chile pese a la desaceleración económica, luego de invertir US$ 65 millones este año principalmente en refrigeración, envases y reducción del uso de agua. El país representa cerca del 40% de las ventas de la compañía —unos US$ 1.386 millones en 2025— y es, según su CEO José Luis Solórzano, líder mundial en consumo de bebidas Light y Zero después de México, con el 58% de las ventas correspondientes a bebidas reducidas o sin azúcar. El ejecutivo destacó que el negocio rara vez ha caído en los 80 años de historia de la compañía en Chile, sosteniendo que la industria crece entre 2% o más al año independiente del ciclo económico, apoyada en que el 60% de las ventas se realiza a través de 70 mil almacenes de barrio. La guerra en Irán ha elevado los costos de combustible e insumos plásticos derivados del petróleo para la compañía, con un impacto estimado de US$ 11 millones.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En consejo de gabinete y en semana clave, Kast llama al Congreso a aprobar la idea de legislar de la ley miscelánea</w:t>
      </w:r>
    </w:p>
    <w:p>
      <w:pPr>
        <w:spacing w:before="40" w:after="60"/>
        <w:ind w:left="283"/>
      </w:pPr>
      <w:r>
        <w:rPr>
          <w:rFonts w:ascii="Arial" w:hAnsi="Arial"/>
          <w:color w:val="404040"/>
          <w:sz w:val="21"/>
        </w:rPr>
        <w:t>El presidente José Antonio Kast encabezó su quinto consejo de gabinete enfocado en temas económicos, llamando al Congreso a respaldar el proyecto de ley miscelánea de reactivación y reconstrucción, que se vota esta semana en general en el Senado. Kast señaló que espera que el Parlamento acoja bien las propuestas en materia de inversión y reconstrucción, y anunció que distintos ministerios deberán analizar un Plan de Empleo de Invierno ante la caída estacional de la contratación. El mandatario también mencionó pendientes en el área energética que afecta a los países vecinos y anunció una gira internacional la próxima semana a Paraguay y Uruguay.</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Claves del Congreso: proyecto misceláneo y AC contra exministro Grau se toman la agenda esta semana</w:t>
      </w:r>
    </w:p>
    <w:p>
      <w:pPr>
        <w:spacing w:before="40" w:after="60"/>
        <w:ind w:left="283"/>
      </w:pPr>
      <w:r>
        <w:rPr>
          <w:rFonts w:ascii="Arial" w:hAnsi="Arial"/>
          <w:color w:val="404040"/>
          <w:sz w:val="21"/>
        </w:rPr>
        <w:t>La agenda legislativa de la semana está marcada por la votación en el Senado, el miércoles 24, de la idea de legislar el proyecto misceláneo de reactivación económica —con altas probabilidades de aprobación— y por el pronunciamiento de la Cámara, el martes 23, sobre la acusación constitucional contra el exministro de Hacienda Nicolás Grau, cuyo resultado es incierto ante la falta de votación alineada de los diputados de gobierno. La Comisión Revisora de la acusación recibirá a los exministros de Hacienda Manuel Marfán y Andrés Velasco, entre otros invitados, antes de votar su informe el mismo lunes en la tarde. Otros proyectos relevantes en tramitación incluyen el mayor endeudamiento del gobierno central para 2026 (que inicia su estudio en la Comisión de Hacienda del Senado), las indicaciones a la ley de sala cuna, y modificaciones a la ley de lobby para extender su aplicación y aumentar sanciones.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Entra en escena una nueva red que busca visibilizar y potenciar la presencia de las mujeres economistas</w:t>
      </w:r>
    </w:p>
    <w:p>
      <w:pPr>
        <w:spacing w:before="40" w:after="60"/>
        <w:ind w:left="283"/>
      </w:pPr>
      <w:r>
        <w:rPr>
          <w:rFonts w:ascii="Arial" w:hAnsi="Arial"/>
          <w:color w:val="404040"/>
          <w:sz w:val="21"/>
        </w:rPr>
        <w:t>Carolina Evans y Emily Jacob lanzaron Women in Economics Network (WEN), una red que busca visibilizar y potenciar la presencia de mujeres en la disciplina económica, motivadas por cifras como que solo 30% de quienes eligen la mención de Economía en pregrado son mujeres y que apenas tres mujeres han ganado el Nobel de Economía. La red cuenta con un consejo asesor que incluye a la directora del Instituto de Economía UC, Claudia Martínez, y al decano de la FEN de la Universidad de Chile, José de Gregorio, además de figuras como la exsuperintendenta Solange Bernstein y la presidenta de la CPC, Susana Jiménez. WEN desarrollará programas de networking, mentoría y nexo estudiantil, con el objetivo de conectar a mujeres en distintas etapas de su carrera y facilitar su acceso a posiciones de liderazgo, como cargos de directora, donde las fundadoras identifican un estancamiento profesional frecuente.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Pablo Cruz, economista jefe de BTG Pactual Chile:“La inflación que estamos viendo está más cerca del 3,5% y podría llegar tan bajo como 2,3%-2,5% en mayo del próximo año”</w:t>
      </w:r>
    </w:p>
    <w:p>
      <w:pPr>
        <w:spacing w:before="40" w:after="60"/>
        <w:ind w:left="283"/>
      </w:pPr>
      <w:r>
        <w:rPr>
          <w:rFonts w:ascii="Arial" w:hAnsi="Arial"/>
          <w:color w:val="404040"/>
          <w:sz w:val="21"/>
        </w:rPr>
        <w:t>El economista jefe de BTG Pactual Chile, Pablo Cruz, proyecta que la economía chilena crecerá entre 1,0% y 1,5% este año —en la parte baja del rango del Banco Central— sin entrar en recesión técnica, y se acelerará hacia el 3% en 2027 impulsada por un repunte de la inversión, sin incorporar aún en sus cifras los proyectos de inversión anunciados pero todavía no materializados. Cruz estima que la inflación, de no incluirse el efecto del acuerdo entre EEUU e Irán y la caída del petróleo, podría situarse más cerca de 3,5% y caer hasta 2,3%-2,5% en mayo de 2027, criticando que el IPoM de junio del Banco Central no incorporó ese shock pese a su relevancia para la orientación de política monetaria. El economista anticipa recortes de tasas en el último trimestre de este año, posiblemente en octubre o diciembre, condicionados a que se confirme que los riesgos inflacionarios derivados del conflicto se han estabilizado. También destacó que la minería saldrá de la base de comparación negativa en junio, lo que debería mejorar el Imacec mensual tras cinco meses de cifras débiles.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¿Cambio cultural al debe? Magras cifras ha dejado la Ley de Inclusión Laboral desde su debut</w:t>
      </w:r>
    </w:p>
    <w:p>
      <w:pPr>
        <w:spacing w:before="40" w:after="60"/>
        <w:ind w:left="283"/>
      </w:pPr>
      <w:r>
        <w:rPr>
          <w:rFonts w:ascii="Arial" w:hAnsi="Arial"/>
          <w:color w:val="404040"/>
          <w:sz w:val="21"/>
        </w:rPr>
        <w:t>Un informe de la Dirección del Trabajo muestra que, a más de ocho años de la Ley de Inclusión Laboral, se han registrado 124.155 contratos a personas con discapacidad desde su entrada en vigencia en 2018, pero solo 43.121 relaciones laborales permanecen vigentes, es decir, un 65% de los contratos ha terminado. El total de 148.155 contratos históricos corresponde a 114.070 trabajadores y 25.231 empresas, aunque hoy solo 14.974 compañías mantienen vínculos activos con 53.376 trabajadores. Expertas de fundaciones como Tacal, Ronda y Descúbreme coinciden en que el principal desafío ya no es el acceso al empleo sino la permanencia y la construcción de culturas laborales inclusivas, apuntando a brechas en formación, acompañamiento y procesos de adaptación. El informe también reveló brechas salariales regionales y de género: el ingreso imponible promedio fue de $ 691.723, con Antofagasta liderando y Valparaíso entre los más bajos, mientras los hombres ganaron en promedio $ 40 mil más que las mujeres.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Irán y EEUU establecen una línea de comunicación directa y una "célula de desescalamiento" para cesar operaciones militares en Líbano</w:t>
      </w:r>
    </w:p>
    <w:p>
      <w:pPr>
        <w:spacing w:before="40" w:after="60"/>
        <w:ind w:left="283"/>
      </w:pPr>
      <w:r>
        <w:rPr>
          <w:rFonts w:ascii="Arial" w:hAnsi="Arial"/>
          <w:color w:val="404040"/>
          <w:sz w:val="21"/>
        </w:rPr>
        <w:t>Estados Unidos e Irán acordaron en Bürgenstock, Suiza, establecer una línea de comunicación directa, un comité de alto nivel y una "célula de desescalamiento" para garantizar el cese de operaciones militares en el Líbano, tras una ronda de negociaciones nocturnas calificadas de "gran progreso" por el vicepresidente JD Vance y de "importantes avances" por la delegación iraní. Irán confirmó que ya percibe beneficios financieros del memorándum de entendimiento firmado la semana anterior, incluyendo exenciones de sanciones a sus exportaciones petroleras y el desbloqueo de activos congelados en países como Qatar. El petróleo Brent caía 2,7% hasta cerca de US$ 78 por barril, acumulando una baja de casi 8% la semana anterior pese a mantener un alza superior a 30% en el año, en un contexto en que una explosión en la planta de gas Barzan en Qatar dejó 54 heridos y 18 desaparecidos, evidenciando los riesgos de la infraestructura energética regional. Las negociaciones técnicas continuarán esta semana con delegados de menor rango, mientras la resolución del conflicto libanés se considera determinante para el éxito del proceso entre ambos países.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Robots reemplazarán a 700 mil repartidores “tarde o temprano”, advierte el jefe de uno de los mayores grupos chinos de ecommerce</w:t>
      </w:r>
    </w:p>
    <w:p>
      <w:pPr>
        <w:spacing w:before="40" w:after="60"/>
        <w:ind w:left="283"/>
      </w:pPr>
      <w:r>
        <w:rPr>
          <w:rFonts w:ascii="Arial" w:hAnsi="Arial"/>
          <w:color w:val="404040"/>
          <w:sz w:val="21"/>
        </w:rPr>
        <w:t>Richard Liu, fundador de JD.com, advirtió que los 700 mil repartidores de la compañía serán reemplazados "tarde o temprano" por robots, en medio de la rápida adopción de automatización en China, y anunció contratos con unas 120 escuelas para recapacitar a los trabajadores en labores de mantenimiento de robots. La preocupación surge en un contexto en que la "economía gig" china —que incluye reparto, transporte y trabajo de fábrica— alcanzará los 320 millones de trabajadores este año, frente a 200 millones hace cinco años, representando 40% del empleo urbano, mientras el desempleo juvenil llegó a 16,3% en abril. El gobierno chino, que priorizó la robótica en su plan quinquenal aprobado en marzo, ha buscado tranquilizar a estos trabajadores ampliando coberturas de seguridad social, aunque Human Rights Watch advirtió que las promesas serán insuficientes sin libertad real de organización sindical. JD.com, que compite con Alibaba y Meituan, enfrenta además una investigación de la Comisión Europea por subsidios extranjeros en su oferta de 2.200 millones de euros para adquirir la cadena alemana Ceconomy.</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Alan Greenspan, el economista y por largo tiempo presidente de la Fed, fallece a los 100 años de edad</w:t>
      </w:r>
    </w:p>
    <w:p>
      <w:pPr>
        <w:spacing w:before="40" w:after="60"/>
        <w:ind w:left="283"/>
      </w:pPr>
      <w:r>
        <w:rPr>
          <w:rFonts w:ascii="Arial" w:hAnsi="Arial"/>
          <w:color w:val="404040"/>
          <w:sz w:val="21"/>
        </w:rPr>
        <w:t>Alan Greenspan, quien presidió la Reserva Federal de Estados Unidos entre 1987 y 2006 bajo cuatro presidentes, falleció a los 100 años por complicaciones de la enfermedad de Parkinson. Fue una figura clave de la economía estadounidense durante casi dos décadas, reconocido por su manejo de crisis como el "Lunes Negro" de 1987, la recesión de 1990-1991, la crisis asiática de 1997-1998 y el colapso de las puntocom en 2000, lo que le ganó el apodo de "Maestro". Su legado se vio empañado tras la crisis financiera de 2008, dos años después de dejar el cargo, cuando fue acusado de que su política de regulación ligera de los mercados financieros contribuyó a la debacle, llegando él mismo a admitir haberse equivocado al confiar en que el interés propio de los bancos evitaría apuestas riesgosas. Republicano y antiguo defensor del patrón oro, transformó radicalmente su filosofía económica para convertirse en un intervencionista activo al frente del banco central.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primer ministro británico Starmer anuncia que dimitirá</w:t>
      </w:r>
    </w:p>
    <w:p>
      <w:pPr>
        <w:spacing w:before="40" w:after="60"/>
        <w:ind w:left="283"/>
      </w:pPr>
      <w:r>
        <w:rPr>
          <w:rFonts w:ascii="Arial" w:hAnsi="Arial"/>
          <w:color w:val="404040"/>
          <w:sz w:val="21"/>
        </w:rPr>
        <w:t>El primer ministro británico Keir Starmer anunció su dimisión, con un nuevo líder asumiendo antes de que el Parlamento reanude sesiones en septiembre, lo que convertirá al sucesor en el séptimo primer ministro del Reino Unido en diez años. La decisión se precipitó tras la contundente victoria electoral de Andy Burnham, alcalde de Gran Mánchester y favorito para sucederlo, quien derrotó a un candidato del Reform UK de Nigel Farage el viernes pasado, en medio de la caída de popularidad de Starmer a niveles históricamente bajos. Las candidaturas para el liderazgo se abrirán el 9 de julio, con otros aspirantes como Wes Streeting, mientras la libra y los bonos británicos se mantuvieron estables tras el anuncio, ya anticipado por los inversionistas. El Reino Unido enfrenta los costos de endeudamiento más altos del G7 y Burnham, pese a prometer reducir el costo de vida, aún no ha definido su postura en política exterior, económica y de defensa, generando dudas entre inversionistas sobre su disposición a tranquilizar a los mercados de bonos.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Randall Kroszner, exmiembro de la Junta de Gobernadores de la Reserva Federal: “La lectura correcta de que Warsh no incluyera su pronóstico es que las proyecciones perderán relevancia en la Fed de ahora en adelante”</w:t>
      </w:r>
    </w:p>
    <w:p>
      <w:pPr>
        <w:spacing w:before="40" w:after="60"/>
        <w:ind w:left="283"/>
      </w:pPr>
      <w:r>
        <w:rPr>
          <w:rFonts w:ascii="Arial" w:hAnsi="Arial"/>
          <w:color w:val="404040"/>
          <w:sz w:val="21"/>
        </w:rPr>
        <w:t>Randall Kroszner, exmiembro de la Junta de la Reserva Federal y excolega de Kevin Warsh, sostuvo en entrevista que la decisión de Warsh de no incluir su propio pronóstico en el dot plot de su primera reunión como presidente de la Fed implica que ese instrumento perderá relevancia hacia adelante, dado el peso desproporcionado que históricamente tiene la proyección del presidente. Kroszner explicó que la Fed está evaluando si el shock de precios por la guerra en Irán fue puntual o si logró desanclar las expectativas de inflación de mediano y largo plazo, señalando que hasta ahora no hay evidencia de ese desanclaje aunque las expectativas de corto plazo sí subieron. Destacó que Warsh acortó drásticamente el comunicado oficial (de 244 a 130 palabras) y evitó dar orientación futura de tasas, en un estilo de comunicación deliberadamente distinto al de Jerome Powell, buscando que los mercados reaccionen a los datos económicos y no a las señales de la Fed. El comité se dividió en partes iguales entre quienes proyectan al menos un alza de tasas este año y quienes esperan mantenerlas, reflejando visiones distintas sobre la tasa neutral y la fortaleza de la economía subyacente, mientras Kroszner no anticipa fricciones inmediatas con la Casa Blanca pese a la postura más hawkish de lo esperado.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La ilusión de neutralidad se desvanece</w:t>
      </w:r>
    </w:p>
    <w:p>
      <w:pPr>
        <w:spacing w:before="40" w:after="60"/>
        <w:ind w:left="283"/>
      </w:pPr>
      <w:r>
        <w:rPr>
          <w:rFonts w:ascii="Arial" w:hAnsi="Arial"/>
          <w:color w:val="404040"/>
          <w:sz w:val="21"/>
        </w:rPr>
        <w:t>La columna de opinión de Jaime Caiceo (Deloitte Chile) plantea que la desactivación reciente de los modelos de IA de Anthropic, Fable 5 y Mythos 5, ordenada por el gobierno de EEUU por razones de seguridad nacional y controles de exportación, evidenció que la inteligencia artificial no es neutral ni está siempre disponible como se asumía, ya que ante la imposibilidad de distinguir la nacionalidad de los usuarios la única opción fue apagar los modelos globalmente. El autor cita el AI Diffusion Report 2026, que muestra que 27,5% de la población en edad laboral del norte global usa IA generativa frente a solo 15,4% en el sur global, y el AI Index Report 2026 de Stanford, que destaca que EEUU tiene más de 10 veces la capacidad de centros de datos que cualquier otro país mientras China domina en patentes e investigación. Frente a esta concentración de poder tecnológico, cita el caso de la fábrica de IA industrial inaugurada en Múnich por Deutsche Telekom, Nvidia y Polarise como ejemplo de cómo otras regiones están construyendo capacidad de cómputo soberano. El autor concluye que Chile y América Latina deben decidir cuánto costará seguir postergando la soberanía digital, ya que depender de capacidades externas implica vulnerabilidad y debilita la innovación local.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científico chileno que quiere curar el cáncer y virus con alpacas</w:t>
      </w:r>
    </w:p>
    <w:p>
      <w:pPr>
        <w:spacing w:before="40" w:after="60"/>
        <w:ind w:left="283"/>
      </w:pPr>
      <w:r>
        <w:rPr>
          <w:rFonts w:ascii="Arial" w:hAnsi="Arial"/>
          <w:color w:val="404040"/>
          <w:sz w:val="21"/>
        </w:rPr>
        <w:t>El científico chileno Alejandro Rojas fundó en Hamburgo la startup Berking Theranostics, que desarrolla anticuerpos derivados de alpacas criadas en Valdivia, cargados con radioisótopos (galio-68 para diagnóstico y lutecio-177 para tratamiento), con el fin de detectar y destruir tumores de forma dirigida sin dañar tejido sano. La compañía recaudó 1,3 millones de euros (unos US$ 1,5 millones) en el primer tramo de una ronda con socios estratégicos del ecosistema médico europeo, y prepara los primeros ensayos preclínicos en julio en Uruguay y agosto en Grecia, enfocados inicialmente en cáncer colorrectal y de páncreas. Rojas, que regresó a Chile en 2016 tras estudiar y trabajar en Alemania y Escocia, desarrolló la tecnología en la Universidad Austral con apoyo de fondos regionales e internacionales por cerca de 5 millones de euros, logrando patentar antivirales contra el Hanta, ébola, dengue y otros virus, pero decidió trasladar el desarrollo comercial a Alemania tras la frustrada comercialización de un anticuerpo contra el coronavirus durante la pandemia por falta de respaldo estatal en Chile. La meta de la startup, que aún no genera ingresos, es alcanzar la Fase 2 con varios candidatos en cinco a seis años para atraer a una gran farmacéutica, usando como referencia a Pluvicto, terapia de Novartis que factura 1.300 millones de euros anuales.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debut de Warsh en la Fed</w:t>
      </w:r>
    </w:p>
    <w:p>
      <w:pPr>
        <w:spacing w:before="40" w:after="60"/>
        <w:ind w:left="283"/>
      </w:pPr>
      <w:r>
        <w:rPr>
          <w:rFonts w:ascii="Arial" w:hAnsi="Arial"/>
          <w:color w:val="404040"/>
          <w:sz w:val="21"/>
        </w:rPr>
        <w:t>Kevin Warsh debutó como presidente de la Reserva Federal tras la salida de Jerome Powell, manteniendo la tasa de interés sin cambios en su primera reunión —en el rango de 3,5% a 3,75%— pese a las expectativas de que cediera a la presión de Donald Trump por recortes, un gesto valorado como señal de independencia institucional en medio de la presión política previa, que incluyó el intento de destitución de la gobernadora Lisa Cook y el nombramiento de un aliado de Trump en la junta. La decisión vino acompañada de un giro relevante en las proyecciones: mientras en marzo se esperaba un recorte para 2026, ahora el mercado proyecta una alza, en un contexto de inflación todavía elevada. Warsh introdujo además un cambio comunicacional drástico, reduciendo el forward guidance del comunicado de 244 a unas 130 palabras, eliminando referencias a futuros ajustes y absteniéndose por primera vez en 14 años de presentar su propia proyección en el dot plot, lo que añade incertidumbre sobre la orientación de política monetaria. La columna advierte que la verdadera prueba de independencia de Warsh llegará en octubre, antes de las elecciones de medio mandato en EEUU, si los datos de inflación no muestran una desaceleración clara y un alza de tasas se vuelve inevitable en el peor momento político para Trump.</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22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