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9 De Junio De 2026</w:t>
      </w:r>
    </w:p>
    <w:p>
      <w:pPr>
        <w:jc w:val="center"/>
      </w:pPr>
      <w:r>
        <w:rPr>
          <w:rFonts w:ascii="Arial" w:hAnsi="Arial"/>
          <w:color w:val="999999"/>
          <w:sz w:val="20"/>
        </w:rPr>
        <w:t>6 secciones  ·  29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transa a la baja mientras el petróleo cae luego de que EEUU observara un mayor tráfico en el estrecho de Ormuz</w:t>
      </w:r>
    </w:p>
    <w:p>
      <w:pPr>
        <w:spacing w:before="40" w:after="60"/>
        <w:ind w:left="283"/>
      </w:pPr>
      <w:r>
        <w:rPr>
          <w:rFonts w:ascii="Arial" w:hAnsi="Arial"/>
          <w:color w:val="404040"/>
          <w:sz w:val="21"/>
        </w:rPr>
        <w:t>El peso chileno se fortaleció cuando los inversores reportaron menor violencia en Medio Oriente y EE.UU. confirmó flujos normales en el estrecho de Ormuz, reduciendo presión sobre energéticos. El dólar cayó $6.2 hasta $915.7 y el Brent bajó 3.6% a $90.9 por barril tras declaraciones del secretario de Energía estadounidense. A pesar de la pausa geopolítica, persisten expectativas de que la Reserva Federal elevaría las tasas antes de fin de año dado que el conflicto podría generar nuevas presiones sobre precios internacionales.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Nouriel Roubini, el economista que anticipó la crisis de 2008, llegará a Chile en octubre</w:t>
      </w:r>
    </w:p>
    <w:p>
      <w:pPr>
        <w:spacing w:before="40" w:after="60"/>
        <w:ind w:left="283"/>
      </w:pPr>
      <w:r>
        <w:rPr>
          <w:rFonts w:ascii="Arial" w:hAnsi="Arial"/>
          <w:color w:val="404040"/>
          <w:sz w:val="21"/>
        </w:rPr>
        <w:t>El economista conocido como 'Dr. Doom' participará como expositor principal en 'La Gran Jugada' el 1 de octubre en Santiago, con expectativa de 450 asistentes del ecosistema financiero. Roubini, profesor emérito de la Stern School of Business, centará su presentación en perspectivas económicas globales y latinoamericanas, junto con riesgos geopolíticos y efectos de la inteligencia artificial en mercados. El evento marca los 10 años de operaciones de Regum en educación financiera en la región.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Banco de Chile arremete en negocio de financiamiento automotriz y sella alianza con filial de Penta Financiero</w:t>
      </w:r>
    </w:p>
    <w:p>
      <w:pPr>
        <w:spacing w:before="40" w:after="60"/>
        <w:ind w:left="283"/>
      </w:pPr>
      <w:r>
        <w:rPr>
          <w:rFonts w:ascii="Arial" w:hAnsi="Arial"/>
          <w:color w:val="404040"/>
          <w:sz w:val="21"/>
        </w:rPr>
        <w:t>Banco de Chile formalizó alianza con Linze, plataforma de Penta Financiero para compraventa de vehículos usados, permitiendo financiar automóviles de hasta 8 años de antigüedad mediante proceso completamente digital. El modelo integra gestión de crédito, custodia de fondos e inspección presencial nacional, convirtiendo a Linze en el primer portal automotriz integral del país con servicios 'end to end'. Esta iniciativa refuerza la estrategia digital del banco y posiciona su respaldo institucional en la experiencia de compra vehicular en línea.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IPSA se dispara 2% en la apertura y busca dejar atrás una larga racha de caídas mientras se relajan las tensiones en Medio Oriente</w:t>
      </w:r>
    </w:p>
    <w:p>
      <w:pPr>
        <w:spacing w:before="40" w:after="60"/>
        <w:ind w:left="283"/>
      </w:pPr>
      <w:r>
        <w:rPr>
          <w:rFonts w:ascii="Arial" w:hAnsi="Arial"/>
          <w:color w:val="404040"/>
          <w:sz w:val="21"/>
        </w:rPr>
        <w:t>El índice accionario chileno subió 2% recuperándose tras siete sesiones de pérdidas, impulsado especialmente por SQM-B con ganancia de 3.1% ante optimismo de Citigroup sobre precios del litio. A nivel global, el Nasdaq ganó 0.8%, el S&amp;P 500 y Dow Jones 0.7% cada uno, mientras el Nikkei repuntó 2.2% gracias al retorno de apetito por acciones tecnológicas. El petróleo Brent cayó 2.7% a $91.7 tras cese de hostilidades entre Irán e Israel, mejorando el sentimiento de riesgo global.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Con préstamos a Copeval, constructoras e Hites: fondo de deuda privada de BTG supera tamaño de US$ 50 millones en tres meses</w:t>
      </w:r>
    </w:p>
    <w:p>
      <w:pPr>
        <w:spacing w:before="40" w:after="60"/>
        <w:ind w:left="283"/>
      </w:pPr>
      <w:r>
        <w:rPr>
          <w:rFonts w:ascii="Arial" w:hAnsi="Arial"/>
          <w:color w:val="404040"/>
          <w:sz w:val="21"/>
        </w:rPr>
        <w:t>El fondo 'Crédito Privado' de BTG Pactual, lanzado en marzo, acumuló más de US$ 50 millones en inversiones con cartera de préstamos directos a empresas de diversos sectores entre $1.5 y $10 mil millones a plazos de 6 meses a 5 años. Los principales deudores son Global ICE ($4.887 mil millones), Copeval ($4 mil millones) e Hites ($3.474 mil millones), generando retornos mensuales de 0.88% a 0.93% para la serie A. El fondo proyecta alcanzar $100 mil millones en activos durante 2026, explorando oportunidades en financiamiento automotriz, inmobiliario y retail.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AFP activan lobby con actores clave del Congreso por implementación de la reforma previsional</w:t>
      </w:r>
    </w:p>
    <w:p>
      <w:pPr>
        <w:spacing w:before="40" w:after="60"/>
        <w:ind w:left="283"/>
      </w:pPr>
      <w:r>
        <w:rPr>
          <w:rFonts w:ascii="Arial" w:hAnsi="Arial"/>
          <w:color w:val="404040"/>
          <w:sz w:val="21"/>
        </w:rPr>
        <w:t>Las administradoras de fondos de pensiones realizaron encuentros con diputados de comisiones de Hacienda y Trabajo para socializar complejidades de la reforma aprobada en enero de 2025, cuyos temas centrales incluyen licitación de stock de afiliados y transición a fondos generacionales. La industria busca definir un sistema de premios y castigos basado en portafolios de referencia, habiendo encargado un informe en derecho sobre quién define estos benchmarks. Las gestoras cuestionan plazos considerados acotados para la implementación de estos cambios estructurales.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Juzgado de Rancagua declara prescrita deuda tributaria de Comercializadora Cugat por más de $ 30.200 millones y ordena la “limpieza” de su historial financiero</w:t>
      </w:r>
    </w:p>
    <w:p>
      <w:pPr>
        <w:spacing w:before="40" w:after="60"/>
        <w:ind w:left="283"/>
      </w:pPr>
      <w:r>
        <w:rPr>
          <w:rFonts w:ascii="Arial" w:hAnsi="Arial"/>
          <w:color w:val="404040"/>
          <w:sz w:val="21"/>
        </w:rPr>
        <w:t>El tribunal determinó que el Fisco, a través de la Tesorería General de la República (TGR), perdió su derecho a exigir el pago al dejar pasar el plazo legal de tres años sin realizar las gestiones de cobranza correspondientes. ElSegundo Juzgado Civil de Rancaguafalló a favor de Comercializadora Cugat SpA, ordenando la prescripción de una deuda tributaria quesuperaba los $ 30.200 millones. La justicia determinó que el Fisco, a través de laTesorería General de la República(TGR),perdió su derecho a exigir el pago al dejar pasar el plazo legal de tres años sin realizar las gestiones de cobranzacorrespondientes. La resolución judiciallibera a la empresa de una deuda arrastrada por casi una década, pues las obligaciones tributarias impagas correspondían a vencimientos (Formulario 21)registrados entre septiembre de 2010 y enero de 2017. Durante este periodo, permanecieron bajo el control de los organismos recaudadores del Estado sin que se concretaran medidas de embargo o recaudación efectivas.Frente a la ausencia de cobros, Cugat solicitó por vía judicial, la extinción formal de estas obligaciones amparado en la tiempo transcurrido para el cobro.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Sierra Gorda SCM y Minera Spence acuerdan explorar oportunidades de colaboración entre sus operaciones vecinas en la Región de Antofagasta</w:t>
      </w:r>
    </w:p>
    <w:p>
      <w:pPr>
        <w:spacing w:before="40" w:after="60"/>
        <w:ind w:left="283"/>
      </w:pPr>
      <w:r>
        <w:rPr>
          <w:rFonts w:ascii="Arial" w:hAnsi="Arial"/>
          <w:color w:val="404040"/>
          <w:sz w:val="21"/>
        </w:rPr>
        <w:t>Ambas mineras suscribieron un Memorando de Entendimiento durante Exponor 2026 para identificar oportunidades de colaboración técnica y comercial que mejoren eficiencia operacional. El acuerdo contempla instancias de diálogo para analizar alternativas en abastecimiento y procesos operacionales compartidos, aprovechando proximidad geográfica en la comuna de Sierra Gorda. Esta colaboración entre vecinos del mismo distrito minero refleja compromiso de trabajar cooperativamente en soluciones que favorezcan resultados sostenibles.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arqueología de la crisis de Cemin, el brazo minero del expresidente de CAP que alista venta de parte de sus activos</w:t>
      </w:r>
    </w:p>
    <w:p>
      <w:pPr>
        <w:spacing w:before="40" w:after="60"/>
        <w:ind w:left="283"/>
      </w:pPr>
      <w:r>
        <w:rPr>
          <w:rFonts w:ascii="Arial" w:hAnsi="Arial"/>
          <w:color w:val="404040"/>
          <w:sz w:val="21"/>
        </w:rPr>
        <w:t>Minera Cemin, fundada en 1982 por Juan Rassmuss Echecopar, enfrenta un proceso de liquidación de activos tras acuerdo de reorganización extrajudicial de abril, necesitando enajenar varios activos para pagar deudas de $73.7 mil millones principalmente a Santander y Glencore. La producción de cátodos de cobre cayó desde 16.2 mil toneladas en 2021 a 9.2 mil en 2024, reflejando combinación de aumentos de costos operacionales, cambios regulatorios ambientales y problemas administrativos de la mediana minería. El grupo mantiene convicción en viabilidad del negocio, preservando corazón operativo en Catemu mientras evalúa otros activos mineros en regiones II, III y IV.</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Gigantes portuarios participan en el diseño de la futura licitación del Puerto de Valparaíso</w:t>
      </w:r>
    </w:p>
    <w:p>
      <w:pPr>
        <w:spacing w:before="40" w:after="60"/>
        <w:ind w:left="283"/>
      </w:pPr>
      <w:r>
        <w:rPr>
          <w:rFonts w:ascii="Arial" w:hAnsi="Arial"/>
          <w:color w:val="404040"/>
          <w:sz w:val="21"/>
        </w:rPr>
        <w:t>La Empresa Portuaria Valparaíso avanza en definición de bases de licitación para expansión del puerto avaluado en US$ 900 millones, con participación de 15 empresas y consorcios incluyendo DP World, APM Terminals de A.P. Moller-Maersk, y Terminal Investment Limited de MSC. EPV prevé licitar antes de fines de 2029, con expectativas de iniciar obras en 2030 y comenzar operaciones en 2034. Este proceso está en análisis ante el Tribunal de Defensa de la Libre Competencia.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Recortes en rutas y ahorros en costos: CEOs de Latam, SKY y JetSmart delinean sus estrategias para sobrevolar el alza del combustible</w:t>
      </w:r>
    </w:p>
    <w:p>
      <w:pPr>
        <w:spacing w:before="40" w:after="60"/>
        <w:ind w:left="283"/>
      </w:pPr>
      <w:r>
        <w:rPr>
          <w:rFonts w:ascii="Arial" w:hAnsi="Arial"/>
          <w:color w:val="404040"/>
          <w:sz w:val="21"/>
        </w:rPr>
        <w:t>Los principales ejecutivos de aerolíneas chilenas expusieron en la reunión anual de la IATA en Río de Janeiro estrategias para enfrentar alza del jet fuel que representa 30-40% de costos operacionales. Latam, con liquidez de más de US$ 4.1 mil millones, mantiene planes de inversión priorizando modernización de flota y experiencia del cliente; SKY ha pospuesto proyectos acotando gastos mientras restringe vuelos no rentables; JetSmart ajusta capacidad regionalmente evaluando oportunidades en Venezuela. El CEO de Grupo Abra confirmó cierre de adquisición de SKY en julio o agosto, destacando que consolidación crea escenario más sostenible estructuralmente.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Con mayoría de oposición, se nomina la Comisión Revisora de la acusación constitucional contra Grau</w:t>
      </w:r>
    </w:p>
    <w:p>
      <w:pPr>
        <w:spacing w:before="40" w:after="60"/>
        <w:ind w:left="283"/>
      </w:pPr>
      <w:r>
        <w:rPr>
          <w:rFonts w:ascii="Arial" w:hAnsi="Arial"/>
          <w:color w:val="404040"/>
          <w:sz w:val="21"/>
        </w:rPr>
        <w:t>El sorteo de cinco legisladores para revisar la acusación constitucional contra exministro Nicolás Grau resultó en mayoría de oposición (tres votos) contra dos del oficialismo, anticipando recomendación de rechazo aunque no vinculante. La acusación, presentada por 12 diputados, cuestiona proyecciones fiscales realizadas por Grau, tema que la oposición considera aplicación indebida de este mecanismo de control democrático. El ministro tiene diez días para presentar defensa tras notificación, iniciando proceso que requiere seis días de análisis comisional antes de pronunciamiento de la sala.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Ministra Francisca Toledo en DF al Cierre: gobierno evalúa propuesta para alargar los períodos de ministros en tribunales ambientales</w:t>
      </w:r>
    </w:p>
    <w:p>
      <w:pPr>
        <w:spacing w:before="40" w:after="60"/>
        <w:ind w:left="283"/>
      </w:pPr>
      <w:r>
        <w:rPr>
          <w:rFonts w:ascii="Arial" w:hAnsi="Arial"/>
          <w:color w:val="404040"/>
          <w:sz w:val="21"/>
        </w:rPr>
        <w:t>La ministra del Medio Ambiente anunció que el gobierno ingresará en segundo semestre proyecto para modificar mecanismos de nombramiento en tribunales ambientales, incluyendo alargar períodos de ministros más allá de seis años actuales para aumentar estabilidad institucional. Destacó que actualmente hay cinco cupos vacantes y concursos abiertos desde 2023, afectando operación diaria de tribunales, siendo el lento proceso resultado de requerir participación de los tres poderes del Estado. Toledo informó sobre avances en desatranque de proyectos del Comité de Ministros, desbloqueando casi US$ 7 mil millones de los US$ 16 mil millones identificados.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Grupo de más de 50 economistas salió a respaldar a exministro Grau en medio de la acusación constitucional</w:t>
      </w:r>
    </w:p>
    <w:p>
      <w:pPr>
        <w:spacing w:before="40" w:after="60"/>
        <w:ind w:left="283"/>
      </w:pPr>
      <w:r>
        <w:rPr>
          <w:rFonts w:ascii="Arial" w:hAnsi="Arial"/>
          <w:color w:val="404040"/>
          <w:sz w:val="21"/>
        </w:rPr>
        <w:t>Un grupo de 52 economistas de distintas universidades chilenas y extranjeras firmó declaración rechazando acusación constitucional contra Grau, argumentando que carece de fundamentos y que convertir proyecciones técnicas en objeto de acusación debilita rol del Ministerio de Hacienda. Los firmantes subrayan que discrepancias entre proyecciones bajo distintos supuestos son habituales en todos los países y no constituyen infracciones constitucionales, recomendando fortalecer protocolos de reporte junto con mejorar metodologías en coordinación con Consejo Fiscal Autónomo. Entre firmantes figuran economistas de trayectoria reconocida como Eduardo Engel, Harald Beyer y Roberto Zahler.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Tomás Rau ratifica compromiso con proyecto de sala cuna en su debut ante el plenario de la OIT</w:t>
      </w:r>
    </w:p>
    <w:p>
      <w:pPr>
        <w:spacing w:before="40" w:after="60"/>
        <w:ind w:left="283"/>
      </w:pPr>
      <w:r>
        <w:rPr>
          <w:rFonts w:ascii="Arial" w:hAnsi="Arial"/>
          <w:color w:val="404040"/>
          <w:sz w:val="21"/>
        </w:rPr>
        <w:t>El ministro del Trabajo expuso ante la Conferencia Internacional del Trabajo que Chile enfrenta crisis laboral con 40 meses de desempleo superior a 8% (10.5% en mujeres), anunciando para el 15 de junio presentación de proyecto de sala cuna universal. La iniciativa busca corregir inequidad de larga data al trasladar costo desde empresas de 20 o más trabajadores hacia sistema universal, reduciendo sobrecosto en contratación de mujeres y mejorando inserción laboral femenina. La medida responde a evidencia de desempleo afectando particularmente a mujeres en contexto económico actual.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Economistas contraponen principales riesgos y beneficios de reforma del gobierno</w:t>
      </w:r>
    </w:p>
    <w:p>
      <w:pPr>
        <w:spacing w:before="40" w:after="60"/>
        <w:ind w:left="283"/>
      </w:pPr>
      <w:r>
        <w:rPr>
          <w:rFonts w:ascii="Arial" w:hAnsi="Arial"/>
          <w:color w:val="404040"/>
          <w:sz w:val="21"/>
        </w:rPr>
        <w:t>En audiencias de comisión de Hacienda del Senado, economistas como Mario Marcel, Andrea Repetto, José De Gregorio y Klaus Schmidt-Hebbel presentaron análisis contrapuestos del proyecto de reconstrucción y reactivación. Marcel calculó costos fiscales de US$ 1.230 millones al 2030 corrigiendo supuestos problemáticos; Repetto criticó especialmente crédito tributario al empleo por falta de costo-efectividad; De Gregorio lo calificó de 'caro' (US$ 600 mil por empleo) apoyando rebaja corporativa; Schmidt-Hebbel defendió proyecciones bien fundamentadas y prioridad de la reforma. El debate evidenció consenso en necesidad de evaluación técnica más robusta y mayor compensación fiscal de medidas.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negociación es clave: gobierno y sector empresarial cierran filas para enfrentar nuevo riesgo arancelario de Estados Unidos</w:t>
      </w:r>
    </w:p>
    <w:p>
      <w:pPr>
        <w:spacing w:before="40" w:after="60"/>
        <w:ind w:left="283"/>
      </w:pPr>
      <w:r>
        <w:rPr>
          <w:rFonts w:ascii="Arial" w:hAnsi="Arial"/>
          <w:color w:val="404040"/>
          <w:sz w:val="21"/>
        </w:rPr>
        <w:t>Gobierno y sectores exportadores se reunieron para coordinar estrategia de negociación frente a aranceles de 12.5% anunciados por administración Trump a 54 naciones incluyendo Chile, bajo pretexto de deficiencias en prohibición de bienes producidos con trabajo forzoso. El ministro Pérez Mackenna expresó confianza en argumentación y negociación de buena forma, destacando que Chile tiene 'larga tradición' en normas sobre trabajo forzoso. Gremios empresariales enfatizaron importancia de mantener Tratado de Libre Comercio como eje de relación comercial y propusieron aprovechar complementariedad de productos como fruta fresca, salmón y minerales críticos para conseguir condiciones preferenciales menores a 10%.</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Una buena y una mala: envíos aceleran el paso y las importaciones de bienes de capital frenan racha alcista</w:t>
      </w:r>
    </w:p>
    <w:p>
      <w:pPr>
        <w:spacing w:before="40" w:after="60"/>
        <w:ind w:left="283"/>
      </w:pPr>
      <w:r>
        <w:rPr>
          <w:rFonts w:ascii="Arial" w:hAnsi="Arial"/>
          <w:color w:val="404040"/>
          <w:sz w:val="21"/>
        </w:rPr>
        <w:t>Exportaciones chilenas alcanzaron US$ 9.540 millones en mayo, aumento de 9.3% interanual impulsado por minería con US$ 6.160 millones, crecimiento del cobre de 8.7% (cátodos +9.5%) y litio con expansión de 163.7% a US$ 343 millones. Importaciones apenas subieron 1.4% a US$ 7.651 millones, siendo notable caída de 12.78% en bienes de capital rompiendo racha de alzas desde septiembre de 2024, afectada por descensos en buses (-54.8%), maquinaria minería-construcción (-27.9%) y vehículos de transporte (-98.9%). Balanza comercial del mes registró US$ 2.435 millones de superávit.</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Se afianza la expectativa de una tasa de interés referencial congelada este año tras la sorpresa del moderado IPC en mayo</w:t>
      </w:r>
    </w:p>
    <w:p>
      <w:pPr>
        <w:spacing w:before="40" w:after="60"/>
        <w:ind w:left="283"/>
      </w:pPr>
      <w:r>
        <w:rPr>
          <w:rFonts w:ascii="Arial" w:hAnsi="Arial"/>
          <w:color w:val="404040"/>
          <w:sz w:val="21"/>
        </w:rPr>
        <w:t>El Índice de Precios al Consumidor de mayo sorprendió a la baja con avance mensual de 0.2% (bajo expectativa de 0.4%) y moderó registro anual de 4.0% a 3.9%, principalmente por caída inesperada de alimentos (especialmente pan con -4% mensual) reflejando estabilización de costos e intensidad competitiva. Analistas interpretaron el dato como señal de que shock energético comienza a moderarse sin generar efectos de segunda vuelta inflacionaria significativos. Proyecciones para cierre de 2026 se mantienen entre 3.8% y 4.3%, con consenso de mercado esperando que Banco Central mantenga Tasa de Política Monetaria en 4.5% durante al menos próximas tres reuniones.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Apple estrena “Siri AI” y desafía a los chatbots rivales con la promesa de que mantendrá privacidad</w:t>
      </w:r>
    </w:p>
    <w:p>
      <w:pPr>
        <w:spacing w:before="40" w:after="60"/>
        <w:ind w:left="283"/>
      </w:pPr>
      <w:r>
        <w:rPr>
          <w:rFonts w:ascii="Arial" w:hAnsi="Arial"/>
          <w:color w:val="404040"/>
          <w:sz w:val="21"/>
        </w:rPr>
        <w:t>El gigante de Silicon Valley promete privacidad para los usuarios mientras impulsa una esperada renovación de su asistente de voz. El CEO de Apple, Tim Cook, durante la Conferencia Mundial de Desarrolladores de la compañía. (Foto: Bloomberg) Apple presentó este lunes una esperada renovación basada en inteligencia artificial (IA) para su asistente de voz Siri, en una señal de queel fabricante del iPhone busca competir directamente con populares chatbots como ChatGPT de OpenAI y Claude de Anthropic.</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AstraZeneca avanza con píldora para bajar de peso y apunta a líderes del mercado de obesidad</w:t>
      </w:r>
    </w:p>
    <w:p>
      <w:pPr>
        <w:spacing w:before="40" w:after="60"/>
        <w:ind w:left="283"/>
      </w:pPr>
      <w:r>
        <w:rPr>
          <w:rFonts w:ascii="Arial" w:hAnsi="Arial"/>
          <w:color w:val="404040"/>
          <w:sz w:val="21"/>
        </w:rPr>
        <w:t>AstraZeneca completó ensayo clínico de fase 2 de su medicamento eceoglipron (píldora GLP-1 diaria) que mostró pérdida de 11.8% de peso corporal en 36 semanas, con 10.5% en 26 semanas versus 0.6% con placebo. La compañía avanzará hacia fase 3 para evaluaciones en personas con obesidad, con y sin diabetes tipo 2, esperando lanzamiento antes de 2027, aunque desempeño está por debajo de Wegovy de Novo Nordisk (17% de pérdida) y Foundayo de Eli Lilly (12.4%). Este movimiento forma parte de carrera farmacéutica en mercado de obesidad proyectado a alcanzar US$ 200 mil millones hacia 2030.</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Luis Ramos, gerente de Estrategia Renta Variable de LarrainVial Research: “Combinando retórica y viabilidad política, un eventual triunfo de Sánchez es más status quo”</w:t>
      </w:r>
    </w:p>
    <w:p>
      <w:pPr>
        <w:spacing w:before="40" w:after="60"/>
        <w:ind w:left="283"/>
      </w:pPr>
      <w:r>
        <w:rPr>
          <w:rFonts w:ascii="Arial" w:hAnsi="Arial"/>
          <w:color w:val="404040"/>
          <w:sz w:val="21"/>
        </w:rPr>
        <w:t>El analista asegura que el mercado recibiría “bastante bien” un cambio que favoreciera a Fujimori en el conteo. El gerente de Estrategia Renta Variable de LarrainVial Research, Luis Ramos, plantea que el mercado se toma con calma la ventaja que hasta ahora tiene Roberto Sánchez, tanto porque no es definitiva como por la moderación que se anticipa si es elegido Presidente. Eso sí, los activos reflejarían el entusiasmo por las políticas procrecimiento de Keiko Fujimori, si esta recupera la delantera. - Estamos en presencia, probablemente, de una de las carreras más competitivas. Estamos en presencia de dos candidatos a los lados opuestos del espectro político. Si uno revisa las encuestas, el simulacro final de boca de urna y el conteo rápido, hay una semejanza de lo que pasó en el 2021.</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Banco de Chile se suma a la tendencia de la industria y lanza un área dedicada a startups</w:t>
      </w:r>
    </w:p>
    <w:p>
      <w:pPr>
        <w:spacing w:before="40" w:after="60"/>
        <w:ind w:left="283"/>
      </w:pPr>
      <w:r>
        <w:rPr>
          <w:rFonts w:ascii="Arial" w:hAnsi="Arial"/>
          <w:color w:val="404040"/>
          <w:sz w:val="21"/>
        </w:rPr>
        <w:t>Banco de Chile inauguró B Startup, área especializada en startups de base científico-tecnológica operando desde espacio físico en Cowork IF El Bosque en Las Condes, con equipo dedicado y servicios integrales. La iniciativa ofrece asesoría personalizada, productos financieros como líneas de crédito e instrumentos de capital de trabajo, más alianzas con Amazon Web Services (AWS) y UDD Ventures de Universidad del Desarrollo. El banco busca acompañar empresas emergentes en todas las etapas de desarrollo mediante apuesta 'cualitativa y de largo plazo', reclasificando clientes con perfil startup existentes en cartera y construyendo relaciones que faciliten crecimiento desde etapas tempranas.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Inflación, a no bajar la guardia</w:t>
      </w:r>
    </w:p>
    <w:p>
      <w:pPr>
        <w:spacing w:before="40" w:after="60"/>
        <w:ind w:left="283"/>
      </w:pPr>
      <w:r>
        <w:rPr>
          <w:rFonts w:ascii="Arial" w:hAnsi="Arial"/>
          <w:color w:val="404040"/>
          <w:sz w:val="21"/>
        </w:rPr>
        <w:t>El editorial advierte que aunque IPC de mayo sorprendió favorablemente ubicándose bajo expectativas, moderación estuvo explicada principalmente por caída de precios de alimentos expuesta a factores estacionales que pueden revertirse rápidamente, siendo apresurado interpretar dato como control definitivo. Los servicios continúan mostrando dinámicas resistentes reflejando presiones de costos no desaparecidas, mientras escenario externo sigue presentando desafíos con alzas en petróleo internacional, fertilizantes y costos de transporte. Editorial exhorta al Banco Central a mantener prudencia regulatoria aprovechando mayor margen de maniobra actual, enfatizando que credibilidad institucional construida es fundamental para anclar expectativas inflacionarias sostenibles.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Medicamentos: ¿devolución de IVA o cobertura pública?</w:t>
      </w:r>
    </w:p>
    <w:p>
      <w:pPr>
        <w:spacing w:before="40" w:after="60"/>
        <w:ind w:left="283"/>
      </w:pPr>
      <w:r>
        <w:rPr>
          <w:rFonts w:ascii="Arial" w:hAnsi="Arial"/>
          <w:color w:val="404040"/>
          <w:sz w:val="21"/>
        </w:rPr>
        <w:t>El análisis cuestiona coherencia de reducir financiamiento de medicamentos en Atención Primaria mientras destina más de $90 mil millones anuales a devolución de IVA en retail, señalando que reembolso actúa sobre precios finales sin modificar estructura que origina gasto de bolsillo. Propone como alternativa expandir Modalidad de Cobertura Complementaria de Fonasa para crear seguro complementario ambulatorio con potencial de cobertura cercana a universalidad, operando sobre precios negociados. El artículo sugiere que debate parlamentario debería incorporar análisis comparado de costo-efectividad entre ambas alternativas antes de continuar tramitación.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Títulos universitarios con fecha de vencimiento</w:t>
      </w:r>
    </w:p>
    <w:p>
      <w:pPr>
        <w:spacing w:before="40" w:after="60"/>
        <w:ind w:left="283"/>
      </w:pPr>
      <w:r>
        <w:rPr>
          <w:rFonts w:ascii="Arial" w:hAnsi="Arial"/>
          <w:color w:val="404040"/>
          <w:sz w:val="21"/>
        </w:rPr>
        <w:t>El artículo advierte que revolución tecnológica transforma mercado laboral más rápido de lo que sistema educativo se adapta, con World Economic Forum estimando que 44% de habilidades laborales cambiarán antes de 2030 enfocado en competencias técnicas especializadas que toman años formar. En sectores como minería, construcción y servicios financieros chilenos, perfiles más demandados hoy no existían hace cinco años, reflejando desajuste entre educación universitaria (modelo de 20 años) y realidad laboral. Propone que mayor riesgo no es reinventarse múltiples veces sino quedarse inmóvil, enfatizando responsabilidad empresarial activa en reconversión de equipos y necesidad del sistema educativo superior en incorporar adaptabilidad como competencia central.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importancia de la gradualidad regulatoria</w:t>
      </w:r>
    </w:p>
    <w:p>
      <w:pPr>
        <w:spacing w:before="40" w:after="60"/>
        <w:ind w:left="283"/>
      </w:pPr>
      <w:r>
        <w:rPr>
          <w:rFonts w:ascii="Arial" w:hAnsi="Arial"/>
          <w:color w:val="404040"/>
          <w:sz w:val="21"/>
        </w:rPr>
        <w:t>El artículo expresa preocupación por modificaciones propuestas en Decretos 88 y 125 en revisión ante Contraloría que alterarían condiciones de proyectos PMGD (Pequeños Medios de Generación Distribuida) sin transición gradual. Análisis técnicos indican que 65% de estos proyectos no generaría ingresos suficientes para obligaciones bajo propuesta, afectando 690 centrales renovables, 20 mil empleos directos e inversiones de US$ 6 mil millones. Como gremio de generadores, propone que antes de toma de razón existan ajustes que mantengan competencia, inversión y empleo, enfatizando que decisión sentará precedente para certeza jurídica de futuras inversiones.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hora de los camiones eléctricos</w:t>
      </w:r>
    </w:p>
    <w:p>
      <w:pPr>
        <w:spacing w:before="40" w:after="60"/>
        <w:ind w:left="283"/>
      </w:pPr>
      <w:r>
        <w:rPr>
          <w:rFonts w:ascii="Arial" w:hAnsi="Arial"/>
          <w:color w:val="404040"/>
          <w:sz w:val="21"/>
        </w:rPr>
        <w:t>El artículo destaca hito de primera carretera eléctrica de alta potencia en Ruta 5 Sur como avance en descarbonización del transporte de carga, con cargadores ultrarrápidos de hasta 600 kW resolviendo barrera crítica de tiempos de carga. Señala que nueva generación de camiones eléctricos diseñados para largas distancias con altos estándares de seguridad y autonomía demuestran que electromovilidad en carga dejó de ser promesa para ser alternativa concreta y competitiva. Con ventajas geográficas y matriz energética limpia en Chile, argumenta que discusión ya no es si camiones eléctricos llegarán, sino velocidad de adopción que país sea capaz de impulsar.</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Reconstruir espacios educativos</w:t>
      </w:r>
    </w:p>
    <w:p>
      <w:pPr>
        <w:spacing w:before="40" w:after="60"/>
        <w:ind w:left="283"/>
      </w:pPr>
      <w:r>
        <w:rPr>
          <w:rFonts w:ascii="Arial" w:hAnsi="Arial"/>
          <w:color w:val="404040"/>
          <w:sz w:val="21"/>
        </w:rPr>
        <w:t>El artículo abre debate sobre uso de celulares en colegios, argumentando que va más allá de regulación tecnológica para abordar crisis de vínculos, atención y convivencia afectando niños, adolescentes y comunidades educativas completas. La hiperconectividad y sobreexposición a pantallas impactan concentración y capacidad de relacionarse, resolver conflictos y desarrollar autocontrol, manifestándose en violencia, impulsividad, intolerancia y desmotivación escolar. Plantea que reducir a prohibir o permitir celulares es insuficiente, necesitando reconstruir espacios educativos más humanos donde se formen virtudes como respeto, responsabilidad, empatía, fortaleza y templanza, con autoridad positiva, sentido de pertenencia y vínculos familia-escuela como fundamentales.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9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